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48266">
      <w:pPr>
        <w:pStyle w:val="2"/>
        <w:spacing w:before="200" w:after="80"/>
        <w:jc w:val="center"/>
        <w:rPr>
          <w:rFonts w:hint="default" w:ascii="Times New Roman Bold" w:hAnsi="Times New Roman Bold" w:cs="Times New Roman Bold"/>
          <w:b/>
          <w:bCs w:val="0"/>
          <w:i w:val="0"/>
          <w:color w:val="auto"/>
          <w:sz w:val="32"/>
          <w:szCs w:val="32"/>
          <w:lang w:val="en-US" w:eastAsia="en-US"/>
        </w:rPr>
      </w:pPr>
      <w:bookmarkStart w:id="0" w:name="_GoBack"/>
      <w:r>
        <w:rPr>
          <w:rFonts w:hint="default" w:ascii="Times New Roman Bold" w:hAnsi="Times New Roman Bold" w:cs="Times New Roman Bold"/>
          <w:b/>
          <w:bCs w:val="0"/>
          <w:i w:val="0"/>
          <w:color w:val="auto"/>
          <w:sz w:val="32"/>
          <w:szCs w:val="32"/>
          <w:lang w:val="en-US" w:eastAsia="en-US"/>
        </w:rPr>
        <w:t>Codebook and Supplementary Tables</w:t>
      </w:r>
    </w:p>
    <w:bookmarkEnd w:id="0"/>
    <w:p w14:paraId="4284817A">
      <w:pPr>
        <w:spacing w:before="160" w:after="60"/>
        <w:rPr>
          <w:rFonts w:hint="default" w:ascii="Times New Roman Bold" w:hAnsi="Times New Roman Bold" w:cs="Times New Roman Bold"/>
          <w:b/>
          <w:bCs w:val="0"/>
          <w:sz w:val="20"/>
          <w:szCs w:val="20"/>
        </w:rPr>
      </w:pPr>
      <w:r>
        <w:rPr>
          <w:rFonts w:hint="default" w:ascii="Times New Roman Bold" w:hAnsi="Times New Roman Bold" w:cs="Times New Roman Bold"/>
          <w:b/>
          <w:bCs w:val="0"/>
          <w:sz w:val="20"/>
          <w:szCs w:val="20"/>
        </w:rPr>
        <w:t>Frame Type Definitions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3104"/>
        <w:gridCol w:w="4630"/>
      </w:tblGrid>
      <w:tr w14:paraId="65D8C022">
        <w:tc>
          <w:tcPr>
            <w:tcW w:w="798" w:type="dxa"/>
          </w:tcPr>
          <w:p w14:paraId="3A174FDD">
            <w:pPr>
              <w:spacing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</w:rPr>
              <w:t>Code</w:t>
            </w:r>
          </w:p>
        </w:tc>
        <w:tc>
          <w:tcPr>
            <w:tcW w:w="3223" w:type="dxa"/>
          </w:tcPr>
          <w:p w14:paraId="6095B154">
            <w:pPr>
              <w:spacing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</w:rPr>
              <w:t>Frame Type</w:t>
            </w:r>
          </w:p>
        </w:tc>
        <w:tc>
          <w:tcPr>
            <w:tcW w:w="4817" w:type="dxa"/>
          </w:tcPr>
          <w:p w14:paraId="42BBDE7F">
            <w:pPr>
              <w:spacing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</w:rPr>
              <w:t>Definition and Key Indicators</w:t>
            </w:r>
          </w:p>
        </w:tc>
      </w:tr>
      <w:tr w14:paraId="30633560">
        <w:tc>
          <w:tcPr>
            <w:tcW w:w="798" w:type="dxa"/>
            <w:vAlign w:val="center"/>
          </w:tcPr>
          <w:p w14:paraId="438B239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3223" w:type="dxa"/>
            <w:vAlign w:val="center"/>
          </w:tcPr>
          <w:p w14:paraId="3AF3BE8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  <w:tc>
          <w:tcPr>
            <w:tcW w:w="4817" w:type="dxa"/>
          </w:tcPr>
          <w:p w14:paraId="7CFEBA9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Emphasises the physical dimensions of the earthquake—magnitude, epicentre, aftershocks, casualties, and material damage.</w:t>
            </w:r>
          </w:p>
        </w:tc>
      </w:tr>
      <w:tr w14:paraId="5078FA0C">
        <w:tc>
          <w:tcPr>
            <w:tcW w:w="798" w:type="dxa"/>
            <w:vAlign w:val="center"/>
          </w:tcPr>
          <w:p w14:paraId="352E0B2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3223" w:type="dxa"/>
            <w:vAlign w:val="center"/>
          </w:tcPr>
          <w:p w14:paraId="0EA4A21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Responsibility and Attribution</w:t>
            </w:r>
          </w:p>
        </w:tc>
        <w:tc>
          <w:tcPr>
            <w:tcW w:w="4817" w:type="dxa"/>
          </w:tcPr>
          <w:p w14:paraId="7BB2429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Foreground questions of causal accountability: government failures, building code compliance, corruption, infrastructure negligence.</w:t>
            </w:r>
          </w:p>
        </w:tc>
      </w:tr>
      <w:tr w14:paraId="70E331FC">
        <w:tc>
          <w:tcPr>
            <w:tcW w:w="798" w:type="dxa"/>
            <w:vAlign w:val="center"/>
          </w:tcPr>
          <w:p w14:paraId="2AADDB8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  <w:tc>
          <w:tcPr>
            <w:tcW w:w="3223" w:type="dxa"/>
            <w:vAlign w:val="center"/>
          </w:tcPr>
          <w:p w14:paraId="0B99C21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Ethical Frames</w:t>
            </w:r>
          </w:p>
        </w:tc>
        <w:tc>
          <w:tcPr>
            <w:tcW w:w="4817" w:type="dxa"/>
          </w:tcPr>
          <w:p w14:paraId="231F207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Moral dilemmas, humanitarian concerns, and social justice dimensions: differential vulnerability by gender, race, class, disability.</w:t>
            </w:r>
          </w:p>
        </w:tc>
      </w:tr>
      <w:tr w14:paraId="06FA0F49">
        <w:tc>
          <w:tcPr>
            <w:tcW w:w="798" w:type="dxa"/>
            <w:vAlign w:val="center"/>
          </w:tcPr>
          <w:p w14:paraId="1B3BAB0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</w:t>
            </w:r>
          </w:p>
        </w:tc>
        <w:tc>
          <w:tcPr>
            <w:tcW w:w="3223" w:type="dxa"/>
            <w:vAlign w:val="center"/>
          </w:tcPr>
          <w:p w14:paraId="26C3261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Narrative and Perspective</w:t>
            </w:r>
          </w:p>
        </w:tc>
        <w:tc>
          <w:tcPr>
            <w:tcW w:w="4817" w:type="dxa"/>
          </w:tcPr>
          <w:p w14:paraId="45E6547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Experiential, cultural, and identity-related dimensions: survivor narratives, collective memory, cultural identity.</w:t>
            </w:r>
          </w:p>
        </w:tc>
      </w:tr>
      <w:tr w14:paraId="098D6AC8">
        <w:tc>
          <w:tcPr>
            <w:tcW w:w="798" w:type="dxa"/>
            <w:vAlign w:val="center"/>
          </w:tcPr>
          <w:p w14:paraId="44ECF68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3223" w:type="dxa"/>
            <w:vAlign w:val="center"/>
          </w:tcPr>
          <w:p w14:paraId="00CF7DF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Response and Collaboration</w:t>
            </w:r>
          </w:p>
        </w:tc>
        <w:tc>
          <w:tcPr>
            <w:tcW w:w="4817" w:type="dxa"/>
          </w:tcPr>
          <w:p w14:paraId="68EE3C5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Organised response: government relief, NGO activities, international aid, community self-organisation.</w:t>
            </w:r>
          </w:p>
        </w:tc>
      </w:tr>
      <w:tr w14:paraId="2AF8E1FF">
        <w:tc>
          <w:tcPr>
            <w:tcW w:w="798" w:type="dxa"/>
            <w:vAlign w:val="center"/>
          </w:tcPr>
          <w:p w14:paraId="69C5CE0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</w:t>
            </w:r>
          </w:p>
        </w:tc>
        <w:tc>
          <w:tcPr>
            <w:tcW w:w="3223" w:type="dxa"/>
            <w:vAlign w:val="center"/>
          </w:tcPr>
          <w:p w14:paraId="7F7FD74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 Frames</w:t>
            </w:r>
          </w:p>
        </w:tc>
        <w:tc>
          <w:tcPr>
            <w:tcW w:w="4817" w:type="dxa"/>
          </w:tcPr>
          <w:p w14:paraId="524D47F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Frames not fitting categories 1</w:t>
            </w: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/>
              </w:rPr>
              <w:t>-</w:t>
            </w: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5, including media industry frames, economic frames, and health frames.</w:t>
            </w:r>
          </w:p>
        </w:tc>
      </w:tr>
      <w:tr w14:paraId="008C0657">
        <w:tc>
          <w:tcPr>
            <w:tcW w:w="798" w:type="dxa"/>
            <w:vAlign w:val="center"/>
          </w:tcPr>
          <w:p w14:paraId="7643808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</w:t>
            </w:r>
          </w:p>
        </w:tc>
        <w:tc>
          <w:tcPr>
            <w:tcW w:w="3223" w:type="dxa"/>
            <w:vAlign w:val="center"/>
          </w:tcPr>
          <w:p w14:paraId="71F6B14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 Frames</w:t>
            </w:r>
          </w:p>
        </w:tc>
        <w:tc>
          <w:tcPr>
            <w:tcW w:w="4817" w:type="dxa"/>
          </w:tcPr>
          <w:p w14:paraId="4045F1A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Studies explicitly employing more than one frame type, comparing media outlets, political actors, or national contexts.</w:t>
            </w:r>
          </w:p>
        </w:tc>
      </w:tr>
    </w:tbl>
    <w:p w14:paraId="2766F498">
      <w:pPr>
        <w:spacing w:after="0" w:line="240" w:lineRule="auto"/>
        <w:rPr>
          <w:rFonts w:hint="default" w:ascii="Times New Roman Regular" w:hAnsi="Times New Roman Regular" w:cs="Times New Roman Regular"/>
          <w:b/>
          <w:sz w:val="20"/>
          <w:szCs w:val="20"/>
        </w:rPr>
      </w:pPr>
    </w:p>
    <w:p w14:paraId="7EB4E7EB">
      <w:pPr>
        <w:spacing w:after="0" w:line="240" w:lineRule="auto"/>
        <w:rPr>
          <w:rFonts w:hint="default" w:ascii="Times New Roman Bold" w:hAnsi="Times New Roman Bold" w:cs="Times New Roman Bold"/>
          <w:b/>
          <w:bCs w:val="0"/>
          <w:sz w:val="20"/>
          <w:szCs w:val="20"/>
        </w:rPr>
      </w:pPr>
      <w:r>
        <w:rPr>
          <w:rFonts w:hint="default" w:ascii="Times New Roman Bold" w:hAnsi="Times New Roman Bold" w:cs="Times New Roman Bold"/>
          <w:b/>
          <w:bCs w:val="0"/>
          <w:sz w:val="20"/>
          <w:szCs w:val="20"/>
        </w:rPr>
        <w:t>Frame Form Definitions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181818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5"/>
        <w:gridCol w:w="1600"/>
        <w:gridCol w:w="3778"/>
        <w:gridCol w:w="2335"/>
      </w:tblGrid>
      <w:tr w14:paraId="23176A57"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0" w:type="dxa"/>
              <w:left w:w="180" w:type="dxa"/>
              <w:bottom w:w="100" w:type="dxa"/>
              <w:right w:w="180" w:type="dxa"/>
            </w:tcMar>
            <w:vAlign w:val="top"/>
          </w:tcPr>
          <w:p w14:paraId="4620EEC2">
            <w:pPr>
              <w:spacing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  <w:t>Code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0" w:type="dxa"/>
              <w:left w:w="180" w:type="dxa"/>
              <w:bottom w:w="100" w:type="dxa"/>
              <w:right w:w="180" w:type="dxa"/>
            </w:tcMar>
            <w:vAlign w:val="top"/>
          </w:tcPr>
          <w:p w14:paraId="0FAEB5E7">
            <w:pPr>
              <w:spacing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  <w:t>Frame Form</w:t>
            </w:r>
          </w:p>
        </w:tc>
        <w:tc>
          <w:tcPr>
            <w:tcW w:w="3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0" w:type="dxa"/>
              <w:left w:w="180" w:type="dxa"/>
              <w:bottom w:w="100" w:type="dxa"/>
              <w:right w:w="180" w:type="dxa"/>
            </w:tcMar>
            <w:vAlign w:val="top"/>
          </w:tcPr>
          <w:p w14:paraId="4F703E60">
            <w:pPr>
              <w:spacing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  <w:t>Definition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00" w:type="dxa"/>
              <w:left w:w="180" w:type="dxa"/>
              <w:bottom w:w="100" w:type="dxa"/>
              <w:right w:w="180" w:type="dxa"/>
            </w:tcMar>
            <w:vAlign w:val="top"/>
          </w:tcPr>
          <w:p w14:paraId="72776334">
            <w:pPr>
              <w:spacing w:after="0" w:line="240" w:lineRule="auto"/>
              <w:jc w:val="center"/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sz w:val="20"/>
                <w:szCs w:val="20"/>
                <w:lang w:val="en-US" w:eastAsia="zh-CN"/>
              </w:rPr>
              <w:t>Classification Criteria</w:t>
            </w:r>
          </w:p>
        </w:tc>
      </w:tr>
      <w:tr w14:paraId="686DF640"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782ADA1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79387DB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Text Frame</w:t>
            </w:r>
          </w:p>
        </w:tc>
        <w:tc>
          <w:tcPr>
            <w:tcW w:w="3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08945C4F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Primary analytical focus is on textual content. Visual content is treated as background, context, or illustration without independent coding.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2A3C86A5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Image coded as context variable only</w:t>
            </w:r>
          </w:p>
        </w:tc>
      </w:tr>
      <w:tr w14:paraId="69B9D88E"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5F627EA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7352BE9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Visual Frame</w:t>
            </w:r>
          </w:p>
        </w:tc>
        <w:tc>
          <w:tcPr>
            <w:tcW w:w="3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2C0509DF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Primary analytical focus is on visual content. Text is treated as background or caption-level context without systematic content analysis.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5B8023E3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Text treated as context; image independently coded</w:t>
            </w:r>
          </w:p>
        </w:tc>
      </w:tr>
      <w:tr w14:paraId="0ABA2511"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53E9C0C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0ECB9BD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Integrated Frame</w:t>
            </w:r>
          </w:p>
        </w:tc>
        <w:tc>
          <w:tcPr>
            <w:tcW w:w="3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17BD884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 xml:space="preserve">Both textual and visual content are analysed as co-equal analytical dimensions. 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35D2D281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Both independently coded AND interaction stated as objective</w:t>
            </w:r>
          </w:p>
        </w:tc>
      </w:tr>
    </w:tbl>
    <w:p w14:paraId="38512A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NGEyMjk2MjFjMjZlZjg4YTBjMjQzYmJmNmY2YjIifQ=="/>
  </w:docVars>
  <w:rsids>
    <w:rsidRoot w:val="5FDAACA0"/>
    <w:rsid w:val="5FDAA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2026-07-24T14:47:00Z</dcterms:created>
  <dc:creator>夏夏</dc:creator>
  <cp:lastModifiedBy>夏夏</cp:lastModifiedBy>
  <dcterms:modified xsi:type="dcterms:W3CDTF">2026-07-24T14:51:14Z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1085EB9841B18F20780A636A9B91A574_41</vt:lpwstr>
  </property>
</Properties>
</file>