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A02C8">
      <w:pPr>
        <w:jc w:val="center"/>
        <w:rPr>
          <w:rFonts w:hint="default" w:ascii="Times New Roman Regular" w:hAnsi="Times New Roman Regular" w:cs="Times New Roman Regular"/>
          <w:b w:val="0"/>
          <w:bCs/>
          <w:color w:val="auto"/>
        </w:rPr>
      </w:pPr>
      <w:bookmarkStart w:id="0" w:name="_GoBack"/>
      <w:r>
        <w:rPr>
          <w:rFonts w:hint="default" w:ascii="Times New Roman Regular" w:hAnsi="Times New Roman Regular" w:cs="Times New Roman Regular"/>
          <w:b w:val="0"/>
          <w:bCs/>
          <w:color w:val="auto"/>
          <w:sz w:val="32"/>
        </w:rPr>
        <w:t>Extracted Records, Screening Logs, and Inclusion/Exclusion Criteria</w:t>
      </w:r>
    </w:p>
    <w:bookmarkEnd w:id="0"/>
    <w:p w14:paraId="32B84C73">
      <w:pPr>
        <w:spacing w:before="280" w:after="80"/>
        <w:rPr>
          <w:rFonts w:hint="default" w:ascii="Times New Roman Regular" w:hAnsi="Times New Roman Regular" w:cs="Times New Roman Regular"/>
          <w:b w:val="0"/>
          <w:bCs/>
          <w:color w:val="auto"/>
        </w:rPr>
      </w:pPr>
      <w:r>
        <w:rPr>
          <w:rFonts w:hint="default" w:ascii="Times New Roman Regular" w:hAnsi="Times New Roman Regular" w:cs="Times New Roman Regular"/>
          <w:b w:val="0"/>
          <w:bCs/>
          <w:color w:val="auto"/>
          <w:sz w:val="26"/>
        </w:rPr>
        <w:t>Extracted Records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
        <w:gridCol w:w="2504"/>
        <w:gridCol w:w="1926"/>
        <w:gridCol w:w="1955"/>
        <w:gridCol w:w="1200"/>
        <w:gridCol w:w="1496"/>
      </w:tblGrid>
      <w:tr w14:paraId="5269ECC8">
        <w:tc>
          <w:tcPr>
            <w:tcW w:w="550" w:type="dxa"/>
            <w:shd w:val="clear" w:color="auto" w:fill="auto"/>
            <w:vAlign w:val="center"/>
          </w:tcPr>
          <w:p w14:paraId="74DB49FD">
            <w:pPr>
              <w:spacing w:after="0" w:line="240" w:lineRule="auto"/>
              <w:jc w:val="center"/>
              <w:rPr>
                <w:rFonts w:hint="default" w:ascii="Times New Roman Bold" w:hAnsi="Times New Roman Bold" w:eastAsia="宋体" w:cs="Times New Roman Bold"/>
                <w:b/>
                <w:bCs w:val="0"/>
                <w:color w:val="auto"/>
                <w:sz w:val="20"/>
                <w:szCs w:val="20"/>
                <w:lang w:eastAsia="zh-CN"/>
              </w:rPr>
            </w:pPr>
            <w:r>
              <w:rPr>
                <w:rFonts w:hint="default" w:ascii="Times New Roman Bold" w:hAnsi="Times New Roman Bold" w:eastAsia="宋体" w:cs="Times New Roman Bold"/>
                <w:b/>
                <w:bCs w:val="0"/>
                <w:color w:val="auto"/>
                <w:sz w:val="20"/>
                <w:szCs w:val="20"/>
                <w:lang w:val="en-US" w:eastAsia="zh-CN"/>
              </w:rPr>
              <w:t>N</w:t>
            </w:r>
            <w:r>
              <w:rPr>
                <w:rFonts w:hint="eastAsia" w:ascii="Times New Roman Bold" w:hAnsi="Times New Roman Bold" w:eastAsia="宋体" w:cs="Times New Roman Bold"/>
                <w:b/>
                <w:bCs w:val="0"/>
                <w:color w:val="auto"/>
                <w:sz w:val="20"/>
                <w:szCs w:val="20"/>
                <w:lang w:val="en-US" w:eastAsia="zh-CN"/>
              </w:rPr>
              <w:t>0</w:t>
            </w:r>
            <w:r>
              <w:rPr>
                <w:rFonts w:hint="default" w:ascii="Times New Roman Bold" w:hAnsi="Times New Roman Bold" w:eastAsia="宋体" w:cs="Times New Roman Bold"/>
                <w:b/>
                <w:bCs w:val="0"/>
                <w:color w:val="auto"/>
                <w:sz w:val="20"/>
                <w:szCs w:val="20"/>
                <w:lang w:val="en-US" w:eastAsia="zh-CN"/>
              </w:rPr>
              <w:t>.</w:t>
            </w:r>
          </w:p>
        </w:tc>
        <w:tc>
          <w:tcPr>
            <w:tcW w:w="2504" w:type="dxa"/>
            <w:shd w:val="clear" w:color="auto" w:fill="auto"/>
            <w:vAlign w:val="center"/>
          </w:tcPr>
          <w:p w14:paraId="15DAA102">
            <w:pPr>
              <w:spacing w:after="0" w:line="240" w:lineRule="auto"/>
              <w:jc w:val="center"/>
              <w:rPr>
                <w:rFonts w:hint="default" w:ascii="Times New Roman Bold" w:hAnsi="Times New Roman Bold" w:cs="Times New Roman Bold"/>
                <w:b/>
                <w:bCs w:val="0"/>
                <w:color w:val="auto"/>
                <w:sz w:val="20"/>
                <w:szCs w:val="20"/>
              </w:rPr>
            </w:pPr>
            <w:r>
              <w:rPr>
                <w:rFonts w:hint="default" w:ascii="Times New Roman Bold" w:hAnsi="Times New Roman Bold" w:cs="Times New Roman Bold"/>
                <w:b/>
                <w:bCs w:val="0"/>
                <w:color w:val="auto"/>
                <w:sz w:val="20"/>
                <w:szCs w:val="20"/>
              </w:rPr>
              <w:t>Database / Platform</w:t>
            </w:r>
          </w:p>
        </w:tc>
        <w:tc>
          <w:tcPr>
            <w:tcW w:w="1926" w:type="dxa"/>
            <w:shd w:val="clear" w:color="auto" w:fill="auto"/>
            <w:vAlign w:val="center"/>
          </w:tcPr>
          <w:p w14:paraId="05B82879">
            <w:pPr>
              <w:spacing w:after="0" w:line="240" w:lineRule="auto"/>
              <w:jc w:val="center"/>
              <w:rPr>
                <w:rFonts w:hint="default" w:ascii="Times New Roman Bold" w:hAnsi="Times New Roman Bold" w:cs="Times New Roman Bold"/>
                <w:b/>
                <w:bCs w:val="0"/>
                <w:color w:val="auto"/>
                <w:sz w:val="20"/>
                <w:szCs w:val="20"/>
              </w:rPr>
            </w:pPr>
            <w:r>
              <w:rPr>
                <w:rFonts w:hint="default" w:ascii="Times New Roman Bold" w:hAnsi="Times New Roman Bold" w:cs="Times New Roman Bold"/>
                <w:b/>
                <w:bCs w:val="0"/>
                <w:color w:val="auto"/>
                <w:sz w:val="20"/>
                <w:szCs w:val="20"/>
              </w:rPr>
              <w:t>Vendor</w:t>
            </w:r>
          </w:p>
        </w:tc>
        <w:tc>
          <w:tcPr>
            <w:tcW w:w="1955" w:type="dxa"/>
            <w:shd w:val="clear" w:color="auto" w:fill="auto"/>
            <w:vAlign w:val="center"/>
          </w:tcPr>
          <w:p w14:paraId="0C391520">
            <w:pPr>
              <w:spacing w:after="0" w:line="240" w:lineRule="auto"/>
              <w:jc w:val="center"/>
              <w:rPr>
                <w:rFonts w:hint="default" w:ascii="Times New Roman Bold" w:hAnsi="Times New Roman Bold" w:cs="Times New Roman Bold"/>
                <w:b/>
                <w:bCs w:val="0"/>
                <w:color w:val="auto"/>
                <w:sz w:val="20"/>
                <w:szCs w:val="20"/>
              </w:rPr>
            </w:pPr>
            <w:r>
              <w:rPr>
                <w:rFonts w:hint="default" w:ascii="Times New Roman Bold" w:hAnsi="Times New Roman Bold" w:cs="Times New Roman Bold"/>
                <w:b/>
                <w:bCs w:val="0"/>
                <w:color w:val="auto"/>
                <w:sz w:val="20"/>
                <w:szCs w:val="20"/>
              </w:rPr>
              <w:t>Date Executed</w:t>
            </w:r>
          </w:p>
        </w:tc>
        <w:tc>
          <w:tcPr>
            <w:tcW w:w="1200" w:type="dxa"/>
            <w:shd w:val="clear" w:color="auto" w:fill="auto"/>
            <w:vAlign w:val="center"/>
          </w:tcPr>
          <w:p w14:paraId="30A32417">
            <w:pPr>
              <w:spacing w:after="0" w:line="240" w:lineRule="auto"/>
              <w:jc w:val="center"/>
              <w:rPr>
                <w:rFonts w:hint="default" w:ascii="Times New Roman Bold" w:hAnsi="Times New Roman Bold" w:cs="Times New Roman Bold"/>
                <w:b/>
                <w:bCs w:val="0"/>
                <w:color w:val="auto"/>
                <w:sz w:val="20"/>
                <w:szCs w:val="20"/>
              </w:rPr>
            </w:pPr>
            <w:r>
              <w:rPr>
                <w:rFonts w:hint="default" w:ascii="Times New Roman Bold" w:hAnsi="Times New Roman Bold" w:cs="Times New Roman Bold"/>
                <w:b/>
                <w:bCs w:val="0"/>
                <w:color w:val="auto"/>
                <w:sz w:val="20"/>
                <w:szCs w:val="20"/>
              </w:rPr>
              <w:t>Records Retrieved</w:t>
            </w:r>
          </w:p>
        </w:tc>
        <w:tc>
          <w:tcPr>
            <w:tcW w:w="1496" w:type="dxa"/>
            <w:shd w:val="clear" w:color="auto" w:fill="auto"/>
            <w:vAlign w:val="center"/>
          </w:tcPr>
          <w:p w14:paraId="0BEDD2A5">
            <w:pPr>
              <w:spacing w:after="0" w:line="240" w:lineRule="auto"/>
              <w:jc w:val="center"/>
              <w:rPr>
                <w:rFonts w:hint="default" w:ascii="Times New Roman Bold" w:hAnsi="Times New Roman Bold" w:cs="Times New Roman Bold"/>
                <w:b/>
                <w:bCs w:val="0"/>
                <w:color w:val="auto"/>
                <w:sz w:val="20"/>
                <w:szCs w:val="20"/>
              </w:rPr>
            </w:pPr>
            <w:r>
              <w:rPr>
                <w:rFonts w:hint="default" w:ascii="Times New Roman Bold" w:hAnsi="Times New Roman Bold" w:cs="Times New Roman Bold"/>
                <w:b/>
                <w:bCs w:val="0"/>
                <w:color w:val="auto"/>
                <w:sz w:val="20"/>
                <w:szCs w:val="20"/>
              </w:rPr>
              <w:t>After Deduplication</w:t>
            </w:r>
          </w:p>
        </w:tc>
      </w:tr>
      <w:tr w14:paraId="552ACA55">
        <w:tc>
          <w:tcPr>
            <w:tcW w:w="550" w:type="dxa"/>
            <w:shd w:val="clear" w:color="auto" w:fill="auto"/>
          </w:tcPr>
          <w:p w14:paraId="272D5DA5">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1</w:t>
            </w:r>
          </w:p>
        </w:tc>
        <w:tc>
          <w:tcPr>
            <w:tcW w:w="2504" w:type="dxa"/>
            <w:shd w:val="clear" w:color="auto" w:fill="auto"/>
          </w:tcPr>
          <w:p w14:paraId="263A14C0">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Web of Science</w:t>
            </w:r>
          </w:p>
        </w:tc>
        <w:tc>
          <w:tcPr>
            <w:tcW w:w="1926" w:type="dxa"/>
            <w:shd w:val="clear" w:color="auto" w:fill="auto"/>
          </w:tcPr>
          <w:p w14:paraId="12626D75">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Clarivate Analytics</w:t>
            </w:r>
          </w:p>
        </w:tc>
        <w:tc>
          <w:tcPr>
            <w:tcW w:w="1955" w:type="dxa"/>
            <w:shd w:val="clear" w:color="auto" w:fill="auto"/>
          </w:tcPr>
          <w:p w14:paraId="6E6E705E">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10 March 2025</w:t>
            </w:r>
          </w:p>
        </w:tc>
        <w:tc>
          <w:tcPr>
            <w:tcW w:w="1200" w:type="dxa"/>
            <w:shd w:val="clear" w:color="auto" w:fill="auto"/>
            <w:vAlign w:val="center"/>
          </w:tcPr>
          <w:p w14:paraId="6E3FC459">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612</w:t>
            </w:r>
          </w:p>
        </w:tc>
        <w:tc>
          <w:tcPr>
            <w:tcW w:w="1496" w:type="dxa"/>
            <w:shd w:val="clear" w:color="auto" w:fill="auto"/>
            <w:vAlign w:val="center"/>
          </w:tcPr>
          <w:p w14:paraId="3C2FB651">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482</w:t>
            </w:r>
          </w:p>
        </w:tc>
      </w:tr>
      <w:tr w14:paraId="2855D98E">
        <w:tc>
          <w:tcPr>
            <w:tcW w:w="550" w:type="dxa"/>
            <w:shd w:val="clear" w:color="auto" w:fill="auto"/>
          </w:tcPr>
          <w:p w14:paraId="5C50841F">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2</w:t>
            </w:r>
          </w:p>
        </w:tc>
        <w:tc>
          <w:tcPr>
            <w:tcW w:w="2504" w:type="dxa"/>
            <w:shd w:val="clear" w:color="auto" w:fill="auto"/>
          </w:tcPr>
          <w:p w14:paraId="6EBBC102">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Scopus</w:t>
            </w:r>
          </w:p>
        </w:tc>
        <w:tc>
          <w:tcPr>
            <w:tcW w:w="1926" w:type="dxa"/>
            <w:shd w:val="clear" w:color="auto" w:fill="auto"/>
          </w:tcPr>
          <w:p w14:paraId="3B90EF8D">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Elsevier</w:t>
            </w:r>
          </w:p>
        </w:tc>
        <w:tc>
          <w:tcPr>
            <w:tcW w:w="1955" w:type="dxa"/>
            <w:shd w:val="clear" w:color="auto" w:fill="auto"/>
          </w:tcPr>
          <w:p w14:paraId="0ED81351">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10 March 2025</w:t>
            </w:r>
          </w:p>
        </w:tc>
        <w:tc>
          <w:tcPr>
            <w:tcW w:w="1200" w:type="dxa"/>
            <w:shd w:val="clear" w:color="auto" w:fill="auto"/>
            <w:vAlign w:val="center"/>
          </w:tcPr>
          <w:p w14:paraId="456944B4">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821</w:t>
            </w:r>
          </w:p>
        </w:tc>
        <w:tc>
          <w:tcPr>
            <w:tcW w:w="1496" w:type="dxa"/>
            <w:shd w:val="clear" w:color="auto" w:fill="auto"/>
            <w:vAlign w:val="center"/>
          </w:tcPr>
          <w:p w14:paraId="1BA7EFBB">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658</w:t>
            </w:r>
          </w:p>
        </w:tc>
      </w:tr>
      <w:tr w14:paraId="2D0FA86F">
        <w:tc>
          <w:tcPr>
            <w:tcW w:w="550" w:type="dxa"/>
            <w:shd w:val="clear" w:color="auto" w:fill="auto"/>
          </w:tcPr>
          <w:p w14:paraId="05A53CE7">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3</w:t>
            </w:r>
          </w:p>
        </w:tc>
        <w:tc>
          <w:tcPr>
            <w:tcW w:w="2504" w:type="dxa"/>
            <w:shd w:val="clear" w:color="auto" w:fill="auto"/>
          </w:tcPr>
          <w:p w14:paraId="575C9250">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EBSCOhost</w:t>
            </w:r>
          </w:p>
        </w:tc>
        <w:tc>
          <w:tcPr>
            <w:tcW w:w="1926" w:type="dxa"/>
            <w:shd w:val="clear" w:color="auto" w:fill="auto"/>
          </w:tcPr>
          <w:p w14:paraId="5C80D276">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EBSCO</w:t>
            </w:r>
          </w:p>
        </w:tc>
        <w:tc>
          <w:tcPr>
            <w:tcW w:w="1955" w:type="dxa"/>
            <w:shd w:val="clear" w:color="auto" w:fill="auto"/>
          </w:tcPr>
          <w:p w14:paraId="1732DF04">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11 March 2025</w:t>
            </w:r>
          </w:p>
        </w:tc>
        <w:tc>
          <w:tcPr>
            <w:tcW w:w="1200" w:type="dxa"/>
            <w:shd w:val="clear" w:color="auto" w:fill="auto"/>
            <w:vAlign w:val="center"/>
          </w:tcPr>
          <w:p w14:paraId="5060DC72">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354</w:t>
            </w:r>
          </w:p>
        </w:tc>
        <w:tc>
          <w:tcPr>
            <w:tcW w:w="1496" w:type="dxa"/>
            <w:shd w:val="clear" w:color="auto" w:fill="auto"/>
            <w:vAlign w:val="center"/>
          </w:tcPr>
          <w:p w14:paraId="56548266">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268</w:t>
            </w:r>
          </w:p>
        </w:tc>
      </w:tr>
      <w:tr w14:paraId="071F9494">
        <w:tc>
          <w:tcPr>
            <w:tcW w:w="550" w:type="dxa"/>
            <w:shd w:val="clear" w:color="auto" w:fill="auto"/>
          </w:tcPr>
          <w:p w14:paraId="3BB36ADC">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4</w:t>
            </w:r>
          </w:p>
        </w:tc>
        <w:tc>
          <w:tcPr>
            <w:tcW w:w="2504" w:type="dxa"/>
            <w:shd w:val="clear" w:color="auto" w:fill="auto"/>
          </w:tcPr>
          <w:p w14:paraId="4C0DE374">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 xml:space="preserve">ProQuest </w:t>
            </w:r>
          </w:p>
        </w:tc>
        <w:tc>
          <w:tcPr>
            <w:tcW w:w="1926" w:type="dxa"/>
            <w:shd w:val="clear" w:color="auto" w:fill="auto"/>
          </w:tcPr>
          <w:p w14:paraId="04904D09">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ProQuest</w:t>
            </w:r>
          </w:p>
        </w:tc>
        <w:tc>
          <w:tcPr>
            <w:tcW w:w="1955" w:type="dxa"/>
            <w:shd w:val="clear" w:color="auto" w:fill="auto"/>
          </w:tcPr>
          <w:p w14:paraId="0946E4A0">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11 March 2025</w:t>
            </w:r>
          </w:p>
        </w:tc>
        <w:tc>
          <w:tcPr>
            <w:tcW w:w="1200" w:type="dxa"/>
            <w:shd w:val="clear" w:color="auto" w:fill="auto"/>
            <w:vAlign w:val="center"/>
          </w:tcPr>
          <w:p w14:paraId="15537DE3">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87</w:t>
            </w:r>
          </w:p>
        </w:tc>
        <w:tc>
          <w:tcPr>
            <w:tcW w:w="1496" w:type="dxa"/>
            <w:shd w:val="clear" w:color="auto" w:fill="auto"/>
            <w:vAlign w:val="center"/>
          </w:tcPr>
          <w:p w14:paraId="155BD831">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65</w:t>
            </w:r>
          </w:p>
        </w:tc>
      </w:tr>
      <w:tr w14:paraId="611672E2">
        <w:tc>
          <w:tcPr>
            <w:tcW w:w="550" w:type="dxa"/>
            <w:shd w:val="clear" w:color="auto" w:fill="auto"/>
          </w:tcPr>
          <w:p w14:paraId="74D597B3">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5</w:t>
            </w:r>
          </w:p>
        </w:tc>
        <w:tc>
          <w:tcPr>
            <w:tcW w:w="2504" w:type="dxa"/>
            <w:shd w:val="clear" w:color="auto" w:fill="auto"/>
          </w:tcPr>
          <w:p w14:paraId="643ED61E">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Google Scholar</w:t>
            </w:r>
          </w:p>
        </w:tc>
        <w:tc>
          <w:tcPr>
            <w:tcW w:w="1926" w:type="dxa"/>
            <w:shd w:val="clear" w:color="auto" w:fill="auto"/>
          </w:tcPr>
          <w:p w14:paraId="3DE39874">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Google</w:t>
            </w:r>
          </w:p>
        </w:tc>
        <w:tc>
          <w:tcPr>
            <w:tcW w:w="1955" w:type="dxa"/>
            <w:shd w:val="clear" w:color="auto" w:fill="auto"/>
          </w:tcPr>
          <w:p w14:paraId="6AEE56D2">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12 March 2025</w:t>
            </w:r>
          </w:p>
        </w:tc>
        <w:tc>
          <w:tcPr>
            <w:tcW w:w="1200" w:type="dxa"/>
            <w:shd w:val="clear" w:color="auto" w:fill="auto"/>
            <w:vAlign w:val="center"/>
          </w:tcPr>
          <w:p w14:paraId="041DC291">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284</w:t>
            </w:r>
          </w:p>
        </w:tc>
        <w:tc>
          <w:tcPr>
            <w:tcW w:w="1496" w:type="dxa"/>
            <w:shd w:val="clear" w:color="auto" w:fill="auto"/>
            <w:vAlign w:val="center"/>
          </w:tcPr>
          <w:p w14:paraId="228673E2">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130</w:t>
            </w:r>
          </w:p>
        </w:tc>
      </w:tr>
      <w:tr w14:paraId="7F8B9CB7">
        <w:tc>
          <w:tcPr>
            <w:tcW w:w="550" w:type="dxa"/>
            <w:shd w:val="clear" w:color="auto" w:fill="auto"/>
          </w:tcPr>
          <w:p w14:paraId="792DA66E">
            <w:pPr>
              <w:spacing w:after="0" w:line="240" w:lineRule="auto"/>
              <w:rPr>
                <w:rFonts w:hint="default" w:ascii="Times New Roman Regular" w:hAnsi="Times New Roman Regular" w:cs="Times New Roman Regular"/>
                <w:b w:val="0"/>
                <w:bCs/>
                <w:color w:val="auto"/>
                <w:sz w:val="20"/>
                <w:szCs w:val="20"/>
              </w:rPr>
            </w:pPr>
          </w:p>
        </w:tc>
        <w:tc>
          <w:tcPr>
            <w:tcW w:w="2504" w:type="dxa"/>
            <w:shd w:val="clear" w:color="auto" w:fill="auto"/>
          </w:tcPr>
          <w:p w14:paraId="3A76A273">
            <w:pPr>
              <w:spacing w:after="0" w:line="240" w:lineRule="auto"/>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TOTAL</w:t>
            </w:r>
          </w:p>
        </w:tc>
        <w:tc>
          <w:tcPr>
            <w:tcW w:w="1926" w:type="dxa"/>
            <w:shd w:val="clear" w:color="auto" w:fill="auto"/>
          </w:tcPr>
          <w:p w14:paraId="699A25F5">
            <w:pPr>
              <w:spacing w:after="0" w:line="240" w:lineRule="auto"/>
              <w:rPr>
                <w:rFonts w:hint="default" w:ascii="Times New Roman Regular" w:hAnsi="Times New Roman Regular" w:cs="Times New Roman Regular"/>
                <w:b w:val="0"/>
                <w:bCs/>
                <w:color w:val="auto"/>
                <w:sz w:val="20"/>
                <w:szCs w:val="20"/>
              </w:rPr>
            </w:pPr>
          </w:p>
        </w:tc>
        <w:tc>
          <w:tcPr>
            <w:tcW w:w="1955" w:type="dxa"/>
            <w:shd w:val="clear" w:color="auto" w:fill="auto"/>
          </w:tcPr>
          <w:p w14:paraId="2C0D1B8F">
            <w:pPr>
              <w:spacing w:after="0" w:line="240" w:lineRule="auto"/>
              <w:rPr>
                <w:rFonts w:hint="default" w:ascii="Times New Roman Regular" w:hAnsi="Times New Roman Regular" w:cs="Times New Roman Regular"/>
                <w:b w:val="0"/>
                <w:bCs/>
                <w:color w:val="auto"/>
                <w:sz w:val="20"/>
                <w:szCs w:val="20"/>
              </w:rPr>
            </w:pPr>
          </w:p>
        </w:tc>
        <w:tc>
          <w:tcPr>
            <w:tcW w:w="1200" w:type="dxa"/>
            <w:shd w:val="clear" w:color="auto" w:fill="auto"/>
            <w:vAlign w:val="center"/>
          </w:tcPr>
          <w:p w14:paraId="30250310">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2,158</w:t>
            </w:r>
          </w:p>
        </w:tc>
        <w:tc>
          <w:tcPr>
            <w:tcW w:w="1496" w:type="dxa"/>
            <w:shd w:val="clear" w:color="auto" w:fill="auto"/>
            <w:vAlign w:val="center"/>
          </w:tcPr>
          <w:p w14:paraId="1DBF83ED">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1,603</w:t>
            </w:r>
          </w:p>
        </w:tc>
      </w:tr>
    </w:tbl>
    <w:p w14:paraId="063C25B6">
      <w:pPr>
        <w:rPr>
          <w:rFonts w:hint="default" w:ascii="Times New Roman Regular" w:hAnsi="Times New Roman Regular" w:cs="Times New Roman Regular"/>
          <w:b w:val="0"/>
          <w:bCs/>
          <w:color w:val="auto"/>
        </w:rPr>
      </w:pPr>
    </w:p>
    <w:p w14:paraId="44E59F92">
      <w:pPr>
        <w:spacing w:before="280" w:after="80"/>
        <w:rPr>
          <w:rFonts w:hint="default" w:ascii="Times New Roman Regular" w:hAnsi="Times New Roman Regular" w:cs="Times New Roman Regular"/>
          <w:b w:val="0"/>
          <w:bCs/>
          <w:color w:val="auto"/>
          <w:sz w:val="26"/>
        </w:rPr>
      </w:pPr>
      <w:r>
        <w:rPr>
          <w:rFonts w:hint="default" w:ascii="Times New Roman Regular" w:hAnsi="Times New Roman Regular" w:cs="Times New Roman Regular"/>
          <w:b w:val="0"/>
          <w:bCs/>
          <w:color w:val="auto"/>
          <w:sz w:val="26"/>
        </w:rPr>
        <w:t>Screening Log</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4"/>
        <w:gridCol w:w="2370"/>
        <w:gridCol w:w="4720"/>
      </w:tblGrid>
      <w:tr w14:paraId="248B6CE1">
        <w:tc>
          <w:tcPr>
            <w:tcW w:w="2764" w:type="dxa"/>
            <w:shd w:val="clear" w:color="auto" w:fill="auto"/>
          </w:tcPr>
          <w:p w14:paraId="630BEEE2">
            <w:pPr>
              <w:spacing w:after="0" w:line="240" w:lineRule="auto"/>
              <w:jc w:val="center"/>
              <w:rPr>
                <w:color w:val="auto"/>
                <w:sz w:val="20"/>
                <w:szCs w:val="20"/>
              </w:rPr>
            </w:pPr>
            <w:r>
              <w:rPr>
                <w:b/>
                <w:color w:val="auto"/>
                <w:sz w:val="20"/>
                <w:szCs w:val="20"/>
              </w:rPr>
              <w:t>PRISMA Stage</w:t>
            </w:r>
          </w:p>
        </w:tc>
        <w:tc>
          <w:tcPr>
            <w:tcW w:w="2370" w:type="dxa"/>
            <w:shd w:val="clear" w:color="auto" w:fill="auto"/>
          </w:tcPr>
          <w:p w14:paraId="75C899A1">
            <w:pPr>
              <w:spacing w:after="0" w:line="240" w:lineRule="auto"/>
              <w:jc w:val="center"/>
              <w:rPr>
                <w:color w:val="auto"/>
                <w:sz w:val="20"/>
                <w:szCs w:val="20"/>
              </w:rPr>
            </w:pPr>
            <w:r>
              <w:rPr>
                <w:b/>
                <w:color w:val="auto"/>
                <w:sz w:val="20"/>
                <w:szCs w:val="20"/>
              </w:rPr>
              <w:t>Records</w:t>
            </w:r>
          </w:p>
        </w:tc>
        <w:tc>
          <w:tcPr>
            <w:tcW w:w="4720" w:type="dxa"/>
            <w:shd w:val="clear" w:color="auto" w:fill="auto"/>
          </w:tcPr>
          <w:p w14:paraId="1E6BA901">
            <w:pPr>
              <w:spacing w:after="0" w:line="240" w:lineRule="auto"/>
              <w:jc w:val="center"/>
              <w:rPr>
                <w:color w:val="auto"/>
                <w:sz w:val="20"/>
                <w:szCs w:val="20"/>
              </w:rPr>
            </w:pPr>
            <w:r>
              <w:rPr>
                <w:b/>
                <w:color w:val="auto"/>
                <w:sz w:val="20"/>
                <w:szCs w:val="20"/>
              </w:rPr>
              <w:t>Notes</w:t>
            </w:r>
          </w:p>
        </w:tc>
      </w:tr>
      <w:tr w14:paraId="375DF63E">
        <w:tc>
          <w:tcPr>
            <w:tcW w:w="2764" w:type="dxa"/>
            <w:shd w:val="clear" w:color="auto" w:fill="auto"/>
          </w:tcPr>
          <w:p w14:paraId="3097F45A">
            <w:pPr>
              <w:spacing w:after="0" w:line="240" w:lineRule="auto"/>
              <w:jc w:val="left"/>
              <w:rPr>
                <w:color w:val="auto"/>
                <w:sz w:val="20"/>
                <w:szCs w:val="20"/>
              </w:rPr>
            </w:pPr>
            <w:r>
              <w:rPr>
                <w:b w:val="0"/>
                <w:color w:val="auto"/>
                <w:sz w:val="20"/>
                <w:szCs w:val="20"/>
              </w:rPr>
              <w:t>Identification — Records from databases</w:t>
            </w:r>
          </w:p>
        </w:tc>
        <w:tc>
          <w:tcPr>
            <w:tcW w:w="2370" w:type="dxa"/>
            <w:shd w:val="clear" w:color="auto" w:fill="auto"/>
          </w:tcPr>
          <w:p w14:paraId="45BD2A62">
            <w:pPr>
              <w:spacing w:after="0" w:line="240" w:lineRule="auto"/>
              <w:jc w:val="center"/>
              <w:rPr>
                <w:color w:val="auto"/>
                <w:sz w:val="20"/>
                <w:szCs w:val="20"/>
              </w:rPr>
            </w:pPr>
            <w:r>
              <w:rPr>
                <w:b/>
                <w:color w:val="auto"/>
                <w:sz w:val="20"/>
                <w:szCs w:val="20"/>
              </w:rPr>
              <w:t>2,158</w:t>
            </w:r>
          </w:p>
        </w:tc>
        <w:tc>
          <w:tcPr>
            <w:tcW w:w="4720" w:type="dxa"/>
            <w:shd w:val="clear" w:color="auto" w:fill="auto"/>
          </w:tcPr>
          <w:p w14:paraId="0BD43134">
            <w:pPr>
              <w:spacing w:after="0" w:line="240" w:lineRule="auto"/>
              <w:jc w:val="left"/>
              <w:rPr>
                <w:color w:val="auto"/>
                <w:sz w:val="20"/>
                <w:szCs w:val="20"/>
              </w:rPr>
            </w:pPr>
            <w:r>
              <w:rPr>
                <w:b w:val="0"/>
                <w:color w:val="auto"/>
                <w:sz w:val="20"/>
                <w:szCs w:val="20"/>
              </w:rPr>
              <w:t>WoS + Scopus + EBSCO + ProQuest + Google Scholar</w:t>
            </w:r>
          </w:p>
        </w:tc>
      </w:tr>
      <w:tr w14:paraId="716FD81E">
        <w:tc>
          <w:tcPr>
            <w:tcW w:w="2764" w:type="dxa"/>
            <w:shd w:val="clear" w:color="auto" w:fill="auto"/>
          </w:tcPr>
          <w:p w14:paraId="26C5840E">
            <w:pPr>
              <w:spacing w:after="0" w:line="240" w:lineRule="auto"/>
              <w:jc w:val="left"/>
              <w:rPr>
                <w:color w:val="auto"/>
                <w:sz w:val="20"/>
                <w:szCs w:val="20"/>
              </w:rPr>
            </w:pPr>
            <w:r>
              <w:rPr>
                <w:b w:val="0"/>
                <w:color w:val="auto"/>
                <w:sz w:val="20"/>
                <w:szCs w:val="20"/>
              </w:rPr>
              <w:t>Identification — After deduplication</w:t>
            </w:r>
          </w:p>
        </w:tc>
        <w:tc>
          <w:tcPr>
            <w:tcW w:w="2370" w:type="dxa"/>
            <w:shd w:val="clear" w:color="auto" w:fill="auto"/>
          </w:tcPr>
          <w:p w14:paraId="0124861C">
            <w:pPr>
              <w:spacing w:after="0" w:line="240" w:lineRule="auto"/>
              <w:jc w:val="center"/>
              <w:rPr>
                <w:color w:val="auto"/>
                <w:sz w:val="20"/>
                <w:szCs w:val="20"/>
              </w:rPr>
            </w:pPr>
            <w:r>
              <w:rPr>
                <w:b/>
                <w:color w:val="auto"/>
                <w:sz w:val="20"/>
                <w:szCs w:val="20"/>
              </w:rPr>
              <w:t>1,603</w:t>
            </w:r>
          </w:p>
        </w:tc>
        <w:tc>
          <w:tcPr>
            <w:tcW w:w="4720" w:type="dxa"/>
            <w:shd w:val="clear" w:color="auto" w:fill="auto"/>
          </w:tcPr>
          <w:p w14:paraId="4E2EF609">
            <w:pPr>
              <w:spacing w:after="0" w:line="240" w:lineRule="auto"/>
              <w:jc w:val="left"/>
              <w:rPr>
                <w:color w:val="auto"/>
                <w:sz w:val="20"/>
                <w:szCs w:val="20"/>
              </w:rPr>
            </w:pPr>
            <w:r>
              <w:rPr>
                <w:b w:val="0"/>
                <w:color w:val="auto"/>
                <w:sz w:val="20"/>
                <w:szCs w:val="20"/>
              </w:rPr>
              <w:t>555 duplicates removed in EndNote 21</w:t>
            </w:r>
          </w:p>
        </w:tc>
      </w:tr>
      <w:tr w14:paraId="456C76C6">
        <w:tc>
          <w:tcPr>
            <w:tcW w:w="2764" w:type="dxa"/>
            <w:shd w:val="clear" w:color="auto" w:fill="auto"/>
          </w:tcPr>
          <w:p w14:paraId="5053DC0C">
            <w:pPr>
              <w:spacing w:after="0" w:line="240" w:lineRule="auto"/>
              <w:jc w:val="left"/>
              <w:rPr>
                <w:color w:val="auto"/>
                <w:sz w:val="20"/>
                <w:szCs w:val="20"/>
              </w:rPr>
            </w:pPr>
            <w:r>
              <w:rPr>
                <w:b w:val="0"/>
                <w:color w:val="auto"/>
                <w:sz w:val="20"/>
                <w:szCs w:val="20"/>
              </w:rPr>
              <w:t>Screening — Title &amp; abstract assessed</w:t>
            </w:r>
          </w:p>
        </w:tc>
        <w:tc>
          <w:tcPr>
            <w:tcW w:w="2370" w:type="dxa"/>
            <w:shd w:val="clear" w:color="auto" w:fill="auto"/>
          </w:tcPr>
          <w:p w14:paraId="58B7CF76">
            <w:pPr>
              <w:spacing w:after="0" w:line="240" w:lineRule="auto"/>
              <w:jc w:val="center"/>
              <w:rPr>
                <w:color w:val="auto"/>
                <w:sz w:val="20"/>
                <w:szCs w:val="20"/>
              </w:rPr>
            </w:pPr>
            <w:r>
              <w:rPr>
                <w:b/>
                <w:color w:val="auto"/>
                <w:sz w:val="20"/>
                <w:szCs w:val="20"/>
              </w:rPr>
              <w:t>1,603</w:t>
            </w:r>
          </w:p>
        </w:tc>
        <w:tc>
          <w:tcPr>
            <w:tcW w:w="4720" w:type="dxa"/>
            <w:shd w:val="clear" w:color="auto" w:fill="auto"/>
          </w:tcPr>
          <w:p w14:paraId="4ED02053">
            <w:pPr>
              <w:spacing w:after="0" w:line="240" w:lineRule="auto"/>
              <w:jc w:val="left"/>
              <w:rPr>
                <w:color w:val="auto"/>
                <w:sz w:val="20"/>
                <w:szCs w:val="20"/>
              </w:rPr>
            </w:pPr>
            <w:r>
              <w:rPr>
                <w:b w:val="0"/>
                <w:color w:val="auto"/>
                <w:sz w:val="20"/>
                <w:szCs w:val="20"/>
              </w:rPr>
              <w:t>236 → full-text assessed; 1,367 excluded</w:t>
            </w:r>
          </w:p>
        </w:tc>
      </w:tr>
      <w:tr w14:paraId="11AE3522">
        <w:tc>
          <w:tcPr>
            <w:tcW w:w="2764" w:type="dxa"/>
            <w:shd w:val="clear" w:color="auto" w:fill="auto"/>
          </w:tcPr>
          <w:p w14:paraId="05D2F210">
            <w:pPr>
              <w:spacing w:after="0" w:line="240" w:lineRule="auto"/>
              <w:jc w:val="left"/>
              <w:rPr>
                <w:color w:val="auto"/>
                <w:sz w:val="20"/>
                <w:szCs w:val="20"/>
              </w:rPr>
            </w:pPr>
            <w:r>
              <w:rPr>
                <w:b w:val="0"/>
                <w:color w:val="auto"/>
                <w:sz w:val="20"/>
                <w:szCs w:val="20"/>
              </w:rPr>
              <w:t>Eligibility — Full-text reports assessed</w:t>
            </w:r>
          </w:p>
        </w:tc>
        <w:tc>
          <w:tcPr>
            <w:tcW w:w="2370" w:type="dxa"/>
            <w:shd w:val="clear" w:color="auto" w:fill="auto"/>
          </w:tcPr>
          <w:p w14:paraId="5B8A1AA6">
            <w:pPr>
              <w:spacing w:after="0" w:line="240" w:lineRule="auto"/>
              <w:jc w:val="center"/>
              <w:rPr>
                <w:color w:val="auto"/>
                <w:sz w:val="20"/>
                <w:szCs w:val="20"/>
              </w:rPr>
            </w:pPr>
            <w:r>
              <w:rPr>
                <w:b/>
                <w:color w:val="auto"/>
                <w:sz w:val="20"/>
                <w:szCs w:val="20"/>
              </w:rPr>
              <w:t>236</w:t>
            </w:r>
          </w:p>
        </w:tc>
        <w:tc>
          <w:tcPr>
            <w:tcW w:w="4720" w:type="dxa"/>
            <w:shd w:val="clear" w:color="auto" w:fill="auto"/>
          </w:tcPr>
          <w:p w14:paraId="5D554CB7">
            <w:pPr>
              <w:spacing w:after="0" w:line="240" w:lineRule="auto"/>
              <w:jc w:val="left"/>
              <w:rPr>
                <w:color w:val="auto"/>
                <w:sz w:val="20"/>
                <w:szCs w:val="20"/>
              </w:rPr>
            </w:pPr>
            <w:r>
              <w:rPr>
                <w:b w:val="0"/>
                <w:color w:val="auto"/>
                <w:sz w:val="20"/>
                <w:szCs w:val="20"/>
              </w:rPr>
              <w:t>All successfully retrieved; screened independently by 2 coders</w:t>
            </w:r>
          </w:p>
        </w:tc>
      </w:tr>
      <w:tr w14:paraId="0D6FFD42">
        <w:tc>
          <w:tcPr>
            <w:tcW w:w="2764" w:type="dxa"/>
            <w:shd w:val="clear" w:color="auto" w:fill="auto"/>
          </w:tcPr>
          <w:p w14:paraId="0A13A281">
            <w:pPr>
              <w:spacing w:after="0" w:line="240" w:lineRule="auto"/>
              <w:jc w:val="left"/>
              <w:rPr>
                <w:color w:val="auto"/>
                <w:sz w:val="20"/>
                <w:szCs w:val="20"/>
              </w:rPr>
            </w:pPr>
            <w:r>
              <w:rPr>
                <w:b w:val="0"/>
                <w:color w:val="auto"/>
                <w:sz w:val="20"/>
                <w:szCs w:val="20"/>
              </w:rPr>
              <w:t>Eligibility — Full-text reports excluded</w:t>
            </w:r>
          </w:p>
        </w:tc>
        <w:tc>
          <w:tcPr>
            <w:tcW w:w="2370" w:type="dxa"/>
            <w:shd w:val="clear" w:color="auto" w:fill="auto"/>
          </w:tcPr>
          <w:p w14:paraId="5165FC92">
            <w:pPr>
              <w:spacing w:after="0" w:line="240" w:lineRule="auto"/>
              <w:jc w:val="center"/>
              <w:rPr>
                <w:color w:val="auto"/>
                <w:sz w:val="20"/>
                <w:szCs w:val="20"/>
              </w:rPr>
            </w:pPr>
            <w:r>
              <w:rPr>
                <w:b/>
                <w:color w:val="auto"/>
                <w:sz w:val="20"/>
                <w:szCs w:val="20"/>
              </w:rPr>
              <w:t>136</w:t>
            </w:r>
          </w:p>
        </w:tc>
        <w:tc>
          <w:tcPr>
            <w:tcW w:w="4720" w:type="dxa"/>
            <w:shd w:val="clear" w:color="auto" w:fill="auto"/>
          </w:tcPr>
          <w:p w14:paraId="384DBA50">
            <w:pPr>
              <w:spacing w:after="0" w:line="240" w:lineRule="auto"/>
              <w:jc w:val="left"/>
              <w:rPr>
                <w:color w:val="auto"/>
                <w:sz w:val="20"/>
                <w:szCs w:val="20"/>
              </w:rPr>
            </w:pPr>
            <w:r>
              <w:rPr>
                <w:b w:val="0"/>
                <w:color w:val="auto"/>
                <w:sz w:val="20"/>
                <w:szCs w:val="20"/>
              </w:rPr>
              <w:t>Not framing-based (48), not earthquake-focused (41), not peer-reviewed (22), outside date (15), not news media (10)</w:t>
            </w:r>
          </w:p>
        </w:tc>
      </w:tr>
      <w:tr w14:paraId="70B9C5F1">
        <w:tc>
          <w:tcPr>
            <w:tcW w:w="2764" w:type="dxa"/>
            <w:shd w:val="clear" w:color="auto" w:fill="auto"/>
          </w:tcPr>
          <w:p w14:paraId="1EF6C5FD">
            <w:pPr>
              <w:spacing w:after="0" w:line="240" w:lineRule="auto"/>
              <w:jc w:val="left"/>
              <w:rPr>
                <w:color w:val="auto"/>
                <w:sz w:val="20"/>
                <w:szCs w:val="20"/>
              </w:rPr>
            </w:pPr>
            <w:r>
              <w:rPr>
                <w:b/>
                <w:color w:val="auto"/>
                <w:sz w:val="20"/>
                <w:szCs w:val="20"/>
              </w:rPr>
              <w:t>Included — Studies in final synthesis</w:t>
            </w:r>
          </w:p>
        </w:tc>
        <w:tc>
          <w:tcPr>
            <w:tcW w:w="2370" w:type="dxa"/>
            <w:shd w:val="clear" w:color="auto" w:fill="auto"/>
          </w:tcPr>
          <w:p w14:paraId="21AB2351">
            <w:pPr>
              <w:spacing w:after="0" w:line="240" w:lineRule="auto"/>
              <w:jc w:val="center"/>
              <w:rPr>
                <w:color w:val="auto"/>
                <w:sz w:val="20"/>
                <w:szCs w:val="20"/>
              </w:rPr>
            </w:pPr>
            <w:r>
              <w:rPr>
                <w:b/>
                <w:color w:val="auto"/>
                <w:sz w:val="20"/>
                <w:szCs w:val="20"/>
              </w:rPr>
              <w:t>100</w:t>
            </w:r>
          </w:p>
        </w:tc>
        <w:tc>
          <w:tcPr>
            <w:tcW w:w="4720" w:type="dxa"/>
            <w:shd w:val="clear" w:color="auto" w:fill="auto"/>
          </w:tcPr>
          <w:p w14:paraId="27470EA7">
            <w:pPr>
              <w:spacing w:after="0" w:line="240" w:lineRule="auto"/>
              <w:jc w:val="left"/>
              <w:rPr>
                <w:color w:val="auto"/>
                <w:sz w:val="20"/>
                <w:szCs w:val="20"/>
              </w:rPr>
            </w:pPr>
            <w:r>
              <w:rPr>
                <w:b/>
                <w:color w:val="auto"/>
                <w:sz w:val="20"/>
                <w:szCs w:val="20"/>
              </w:rPr>
              <w:t>Journal articles (93), conference papers (5), dissertations (1), book chapters (1); 72 unique venues; Krippendorff's α = .91</w:t>
            </w:r>
          </w:p>
        </w:tc>
      </w:tr>
    </w:tbl>
    <w:p w14:paraId="2446560C">
      <w:pPr>
        <w:spacing w:before="280" w:after="80"/>
        <w:rPr>
          <w:rFonts w:hint="default" w:ascii="Times New Roman Regular" w:hAnsi="Times New Roman Regular" w:cs="Times New Roman Regular"/>
          <w:b w:val="0"/>
          <w:bCs/>
          <w:color w:val="auto"/>
        </w:rPr>
      </w:pPr>
      <w:r>
        <w:rPr>
          <w:rFonts w:hint="default" w:ascii="Times New Roman Regular" w:hAnsi="Times New Roman Regular" w:cs="Times New Roman Regular"/>
          <w:b w:val="0"/>
          <w:bCs/>
          <w:color w:val="auto"/>
          <w:sz w:val="26"/>
        </w:rPr>
        <w:t>Inclusion and Exclusion Criteria</w:t>
      </w:r>
    </w:p>
    <w:p w14:paraId="6CC2F97D">
      <w:pPr>
        <w:spacing w:before="160" w:after="60"/>
        <w:jc w:val="center"/>
        <w:rPr>
          <w:rFonts w:hint="default" w:ascii="Times New Roman Regular" w:hAnsi="Times New Roman Regular" w:cs="Times New Roman Regular"/>
          <w:b w:val="0"/>
          <w:bCs/>
          <w:color w:val="auto"/>
          <w:sz w:val="24"/>
          <w:szCs w:val="24"/>
        </w:rPr>
      </w:pPr>
      <w:r>
        <w:rPr>
          <w:rFonts w:hint="default" w:ascii="Times New Roman Regular" w:hAnsi="Times New Roman Regular" w:cs="Times New Roman Regular"/>
          <w:b w:val="0"/>
          <w:bCs/>
          <w:color w:val="auto"/>
          <w:sz w:val="20"/>
          <w:szCs w:val="21"/>
        </w:rPr>
        <w:t xml:space="preserve">Table </w:t>
      </w:r>
      <w:r>
        <w:rPr>
          <w:rFonts w:hint="eastAsia" w:ascii="Times New Roman Regular" w:hAnsi="Times New Roman Regular" w:eastAsia="宋体" w:cs="Times New Roman Regular"/>
          <w:b w:val="0"/>
          <w:bCs/>
          <w:color w:val="auto"/>
          <w:sz w:val="20"/>
          <w:szCs w:val="21"/>
          <w:lang w:val="en-US" w:eastAsia="zh-CN"/>
        </w:rPr>
        <w:t>A</w:t>
      </w:r>
      <w:r>
        <w:rPr>
          <w:rFonts w:hint="default" w:ascii="Times New Roman Regular" w:hAnsi="Times New Roman Regular" w:cs="Times New Roman Regular"/>
          <w:b w:val="0"/>
          <w:bCs/>
          <w:color w:val="auto"/>
          <w:sz w:val="20"/>
          <w:szCs w:val="21"/>
        </w:rPr>
        <w:t>. Inclusi</w:t>
      </w:r>
      <w:r>
        <w:rPr>
          <w:rFonts w:hint="default" w:ascii="Times New Roman Regular" w:hAnsi="Times New Roman Regular" w:cs="Times New Roman Regular"/>
          <w:b w:val="0"/>
          <w:bCs/>
          <w:color w:val="auto"/>
          <w:sz w:val="22"/>
          <w:szCs w:val="24"/>
        </w:rPr>
        <w:t>on Criteria</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
        <w:gridCol w:w="1417"/>
        <w:gridCol w:w="7087"/>
      </w:tblGrid>
      <w:tr w14:paraId="72E3FC41">
        <w:tc>
          <w:tcPr>
            <w:tcW w:w="283" w:type="dxa"/>
            <w:shd w:val="clear" w:color="auto" w:fill="auto"/>
            <w:vAlign w:val="center"/>
          </w:tcPr>
          <w:p w14:paraId="4999849A">
            <w:pPr>
              <w:spacing w:after="0" w:line="240" w:lineRule="auto"/>
              <w:jc w:val="both"/>
              <w:rPr>
                <w:rFonts w:hint="default" w:ascii="Times New Roman Bold" w:hAnsi="Times New Roman Bold" w:eastAsia="宋体" w:cs="Times New Roman Bold"/>
                <w:b/>
                <w:bCs w:val="0"/>
                <w:color w:val="auto"/>
                <w:sz w:val="20"/>
                <w:szCs w:val="20"/>
                <w:lang w:val="en-US" w:eastAsia="zh-CN"/>
              </w:rPr>
            </w:pPr>
            <w:r>
              <w:rPr>
                <w:rFonts w:hint="default" w:ascii="Times New Roman Bold" w:hAnsi="Times New Roman Bold" w:eastAsia="宋体" w:cs="Times New Roman Bold"/>
                <w:b/>
                <w:bCs w:val="0"/>
                <w:color w:val="auto"/>
                <w:sz w:val="20"/>
                <w:szCs w:val="20"/>
                <w:lang w:val="en-US" w:eastAsia="zh-CN"/>
              </w:rPr>
              <w:t>No.</w:t>
            </w:r>
          </w:p>
        </w:tc>
        <w:tc>
          <w:tcPr>
            <w:tcW w:w="1417" w:type="dxa"/>
            <w:shd w:val="clear" w:color="auto" w:fill="auto"/>
            <w:vAlign w:val="center"/>
          </w:tcPr>
          <w:p w14:paraId="03759D3A">
            <w:pPr>
              <w:spacing w:after="0" w:line="240" w:lineRule="auto"/>
              <w:jc w:val="both"/>
              <w:rPr>
                <w:rFonts w:hint="default" w:ascii="Times New Roman Bold" w:hAnsi="Times New Roman Bold" w:cs="Times New Roman Bold"/>
                <w:b/>
                <w:bCs w:val="0"/>
                <w:color w:val="auto"/>
                <w:sz w:val="20"/>
                <w:szCs w:val="20"/>
              </w:rPr>
            </w:pPr>
            <w:r>
              <w:rPr>
                <w:rFonts w:hint="default" w:ascii="Times New Roman Bold" w:hAnsi="Times New Roman Bold" w:cs="Times New Roman Bold"/>
                <w:b/>
                <w:bCs w:val="0"/>
                <w:color w:val="auto"/>
                <w:sz w:val="20"/>
                <w:szCs w:val="20"/>
              </w:rPr>
              <w:t>Criterion</w:t>
            </w:r>
          </w:p>
        </w:tc>
        <w:tc>
          <w:tcPr>
            <w:tcW w:w="7087" w:type="dxa"/>
            <w:shd w:val="clear" w:color="auto" w:fill="auto"/>
            <w:vAlign w:val="center"/>
          </w:tcPr>
          <w:p w14:paraId="22AD6E5F">
            <w:pPr>
              <w:spacing w:after="0" w:line="240" w:lineRule="auto"/>
              <w:jc w:val="both"/>
              <w:rPr>
                <w:rFonts w:hint="default" w:ascii="Times New Roman Bold" w:hAnsi="Times New Roman Bold" w:cs="Times New Roman Bold"/>
                <w:b/>
                <w:bCs w:val="0"/>
                <w:color w:val="auto"/>
                <w:sz w:val="20"/>
                <w:szCs w:val="20"/>
              </w:rPr>
            </w:pPr>
            <w:r>
              <w:rPr>
                <w:rFonts w:hint="default" w:ascii="Times New Roman Bold" w:hAnsi="Times New Roman Bold" w:cs="Times New Roman Bold"/>
                <w:b/>
                <w:bCs w:val="0"/>
                <w:color w:val="auto"/>
                <w:sz w:val="20"/>
                <w:szCs w:val="20"/>
              </w:rPr>
              <w:t>Operational Definition</w:t>
            </w:r>
          </w:p>
        </w:tc>
      </w:tr>
      <w:tr w14:paraId="6A4B4511">
        <w:tc>
          <w:tcPr>
            <w:tcW w:w="283" w:type="dxa"/>
            <w:shd w:val="clear" w:color="auto" w:fill="auto"/>
            <w:vAlign w:val="center"/>
          </w:tcPr>
          <w:p w14:paraId="33860690">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1</w:t>
            </w:r>
          </w:p>
        </w:tc>
        <w:tc>
          <w:tcPr>
            <w:tcW w:w="1417" w:type="dxa"/>
            <w:shd w:val="clear" w:color="auto" w:fill="auto"/>
            <w:vAlign w:val="center"/>
          </w:tcPr>
          <w:p w14:paraId="6D68D7C8">
            <w:pPr>
              <w:spacing w:after="0" w:line="240" w:lineRule="auto"/>
              <w:jc w:val="left"/>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Earthquake-related</w:t>
            </w:r>
          </w:p>
        </w:tc>
        <w:tc>
          <w:tcPr>
            <w:tcW w:w="7087" w:type="dxa"/>
            <w:shd w:val="clear" w:color="auto" w:fill="auto"/>
            <w:vAlign w:val="center"/>
          </w:tcPr>
          <w:p w14:paraId="01288DF5">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Study concerns earthquake events or earthquake news coverage as the primary subject. Studies in which earthquake is mentioned only in passing or as background context.</w:t>
            </w:r>
          </w:p>
        </w:tc>
      </w:tr>
      <w:tr w14:paraId="43CE3E09">
        <w:tc>
          <w:tcPr>
            <w:tcW w:w="283" w:type="dxa"/>
            <w:shd w:val="clear" w:color="auto" w:fill="auto"/>
            <w:vAlign w:val="center"/>
          </w:tcPr>
          <w:p w14:paraId="04BC80DE">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2</w:t>
            </w:r>
          </w:p>
        </w:tc>
        <w:tc>
          <w:tcPr>
            <w:tcW w:w="1417" w:type="dxa"/>
            <w:shd w:val="clear" w:color="auto" w:fill="auto"/>
            <w:vAlign w:val="center"/>
          </w:tcPr>
          <w:p w14:paraId="089D6608">
            <w:pPr>
              <w:spacing w:after="0" w:line="240" w:lineRule="auto"/>
              <w:jc w:val="left"/>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Framing-based framework</w:t>
            </w:r>
          </w:p>
        </w:tc>
        <w:tc>
          <w:tcPr>
            <w:tcW w:w="7087" w:type="dxa"/>
            <w:shd w:val="clear" w:color="auto" w:fill="auto"/>
            <w:vAlign w:val="center"/>
          </w:tcPr>
          <w:p w14:paraId="3F99B32F">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Framing theory or framing analysis is applied as a primary or secondary analytical framework. The word 'frame' must be used in the theoretical/analytical sense, not casually. Studies that discuss 'future research directions' or 'conceptual framework' without applying framing analysis to news content were excluded.</w:t>
            </w:r>
          </w:p>
        </w:tc>
      </w:tr>
      <w:tr w14:paraId="5C78F065">
        <w:tc>
          <w:tcPr>
            <w:tcW w:w="283" w:type="dxa"/>
            <w:shd w:val="clear" w:color="auto" w:fill="auto"/>
            <w:vAlign w:val="center"/>
          </w:tcPr>
          <w:p w14:paraId="4E6BC035">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3</w:t>
            </w:r>
          </w:p>
        </w:tc>
        <w:tc>
          <w:tcPr>
            <w:tcW w:w="1417" w:type="dxa"/>
            <w:shd w:val="clear" w:color="auto" w:fill="auto"/>
            <w:vAlign w:val="center"/>
          </w:tcPr>
          <w:p w14:paraId="192B166A">
            <w:pPr>
              <w:spacing w:after="0" w:line="240" w:lineRule="auto"/>
              <w:jc w:val="left"/>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Publication date</w:t>
            </w:r>
          </w:p>
        </w:tc>
        <w:tc>
          <w:tcPr>
            <w:tcW w:w="7087" w:type="dxa"/>
            <w:shd w:val="clear" w:color="auto" w:fill="auto"/>
            <w:vAlign w:val="center"/>
          </w:tcPr>
          <w:p w14:paraId="68FF0D0E">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Publication year falls between 1995 and April 2025. This range begins with Entman's (1993) foundational framing work and extends to the most recent accessible publications at the time of searching.</w:t>
            </w:r>
          </w:p>
        </w:tc>
      </w:tr>
      <w:tr w14:paraId="26BCBF42">
        <w:tc>
          <w:tcPr>
            <w:tcW w:w="283" w:type="dxa"/>
            <w:shd w:val="clear" w:color="auto" w:fill="auto"/>
            <w:vAlign w:val="center"/>
          </w:tcPr>
          <w:p w14:paraId="588CBAA9">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4</w:t>
            </w:r>
          </w:p>
        </w:tc>
        <w:tc>
          <w:tcPr>
            <w:tcW w:w="1417" w:type="dxa"/>
            <w:shd w:val="clear" w:color="auto" w:fill="auto"/>
            <w:vAlign w:val="center"/>
          </w:tcPr>
          <w:p w14:paraId="45C6381A">
            <w:pPr>
              <w:spacing w:after="0" w:line="240" w:lineRule="auto"/>
              <w:jc w:val="left"/>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Peer-reviewed or accepted dissertation</w:t>
            </w:r>
          </w:p>
        </w:tc>
        <w:tc>
          <w:tcPr>
            <w:tcW w:w="7087" w:type="dxa"/>
            <w:shd w:val="clear" w:color="auto" w:fill="auto"/>
            <w:vAlign w:val="center"/>
          </w:tcPr>
          <w:p w14:paraId="29964739">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Source is a peer-reviewed journal article, peer-reviewed conference paper, or accepted doctoral dissertation. Book reviews, editorials, government reports, consultancy briefs, unpublished preprints, and working papers without peer-review evidence were excluded.</w:t>
            </w:r>
          </w:p>
        </w:tc>
      </w:tr>
      <w:tr w14:paraId="5610D88E">
        <w:tc>
          <w:tcPr>
            <w:tcW w:w="283" w:type="dxa"/>
            <w:shd w:val="clear" w:color="auto" w:fill="auto"/>
            <w:vAlign w:val="center"/>
          </w:tcPr>
          <w:p w14:paraId="6242F590">
            <w:pPr>
              <w:spacing w:after="0" w:line="240" w:lineRule="auto"/>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5</w:t>
            </w:r>
          </w:p>
        </w:tc>
        <w:tc>
          <w:tcPr>
            <w:tcW w:w="1417" w:type="dxa"/>
            <w:shd w:val="clear" w:color="auto" w:fill="auto"/>
            <w:vAlign w:val="center"/>
          </w:tcPr>
          <w:p w14:paraId="55E18DA4">
            <w:pPr>
              <w:spacing w:after="0" w:line="240" w:lineRule="auto"/>
              <w:jc w:val="left"/>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News media focus</w:t>
            </w:r>
          </w:p>
        </w:tc>
        <w:tc>
          <w:tcPr>
            <w:tcW w:w="7087" w:type="dxa"/>
            <w:shd w:val="clear" w:color="auto" w:fill="auto"/>
            <w:vAlign w:val="center"/>
          </w:tcPr>
          <w:p w14:paraId="58432E4D">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Content comes from newspapers, television, news websites, social media, or other journalistic outlets. Pure scientific, engineering, medical, or geological studies without any media framing component were excluded. Science communication studies about earthquake events in journalistic outlets were included.</w:t>
            </w:r>
          </w:p>
        </w:tc>
      </w:tr>
    </w:tbl>
    <w:p w14:paraId="1EAA39BE">
      <w:pPr>
        <w:spacing w:before="160" w:after="60"/>
        <w:jc w:val="center"/>
        <w:rPr>
          <w:rFonts w:hint="default" w:ascii="Times New Roman Regular" w:hAnsi="Times New Roman Regular" w:cs="Times New Roman Regular"/>
          <w:b w:val="0"/>
          <w:bCs/>
          <w:color w:val="auto"/>
          <w:sz w:val="20"/>
          <w:szCs w:val="20"/>
        </w:rPr>
      </w:pPr>
    </w:p>
    <w:p w14:paraId="12B80B85">
      <w:pPr>
        <w:spacing w:before="160" w:after="60"/>
        <w:jc w:val="center"/>
        <w:rPr>
          <w:rFonts w:hint="default" w:ascii="Times New Roman Regular" w:hAnsi="Times New Roman Regular" w:cs="Times New Roman Regular"/>
          <w:b w:val="0"/>
          <w:bCs/>
          <w:color w:val="auto"/>
          <w:sz w:val="20"/>
          <w:szCs w:val="20"/>
        </w:rPr>
      </w:pPr>
    </w:p>
    <w:p w14:paraId="1B78E8E2">
      <w:pPr>
        <w:spacing w:before="160" w:after="60"/>
        <w:jc w:val="center"/>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 xml:space="preserve">Table </w:t>
      </w:r>
      <w:r>
        <w:rPr>
          <w:rFonts w:hint="eastAsia" w:ascii="Times New Roman Regular" w:hAnsi="Times New Roman Regular" w:eastAsia="宋体" w:cs="Times New Roman Regular"/>
          <w:b w:val="0"/>
          <w:bCs/>
          <w:color w:val="auto"/>
          <w:sz w:val="20"/>
          <w:szCs w:val="20"/>
          <w:lang w:val="en-US" w:eastAsia="zh-CN"/>
        </w:rPr>
        <w:t>B</w:t>
      </w:r>
      <w:r>
        <w:rPr>
          <w:rFonts w:hint="default" w:ascii="Times New Roman Regular" w:hAnsi="Times New Roman Regular" w:cs="Times New Roman Regular"/>
          <w:b w:val="0"/>
          <w:bCs/>
          <w:color w:val="auto"/>
          <w:sz w:val="20"/>
          <w:szCs w:val="20"/>
        </w:rPr>
        <w:t>. Exclusion Criteria</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
        <w:gridCol w:w="1180"/>
        <w:gridCol w:w="7081"/>
      </w:tblGrid>
      <w:tr w14:paraId="42663140">
        <w:tc>
          <w:tcPr>
            <w:tcW w:w="511" w:type="dxa"/>
            <w:shd w:val="clear" w:color="auto" w:fill="auto"/>
            <w:vAlign w:val="center"/>
          </w:tcPr>
          <w:p w14:paraId="7C2F1C5E">
            <w:pPr>
              <w:spacing w:after="0" w:line="240" w:lineRule="auto"/>
              <w:jc w:val="both"/>
              <w:rPr>
                <w:rFonts w:hint="default" w:ascii="Times New Roman Bold" w:hAnsi="Times New Roman Bold" w:eastAsia="宋体" w:cs="Times New Roman Bold"/>
                <w:b/>
                <w:bCs w:val="0"/>
                <w:color w:val="auto"/>
                <w:sz w:val="20"/>
                <w:szCs w:val="20"/>
                <w:lang w:val="en-US" w:eastAsia="zh-CN"/>
              </w:rPr>
            </w:pPr>
            <w:r>
              <w:rPr>
                <w:rFonts w:hint="default" w:ascii="Times New Roman Bold" w:hAnsi="Times New Roman Bold" w:eastAsia="宋体" w:cs="Times New Roman Bold"/>
                <w:b/>
                <w:bCs w:val="0"/>
                <w:color w:val="auto"/>
                <w:sz w:val="20"/>
                <w:szCs w:val="20"/>
                <w:lang w:val="en-US" w:eastAsia="zh-CN"/>
              </w:rPr>
              <w:t>No.</w:t>
            </w:r>
          </w:p>
        </w:tc>
        <w:tc>
          <w:tcPr>
            <w:tcW w:w="1180" w:type="dxa"/>
            <w:shd w:val="clear" w:color="auto" w:fill="auto"/>
            <w:vAlign w:val="center"/>
          </w:tcPr>
          <w:p w14:paraId="6E18FCA3">
            <w:pPr>
              <w:spacing w:after="0" w:line="240" w:lineRule="auto"/>
              <w:jc w:val="both"/>
              <w:rPr>
                <w:rFonts w:hint="default" w:ascii="Times New Roman Bold" w:hAnsi="Times New Roman Bold" w:eastAsia="宋体" w:cs="Times New Roman Bold"/>
                <w:b/>
                <w:bCs w:val="0"/>
                <w:color w:val="auto"/>
                <w:sz w:val="20"/>
                <w:szCs w:val="20"/>
                <w:lang w:val="en-US" w:eastAsia="zh-CN"/>
              </w:rPr>
            </w:pPr>
            <w:r>
              <w:rPr>
                <w:rFonts w:hint="default" w:ascii="Times New Roman Bold" w:hAnsi="Times New Roman Bold" w:eastAsia="宋体" w:cs="Times New Roman Bold"/>
                <w:b/>
                <w:bCs w:val="0"/>
                <w:color w:val="auto"/>
                <w:sz w:val="20"/>
                <w:szCs w:val="20"/>
                <w:lang w:val="en-US" w:eastAsia="zh-CN"/>
              </w:rPr>
              <w:t>Exclusion Criterion</w:t>
            </w:r>
          </w:p>
        </w:tc>
        <w:tc>
          <w:tcPr>
            <w:tcW w:w="7081" w:type="dxa"/>
            <w:shd w:val="clear" w:color="auto" w:fill="auto"/>
            <w:vAlign w:val="center"/>
          </w:tcPr>
          <w:p w14:paraId="1EFC5589">
            <w:pPr>
              <w:spacing w:after="0" w:line="240" w:lineRule="auto"/>
              <w:jc w:val="both"/>
              <w:rPr>
                <w:rFonts w:hint="default" w:ascii="Times New Roman Bold" w:hAnsi="Times New Roman Bold" w:eastAsia="宋体" w:cs="Times New Roman Bold"/>
                <w:b/>
                <w:bCs w:val="0"/>
                <w:color w:val="auto"/>
                <w:sz w:val="20"/>
                <w:szCs w:val="20"/>
                <w:lang w:val="en-US" w:eastAsia="zh-CN"/>
              </w:rPr>
            </w:pPr>
            <w:r>
              <w:rPr>
                <w:rFonts w:hint="default" w:ascii="Times New Roman Bold" w:hAnsi="Times New Roman Bold" w:eastAsia="宋体" w:cs="Times New Roman Bold"/>
                <w:b/>
                <w:bCs w:val="0"/>
                <w:color w:val="auto"/>
                <w:sz w:val="20"/>
                <w:szCs w:val="20"/>
                <w:lang w:val="en-US" w:eastAsia="zh-CN"/>
              </w:rPr>
              <w:t>Operational Definition</w:t>
            </w:r>
          </w:p>
        </w:tc>
      </w:tr>
      <w:tr w14:paraId="7671E7EE">
        <w:tc>
          <w:tcPr>
            <w:tcW w:w="511" w:type="dxa"/>
            <w:shd w:val="clear" w:color="auto" w:fill="auto"/>
            <w:vAlign w:val="center"/>
          </w:tcPr>
          <w:p w14:paraId="6F9E0381">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lang w:val="en-US"/>
              </w:rPr>
              <w:t>1</w:t>
            </w:r>
          </w:p>
        </w:tc>
        <w:tc>
          <w:tcPr>
            <w:tcW w:w="1180" w:type="dxa"/>
            <w:shd w:val="clear" w:color="auto" w:fill="auto"/>
            <w:vAlign w:val="center"/>
          </w:tcPr>
          <w:p w14:paraId="4EFA4366">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Not earthquake-related</w:t>
            </w:r>
          </w:p>
        </w:tc>
        <w:tc>
          <w:tcPr>
            <w:tcW w:w="7081" w:type="dxa"/>
            <w:shd w:val="clear" w:color="auto" w:fill="auto"/>
            <w:vAlign w:val="center"/>
          </w:tcPr>
          <w:p w14:paraId="7270ADB6">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Study concerns only non-earthquake natural disasters</w:t>
            </w:r>
            <w:r>
              <w:rPr>
                <w:rFonts w:hint="eastAsia" w:ascii="Times New Roman Regular" w:hAnsi="Times New Roman Regular" w:eastAsia="宋体" w:cs="Times New Roman Regular"/>
                <w:b w:val="0"/>
                <w:bCs/>
                <w:color w:val="auto"/>
                <w:sz w:val="20"/>
                <w:szCs w:val="20"/>
                <w:lang w:val="en-US" w:eastAsia="zh-CN"/>
              </w:rPr>
              <w:t xml:space="preserve"> </w:t>
            </w:r>
            <w:r>
              <w:rPr>
                <w:rFonts w:hint="default" w:ascii="Times New Roman Regular" w:hAnsi="Times New Roman Regular" w:cs="Times New Roman Regular"/>
                <w:b w:val="0"/>
                <w:bCs/>
                <w:color w:val="auto"/>
                <w:sz w:val="20"/>
                <w:szCs w:val="20"/>
              </w:rPr>
              <w:t>and contains no earthquake framing analysis.</w:t>
            </w:r>
          </w:p>
        </w:tc>
      </w:tr>
      <w:tr w14:paraId="1C170BEB">
        <w:tc>
          <w:tcPr>
            <w:tcW w:w="511" w:type="dxa"/>
            <w:shd w:val="clear" w:color="auto" w:fill="auto"/>
            <w:vAlign w:val="center"/>
          </w:tcPr>
          <w:p w14:paraId="1B779724">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lang w:val="en-US"/>
              </w:rPr>
              <w:t>2</w:t>
            </w:r>
          </w:p>
        </w:tc>
        <w:tc>
          <w:tcPr>
            <w:tcW w:w="1180" w:type="dxa"/>
            <w:shd w:val="clear" w:color="auto" w:fill="auto"/>
            <w:vAlign w:val="center"/>
          </w:tcPr>
          <w:p w14:paraId="79782C18">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Not framing-based</w:t>
            </w:r>
          </w:p>
        </w:tc>
        <w:tc>
          <w:tcPr>
            <w:tcW w:w="7081" w:type="dxa"/>
            <w:shd w:val="clear" w:color="auto" w:fill="auto"/>
            <w:vAlign w:val="center"/>
          </w:tcPr>
          <w:p w14:paraId="392AB048">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Study does not apply framing theory or framing analysis as an analytical framework. 'Frame' appears only in a non-analytical sense .</w:t>
            </w:r>
          </w:p>
        </w:tc>
      </w:tr>
      <w:tr w14:paraId="5765D376">
        <w:tc>
          <w:tcPr>
            <w:tcW w:w="511" w:type="dxa"/>
            <w:shd w:val="clear" w:color="auto" w:fill="auto"/>
            <w:vAlign w:val="center"/>
          </w:tcPr>
          <w:p w14:paraId="422DF61F">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lang w:val="en-US"/>
              </w:rPr>
              <w:t>3</w:t>
            </w:r>
          </w:p>
        </w:tc>
        <w:tc>
          <w:tcPr>
            <w:tcW w:w="1180" w:type="dxa"/>
            <w:shd w:val="clear" w:color="auto" w:fill="auto"/>
            <w:vAlign w:val="center"/>
          </w:tcPr>
          <w:p w14:paraId="757C0A2B">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Outside publication date range</w:t>
            </w:r>
          </w:p>
        </w:tc>
        <w:tc>
          <w:tcPr>
            <w:tcW w:w="7081" w:type="dxa"/>
            <w:shd w:val="clear" w:color="auto" w:fill="auto"/>
            <w:vAlign w:val="center"/>
          </w:tcPr>
          <w:p w14:paraId="1957BB77">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Publication year is before 1995 or after April 2025.</w:t>
            </w:r>
          </w:p>
        </w:tc>
      </w:tr>
      <w:tr w14:paraId="411D3A8C">
        <w:tc>
          <w:tcPr>
            <w:tcW w:w="511" w:type="dxa"/>
            <w:shd w:val="clear" w:color="auto" w:fill="auto"/>
            <w:vAlign w:val="center"/>
          </w:tcPr>
          <w:p w14:paraId="32FD7F06">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lang w:val="en-US"/>
              </w:rPr>
              <w:t>4</w:t>
            </w:r>
          </w:p>
        </w:tc>
        <w:tc>
          <w:tcPr>
            <w:tcW w:w="1180" w:type="dxa"/>
            <w:shd w:val="clear" w:color="auto" w:fill="auto"/>
            <w:vAlign w:val="center"/>
          </w:tcPr>
          <w:p w14:paraId="6CB482FE">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Not peer-reviewed</w:t>
            </w:r>
          </w:p>
        </w:tc>
        <w:tc>
          <w:tcPr>
            <w:tcW w:w="7081" w:type="dxa"/>
            <w:shd w:val="clear" w:color="auto" w:fill="auto"/>
            <w:vAlign w:val="center"/>
          </w:tcPr>
          <w:p w14:paraId="4FBF4604">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Source is a government report, consultancy brief, book review, editorial, working paper, or preprint without formal peer-review evidence.</w:t>
            </w:r>
          </w:p>
        </w:tc>
      </w:tr>
      <w:tr w14:paraId="0F2BFD53">
        <w:tc>
          <w:tcPr>
            <w:tcW w:w="511" w:type="dxa"/>
            <w:shd w:val="clear" w:color="auto" w:fill="auto"/>
            <w:vAlign w:val="center"/>
          </w:tcPr>
          <w:p w14:paraId="125C92B6">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lang w:val="en-US"/>
              </w:rPr>
              <w:t>5</w:t>
            </w:r>
          </w:p>
        </w:tc>
        <w:tc>
          <w:tcPr>
            <w:tcW w:w="1180" w:type="dxa"/>
            <w:shd w:val="clear" w:color="auto" w:fill="auto"/>
            <w:vAlign w:val="center"/>
          </w:tcPr>
          <w:p w14:paraId="35D6EAF5">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Not news media</w:t>
            </w:r>
          </w:p>
        </w:tc>
        <w:tc>
          <w:tcPr>
            <w:tcW w:w="7081" w:type="dxa"/>
            <w:shd w:val="clear" w:color="auto" w:fill="auto"/>
            <w:vAlign w:val="center"/>
          </w:tcPr>
          <w:p w14:paraId="26ADF95C">
            <w:pPr>
              <w:spacing w:after="0" w:line="240" w:lineRule="auto"/>
              <w:jc w:val="both"/>
              <w:rPr>
                <w:rFonts w:hint="default" w:ascii="Times New Roman Regular" w:hAnsi="Times New Roman Regular" w:cs="Times New Roman Regular"/>
                <w:b w:val="0"/>
                <w:bCs/>
                <w:color w:val="auto"/>
                <w:sz w:val="20"/>
                <w:szCs w:val="20"/>
              </w:rPr>
            </w:pPr>
            <w:r>
              <w:rPr>
                <w:rFonts w:hint="default" w:ascii="Times New Roman Regular" w:hAnsi="Times New Roman Regular" w:cs="Times New Roman Regular"/>
                <w:b w:val="0"/>
                <w:bCs/>
                <w:color w:val="auto"/>
                <w:sz w:val="20"/>
                <w:szCs w:val="20"/>
              </w:rPr>
              <w:t>Study is a pure scientific, engineering, medical, or geological study with no media framing component. Seismological modeling, structural engineering, or medical earthquake response studies without any analysis of how earthquakes are framed in news media.</w:t>
            </w:r>
          </w:p>
        </w:tc>
      </w:tr>
    </w:tbl>
    <w:p w14:paraId="323345F9">
      <w:pPr>
        <w:jc w:val="both"/>
        <w:rPr>
          <w:rFonts w:hint="default" w:ascii="Times New Roman Regular" w:hAnsi="Times New Roman Regular" w:cs="Times New Roman Regular"/>
          <w:b w:val="0"/>
          <w:bCs/>
          <w:color w:val="auto"/>
        </w:rPr>
      </w:pPr>
    </w:p>
    <w:sectPr>
      <w:pgSz w:w="11906" w:h="16838"/>
      <w:pgMar w:top="1134" w:right="1134" w:bottom="1134"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苹方-简">
    <w:altName w:val="Times New Roman"/>
    <w:panose1 w:val="020B0600000000000000"/>
    <w:charset w:val="00"/>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Times New Roman Regular">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hiNGEyMjk2MjFjMjZlZjg4YTBjMjQzYmJmNmY2YjIifQ=="/>
  </w:docVars>
  <w:rsids>
    <w:rsidRoot w:val="00B47730"/>
    <w:rsid w:val="00034616"/>
    <w:rsid w:val="0006063C"/>
    <w:rsid w:val="0015074B"/>
    <w:rsid w:val="0029639D"/>
    <w:rsid w:val="00326F90"/>
    <w:rsid w:val="00AA1D8D"/>
    <w:rsid w:val="00B47730"/>
    <w:rsid w:val="00CB0664"/>
    <w:rsid w:val="00FC693F"/>
    <w:rsid w:val="7839CD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夏夏</dc:creator>
  <dc:description>generated by python-docx</dc:description>
  <cp:lastModifiedBy>夏夏</cp:lastModifiedBy>
  <dcterms:modified xsi:type="dcterms:W3CDTF">2026-07-24T14:30:50Z</dcterms:modified>
  <dc:title>Anonymous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429FECA0464089429A06636A97A70593_42</vt:lpwstr>
  </property>
</Properties>
</file>