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B559" w14:textId="77777777" w:rsidR="00F02C5D" w:rsidRDefault="00000000">
      <w:r>
        <w:rPr>
          <w:b/>
          <w:sz w:val="26"/>
        </w:rPr>
        <w:t>3.5 GRADE assessment</w:t>
      </w:r>
    </w:p>
    <w:p w14:paraId="2B8DE6D5" w14:textId="77777777" w:rsidR="00F02C5D" w:rsidRDefault="00000000">
      <w:pPr>
        <w:spacing w:after="120"/>
      </w:pPr>
      <w:r>
        <w:t>The certainty of evidence was assessed using the GRADE approach for the main outcomes of the meta-analysis.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1"/>
        <w:gridCol w:w="1890"/>
        <w:gridCol w:w="4805"/>
      </w:tblGrid>
      <w:tr w:rsidR="004A3AF9" w14:paraId="6BEEE38A" w14:textId="77777777" w:rsidTr="004A3AF9">
        <w:trPr>
          <w:tblHeader/>
          <w:jc w:val="center"/>
        </w:trPr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</w:tcPr>
          <w:p w14:paraId="7DDD4880" w14:textId="77777777" w:rsidR="004A3AF9" w:rsidRDefault="004A3AF9">
            <w:pPr>
              <w:spacing w:after="0" w:line="240" w:lineRule="auto"/>
            </w:pPr>
            <w:r>
              <w:rPr>
                <w:b/>
                <w:sz w:val="17"/>
              </w:rPr>
              <w:t>Outcome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</w:tcPr>
          <w:p w14:paraId="247E158E" w14:textId="77777777" w:rsidR="004A3AF9" w:rsidRDefault="004A3AF9">
            <w:pPr>
              <w:spacing w:after="0" w:line="240" w:lineRule="auto"/>
            </w:pPr>
            <w:r>
              <w:rPr>
                <w:b/>
                <w:sz w:val="17"/>
              </w:rPr>
              <w:t>Certainty of evidence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</w:tcPr>
          <w:p w14:paraId="140DAE92" w14:textId="77777777" w:rsidR="004A3AF9" w:rsidRDefault="004A3AF9">
            <w:pPr>
              <w:spacing w:after="0" w:line="240" w:lineRule="auto"/>
            </w:pPr>
            <w:r>
              <w:rPr>
                <w:b/>
                <w:sz w:val="17"/>
              </w:rPr>
              <w:t>Interpretation</w:t>
            </w:r>
          </w:p>
        </w:tc>
      </w:tr>
      <w:tr w:rsidR="004A3AF9" w14:paraId="454F6BB3" w14:textId="77777777" w:rsidTr="004A3AF9">
        <w:trPr>
          <w:jc w:val="center"/>
        </w:trPr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C106E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AWE and aneurysm growth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F3E6" w14:textId="77777777" w:rsidR="004A3AF9" w:rsidRDefault="004A3AF9">
            <w:pPr>
              <w:spacing w:after="0" w:line="240" w:lineRule="auto"/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BBDDB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AWE is a strong and consistent marker of aneurysm growth risk.</w:t>
            </w:r>
          </w:p>
        </w:tc>
      </w:tr>
      <w:tr w:rsidR="004A3AF9" w14:paraId="01574757" w14:textId="77777777" w:rsidTr="004A3AF9">
        <w:trPr>
          <w:jc w:val="center"/>
        </w:trPr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39682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Circumferential AWE and aneurysm growth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100A8" w14:textId="77777777" w:rsidR="004A3AF9" w:rsidRDefault="004A3AF9">
            <w:pPr>
              <w:spacing w:after="0" w:line="240" w:lineRule="auto"/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2E3BA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Circumferential AWE provides particularly strong evidence for identifying aneurysms at risk of growth.</w:t>
            </w:r>
          </w:p>
        </w:tc>
      </w:tr>
      <w:tr w:rsidR="004A3AF9" w14:paraId="6315A11A" w14:textId="77777777" w:rsidTr="004A3AF9">
        <w:trPr>
          <w:jc w:val="center"/>
        </w:trPr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89652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Non-circumferential AWE and aneurysm growth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C8917" w14:textId="77777777" w:rsidR="004A3AF9" w:rsidRDefault="004A3AF9">
            <w:pPr>
              <w:spacing w:after="0" w:line="240" w:lineRule="auto"/>
            </w:pPr>
            <w:r>
              <w:rPr>
                <w:b/>
                <w:sz w:val="16"/>
              </w:rPr>
              <w:t>Moderate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40EB9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Non-circumferential AWE also appears to be associated with growth, although the evidence is based on fewer studies.</w:t>
            </w:r>
          </w:p>
        </w:tc>
      </w:tr>
      <w:tr w:rsidR="004A3AF9" w14:paraId="785E9107" w14:textId="77777777" w:rsidTr="004A3AF9">
        <w:trPr>
          <w:jc w:val="center"/>
        </w:trPr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250BD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AWE and aneurysm rupture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5B358" w14:textId="77777777" w:rsidR="004A3AF9" w:rsidRDefault="004A3AF9">
            <w:pPr>
              <w:spacing w:after="0" w:line="240" w:lineRule="auto"/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DF862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AWE is strongly associated with aneurysm rupture risk and may help identify clinically unstable aneurysms.</w:t>
            </w:r>
          </w:p>
        </w:tc>
      </w:tr>
      <w:tr w:rsidR="004A3AF9" w14:paraId="4B257A4F" w14:textId="77777777" w:rsidTr="004A3AF9">
        <w:trPr>
          <w:jc w:val="center"/>
        </w:trPr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EBA0B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Circumferential AWE and aneurysm rupture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3EE46" w14:textId="77777777" w:rsidR="004A3AF9" w:rsidRDefault="004A3AF9">
            <w:pPr>
              <w:spacing w:after="0" w:line="240" w:lineRule="auto"/>
            </w:pPr>
            <w:r>
              <w:rPr>
                <w:b/>
                <w:sz w:val="16"/>
              </w:rPr>
              <w:t>High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8BF08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Circumferential AWE shows a strong and consistent association with rupture risk.</w:t>
            </w:r>
          </w:p>
        </w:tc>
      </w:tr>
      <w:tr w:rsidR="004A3AF9" w14:paraId="1CC65A92" w14:textId="77777777" w:rsidTr="004A3AF9">
        <w:trPr>
          <w:jc w:val="center"/>
        </w:trPr>
        <w:tc>
          <w:tcPr>
            <w:tcW w:w="3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211D2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Non-circumferential AWE and aneurysm rupture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ACF11" w14:textId="77777777" w:rsidR="004A3AF9" w:rsidRDefault="004A3AF9">
            <w:pPr>
              <w:spacing w:after="0" w:line="240" w:lineRule="auto"/>
            </w:pPr>
            <w:r>
              <w:rPr>
                <w:b/>
                <w:sz w:val="16"/>
              </w:rPr>
              <w:t>Low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6C166" w14:textId="77777777" w:rsidR="004A3AF9" w:rsidRDefault="004A3AF9">
            <w:pPr>
              <w:spacing w:after="0" w:line="240" w:lineRule="auto"/>
            </w:pPr>
            <w:r>
              <w:rPr>
                <w:sz w:val="16"/>
              </w:rPr>
              <w:t>The direction of effect suggests possible increased rupture risk, but the evidence remains uncertain due to imprecision and heterogeneity.</w:t>
            </w:r>
          </w:p>
        </w:tc>
      </w:tr>
    </w:tbl>
    <w:p w14:paraId="008D57E7" w14:textId="16B2813D" w:rsidR="00F02C5D" w:rsidRDefault="00F02C5D">
      <w:pPr>
        <w:spacing w:before="160" w:after="0"/>
      </w:pPr>
    </w:p>
    <w:sectPr w:rsidR="00F02C5D" w:rsidSect="004A3AF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8306397">
    <w:abstractNumId w:val="8"/>
  </w:num>
  <w:num w:numId="2" w16cid:durableId="761025829">
    <w:abstractNumId w:val="6"/>
  </w:num>
  <w:num w:numId="3" w16cid:durableId="2109039828">
    <w:abstractNumId w:val="5"/>
  </w:num>
  <w:num w:numId="4" w16cid:durableId="1933123967">
    <w:abstractNumId w:val="4"/>
  </w:num>
  <w:num w:numId="5" w16cid:durableId="84689160">
    <w:abstractNumId w:val="7"/>
  </w:num>
  <w:num w:numId="6" w16cid:durableId="218515693">
    <w:abstractNumId w:val="3"/>
  </w:num>
  <w:num w:numId="7" w16cid:durableId="186064510">
    <w:abstractNumId w:val="2"/>
  </w:num>
  <w:num w:numId="8" w16cid:durableId="1665283754">
    <w:abstractNumId w:val="1"/>
  </w:num>
  <w:num w:numId="9" w16cid:durableId="96947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4AC9"/>
    <w:rsid w:val="0029639D"/>
    <w:rsid w:val="00326F90"/>
    <w:rsid w:val="004A3AF9"/>
    <w:rsid w:val="00AA1D8D"/>
    <w:rsid w:val="00B47730"/>
    <w:rsid w:val="00CB0664"/>
    <w:rsid w:val="00F02C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04F648"/>
  <w14:defaultImageDpi w14:val="300"/>
  <w15:docId w15:val="{78874F2B-6A71-47A6-9C3E-CCE4F8EC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HASAN IBRAHIM MATAR</cp:lastModifiedBy>
  <cp:revision>2</cp:revision>
  <dcterms:created xsi:type="dcterms:W3CDTF">2013-12-23T23:15:00Z</dcterms:created>
  <dcterms:modified xsi:type="dcterms:W3CDTF">2026-06-25T12:34:00Z</dcterms:modified>
  <cp:category/>
</cp:coreProperties>
</file>