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6127"/>
        <w:jc w:val="center"/>
        <w:tblLayout w:type="fixed"/>
        <w:tblLook w:firstColumn="1" w:firstRow="1" w:lastColumn="0" w:lastRow="0" w:noHBand="0" w:noVBand="1" w:val="04A0"/>
      </w:tblPr>
      <w:tblGrid>
        <w:gridCol w:w="1626"/>
        <w:gridCol w:w="1626"/>
        <w:gridCol w:w="1626"/>
        <w:gridCol w:w="1626"/>
        <w:gridCol w:w="1626"/>
        <w:gridCol w:w="1626"/>
        <w:gridCol w:w="1626"/>
        <w:gridCol w:w="1626"/>
        <w:gridCol w:w="1626"/>
        <w:gridCol w:w="1626"/>
      </w:tblGrid>
      <w:tr>
        <w:trPr>
          <w:tblHeader w:val="true"/>
        </w:trPr>
        <w:tc>
          <w:tcPr>
            <w:tcW w:type="dxa" w:w="1296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Study ID</w:t>
            </w:r>
          </w:p>
        </w:tc>
        <w:tc>
          <w:tcPr>
            <w:tcW w:type="dxa" w:w="936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Country</w:t>
            </w:r>
          </w:p>
        </w:tc>
        <w:tc>
          <w:tcPr>
            <w:tcW w:type="dxa" w:w="1656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Study design (AWE (+), AWE (−))</w:t>
            </w:r>
          </w:p>
        </w:tc>
        <w:tc>
          <w:tcPr>
            <w:tcW w:type="dxa" w:w="1152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Number of patients (AWE (+), AWE (−))</w:t>
            </w:r>
          </w:p>
        </w:tc>
        <w:tc>
          <w:tcPr>
            <w:tcW w:type="dxa" w:w="1152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% Female (AWE (+), AWE (−))</w:t>
            </w:r>
          </w:p>
        </w:tc>
        <w:tc>
          <w:tcPr>
            <w:tcW w:type="dxa" w:w="1224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Mean age (AWE (+), AWE (−))</w:t>
            </w:r>
          </w:p>
        </w:tc>
        <w:tc>
          <w:tcPr>
            <w:tcW w:type="dxa" w:w="936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Size of aneurysms</w:t>
            </w:r>
          </w:p>
        </w:tc>
        <w:tc>
          <w:tcPr>
            <w:tcW w:type="dxa" w:w="1080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Follow-up duration</w:t>
            </w:r>
          </w:p>
        </w:tc>
        <w:tc>
          <w:tcPr>
            <w:tcW w:type="dxa" w:w="3312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Aim</w:t>
            </w:r>
          </w:p>
        </w:tc>
        <w:tc>
          <w:tcPr>
            <w:tcW w:type="dxa" w:w="3384"/>
            <w:vAlign w:val="center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 w:eastAsia="Calibri"/>
                <w:b/>
                <w:sz w:val="12"/>
              </w:rPr>
              <w:t>Conclusion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Endo et al. 2022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Japan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11 | 27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73% | 56%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68 (10) | 60 (11)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5.6 (2.2)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Evaluate quantitative AWE parameters on VWI for differentiating stable from evolving UIAs.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Combined aneurysm shape features and AWE of the outer+inner wall layers effectively differentiated stable from evolving UIAs.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Hashimoto et al. 2023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Japan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 | 71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71 (10) | 70 (11)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4.7 (3.3)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34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Identify unstable UIAs using segmented AWE patterns and assess hemodynamic features of unstable areas.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Focal AWE was independently associated with aneurysm growth, and all ruptures occurred in UIAs with focal AWE.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Jabeen et al. 2025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India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Prospective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60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81.60%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6.14 (4.43)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30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Assess VWI enhancement patterns in ruptured vs unruptured aneurysms and correlate with morphology/PHASES.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Vessel wall enhancement was seen in all ruptured aneurysms and may help predict rupture risk.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Matsushige et al. 2019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Japan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18 | 42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89% | 74%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72 (2.9) | 74 (1.4)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5.3 (2.3)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49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Explore VWI findings of UIAs with consecutive radiographic follow-up.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UIAs showed different growth modes, and AWE patterns may help identify unfavorable morphological changes.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Kamp et al. 2025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Netherlands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63 | 135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71% | 70%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64.0 (12.6) | 57.0 (14.1)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4.4 (2.0)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82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Determine whether UIAs with AWE have higher long-term instability than UIAs without AWE.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UIAs with AWE had a higher probability of 7.5-year instability, with strongest predictive value in early follow-up.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Huang et al. 2026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China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Prospective cross-sectional study, with a longitudinal subcohort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142 | 276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59.9% | 68.1%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59.9 (9.4) | 58.7 (10.4)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4.9 (2.6)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Investigate the association between SII and AWE, and evaluate SII as a biomarker of aneurysm instability.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Elevated SII was independently associated with AWE and aneurysm growth.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Edjlali et al. 2018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France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31 | 276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77.4% | 65.6%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58.5 (13.0) | 58.5 (13.0)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5.0 (3.0)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Identify wall enhancement patterns on vessel wall MRI that discriminate stable from unstable UIAs.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Thick circumferential enhancement had the highest specificity for intracranial aneurysm instability.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Liu et al. 2025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China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235 | 1116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59% | 55%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56.3 (12.6) | 55.3 (11.9)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5.7 (2.5)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48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Determine 4-year instability risk of UIAs with AWE and whether AWE independently predicts instability.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Circumferential AWE independently predicted 4-year aneurysm instability.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Vergouwen et al. 2019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Netherlands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46 | 19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80% | 78.9%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60 | 55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4.6 (2.0)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27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Investigate whether baseline gadolinium AWE is associated with later aneurysm growth or rupture.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AWE was associated with increased instability; absence of AWE made short-term growth/rupture unlikely.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Hashimoto et al. 2022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Japan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85 | 35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78% | 85.7%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70 (11) | 72.4 (9.8)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4.2 (2.0)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65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Investigate relationships between aneurysm growth patterns and segmented AWE patterns.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Segmented AWE was associated with growth scenarios and may help evaluate unstable UIAs.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Kamp et al. 2024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Multinational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168 | 287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76% | 68%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63 (12) | 59 (13)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4.3 (2.2)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14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Test whether AWE predicts growth/rupture and whether prediction is independent of aneurysm size.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AWE predicted short-term growth/rupture, but not independently of aneurysm size.</w:t>
            </w:r>
          </w:p>
        </w:tc>
      </w:tr>
      <w:tr>
        <w:tc>
          <w:tcPr>
            <w:tcW w:type="dxa" w:w="129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Gariel et al. 2020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USA</w:t>
            </w:r>
          </w:p>
        </w:tc>
        <w:tc>
          <w:tcPr>
            <w:tcW w:type="dxa" w:w="165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Retrospective cohort study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12 | 133</w:t>
            </w:r>
          </w:p>
        </w:tc>
        <w:tc>
          <w:tcPr>
            <w:tcW w:type="dxa" w:w="115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83.4% | 67.7%</w:t>
            </w:r>
          </w:p>
        </w:tc>
        <w:tc>
          <w:tcPr>
            <w:tcW w:type="dxa" w:w="122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60 (5.6) | 59 (11.3)</w:t>
            </w:r>
          </w:p>
        </w:tc>
        <w:tc>
          <w:tcPr>
            <w:tcW w:type="dxa" w:w="936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4.1 (0.7)</w:t>
            </w:r>
          </w:p>
        </w:tc>
        <w:tc>
          <w:tcPr>
            <w:tcW w:type="dxa" w:w="1080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24 months</w:t>
            </w:r>
          </w:p>
        </w:tc>
        <w:tc>
          <w:tcPr>
            <w:tcW w:type="dxa" w:w="3312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Test whether increased/de novo AWE during follow-up predicts subsequent aneurysm growth.</w:t>
            </w:r>
          </w:p>
        </w:tc>
        <w:tc>
          <w:tcPr>
            <w:tcW w:type="dxa" w:w="3384"/>
            <w:vAlign w:val="top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 w:eastAsia="Calibri"/>
                <w:b w:val="0"/>
                <w:sz w:val="11"/>
              </w:rPr>
              <w:t>Increased AWE during follow-up predicted UIA growth and may support closer monitoring or preventive treatment.</w:t>
            </w:r>
          </w:p>
        </w:tc>
      </w:tr>
    </w:tbl>
    <w:sectPr w:rsidR="00FC693F" w:rsidRPr="0006063C" w:rsidSect="00034616">
      <w:pgSz w:w="16834" w:h="11909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