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CFA7" w14:textId="77777777" w:rsidR="00F50AD9" w:rsidRPr="0037415E" w:rsidRDefault="00000000" w:rsidP="0037415E">
      <w:pPr>
        <w:pStyle w:val="ListParagraph"/>
        <w:rPr>
          <w:rFonts w:eastAsia="Calibri"/>
          <w:b/>
          <w:bCs/>
          <w:sz w:val="24"/>
          <w:szCs w:val="24"/>
        </w:rPr>
      </w:pPr>
      <w:r w:rsidRPr="0037415E">
        <w:rPr>
          <w:rFonts w:eastAsia="Calibri"/>
          <w:b/>
          <w:bCs/>
          <w:sz w:val="24"/>
          <w:szCs w:val="24"/>
        </w:rPr>
        <w:t>Supplementary Methodological Transparency Documentation</w:t>
      </w:r>
    </w:p>
    <w:p w14:paraId="745E2E28" w14:textId="77777777" w:rsidR="0037415E" w:rsidRDefault="0037415E" w:rsidP="0037415E">
      <w:pPr>
        <w:pStyle w:val="ListParagraph"/>
        <w:rPr>
          <w:b/>
          <w:bCs/>
          <w:sz w:val="24"/>
          <w:szCs w:val="24"/>
        </w:rPr>
      </w:pPr>
    </w:p>
    <w:p w14:paraId="6A89FAE1" w14:textId="46DBABE4" w:rsidR="00F50AD9" w:rsidRDefault="00000000" w:rsidP="0037415E">
      <w:pPr>
        <w:pStyle w:val="ListParagraph"/>
        <w:rPr>
          <w:rFonts w:eastAsia="Calibri"/>
          <w:b/>
          <w:bCs/>
          <w:i/>
          <w:iCs/>
          <w:sz w:val="24"/>
          <w:szCs w:val="24"/>
        </w:rPr>
      </w:pPr>
      <w:r w:rsidRPr="0037415E">
        <w:rPr>
          <w:rFonts w:eastAsia="Calibri"/>
          <w:b/>
          <w:bCs/>
          <w:i/>
          <w:iCs/>
          <w:sz w:val="24"/>
          <w:szCs w:val="24"/>
        </w:rPr>
        <w:t>“Mapping Persuasion and Backer Performance in Non-Profit Sustainability Crowdfunding: A Psycholinguistic Grey-DEMATEL and LIWC Analysis”</w:t>
      </w:r>
    </w:p>
    <w:p w14:paraId="407337E9" w14:textId="77777777" w:rsidR="0037415E" w:rsidRPr="0037415E" w:rsidRDefault="0037415E" w:rsidP="0037415E">
      <w:pPr>
        <w:pStyle w:val="ListParagraph"/>
        <w:rPr>
          <w:b/>
          <w:bCs/>
          <w:sz w:val="24"/>
          <w:szCs w:val="24"/>
        </w:rPr>
      </w:pPr>
    </w:p>
    <w:p w14:paraId="4A6A81D9" w14:textId="007C97E4" w:rsidR="00F50AD9" w:rsidRPr="0037415E" w:rsidRDefault="00000000" w:rsidP="0037415E">
      <w:pPr>
        <w:pStyle w:val="ListParagraph"/>
        <w:rPr>
          <w:rFonts w:eastAsia="Calibri"/>
          <w:b/>
          <w:bCs/>
          <w:sz w:val="24"/>
          <w:szCs w:val="24"/>
        </w:rPr>
      </w:pPr>
      <w:r w:rsidRPr="0037415E">
        <w:rPr>
          <w:rFonts w:eastAsia="Calibri"/>
          <w:b/>
          <w:bCs/>
          <w:sz w:val="24"/>
          <w:szCs w:val="24"/>
        </w:rPr>
        <w:t xml:space="preserve">Authors: </w:t>
      </w:r>
      <w:r w:rsidR="0092472F" w:rsidRPr="0037415E">
        <w:rPr>
          <w:rFonts w:eastAsia="Calibri"/>
          <w:b/>
          <w:bCs/>
          <w:sz w:val="24"/>
          <w:szCs w:val="24"/>
        </w:rPr>
        <w:t>Mr</w:t>
      </w:r>
      <w:r w:rsidRPr="0037415E">
        <w:rPr>
          <w:rFonts w:eastAsia="Calibri"/>
          <w:b/>
          <w:bCs/>
          <w:sz w:val="24"/>
          <w:szCs w:val="24"/>
        </w:rPr>
        <w:t xml:space="preserve"> Darpan</w:t>
      </w:r>
      <w:r w:rsidR="0092472F" w:rsidRPr="0037415E">
        <w:rPr>
          <w:rFonts w:eastAsia="Calibri"/>
          <w:b/>
          <w:bCs/>
          <w:sz w:val="24"/>
          <w:szCs w:val="24"/>
        </w:rPr>
        <w:t xml:space="preserve"> Tuli</w:t>
      </w:r>
      <w:r w:rsidRPr="0037415E">
        <w:rPr>
          <w:rFonts w:eastAsia="Calibri"/>
          <w:b/>
          <w:bCs/>
          <w:sz w:val="24"/>
          <w:szCs w:val="24"/>
        </w:rPr>
        <w:t xml:space="preserve"> and Prof. Nidhi</w:t>
      </w:r>
      <w:r w:rsidR="0037415E" w:rsidRPr="0037415E">
        <w:rPr>
          <w:rFonts w:eastAsia="Calibri"/>
          <w:b/>
          <w:bCs/>
          <w:sz w:val="24"/>
          <w:szCs w:val="24"/>
        </w:rPr>
        <w:t xml:space="preserve"> Maheshwari </w:t>
      </w:r>
    </w:p>
    <w:p w14:paraId="58A15431" w14:textId="77777777" w:rsidR="0037415E" w:rsidRPr="0037415E" w:rsidRDefault="0037415E" w:rsidP="0037415E">
      <w:pPr>
        <w:pStyle w:val="ListParagraph"/>
        <w:rPr>
          <w:sz w:val="24"/>
          <w:szCs w:val="24"/>
        </w:rPr>
      </w:pPr>
    </w:p>
    <w:p w14:paraId="056C1BE9" w14:textId="3583B949" w:rsidR="00F50AD9" w:rsidRPr="0037415E" w:rsidRDefault="00000000" w:rsidP="0037415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37415E">
        <w:rPr>
          <w:b/>
          <w:bCs/>
          <w:sz w:val="24"/>
          <w:szCs w:val="24"/>
        </w:rPr>
        <w:t>Variable Definitions, Coding Schemes, and Transformations</w:t>
      </w:r>
    </w:p>
    <w:p w14:paraId="45580D15" w14:textId="77777777" w:rsidR="0037415E" w:rsidRPr="0037415E" w:rsidRDefault="0037415E" w:rsidP="0037415E">
      <w:pPr>
        <w:pStyle w:val="ListParagraph"/>
        <w:rPr>
          <w:sz w:val="24"/>
          <w:szCs w:val="24"/>
        </w:rPr>
      </w:pPr>
    </w:p>
    <w:p w14:paraId="1F775F7C" w14:textId="06346556" w:rsidR="00F50AD9" w:rsidRDefault="00000000" w:rsidP="00CF5341">
      <w:pPr>
        <w:pStyle w:val="ListParagraph"/>
        <w:numPr>
          <w:ilvl w:val="1"/>
          <w:numId w:val="3"/>
        </w:numPr>
        <w:rPr>
          <w:b/>
          <w:bCs/>
          <w:sz w:val="24"/>
          <w:szCs w:val="24"/>
        </w:rPr>
      </w:pPr>
      <w:r w:rsidRPr="0037415E">
        <w:rPr>
          <w:b/>
          <w:bCs/>
          <w:sz w:val="24"/>
          <w:szCs w:val="24"/>
        </w:rPr>
        <w:t>Dependent (outcome) variables</w:t>
      </w:r>
    </w:p>
    <w:p w14:paraId="56B8AF92" w14:textId="77777777" w:rsidR="00CF5341" w:rsidRPr="0037415E" w:rsidRDefault="00CF5341" w:rsidP="00CF5341">
      <w:pPr>
        <w:pStyle w:val="ListParagraph"/>
        <w:ind w:left="72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6365"/>
        <w:gridCol w:w="2169"/>
      </w:tblGrid>
      <w:tr w:rsidR="00CF5341" w:rsidRPr="00CF5341" w14:paraId="7DC71182" w14:textId="77777777" w:rsidTr="00CF5341">
        <w:tc>
          <w:tcPr>
            <w:tcW w:w="0" w:type="auto"/>
            <w:hideMark/>
          </w:tcPr>
          <w:p w14:paraId="0C9F3FF9" w14:textId="77777777" w:rsidR="00CF5341" w:rsidRPr="00CF5341" w:rsidRDefault="00CF5341" w:rsidP="00CF5341">
            <w:pPr>
              <w:pStyle w:val="ListParagraph"/>
              <w:rPr>
                <w:b/>
                <w:bCs/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5465EB0E" w14:textId="77777777" w:rsidR="00CF5341" w:rsidRPr="00CF5341" w:rsidRDefault="00CF5341" w:rsidP="00CF5341">
            <w:pPr>
              <w:pStyle w:val="ListParagraph"/>
              <w:rPr>
                <w:b/>
                <w:bCs/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Definition / Operationalization</w:t>
            </w:r>
          </w:p>
        </w:tc>
        <w:tc>
          <w:tcPr>
            <w:tcW w:w="0" w:type="auto"/>
            <w:hideMark/>
          </w:tcPr>
          <w:p w14:paraId="64F74962" w14:textId="77777777" w:rsidR="00CF5341" w:rsidRPr="00CF5341" w:rsidRDefault="00CF5341" w:rsidP="00CF5341">
            <w:pPr>
              <w:pStyle w:val="ListParagraph"/>
              <w:rPr>
                <w:b/>
                <w:bCs/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Measurement Scale / Type</w:t>
            </w:r>
          </w:p>
        </w:tc>
      </w:tr>
      <w:tr w:rsidR="00CF5341" w:rsidRPr="00CF5341" w14:paraId="034F77FA" w14:textId="77777777" w:rsidTr="00CF5341">
        <w:tc>
          <w:tcPr>
            <w:tcW w:w="0" w:type="auto"/>
            <w:hideMark/>
          </w:tcPr>
          <w:p w14:paraId="58F7B16B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Campaign Success</w:t>
            </w:r>
          </w:p>
        </w:tc>
        <w:tc>
          <w:tcPr>
            <w:tcW w:w="0" w:type="auto"/>
            <w:hideMark/>
          </w:tcPr>
          <w:p w14:paraId="315E4631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Indicates whether a crowdfunding campaign achieved or exceeded its predefined funding target by the campaign end date.</w:t>
            </w:r>
          </w:p>
        </w:tc>
        <w:tc>
          <w:tcPr>
            <w:tcW w:w="0" w:type="auto"/>
            <w:hideMark/>
          </w:tcPr>
          <w:p w14:paraId="08B783FF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Binary (1 = Success; 0 = Failure)</w:t>
            </w:r>
          </w:p>
        </w:tc>
      </w:tr>
      <w:tr w:rsidR="00CF5341" w:rsidRPr="00CF5341" w14:paraId="161B37BB" w14:textId="77777777" w:rsidTr="00CF5341">
        <w:tc>
          <w:tcPr>
            <w:tcW w:w="0" w:type="auto"/>
            <w:hideMark/>
          </w:tcPr>
          <w:p w14:paraId="1ABA56FD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Funding Ratio</w:t>
            </w:r>
          </w:p>
        </w:tc>
        <w:tc>
          <w:tcPr>
            <w:tcW w:w="0" w:type="auto"/>
            <w:hideMark/>
          </w:tcPr>
          <w:p w14:paraId="79A7DEFB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 xml:space="preserve">Ratio of the total amount pledged to the campaign's funding goal, reflecting the degree of funding attainment. Calculated as: </w:t>
            </w:r>
            <w:r w:rsidRPr="00CF5341">
              <w:rPr>
                <w:i/>
                <w:iCs/>
                <w:sz w:val="24"/>
                <w:szCs w:val="24"/>
              </w:rPr>
              <w:t>Total Amount Pledged ÷ Funding Goal</w:t>
            </w:r>
            <w:r w:rsidRPr="00CF5341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822476F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Continuous Ratio</w:t>
            </w:r>
          </w:p>
        </w:tc>
      </w:tr>
      <w:tr w:rsidR="00CF5341" w:rsidRPr="00CF5341" w14:paraId="3B0DFFFA" w14:textId="77777777" w:rsidTr="00CF5341">
        <w:tc>
          <w:tcPr>
            <w:tcW w:w="0" w:type="auto"/>
            <w:hideMark/>
          </w:tcPr>
          <w:p w14:paraId="2D35C292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Backer Count</w:t>
            </w:r>
          </w:p>
        </w:tc>
        <w:tc>
          <w:tcPr>
            <w:tcW w:w="0" w:type="auto"/>
            <w:hideMark/>
          </w:tcPr>
          <w:p w14:paraId="02763961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Total number of unique contributors who financially supported the campaign during the fundraising period.</w:t>
            </w:r>
          </w:p>
        </w:tc>
        <w:tc>
          <w:tcPr>
            <w:tcW w:w="0" w:type="auto"/>
            <w:hideMark/>
          </w:tcPr>
          <w:p w14:paraId="0C83E5A7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Count Variable (Discrete)</w:t>
            </w:r>
          </w:p>
        </w:tc>
      </w:tr>
      <w:tr w:rsidR="00CF5341" w:rsidRPr="00CF5341" w14:paraId="0CD74801" w14:textId="77777777" w:rsidTr="00CF5341">
        <w:tc>
          <w:tcPr>
            <w:tcW w:w="0" w:type="auto"/>
            <w:hideMark/>
          </w:tcPr>
          <w:p w14:paraId="2321EF28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b/>
                <w:bCs/>
                <w:sz w:val="24"/>
                <w:szCs w:val="24"/>
              </w:rPr>
              <w:t>Time-to-Goal</w:t>
            </w:r>
          </w:p>
        </w:tc>
        <w:tc>
          <w:tcPr>
            <w:tcW w:w="0" w:type="auto"/>
            <w:hideMark/>
          </w:tcPr>
          <w:p w14:paraId="67E097D0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Number of days elapsed from campaign launch until the campaign first reached 100% of its funding goal. Applicable only to campaigns that achieved their target.</w:t>
            </w:r>
          </w:p>
        </w:tc>
        <w:tc>
          <w:tcPr>
            <w:tcW w:w="0" w:type="auto"/>
            <w:hideMark/>
          </w:tcPr>
          <w:p w14:paraId="2E2CEEF0" w14:textId="77777777" w:rsidR="00CF5341" w:rsidRPr="00CF5341" w:rsidRDefault="00CF5341" w:rsidP="00CF5341">
            <w:pPr>
              <w:pStyle w:val="ListParagraph"/>
              <w:rPr>
                <w:sz w:val="24"/>
                <w:szCs w:val="24"/>
              </w:rPr>
            </w:pPr>
            <w:r w:rsidRPr="00CF5341">
              <w:rPr>
                <w:sz w:val="24"/>
                <w:szCs w:val="24"/>
              </w:rPr>
              <w:t>Continuous (Days)</w:t>
            </w:r>
          </w:p>
        </w:tc>
      </w:tr>
    </w:tbl>
    <w:p w14:paraId="7541B3BF" w14:textId="77777777" w:rsidR="0037415E" w:rsidRDefault="0037415E" w:rsidP="0037415E">
      <w:pPr>
        <w:pStyle w:val="ListParagraph"/>
        <w:rPr>
          <w:sz w:val="24"/>
          <w:szCs w:val="24"/>
        </w:rPr>
      </w:pPr>
    </w:p>
    <w:p w14:paraId="6673543E" w14:textId="549A0DE2" w:rsidR="00F50AD9" w:rsidRDefault="00000000" w:rsidP="00C60A25">
      <w:pPr>
        <w:pStyle w:val="ListParagraph"/>
        <w:numPr>
          <w:ilvl w:val="1"/>
          <w:numId w:val="3"/>
        </w:numPr>
        <w:rPr>
          <w:b/>
          <w:bCs/>
          <w:sz w:val="24"/>
          <w:szCs w:val="24"/>
        </w:rPr>
      </w:pPr>
      <w:r w:rsidRPr="0037415E">
        <w:rPr>
          <w:b/>
          <w:bCs/>
          <w:sz w:val="24"/>
          <w:szCs w:val="24"/>
        </w:rPr>
        <w:t>Independent variables LIWC-derived psycholinguistic dimensions</w:t>
      </w:r>
    </w:p>
    <w:p w14:paraId="15A77757" w14:textId="77777777" w:rsidR="00C60A25" w:rsidRPr="0037415E" w:rsidRDefault="00C60A25" w:rsidP="00C60A25">
      <w:pPr>
        <w:pStyle w:val="ListParagraph"/>
        <w:ind w:left="720"/>
        <w:rPr>
          <w:b/>
          <w:bCs/>
          <w:sz w:val="24"/>
          <w:szCs w:val="24"/>
        </w:rPr>
      </w:pPr>
    </w:p>
    <w:p w14:paraId="7173AF4A" w14:textId="77777777" w:rsidR="00F50AD9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>Nine linguistic dimensions, drawn from LIWC (Linguistic Inquiry and Word Count) output, were used as both (a) inputs to the Grey-DEMATEL expert-judgment model and (b) predictors in the regression analysis of sponsorship outcomes. Each is expressed as a percentage of total words in the campaign narrative.</w:t>
      </w:r>
    </w:p>
    <w:p w14:paraId="22420DC4" w14:textId="77777777" w:rsidR="00C60A25" w:rsidRPr="0037415E" w:rsidRDefault="00C60A25" w:rsidP="0037415E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2525"/>
        <w:gridCol w:w="6795"/>
      </w:tblGrid>
      <w:tr w:rsidR="00CF5341" w:rsidRPr="00CF5341" w14:paraId="241EE5B9" w14:textId="77777777" w:rsidTr="00CF5341">
        <w:tc>
          <w:tcPr>
            <w:tcW w:w="0" w:type="auto"/>
            <w:hideMark/>
          </w:tcPr>
          <w:p w14:paraId="0A9DB079" w14:textId="77777777" w:rsidR="00CF5341" w:rsidRPr="00CF5341" w:rsidRDefault="00CF5341" w:rsidP="00CF5341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0" w:type="auto"/>
            <w:hideMark/>
          </w:tcPr>
          <w:p w14:paraId="5E87D4B7" w14:textId="77777777" w:rsidR="00CF5341" w:rsidRPr="00CF5341" w:rsidRDefault="00CF5341" w:rsidP="00CF5341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0" w:type="auto"/>
            <w:hideMark/>
          </w:tcPr>
          <w:p w14:paraId="1BF86A9E" w14:textId="1A39BF82" w:rsidR="00CF5341" w:rsidRPr="00CF5341" w:rsidRDefault="00CF5341" w:rsidP="00CF5341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Description</w:t>
            </w:r>
          </w:p>
        </w:tc>
      </w:tr>
      <w:tr w:rsidR="00CF5341" w:rsidRPr="00CF5341" w14:paraId="52B39F99" w14:textId="77777777" w:rsidTr="00CF5341">
        <w:tc>
          <w:tcPr>
            <w:tcW w:w="0" w:type="auto"/>
            <w:hideMark/>
          </w:tcPr>
          <w:p w14:paraId="505FB822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PD1</w:t>
            </w:r>
          </w:p>
        </w:tc>
        <w:tc>
          <w:tcPr>
            <w:tcW w:w="0" w:type="auto"/>
            <w:hideMark/>
          </w:tcPr>
          <w:p w14:paraId="0327C699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Analytic Thinking</w:t>
            </w:r>
          </w:p>
        </w:tc>
        <w:tc>
          <w:tcPr>
            <w:tcW w:w="0" w:type="auto"/>
            <w:hideMark/>
          </w:tcPr>
          <w:p w14:paraId="27FA91AF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Logical reasoning; structured and evidence-based communication style.</w:t>
            </w:r>
          </w:p>
        </w:tc>
      </w:tr>
      <w:tr w:rsidR="00CF5341" w:rsidRPr="00CF5341" w14:paraId="4712BDF1" w14:textId="77777777" w:rsidTr="00CF5341">
        <w:tc>
          <w:tcPr>
            <w:tcW w:w="0" w:type="auto"/>
            <w:hideMark/>
          </w:tcPr>
          <w:p w14:paraId="4FFE83D4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PD2</w:t>
            </w:r>
          </w:p>
        </w:tc>
        <w:tc>
          <w:tcPr>
            <w:tcW w:w="0" w:type="auto"/>
            <w:hideMark/>
          </w:tcPr>
          <w:p w14:paraId="72142E49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Cognitive Processes</w:t>
            </w:r>
          </w:p>
        </w:tc>
        <w:tc>
          <w:tcPr>
            <w:tcW w:w="0" w:type="auto"/>
            <w:hideMark/>
          </w:tcPr>
          <w:p w14:paraId="0B40914C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Use of words indicating reasoning, causality, insight, and mental elaboration.</w:t>
            </w:r>
          </w:p>
        </w:tc>
      </w:tr>
      <w:tr w:rsidR="00CF5341" w:rsidRPr="00CF5341" w14:paraId="31C64267" w14:textId="77777777" w:rsidTr="00CF5341">
        <w:tc>
          <w:tcPr>
            <w:tcW w:w="0" w:type="auto"/>
            <w:hideMark/>
          </w:tcPr>
          <w:p w14:paraId="350D9C45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PD3</w:t>
            </w:r>
          </w:p>
        </w:tc>
        <w:tc>
          <w:tcPr>
            <w:tcW w:w="0" w:type="auto"/>
            <w:hideMark/>
          </w:tcPr>
          <w:p w14:paraId="6630D51C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Authenticity</w:t>
            </w:r>
          </w:p>
        </w:tc>
        <w:tc>
          <w:tcPr>
            <w:tcW w:w="0" w:type="auto"/>
            <w:hideMark/>
          </w:tcPr>
          <w:p w14:paraId="7A6C8F66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Expressions of genuineness, sincerity, and self-disclosure within the narrative.</w:t>
            </w:r>
          </w:p>
        </w:tc>
      </w:tr>
      <w:tr w:rsidR="00CF5341" w:rsidRPr="00CF5341" w14:paraId="017B5B0C" w14:textId="77777777" w:rsidTr="00CF5341">
        <w:tc>
          <w:tcPr>
            <w:tcW w:w="0" w:type="auto"/>
            <w:hideMark/>
          </w:tcPr>
          <w:p w14:paraId="1DEE371F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PD4</w:t>
            </w:r>
          </w:p>
        </w:tc>
        <w:tc>
          <w:tcPr>
            <w:tcW w:w="0" w:type="auto"/>
            <w:hideMark/>
          </w:tcPr>
          <w:p w14:paraId="56C56199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Moralization</w:t>
            </w:r>
          </w:p>
        </w:tc>
        <w:tc>
          <w:tcPr>
            <w:tcW w:w="0" w:type="auto"/>
            <w:hideMark/>
          </w:tcPr>
          <w:p w14:paraId="6D3E1367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Ethical framing, moral values, and norm-based appeals used to influence perceptions.</w:t>
            </w:r>
          </w:p>
        </w:tc>
      </w:tr>
      <w:tr w:rsidR="00CF5341" w:rsidRPr="00CF5341" w14:paraId="10A4EEC5" w14:textId="77777777" w:rsidTr="00CF5341">
        <w:tc>
          <w:tcPr>
            <w:tcW w:w="0" w:type="auto"/>
            <w:hideMark/>
          </w:tcPr>
          <w:p w14:paraId="74607BF3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PD5</w:t>
            </w:r>
          </w:p>
        </w:tc>
        <w:tc>
          <w:tcPr>
            <w:tcW w:w="0" w:type="auto"/>
            <w:hideMark/>
          </w:tcPr>
          <w:p w14:paraId="34801A02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Social Words</w:t>
            </w:r>
          </w:p>
        </w:tc>
        <w:tc>
          <w:tcPr>
            <w:tcW w:w="0" w:type="auto"/>
            <w:hideMark/>
          </w:tcPr>
          <w:p w14:paraId="31727FF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References to social relationships, collective identity, inclusivity, and community engagement.</w:t>
            </w:r>
          </w:p>
        </w:tc>
      </w:tr>
      <w:tr w:rsidR="00CF5341" w:rsidRPr="00CF5341" w14:paraId="0D05F5EF" w14:textId="77777777" w:rsidTr="00CF5341">
        <w:tc>
          <w:tcPr>
            <w:tcW w:w="0" w:type="auto"/>
            <w:hideMark/>
          </w:tcPr>
          <w:p w14:paraId="2268B796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PD6</w:t>
            </w:r>
          </w:p>
        </w:tc>
        <w:tc>
          <w:tcPr>
            <w:tcW w:w="0" w:type="auto"/>
            <w:hideMark/>
          </w:tcPr>
          <w:p w14:paraId="2657BBED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I-Words (Personalisation)</w:t>
            </w:r>
          </w:p>
        </w:tc>
        <w:tc>
          <w:tcPr>
            <w:tcW w:w="0" w:type="auto"/>
            <w:hideMark/>
          </w:tcPr>
          <w:p w14:paraId="0ED1430D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 xml:space="preserve">Self-referential language (e.g., </w:t>
            </w:r>
            <w:r w:rsidRPr="00CF5341">
              <w:rPr>
                <w:rFonts w:eastAsia="Calibri"/>
                <w:i/>
                <w:iCs/>
                <w:sz w:val="24"/>
                <w:szCs w:val="24"/>
              </w:rPr>
              <w:t>I, me, my</w:t>
            </w:r>
            <w:r w:rsidRPr="00CF5341">
              <w:rPr>
                <w:rFonts w:eastAsia="Calibri"/>
                <w:sz w:val="24"/>
                <w:szCs w:val="24"/>
              </w:rPr>
              <w:t>) that signals intimacy, personal connection, and relatability.</w:t>
            </w:r>
          </w:p>
        </w:tc>
      </w:tr>
      <w:tr w:rsidR="00CF5341" w:rsidRPr="00CF5341" w14:paraId="3005EF8B" w14:textId="77777777" w:rsidTr="00CF5341">
        <w:tc>
          <w:tcPr>
            <w:tcW w:w="0" w:type="auto"/>
            <w:hideMark/>
          </w:tcPr>
          <w:p w14:paraId="38B88BBF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PD7</w:t>
            </w:r>
          </w:p>
        </w:tc>
        <w:tc>
          <w:tcPr>
            <w:tcW w:w="0" w:type="auto"/>
            <w:hideMark/>
          </w:tcPr>
          <w:p w14:paraId="1AD5E186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Allure</w:t>
            </w:r>
          </w:p>
        </w:tc>
        <w:tc>
          <w:tcPr>
            <w:tcW w:w="0" w:type="auto"/>
            <w:hideMark/>
          </w:tcPr>
          <w:p w14:paraId="1A39A1E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Aspirational, visionary, and emotionally appealing vocabulary that enhances attractiveness.</w:t>
            </w:r>
          </w:p>
        </w:tc>
      </w:tr>
      <w:tr w:rsidR="00CF5341" w:rsidRPr="00CF5341" w14:paraId="24F9F71C" w14:textId="77777777" w:rsidTr="00CF5341">
        <w:tc>
          <w:tcPr>
            <w:tcW w:w="0" w:type="auto"/>
            <w:hideMark/>
          </w:tcPr>
          <w:p w14:paraId="6EC3774B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lastRenderedPageBreak/>
              <w:t>PD8</w:t>
            </w:r>
          </w:p>
        </w:tc>
        <w:tc>
          <w:tcPr>
            <w:tcW w:w="0" w:type="auto"/>
            <w:hideMark/>
          </w:tcPr>
          <w:p w14:paraId="5BC4633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Positive Tone</w:t>
            </w:r>
          </w:p>
        </w:tc>
        <w:tc>
          <w:tcPr>
            <w:tcW w:w="0" w:type="auto"/>
            <w:hideMark/>
          </w:tcPr>
          <w:p w14:paraId="18202A0D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Language conveying optimism, hope, encouragement, and positive sentiment.</w:t>
            </w:r>
          </w:p>
        </w:tc>
      </w:tr>
      <w:tr w:rsidR="00CF5341" w:rsidRPr="00CF5341" w14:paraId="6BAECFC3" w14:textId="77777777" w:rsidTr="00CF5341">
        <w:tc>
          <w:tcPr>
            <w:tcW w:w="0" w:type="auto"/>
            <w:hideMark/>
          </w:tcPr>
          <w:p w14:paraId="2489C477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PD9</w:t>
            </w:r>
          </w:p>
        </w:tc>
        <w:tc>
          <w:tcPr>
            <w:tcW w:w="0" w:type="auto"/>
            <w:hideMark/>
          </w:tcPr>
          <w:p w14:paraId="5442D428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Negative Tone</w:t>
            </w:r>
          </w:p>
        </w:tc>
        <w:tc>
          <w:tcPr>
            <w:tcW w:w="0" w:type="auto"/>
            <w:hideMark/>
          </w:tcPr>
          <w:p w14:paraId="22D1F4F3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Language reflecting risk awareness, urgency, concern, sadness, or cautionary framing.</w:t>
            </w:r>
          </w:p>
        </w:tc>
      </w:tr>
    </w:tbl>
    <w:p w14:paraId="45B57F4F" w14:textId="77777777" w:rsidR="0037415E" w:rsidRDefault="0037415E" w:rsidP="0037415E">
      <w:pPr>
        <w:pStyle w:val="ListParagraph"/>
        <w:rPr>
          <w:rFonts w:eastAsia="Calibri"/>
          <w:sz w:val="24"/>
          <w:szCs w:val="24"/>
        </w:rPr>
      </w:pPr>
    </w:p>
    <w:p w14:paraId="76B74144" w14:textId="1A20F09D" w:rsidR="00F50AD9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>Two additional macro-level LIWC summary variables</w:t>
      </w:r>
      <w:r w:rsidR="0092472F" w:rsidRPr="0037415E">
        <w:rPr>
          <w:rFonts w:eastAsia="Calibri"/>
          <w:sz w:val="24"/>
          <w:szCs w:val="24"/>
        </w:rPr>
        <w:t>, Clout and (composite) Emotional Tone,</w:t>
      </w:r>
      <w:r w:rsidRPr="0037415E">
        <w:rPr>
          <w:rFonts w:eastAsia="Calibri"/>
          <w:sz w:val="24"/>
          <w:szCs w:val="24"/>
        </w:rPr>
        <w:t xml:space="preserve"> are named in the RQ2 methodology narrative as part of the “advanced” LIWC layer, alongside Analytic and Authenticity above; the manuscript does not report separate descriptive or regression statistics for Clout beyond the Table 8</w:t>
      </w:r>
      <w:r w:rsidR="00573CAA">
        <w:rPr>
          <w:rFonts w:eastAsia="Calibri"/>
          <w:sz w:val="24"/>
          <w:szCs w:val="24"/>
        </w:rPr>
        <w:t xml:space="preserve"> and </w:t>
      </w:r>
      <w:r w:rsidRPr="0037415E">
        <w:rPr>
          <w:rFonts w:eastAsia="Calibri"/>
          <w:sz w:val="24"/>
          <w:szCs w:val="24"/>
        </w:rPr>
        <w:t>9 figures already listed.</w:t>
      </w:r>
    </w:p>
    <w:p w14:paraId="13104B0C" w14:textId="77777777" w:rsidR="0037415E" w:rsidRPr="0037415E" w:rsidRDefault="0037415E" w:rsidP="0037415E">
      <w:pPr>
        <w:pStyle w:val="ListParagraph"/>
        <w:rPr>
          <w:sz w:val="24"/>
          <w:szCs w:val="24"/>
        </w:rPr>
      </w:pPr>
    </w:p>
    <w:p w14:paraId="4995348B" w14:textId="6D9E97E5" w:rsidR="00C60A25" w:rsidRDefault="00000000" w:rsidP="00C60A25">
      <w:pPr>
        <w:pStyle w:val="ListParagraph"/>
        <w:numPr>
          <w:ilvl w:val="1"/>
          <w:numId w:val="3"/>
        </w:numPr>
        <w:rPr>
          <w:b/>
          <w:bCs/>
          <w:sz w:val="24"/>
          <w:szCs w:val="24"/>
        </w:rPr>
      </w:pPr>
      <w:r w:rsidRPr="0037415E">
        <w:rPr>
          <w:b/>
          <w:bCs/>
          <w:sz w:val="24"/>
          <w:szCs w:val="24"/>
        </w:rPr>
        <w:t>Control variables</w:t>
      </w:r>
    </w:p>
    <w:p w14:paraId="4C640923" w14:textId="77777777" w:rsidR="00C60A25" w:rsidRPr="00C60A25" w:rsidRDefault="00C60A25" w:rsidP="00C60A25">
      <w:pPr>
        <w:pStyle w:val="ListParagraph"/>
        <w:ind w:left="720"/>
        <w:rPr>
          <w:b/>
          <w:bCs/>
          <w:sz w:val="24"/>
          <w:szCs w:val="24"/>
        </w:rPr>
      </w:pPr>
    </w:p>
    <w:p w14:paraId="5FE959A6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The manuscript lists the following control variables, without reporting their exact coding, units, or reference categories:</w:t>
      </w:r>
    </w:p>
    <w:p w14:paraId="162129D2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Campaign design: goal amount, duration, number of reward tiers, text length, readability score</w:t>
      </w:r>
    </w:p>
    <w:p w14:paraId="114E2214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Media signals: presence of video, number of updates, number of comments</w:t>
      </w:r>
    </w:p>
    <w:p w14:paraId="7D7E02FF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Creator experience: number of prior campaigns, prior success rate</w:t>
      </w:r>
    </w:p>
    <w:p w14:paraId="6645F781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Platform and category: platform dummy (Kickstarter / Indiegogo / Milaap / Ketto), category dummy (waste management / agriculture / renewable energy / community-based climate action)</w:t>
      </w:r>
    </w:p>
    <w:p w14:paraId="25350E45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Temporal factors: launch quarter, launch year, day-of-week</w:t>
      </w:r>
    </w:p>
    <w:p w14:paraId="7F7130F3" w14:textId="77777777" w:rsidR="00F50AD9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>Early traction: first-48-hour pledges and backers (log-transformed)</w:t>
      </w:r>
    </w:p>
    <w:p w14:paraId="190CE057" w14:textId="77777777" w:rsidR="0037415E" w:rsidRPr="0037415E" w:rsidRDefault="0037415E" w:rsidP="0037415E">
      <w:pPr>
        <w:pStyle w:val="ListParagraph"/>
        <w:rPr>
          <w:sz w:val="24"/>
          <w:szCs w:val="24"/>
        </w:rPr>
      </w:pPr>
    </w:p>
    <w:p w14:paraId="3F9F4F24" w14:textId="5800470E" w:rsidR="00F50AD9" w:rsidRDefault="00000000" w:rsidP="00C60A25">
      <w:pPr>
        <w:pStyle w:val="ListParagraph"/>
        <w:numPr>
          <w:ilvl w:val="1"/>
          <w:numId w:val="3"/>
        </w:numPr>
        <w:rPr>
          <w:b/>
          <w:bCs/>
          <w:sz w:val="24"/>
          <w:szCs w:val="24"/>
        </w:rPr>
      </w:pPr>
      <w:r w:rsidRPr="0037415E">
        <w:rPr>
          <w:b/>
          <w:bCs/>
          <w:sz w:val="24"/>
          <w:szCs w:val="24"/>
        </w:rPr>
        <w:t>Coding scheme for expert judgments (Grey-DEMATEL input)</w:t>
      </w:r>
    </w:p>
    <w:p w14:paraId="2D4F586E" w14:textId="77777777" w:rsidR="00C60A25" w:rsidRPr="0037415E" w:rsidRDefault="00C60A25" w:rsidP="00C60A25">
      <w:pPr>
        <w:pStyle w:val="ListParagraph"/>
        <w:ind w:left="720"/>
        <w:rPr>
          <w:b/>
          <w:bCs/>
          <w:sz w:val="24"/>
          <w:szCs w:val="24"/>
        </w:rPr>
      </w:pPr>
    </w:p>
    <w:p w14:paraId="5DABF297" w14:textId="77777777" w:rsidR="00F50AD9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>Fifteen domain experts rated the pairwise directional influence of each psycholinguistic dimension on every other dimension using a six-level linguistic scale, converted to grey-number intervals and crisp values as follows:</w:t>
      </w:r>
    </w:p>
    <w:p w14:paraId="671A71B7" w14:textId="77777777" w:rsidR="002F45A8" w:rsidRPr="0037415E" w:rsidRDefault="002F45A8" w:rsidP="0037415E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9"/>
        <w:gridCol w:w="3309"/>
        <w:gridCol w:w="1450"/>
      </w:tblGrid>
      <w:tr w:rsidR="00CF5341" w:rsidRPr="00CF5341" w14:paraId="0AABB1D4" w14:textId="77777777" w:rsidTr="00CF5341">
        <w:tc>
          <w:tcPr>
            <w:tcW w:w="0" w:type="auto"/>
            <w:hideMark/>
          </w:tcPr>
          <w:p w14:paraId="54F94B23" w14:textId="77777777" w:rsidR="00CF5341" w:rsidRPr="00CF5341" w:rsidRDefault="00CF5341" w:rsidP="00CF5341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Linguistic Rating</w:t>
            </w:r>
          </w:p>
        </w:tc>
        <w:tc>
          <w:tcPr>
            <w:tcW w:w="0" w:type="auto"/>
            <w:hideMark/>
          </w:tcPr>
          <w:p w14:paraId="7AC451DB" w14:textId="77777777" w:rsidR="00CF5341" w:rsidRPr="00CF5341" w:rsidRDefault="00CF5341" w:rsidP="00CF5341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Grey Number (Lower, Upper)</w:t>
            </w:r>
          </w:p>
        </w:tc>
        <w:tc>
          <w:tcPr>
            <w:tcW w:w="0" w:type="auto"/>
            <w:hideMark/>
          </w:tcPr>
          <w:p w14:paraId="58853E16" w14:textId="77777777" w:rsidR="00CF5341" w:rsidRPr="00CF5341" w:rsidRDefault="00CF5341" w:rsidP="00CF5341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CF5341">
              <w:rPr>
                <w:rFonts w:eastAsia="Calibri"/>
                <w:b/>
                <w:bCs/>
                <w:sz w:val="24"/>
                <w:szCs w:val="24"/>
              </w:rPr>
              <w:t>Crisp Value</w:t>
            </w:r>
          </w:p>
        </w:tc>
      </w:tr>
      <w:tr w:rsidR="00CF5341" w:rsidRPr="00CF5341" w14:paraId="580477FB" w14:textId="77777777" w:rsidTr="00CF5341">
        <w:tc>
          <w:tcPr>
            <w:tcW w:w="0" w:type="auto"/>
            <w:hideMark/>
          </w:tcPr>
          <w:p w14:paraId="77D1D1B4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No Influence (N)</w:t>
            </w:r>
          </w:p>
        </w:tc>
        <w:tc>
          <w:tcPr>
            <w:tcW w:w="0" w:type="auto"/>
            <w:hideMark/>
          </w:tcPr>
          <w:p w14:paraId="4766CF5D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(0, 0)</w:t>
            </w:r>
          </w:p>
        </w:tc>
        <w:tc>
          <w:tcPr>
            <w:tcW w:w="0" w:type="auto"/>
            <w:hideMark/>
          </w:tcPr>
          <w:p w14:paraId="4E2E0F0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CF5341" w:rsidRPr="00CF5341" w14:paraId="6A78A01D" w14:textId="77777777" w:rsidTr="00CF5341">
        <w:tc>
          <w:tcPr>
            <w:tcW w:w="0" w:type="auto"/>
            <w:hideMark/>
          </w:tcPr>
          <w:p w14:paraId="3E7BC79A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Very Low Influence (VL)</w:t>
            </w:r>
          </w:p>
        </w:tc>
        <w:tc>
          <w:tcPr>
            <w:tcW w:w="0" w:type="auto"/>
            <w:hideMark/>
          </w:tcPr>
          <w:p w14:paraId="2DA53C9B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(0, 0.25)</w:t>
            </w:r>
          </w:p>
        </w:tc>
        <w:tc>
          <w:tcPr>
            <w:tcW w:w="0" w:type="auto"/>
            <w:hideMark/>
          </w:tcPr>
          <w:p w14:paraId="3712E219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CF5341" w:rsidRPr="00CF5341" w14:paraId="10A82BC1" w14:textId="77777777" w:rsidTr="00CF5341">
        <w:tc>
          <w:tcPr>
            <w:tcW w:w="0" w:type="auto"/>
            <w:hideMark/>
          </w:tcPr>
          <w:p w14:paraId="30A359D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Low Influence (L)</w:t>
            </w:r>
          </w:p>
        </w:tc>
        <w:tc>
          <w:tcPr>
            <w:tcW w:w="0" w:type="auto"/>
            <w:hideMark/>
          </w:tcPr>
          <w:p w14:paraId="05BB719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(0.25, 0.50)</w:t>
            </w:r>
          </w:p>
        </w:tc>
        <w:tc>
          <w:tcPr>
            <w:tcW w:w="0" w:type="auto"/>
            <w:hideMark/>
          </w:tcPr>
          <w:p w14:paraId="03027752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CF5341" w:rsidRPr="00CF5341" w14:paraId="5E521806" w14:textId="77777777" w:rsidTr="00CF5341">
        <w:tc>
          <w:tcPr>
            <w:tcW w:w="0" w:type="auto"/>
            <w:hideMark/>
          </w:tcPr>
          <w:p w14:paraId="1EA34FFA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Medium Influence (M)</w:t>
            </w:r>
          </w:p>
        </w:tc>
        <w:tc>
          <w:tcPr>
            <w:tcW w:w="0" w:type="auto"/>
            <w:hideMark/>
          </w:tcPr>
          <w:p w14:paraId="7A3FF186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(0.50, 0.65)</w:t>
            </w:r>
          </w:p>
        </w:tc>
        <w:tc>
          <w:tcPr>
            <w:tcW w:w="0" w:type="auto"/>
            <w:hideMark/>
          </w:tcPr>
          <w:p w14:paraId="02219B5E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F5341" w:rsidRPr="00CF5341" w14:paraId="16AD0ACF" w14:textId="77777777" w:rsidTr="00CF5341">
        <w:tc>
          <w:tcPr>
            <w:tcW w:w="0" w:type="auto"/>
            <w:hideMark/>
          </w:tcPr>
          <w:p w14:paraId="0E7084D6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High Influence (H)</w:t>
            </w:r>
          </w:p>
        </w:tc>
        <w:tc>
          <w:tcPr>
            <w:tcW w:w="0" w:type="auto"/>
            <w:hideMark/>
          </w:tcPr>
          <w:p w14:paraId="0DA4CA61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(0.65, 0.85)</w:t>
            </w:r>
          </w:p>
        </w:tc>
        <w:tc>
          <w:tcPr>
            <w:tcW w:w="0" w:type="auto"/>
            <w:hideMark/>
          </w:tcPr>
          <w:p w14:paraId="05F4AD67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CF5341" w:rsidRPr="00CF5341" w14:paraId="4B0E8229" w14:textId="77777777" w:rsidTr="00CF5341">
        <w:tc>
          <w:tcPr>
            <w:tcW w:w="0" w:type="auto"/>
            <w:hideMark/>
          </w:tcPr>
          <w:p w14:paraId="07845822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Very Strong Influence (VH)</w:t>
            </w:r>
          </w:p>
        </w:tc>
        <w:tc>
          <w:tcPr>
            <w:tcW w:w="0" w:type="auto"/>
            <w:hideMark/>
          </w:tcPr>
          <w:p w14:paraId="7B35B4EA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(0.85, 1.00)</w:t>
            </w:r>
          </w:p>
        </w:tc>
        <w:tc>
          <w:tcPr>
            <w:tcW w:w="0" w:type="auto"/>
            <w:hideMark/>
          </w:tcPr>
          <w:p w14:paraId="566A676C" w14:textId="77777777" w:rsidR="00CF5341" w:rsidRPr="00CF5341" w:rsidRDefault="00CF5341" w:rsidP="00CF5341">
            <w:pPr>
              <w:pStyle w:val="ListParagraph"/>
              <w:rPr>
                <w:rFonts w:eastAsia="Calibri"/>
                <w:sz w:val="24"/>
                <w:szCs w:val="24"/>
              </w:rPr>
            </w:pPr>
            <w:r w:rsidRPr="00CF5341">
              <w:rPr>
                <w:rFonts w:eastAsia="Calibri"/>
                <w:sz w:val="24"/>
                <w:szCs w:val="24"/>
              </w:rPr>
              <w:t>5</w:t>
            </w:r>
          </w:p>
        </w:tc>
      </w:tr>
    </w:tbl>
    <w:p w14:paraId="5ACDE3E2" w14:textId="77777777" w:rsidR="0037415E" w:rsidRDefault="0037415E" w:rsidP="0037415E">
      <w:pPr>
        <w:pStyle w:val="ListParagraph"/>
        <w:rPr>
          <w:rFonts w:eastAsia="Calibri"/>
          <w:sz w:val="24"/>
          <w:szCs w:val="24"/>
        </w:rPr>
      </w:pPr>
    </w:p>
    <w:p w14:paraId="79958267" w14:textId="3088445A" w:rsidR="00F50AD9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>Diagonal entries (aᵢᵢ) were fixed at 0 for every expert matrix (a factor</w:t>
      </w:r>
      <w:r w:rsidR="002F45A8">
        <w:rPr>
          <w:rFonts w:eastAsia="Calibri"/>
          <w:sz w:val="24"/>
          <w:szCs w:val="24"/>
        </w:rPr>
        <w:t>’</w:t>
      </w:r>
      <w:r w:rsidRPr="0037415E">
        <w:rPr>
          <w:rFonts w:eastAsia="Calibri"/>
          <w:sz w:val="24"/>
          <w:szCs w:val="24"/>
        </w:rPr>
        <w:t>s influence on itself is not rated).</w:t>
      </w:r>
    </w:p>
    <w:p w14:paraId="157FD770" w14:textId="77777777" w:rsidR="0037415E" w:rsidRPr="0037415E" w:rsidRDefault="0037415E" w:rsidP="0037415E">
      <w:pPr>
        <w:pStyle w:val="ListParagraph"/>
        <w:rPr>
          <w:sz w:val="24"/>
          <w:szCs w:val="24"/>
        </w:rPr>
      </w:pPr>
    </w:p>
    <w:p w14:paraId="77B8AB1E" w14:textId="5E19B65B" w:rsidR="00F50AD9" w:rsidRDefault="00000000" w:rsidP="00C60A25">
      <w:pPr>
        <w:pStyle w:val="ListParagraph"/>
        <w:numPr>
          <w:ilvl w:val="1"/>
          <w:numId w:val="3"/>
        </w:numPr>
        <w:rPr>
          <w:b/>
          <w:bCs/>
          <w:sz w:val="24"/>
          <w:szCs w:val="24"/>
        </w:rPr>
      </w:pPr>
      <w:r w:rsidRPr="0037415E">
        <w:rPr>
          <w:b/>
          <w:bCs/>
          <w:sz w:val="24"/>
          <w:szCs w:val="24"/>
        </w:rPr>
        <w:t>Transformations applied</w:t>
      </w:r>
    </w:p>
    <w:p w14:paraId="6FB3C1AB" w14:textId="77777777" w:rsidR="00C60A25" w:rsidRPr="00C60A25" w:rsidRDefault="00C60A25" w:rsidP="00C60A25">
      <w:pPr>
        <w:ind w:left="360"/>
        <w:rPr>
          <w:b/>
          <w:bCs/>
          <w:sz w:val="24"/>
          <w:szCs w:val="24"/>
        </w:rPr>
      </w:pPr>
    </w:p>
    <w:p w14:paraId="028987ED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LIWC scores: expressed as a percentage of total words per campaign narrative (standard LIWC output convention).</w:t>
      </w:r>
    </w:p>
    <w:p w14:paraId="71304378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Negative Tone: entered with an additional quadratic term to capture a hypothesised non-linear effect on outcomes.</w:t>
      </w:r>
    </w:p>
    <w:p w14:paraId="63995186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Early-traction variables (first 48-hour pledges/backers): log-transformed.</w:t>
      </w:r>
    </w:p>
    <w:p w14:paraId="0BD96710" w14:textId="77777777" w:rsidR="00F50AD9" w:rsidRPr="0037415E" w:rsidRDefault="00000000" w:rsidP="0037415E">
      <w:pPr>
        <w:pStyle w:val="ListParagraph"/>
        <w:rPr>
          <w:sz w:val="24"/>
          <w:szCs w:val="24"/>
        </w:rPr>
      </w:pPr>
      <w:r w:rsidRPr="0037415E">
        <w:rPr>
          <w:rFonts w:eastAsia="Calibri"/>
          <w:sz w:val="24"/>
          <w:szCs w:val="24"/>
        </w:rPr>
        <w:t>Expert grey-interval judgments: aggregated across the 15 experts by averaging lower and upper bounds, then normalised by the row-max scaling factor s, then defuzzified to a single crisp value via the mean-of-bounds method (formulae in Section 2).</w:t>
      </w:r>
    </w:p>
    <w:p w14:paraId="03C41997" w14:textId="417BCDFC" w:rsidR="002F45A8" w:rsidRPr="00C60A25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 xml:space="preserve">Text preprocessing </w:t>
      </w:r>
      <w:r w:rsidR="0037415E">
        <w:rPr>
          <w:rFonts w:eastAsia="Calibri"/>
          <w:sz w:val="24"/>
          <w:szCs w:val="24"/>
        </w:rPr>
        <w:t>before</w:t>
      </w:r>
      <w:r w:rsidRPr="0037415E">
        <w:rPr>
          <w:rFonts w:eastAsia="Calibri"/>
          <w:sz w:val="24"/>
          <w:szCs w:val="24"/>
        </w:rPr>
        <w:t xml:space="preserve"> LIWC scoring: stopword removal, punctuation stripping, and normalisation.</w:t>
      </w:r>
    </w:p>
    <w:p w14:paraId="600C7D01" w14:textId="77777777" w:rsidR="002F45A8" w:rsidRDefault="002F45A8" w:rsidP="002F45A8">
      <w:pPr>
        <w:rPr>
          <w:b/>
          <w:bCs/>
          <w:sz w:val="24"/>
          <w:szCs w:val="24"/>
        </w:rPr>
      </w:pPr>
    </w:p>
    <w:p w14:paraId="07732C6D" w14:textId="5E7C148C" w:rsidR="00F50AD9" w:rsidRDefault="00000000" w:rsidP="002F45A8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2F45A8">
        <w:rPr>
          <w:b/>
          <w:bCs/>
          <w:sz w:val="24"/>
          <w:szCs w:val="24"/>
        </w:rPr>
        <w:t>Formulae, Statistical Code, and Scripts</w:t>
      </w:r>
    </w:p>
    <w:p w14:paraId="5C303049" w14:textId="77777777" w:rsidR="00C60A25" w:rsidRPr="002F45A8" w:rsidRDefault="00C60A25" w:rsidP="00C60A25">
      <w:pPr>
        <w:pStyle w:val="ListParagraph"/>
        <w:ind w:left="720"/>
        <w:rPr>
          <w:b/>
          <w:bCs/>
          <w:sz w:val="24"/>
          <w:szCs w:val="24"/>
        </w:rPr>
      </w:pPr>
    </w:p>
    <w:p w14:paraId="687C181A" w14:textId="77777777" w:rsidR="00F50AD9" w:rsidRDefault="00000000" w:rsidP="0037415E">
      <w:pPr>
        <w:pStyle w:val="ListParagraph"/>
        <w:rPr>
          <w:rFonts w:eastAsia="Calibri"/>
          <w:sz w:val="24"/>
          <w:szCs w:val="24"/>
        </w:rPr>
      </w:pPr>
      <w:r w:rsidRPr="0037415E">
        <w:rPr>
          <w:rFonts w:eastAsia="Calibri"/>
          <w:sz w:val="24"/>
          <w:szCs w:val="24"/>
        </w:rPr>
        <w:t>The manuscript reports the analytic formulae below in narrative/equation form. It does not include an executable script, code appendix, or software log. This section reproduces the stated formulae and flags what would need to be supplied separately for a code-level audit.</w:t>
      </w:r>
    </w:p>
    <w:p w14:paraId="72C9DC92" w14:textId="77777777" w:rsidR="00CF5341" w:rsidRDefault="00CF5341" w:rsidP="0037415E">
      <w:pPr>
        <w:pStyle w:val="ListParagraph"/>
        <w:rPr>
          <w:rFonts w:eastAsia="Calibri"/>
          <w:sz w:val="24"/>
          <w:szCs w:val="24"/>
        </w:rPr>
      </w:pPr>
    </w:p>
    <w:p w14:paraId="7BB59AB9" w14:textId="383C15D3" w:rsidR="00F50AD9" w:rsidRPr="00064DBE" w:rsidRDefault="00064DBE" w:rsidP="00064DBE">
      <w:pPr>
        <w:pStyle w:val="ListParagraph"/>
        <w:ind w:left="720"/>
        <w:rPr>
          <w:b/>
          <w:bCs/>
          <w:sz w:val="24"/>
          <w:szCs w:val="24"/>
        </w:rPr>
      </w:pPr>
      <w:r w:rsidRPr="00064DBE">
        <w:rPr>
          <w:b/>
          <w:bCs/>
          <w:sz w:val="24"/>
          <w:szCs w:val="24"/>
        </w:rPr>
        <w:t>2.1 Grey-DEMATEL procedure (used for RQ1)</w:t>
      </w:r>
    </w:p>
    <w:p w14:paraId="0526ED7E" w14:textId="243FC21A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>
        <w:rPr>
          <w:sz w:val="24"/>
          <w:szCs w:val="24"/>
        </w:rPr>
        <w:t>S</w:t>
      </w:r>
      <w:r w:rsidRPr="00064DBE">
        <w:rPr>
          <w:sz w:val="24"/>
          <w:szCs w:val="24"/>
        </w:rPr>
        <w:t>tep 1: Individual Expert Grey Direct-Influence Matrices</w:t>
      </w:r>
    </w:p>
    <w:p w14:paraId="4171C088" w14:textId="04228F45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For expert 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Pr="00064DBE">
        <w:rPr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k=1,2,…,l</m:t>
        </m:r>
      </m:oMath>
      <w:r w:rsidRPr="00064DBE">
        <w:rPr>
          <w:sz w:val="24"/>
          <w:szCs w:val="24"/>
        </w:rPr>
        <w:t>), the grey direct-relation matrix is:</w:t>
      </w:r>
    </w:p>
    <w:p w14:paraId="43F3FF5E" w14:textId="4AC071A4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</m:d>
                    </m:sup>
                  </m:sSubSup>
                </m:e>
              </m:d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n×n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02988A73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where each assessment is represented as a grey number:</w:t>
      </w:r>
    </w:p>
    <w:p w14:paraId="31041454" w14:textId="6B4BA611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  <m:sup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sepChr m:val=",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SupPr>
                <m:e>
                  <m:groupChr>
                    <m:groupChrPr>
                      <m:chr m:val="‾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groupCh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</m:d>
                </m:sup>
              </m:sSubSup>
            </m:e>
            <m:e>
              <m:sSubSup>
                <m:sSub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SupPr>
                <m:e>
                  <m:groupChr>
                    <m:groupChrPr>
                      <m:chr m:val="‾"/>
                      <m:pos m:val="top"/>
                      <m:vertJc m:val="bot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groupCh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</m:d>
                </m:sup>
              </m:sSubSup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048C96FD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with</w:t>
      </w:r>
    </w:p>
    <w:p w14:paraId="2089226E" w14:textId="6F6A8A5E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ii</m:t>
              </m:r>
            </m:sub>
            <m:sup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  <w:sz w:val="24"/>
              <w:szCs w:val="24"/>
            </w:rPr>
            <m:t>=0, i=1,2,…,n</m:t>
          </m:r>
          <m:r>
            <w:rPr>
              <w:sz w:val="24"/>
              <w:szCs w:val="24"/>
            </w:rPr>
            <w:br/>
          </m:r>
        </m:oMath>
      </m:oMathPara>
    </w:p>
    <w:p w14:paraId="47FAAA7B" w14:textId="741E0BDA" w:rsidR="00064DBE" w:rsidRPr="00064DBE" w:rsidRDefault="00064DBE" w:rsidP="00064DBE">
      <w:pPr>
        <w:rPr>
          <w:sz w:val="24"/>
          <w:szCs w:val="24"/>
        </w:rPr>
      </w:pPr>
    </w:p>
    <w:p w14:paraId="766B0653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Step 2: Aggregation of Expert Judgments</w:t>
      </w:r>
    </w:p>
    <w:p w14:paraId="02DE8F99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The aggregated grey direct-relation matrix is:</w:t>
      </w:r>
    </w:p>
    <w:p w14:paraId="2F37945C" w14:textId="57BFD4F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n×n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0243549C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where</w:t>
      </w:r>
    </w:p>
    <w:p w14:paraId="6C119E37" w14:textId="40450DC0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sepChr m:val=",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e>
            <m:e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groupChr>
                        <m:groupChrPr>
                          <m:chr m:val="‾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</m:d>
                    </m:sup>
                  </m:sSubSup>
                </m:e>
              </m:nary>
              <m:r>
                <m:rPr>
                  <m:nor/>
                </m:rPr>
                <w:rPr>
                  <w:sz w:val="24"/>
                  <w:szCs w:val="24"/>
                </w:rPr>
                <m:t> 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groupChr>
                        <m:groupChrPr>
                          <m:chr m:val="‾"/>
                          <m:pos m:val="top"/>
                          <m:vertJc m:val="bot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</m:d>
                    </m:sup>
                  </m:sSubSup>
                </m:e>
              </m:nary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7AEF9100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for</w:t>
      </w:r>
    </w:p>
    <w:p w14:paraId="6F4CBD23" w14:textId="7BB2643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i,j=1,2,…,n.</m:t>
          </m:r>
          <m:r>
            <w:rPr>
              <w:sz w:val="24"/>
              <w:szCs w:val="24"/>
            </w:rPr>
            <w:br/>
          </m:r>
        </m:oMath>
      </m:oMathPara>
    </w:p>
    <w:p w14:paraId="6E00D0E9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Step 3: Determination of the Normalization Factor</w:t>
      </w:r>
    </w:p>
    <w:p w14:paraId="305B7BBF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The normalization coefficient is calculated as:</w:t>
      </w:r>
    </w:p>
    <w:p w14:paraId="40A72707" w14:textId="39BB55F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s=</m:t>
          </m:r>
          <m:limLow>
            <m:limLowPr>
              <m:ctrlPr>
                <w:rPr>
                  <w:rFonts w:ascii="Cambria Math" w:hAnsi="Cambria Math"/>
                  <w:sz w:val="24"/>
                  <w:szCs w:val="24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max</m:t>
              </m:r>
            </m:e>
            <m:lim>
              <m:r>
                <w:rPr>
                  <w:rFonts w:ascii="Cambria Math" w:hAnsi="Cambria Math"/>
                  <w:sz w:val="24"/>
                  <w:szCs w:val="24"/>
                </w:rPr>
                <m:t>1≤i≤n</m:t>
              </m:r>
            </m:lim>
          </m:limLow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pos m:val="top"/>
                          <m:vertJc m:val="bot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nary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67910CCF" w14:textId="41CB62A0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groupChr>
              <m:groupChrPr>
                <m:chr m:val="‾"/>
                <m:pos m:val="top"/>
                <m:vertJc m:val="bot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groupCh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Pr="00064DBE">
        <w:rPr>
          <w:sz w:val="24"/>
          <w:szCs w:val="24"/>
        </w:rPr>
        <w:t>denotes the upper bound of the grey number.</w:t>
      </w:r>
    </w:p>
    <w:p w14:paraId="42A5562A" w14:textId="05BAD8D0" w:rsidR="00064DBE" w:rsidRPr="00064DBE" w:rsidRDefault="00064DBE" w:rsidP="00064DBE">
      <w:pPr>
        <w:rPr>
          <w:sz w:val="24"/>
          <w:szCs w:val="24"/>
        </w:rPr>
      </w:pPr>
    </w:p>
    <w:p w14:paraId="5BE7517D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Step 4: Normalized Grey Direct-Relation Matrix</w:t>
      </w:r>
    </w:p>
    <w:p w14:paraId="542E0625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The normalized matrix is:</w:t>
      </w:r>
    </w:p>
    <w:p w14:paraId="04AE9C33" w14:textId="64861A96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39AB1370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with</w:t>
      </w:r>
    </w:p>
    <w:p w14:paraId="1D77A423" w14:textId="5EECD1C4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sepChr m:val=",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</m: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pos m:val="top"/>
                          <m:vertJc m:val="bot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  <m:r>
            <w:rPr>
              <w:sz w:val="24"/>
              <w:szCs w:val="24"/>
            </w:rPr>
            <w:br/>
          </m:r>
        </m:oMath>
      </m:oMathPara>
    </w:p>
    <w:p w14:paraId="11E0A178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lastRenderedPageBreak/>
        <w:t>Step 5: Defuzzification (Crisp Direct-Relation Matrix)</w:t>
      </w:r>
    </w:p>
    <w:p w14:paraId="719F2865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The normalized grey numbers are transformed into crisp values using the mean-of-bounds method:</w:t>
      </w:r>
    </w:p>
    <w:p w14:paraId="01DDA68D" w14:textId="2ECBBEED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pos m:val="top"/>
                          <m:vertJc m:val="bot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den>
              </m:f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2F4B2C71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which simplifies to</w:t>
      </w:r>
    </w:p>
    <w:p w14:paraId="71F4ADE3" w14:textId="0810F73B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groupChr>
                    <m:groupChrPr>
                      <m:chr m:val="‾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groupCh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groupChr>
                    <m:groupChrPr>
                      <m:chr m:val="‾"/>
                      <m:pos m:val="top"/>
                      <m:vertJc m:val="bot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groupCh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2s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  <m:r>
            <w:rPr>
              <w:sz w:val="24"/>
              <w:szCs w:val="24"/>
            </w:rPr>
            <w:br/>
          </m:r>
        </m:oMath>
      </m:oMathPara>
    </w:p>
    <w:p w14:paraId="52BFCF35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The crisp direct-relation matrix is</w:t>
      </w:r>
    </w:p>
    <w:p w14:paraId="0BA5C1FC" w14:textId="5EBF07FD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X=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n×n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.</m:t>
          </m:r>
          <m:r>
            <w:rPr>
              <w:sz w:val="24"/>
              <w:szCs w:val="24"/>
            </w:rPr>
            <w:br/>
          </m:r>
        </m:oMath>
      </m:oMathPara>
    </w:p>
    <w:p w14:paraId="710F8496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Step 6: Total-Relation Matrix</w:t>
      </w:r>
    </w:p>
    <w:p w14:paraId="7B5E567D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The total-relation matrix is obtained by:</w:t>
      </w:r>
    </w:p>
    <w:p w14:paraId="6D28FE1B" w14:textId="12E8CD53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T=X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I-X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p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58A94605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where</w:t>
      </w:r>
    </w:p>
    <w:p w14:paraId="70F02387" w14:textId="2EED909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I=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⋮</m:t>
                    </m:r>
                    <m:phant>
                      <m:phantPr>
                        <m:zeroAsc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phant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 </m:t>
                        </m:r>
                      </m:e>
                    </m:phant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⋮</m:t>
                    </m:r>
                    <m:phant>
                      <m:phantPr>
                        <m:zeroAsc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phant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 </m:t>
                        </m:r>
                      </m:e>
                    </m:phant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⋱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⋮</m:t>
                    </m:r>
                    <m:phant>
                      <m:phantPr>
                        <m:zeroAsc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phant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 </m:t>
                        </m:r>
                      </m:e>
                    </m:phant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478FD998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is the identity matrix.</w:t>
      </w:r>
    </w:p>
    <w:p w14:paraId="749B7741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Equivalently,</w:t>
      </w:r>
    </w:p>
    <w:p w14:paraId="0B3AED0E" w14:textId="748E33DE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T=X+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+⋯</m:t>
          </m:r>
          <m:r>
            <w:rPr>
              <w:sz w:val="24"/>
              <w:szCs w:val="24"/>
            </w:rPr>
            <w:br/>
          </m:r>
        </m:oMath>
      </m:oMathPara>
    </w:p>
    <w:p w14:paraId="6EA4F00D" w14:textId="6302B72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provided the spectral radius of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064DBE">
        <w:rPr>
          <w:sz w:val="24"/>
          <w:szCs w:val="24"/>
        </w:rPr>
        <w:t>is less than 1.</w:t>
      </w:r>
    </w:p>
    <w:p w14:paraId="489A04E1" w14:textId="61A270B1" w:rsidR="00064DBE" w:rsidRPr="00064DBE" w:rsidRDefault="00064DBE" w:rsidP="00064DBE">
      <w:pPr>
        <w:rPr>
          <w:sz w:val="24"/>
          <w:szCs w:val="24"/>
        </w:rPr>
      </w:pPr>
    </w:p>
    <w:p w14:paraId="57BA03C7" w14:textId="65FA8070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Step 7: Computation of </w:t>
      </w:r>
      <m:oMath>
        <m:r>
          <w:rPr>
            <w:rFonts w:ascii="Cambria Math" w:hAnsi="Cambria Math"/>
            <w:sz w:val="24"/>
            <w:szCs w:val="24"/>
          </w:rPr>
          <m:t>D</m:t>
        </m:r>
      </m:oMath>
      <w:r w:rsidRPr="00064DBE">
        <w:rPr>
          <w:sz w:val="24"/>
          <w:szCs w:val="24"/>
        </w:rPr>
        <w:t xml:space="preserve">and </w:t>
      </w:r>
      <m:oMath>
        <m:r>
          <w:rPr>
            <w:rFonts w:ascii="Cambria Math" w:hAnsi="Cambria Math"/>
            <w:sz w:val="24"/>
            <w:szCs w:val="24"/>
          </w:rPr>
          <m:t>R</m:t>
        </m:r>
      </m:oMath>
    </w:p>
    <w:p w14:paraId="162FD38B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Dispatching influence (row sum)</w:t>
      </w:r>
    </w:p>
    <w:p w14:paraId="43D344B3" w14:textId="46D0C7BA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e>
          </m:nary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1AFF72A1" w14:textId="4DF825BF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Pr="00064DBE">
        <w:rPr>
          <w:sz w:val="24"/>
          <w:szCs w:val="24"/>
        </w:rPr>
        <w:t xml:space="preserve">measures the total influence exerted by factor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064DBE">
        <w:rPr>
          <w:sz w:val="24"/>
          <w:szCs w:val="24"/>
        </w:rPr>
        <w:t>.</w:t>
      </w:r>
    </w:p>
    <w:p w14:paraId="54DD37AB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Receiving influence (column sum)</w:t>
      </w:r>
    </w:p>
    <w:p w14:paraId="45AD8944" w14:textId="73B0C0BB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ji</m:t>
                  </m:r>
                </m:sub>
              </m:sSub>
            </m:e>
          </m:nary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2D77CFFE" w14:textId="3D77FDDA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Pr="00064DBE">
        <w:rPr>
          <w:sz w:val="24"/>
          <w:szCs w:val="24"/>
        </w:rPr>
        <w:t xml:space="preserve">measures the total influence received by factor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064DBE">
        <w:rPr>
          <w:sz w:val="24"/>
          <w:szCs w:val="24"/>
        </w:rPr>
        <w:t>.</w:t>
      </w:r>
    </w:p>
    <w:p w14:paraId="68731864" w14:textId="7E6CE9C5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</w:p>
    <w:p w14:paraId="227B9B5B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Step 8: Prominence and Relation Indices</w:t>
      </w:r>
    </w:p>
    <w:p w14:paraId="7B03C287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Prominence</w:t>
      </w:r>
    </w:p>
    <w:p w14:paraId="5A4AB864" w14:textId="72930B7F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4BABFBB2" w14:textId="77777777" w:rsidR="00064DBE" w:rsidRDefault="00064DBE" w:rsidP="00064DBE">
      <w:pPr>
        <w:pStyle w:val="ListParagraph"/>
        <w:ind w:left="720"/>
        <w:rPr>
          <w:sz w:val="24"/>
          <w:szCs w:val="24"/>
        </w:rPr>
      </w:pPr>
    </w:p>
    <w:p w14:paraId="7F90BE33" w14:textId="33512959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lastRenderedPageBreak/>
        <w:t>A larger value indicates greater overall importance within the system.</w:t>
      </w:r>
    </w:p>
    <w:p w14:paraId="6EDD9D9D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Relation</w:t>
      </w:r>
    </w:p>
    <w:p w14:paraId="46F4903D" w14:textId="378B19E1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2F4E45E9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Interpretation:</w:t>
      </w:r>
    </w:p>
    <w:p w14:paraId="76311EAE" w14:textId="09796A2E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&gt;0 ⇒ </m:t>
          </m:r>
          <m:r>
            <m:rPr>
              <m:nor/>
            </m:rPr>
            <w:rPr>
              <w:sz w:val="24"/>
              <w:szCs w:val="24"/>
            </w:rPr>
            <m:t>Cause Group</m:t>
          </m:r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&lt;0 ⇒ </m:t>
          </m:r>
          <m:r>
            <m:rPr>
              <m:nor/>
            </m:rPr>
            <w:rPr>
              <w:sz w:val="24"/>
              <w:szCs w:val="24"/>
            </w:rPr>
            <m:t>Effect Group</m:t>
          </m:r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=0 ⇒ </m:t>
          </m:r>
          <m:r>
            <m:rPr>
              <m:nor/>
            </m:rPr>
            <w:rPr>
              <w:sz w:val="24"/>
              <w:szCs w:val="24"/>
            </w:rPr>
            <m:t>Balanced Factor</m:t>
          </m:r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5572EBB3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Step 9: Influence–Relation Map (IRM)</w:t>
      </w:r>
    </w:p>
    <w:p w14:paraId="34C920D9" w14:textId="6A2D90B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Each factor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064DBE">
        <w:rPr>
          <w:sz w:val="24"/>
          <w:szCs w:val="24"/>
        </w:rPr>
        <w:t>is represented by the coordinate pair:</w:t>
      </w:r>
    </w:p>
    <w:p w14:paraId="22FDF11C" w14:textId="52F303AA" w:rsidR="00064DBE" w:rsidRPr="00064DBE" w:rsidRDefault="00000000" w:rsidP="00064DBE">
      <w:pPr>
        <w:pStyle w:val="ListParagraph"/>
        <w:ind w:left="720"/>
        <w:rPr>
          <w:sz w:val="24"/>
          <w:szCs w:val="24"/>
        </w:rPr>
      </w:pPr>
      <m:oMathPara>
        <m:oMath>
          <m:d>
            <m:dPr>
              <m:sepChr m:val=",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  <m:e>
              <m:r>
                <m:rPr>
                  <m:nor/>
                </m:rPr>
                <w:rPr>
                  <w:sz w:val="24"/>
                  <w:szCs w:val="24"/>
                </w:rPr>
                <m:t> 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sepChr m:val=",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  <m:e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nor/>
                </m:rPr>
                <w:rPr>
                  <w:sz w:val="24"/>
                  <w:szCs w:val="24"/>
                </w:rPr>
                <m:t> 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03179591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where:</w:t>
      </w:r>
    </w:p>
    <w:p w14:paraId="3AD19FB6" w14:textId="16C4DCB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nor/>
            </m:rPr>
            <w:rPr>
              <w:sz w:val="24"/>
              <w:szCs w:val="24"/>
            </w:rPr>
            <m:t>-axis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r>
            <w:rPr>
              <w:rFonts w:ascii="Cambria Math" w:hAnsi="Cambria Math"/>
              <w:sz w:val="24"/>
              <w:szCs w:val="24"/>
            </w:rPr>
            <m:t>y</m:t>
          </m:r>
          <m:r>
            <m:rPr>
              <m:nor/>
            </m:rPr>
            <w:rPr>
              <w:sz w:val="24"/>
              <w:szCs w:val="24"/>
            </w:rPr>
            <m:t>-axis</m:t>
          </m:r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16E8E044" w14:textId="644FC82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 xml:space="preserve">and marker size is proportional to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Pr="00064DBE">
        <w:rPr>
          <w:sz w:val="24"/>
          <w:szCs w:val="24"/>
        </w:rPr>
        <w:t>.</w:t>
      </w:r>
    </w:p>
    <w:p w14:paraId="7EF03E55" w14:textId="77777777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w:r w:rsidRPr="00064DBE">
        <w:rPr>
          <w:sz w:val="24"/>
          <w:szCs w:val="24"/>
        </w:rPr>
        <w:t>Final Compact DEMATEL Equations</w:t>
      </w:r>
    </w:p>
    <w:p w14:paraId="6E20BADC" w14:textId="0EAFAAD2" w:rsidR="00064DBE" w:rsidRPr="00064DBE" w:rsidRDefault="00064DBE" w:rsidP="00064DBE">
      <w:pPr>
        <w:pStyle w:val="ListParagraph"/>
        <w:ind w:left="7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A=</m:t>
          </m:r>
          <m:d>
            <m:dPr>
              <m:begChr m:val="["/>
              <m:sepChr m:val=",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e>
            <m:e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groupChr>
                        <m:groupChrPr>
                          <m:chr m:val="‾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</m:d>
                    </m:sup>
                  </m:sSubSup>
                </m:e>
              </m:nary>
              <m:r>
                <m:rPr>
                  <m:nor/>
                </m:rPr>
                <w:rPr>
                  <w:sz w:val="24"/>
                  <w:szCs w:val="24"/>
                </w:rPr>
                <m:t> 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groupChr>
                        <m:groupChrPr>
                          <m:chr m:val="‾"/>
                          <m:pos m:val="top"/>
                          <m:vertJc m:val="bot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</m:t>
                          </m:r>
                        </m:e>
                      </m:d>
                    </m:sup>
                  </m:sSubSup>
                </m:e>
              </m:nary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r>
            <w:rPr>
              <w:rFonts w:ascii="Cambria Math" w:hAnsi="Cambria Math"/>
              <w:sz w:val="24"/>
              <w:szCs w:val="24"/>
            </w:rPr>
            <m:t>s=</m:t>
          </m:r>
          <m:limLow>
            <m:limLowPr>
              <m:ctrlPr>
                <w:rPr>
                  <w:rFonts w:ascii="Cambria Math" w:hAnsi="Cambria Math"/>
                  <w:sz w:val="24"/>
                  <w:szCs w:val="24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max</m:t>
              </m:r>
            </m:e>
            <m:lim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lim>
          </m:limLow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j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groupChr>
                    <m:groupChrPr>
                      <m:chr m:val="‾"/>
                      <m:pos m:val="top"/>
                      <m:vertJc m:val="bot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groupCh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e>
          </m:nary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r>
            <w:rPr>
              <w:rFonts w:ascii="Cambria Math" w:hAnsi="Cambria Math"/>
              <w:sz w:val="24"/>
              <w:szCs w:val="24"/>
            </w:rPr>
            <m:t>X=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groupChr>
                        <m:groupChrPr>
                          <m:chr m:val="‾"/>
                          <m:pos m:val="top"/>
                          <m:vertJc m:val="bot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</m:groupCh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2s</m:t>
                  </m:r>
                </m:den>
              </m:f>
            </m:e>
          </m:d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r>
            <w:rPr>
              <w:rFonts w:ascii="Cambria Math" w:hAnsi="Cambria Math"/>
              <w:sz w:val="24"/>
              <w:szCs w:val="24"/>
            </w:rPr>
            <m:t>T=X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I-X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p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j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e>
          </m:nary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j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ji</m:t>
                  </m:r>
                </m:sub>
              </m:sSub>
            </m:e>
          </m:nary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14:paraId="43BB0228" w14:textId="77777777" w:rsidR="00C60A25" w:rsidRPr="00064DBE" w:rsidRDefault="00C60A25" w:rsidP="00064DBE">
      <w:pPr>
        <w:ind w:left="360"/>
        <w:rPr>
          <w:sz w:val="24"/>
          <w:szCs w:val="24"/>
        </w:rPr>
      </w:pPr>
    </w:p>
    <w:p w14:paraId="6BD00E19" w14:textId="77777777" w:rsidR="0037415E" w:rsidRPr="0037415E" w:rsidRDefault="0037415E" w:rsidP="0037415E">
      <w:pPr>
        <w:pStyle w:val="ListParagraph"/>
        <w:rPr>
          <w:b/>
          <w:bCs/>
          <w:sz w:val="24"/>
          <w:szCs w:val="24"/>
        </w:rPr>
      </w:pPr>
    </w:p>
    <w:p w14:paraId="299EE7F0" w14:textId="77777777" w:rsidR="00064DBE" w:rsidRDefault="00064DBE" w:rsidP="00064DBE">
      <w:pPr>
        <w:rPr>
          <w:b/>
          <w:bCs/>
          <w:sz w:val="24"/>
          <w:szCs w:val="24"/>
        </w:rPr>
      </w:pPr>
    </w:p>
    <w:p w14:paraId="0DA05DF3" w14:textId="77777777" w:rsidR="00064DBE" w:rsidRDefault="00064DBE" w:rsidP="00064DBE">
      <w:pPr>
        <w:rPr>
          <w:b/>
          <w:bCs/>
          <w:sz w:val="24"/>
          <w:szCs w:val="24"/>
        </w:rPr>
      </w:pPr>
    </w:p>
    <w:p w14:paraId="40A20EA1" w14:textId="77777777" w:rsidR="00064DBE" w:rsidRDefault="00064DBE" w:rsidP="00064DBE">
      <w:pPr>
        <w:rPr>
          <w:b/>
          <w:bCs/>
          <w:sz w:val="24"/>
          <w:szCs w:val="24"/>
        </w:rPr>
      </w:pPr>
    </w:p>
    <w:p w14:paraId="4C3CA0E9" w14:textId="77777777" w:rsidR="00064DBE" w:rsidRDefault="00064DBE" w:rsidP="00064DBE">
      <w:pPr>
        <w:rPr>
          <w:b/>
          <w:bCs/>
          <w:sz w:val="24"/>
          <w:szCs w:val="24"/>
        </w:rPr>
      </w:pPr>
    </w:p>
    <w:p w14:paraId="0E4B91BE" w14:textId="77777777" w:rsidR="00064DBE" w:rsidRDefault="00064DBE" w:rsidP="00064DBE">
      <w:pPr>
        <w:rPr>
          <w:b/>
          <w:bCs/>
          <w:sz w:val="24"/>
          <w:szCs w:val="24"/>
        </w:rPr>
      </w:pPr>
    </w:p>
    <w:p w14:paraId="489FCDEE" w14:textId="77777777" w:rsidR="00064DBE" w:rsidRDefault="00064DBE" w:rsidP="00064DBE">
      <w:pPr>
        <w:rPr>
          <w:b/>
          <w:bCs/>
          <w:sz w:val="24"/>
          <w:szCs w:val="24"/>
        </w:rPr>
      </w:pPr>
    </w:p>
    <w:p w14:paraId="21F90675" w14:textId="77777777" w:rsidR="00064DBE" w:rsidRDefault="00064DBE" w:rsidP="00064DBE">
      <w:pPr>
        <w:rPr>
          <w:b/>
          <w:bCs/>
          <w:sz w:val="24"/>
          <w:szCs w:val="24"/>
        </w:rPr>
      </w:pPr>
    </w:p>
    <w:p w14:paraId="1867D9F8" w14:textId="77777777" w:rsidR="00064DBE" w:rsidRDefault="00064DBE" w:rsidP="00064DBE">
      <w:pPr>
        <w:rPr>
          <w:b/>
          <w:bCs/>
          <w:sz w:val="24"/>
          <w:szCs w:val="24"/>
        </w:rPr>
      </w:pPr>
    </w:p>
    <w:p w14:paraId="2341895F" w14:textId="77777777" w:rsidR="00064DBE" w:rsidRDefault="00064DBE" w:rsidP="00064DBE">
      <w:pPr>
        <w:rPr>
          <w:b/>
          <w:bCs/>
          <w:sz w:val="24"/>
          <w:szCs w:val="24"/>
        </w:rPr>
      </w:pPr>
    </w:p>
    <w:p w14:paraId="01084FC1" w14:textId="77777777" w:rsidR="00064DBE" w:rsidRDefault="00064DBE" w:rsidP="00064DBE">
      <w:pPr>
        <w:rPr>
          <w:b/>
          <w:bCs/>
          <w:sz w:val="24"/>
          <w:szCs w:val="24"/>
        </w:rPr>
      </w:pPr>
    </w:p>
    <w:p w14:paraId="0A61B4C6" w14:textId="77777777" w:rsidR="00064DBE" w:rsidRDefault="00064DBE" w:rsidP="00064DBE">
      <w:pPr>
        <w:rPr>
          <w:b/>
          <w:bCs/>
          <w:sz w:val="24"/>
          <w:szCs w:val="24"/>
        </w:rPr>
      </w:pPr>
    </w:p>
    <w:p w14:paraId="574C68ED" w14:textId="77777777" w:rsidR="00064DBE" w:rsidRDefault="00064DBE" w:rsidP="00064DBE">
      <w:pPr>
        <w:rPr>
          <w:b/>
          <w:bCs/>
          <w:sz w:val="24"/>
          <w:szCs w:val="24"/>
        </w:rPr>
      </w:pPr>
    </w:p>
    <w:p w14:paraId="298C0781" w14:textId="77777777" w:rsidR="004C74BD" w:rsidRPr="004C74BD" w:rsidRDefault="004C74BD" w:rsidP="004C74BD">
      <w:pPr>
        <w:pStyle w:val="ListParagraph"/>
        <w:rPr>
          <w:b/>
          <w:bCs/>
          <w:sz w:val="24"/>
          <w:szCs w:val="24"/>
        </w:rPr>
      </w:pPr>
    </w:p>
    <w:p w14:paraId="15C07C5B" w14:textId="77777777" w:rsidR="004C74BD" w:rsidRDefault="004C74BD" w:rsidP="004C74BD">
      <w:pPr>
        <w:pStyle w:val="ListParagraph"/>
        <w:rPr>
          <w:b/>
          <w:bCs/>
          <w:sz w:val="24"/>
          <w:szCs w:val="24"/>
        </w:rPr>
      </w:pPr>
      <w:r w:rsidRPr="004C74BD">
        <w:rPr>
          <w:b/>
          <w:bCs/>
          <w:sz w:val="24"/>
          <w:szCs w:val="24"/>
        </w:rPr>
        <w:t>2.2 Regression Analysis (Addressing RQ1 Outcome Linkage and RQ2)</w:t>
      </w:r>
    </w:p>
    <w:p w14:paraId="146F5E57" w14:textId="77777777" w:rsidR="004C74BD" w:rsidRPr="004C74BD" w:rsidRDefault="004C74BD" w:rsidP="004C74BD">
      <w:pPr>
        <w:pStyle w:val="ListParagraph"/>
        <w:rPr>
          <w:sz w:val="24"/>
          <w:szCs w:val="24"/>
        </w:rPr>
      </w:pPr>
      <w:r w:rsidRPr="004C74BD">
        <w:rPr>
          <w:sz w:val="24"/>
          <w:szCs w:val="24"/>
        </w:rPr>
        <w:t>The manuscript employs multivariate regression analysis to examine the relationship between linguistic characteristics and crowdfunding sponsorship outcomes. Table 9 reports standardized regression coefficients (β), corresponding t-values, and p-values for the nine LIWC-derived linguistic dimensions. The dependent variables are described as campaign success, funding ratio, backer count, and time-to-goal, with campaign-level control variables included alongside the linguistic predictors.</w:t>
      </w:r>
    </w:p>
    <w:p w14:paraId="0F82FAB0" w14:textId="72964A3B" w:rsidR="004C74BD" w:rsidRDefault="004C74BD" w:rsidP="004C74BD">
      <w:pPr>
        <w:pStyle w:val="ListParagraph"/>
        <w:rPr>
          <w:sz w:val="24"/>
          <w:szCs w:val="24"/>
        </w:rPr>
      </w:pPr>
      <w:r w:rsidRPr="004C74BD">
        <w:rPr>
          <w:sz w:val="24"/>
          <w:szCs w:val="24"/>
        </w:rPr>
        <w:t>To enhance methodological transparency and facilitate replication, the manuscrip</w:t>
      </w:r>
      <w:r>
        <w:rPr>
          <w:sz w:val="24"/>
          <w:szCs w:val="24"/>
        </w:rPr>
        <w:t>t benefits</w:t>
      </w:r>
      <w:r w:rsidR="00306390">
        <w:rPr>
          <w:sz w:val="24"/>
          <w:szCs w:val="24"/>
        </w:rPr>
        <w:t xml:space="preserve"> from a </w:t>
      </w:r>
      <w:r w:rsidRPr="004C74BD">
        <w:rPr>
          <w:sz w:val="24"/>
          <w:szCs w:val="24"/>
        </w:rPr>
        <w:t xml:space="preserve">detailed description of the regression procedures, including model specifications, estimation methods, </w:t>
      </w:r>
      <w:r>
        <w:rPr>
          <w:sz w:val="24"/>
          <w:szCs w:val="24"/>
        </w:rPr>
        <w:t>assumption</w:t>
      </w:r>
      <w:r w:rsidRPr="004C74BD">
        <w:rPr>
          <w:sz w:val="24"/>
          <w:szCs w:val="24"/>
        </w:rPr>
        <w:t xml:space="preserve"> testing, and diagnostic assessments. Reporting model fit statistics, treatment of control variables, and procedures used to address potential multicollinearity or heteroskedasticit</w:t>
      </w:r>
      <w:r w:rsidR="00306390">
        <w:rPr>
          <w:sz w:val="24"/>
          <w:szCs w:val="24"/>
        </w:rPr>
        <w:t xml:space="preserve">y </w:t>
      </w:r>
      <w:r w:rsidRPr="004C74BD">
        <w:rPr>
          <w:sz w:val="24"/>
          <w:szCs w:val="24"/>
        </w:rPr>
        <w:t>further strengthen the rigor of the analysis.</w:t>
      </w:r>
    </w:p>
    <w:p w14:paraId="6ECF7436" w14:textId="77777777" w:rsidR="004C74BD" w:rsidRPr="004C74BD" w:rsidRDefault="004C74BD" w:rsidP="004C74BD">
      <w:pPr>
        <w:pStyle w:val="ListParagraph"/>
        <w:rPr>
          <w:sz w:val="24"/>
          <w:szCs w:val="24"/>
        </w:rPr>
      </w:pPr>
    </w:p>
    <w:p w14:paraId="2ED7E591" w14:textId="77777777" w:rsidR="004C74BD" w:rsidRDefault="004C74BD" w:rsidP="004C74BD">
      <w:pPr>
        <w:pStyle w:val="ListParagraph"/>
        <w:rPr>
          <w:b/>
          <w:bCs/>
          <w:sz w:val="24"/>
          <w:szCs w:val="24"/>
        </w:rPr>
      </w:pPr>
      <w:r w:rsidRPr="004C74BD">
        <w:rPr>
          <w:b/>
          <w:bCs/>
          <w:sz w:val="24"/>
          <w:szCs w:val="24"/>
        </w:rPr>
        <w:t>2.3 Descriptive Benchmark Comparison (Table 8; Figures 2–3)</w:t>
      </w:r>
    </w:p>
    <w:p w14:paraId="2B8EA4EC" w14:textId="62D6561F" w:rsidR="004C74BD" w:rsidRPr="004C74BD" w:rsidRDefault="004C74BD" w:rsidP="004C74BD">
      <w:pPr>
        <w:pStyle w:val="ListParagraph"/>
        <w:rPr>
          <w:sz w:val="24"/>
          <w:szCs w:val="24"/>
        </w:rPr>
      </w:pPr>
      <w:r w:rsidRPr="004C74BD">
        <w:rPr>
          <w:sz w:val="24"/>
          <w:szCs w:val="24"/>
        </w:rPr>
        <w:t>The manuscript presents a</w:t>
      </w:r>
      <w:r w:rsidR="00C405FB">
        <w:rPr>
          <w:sz w:val="24"/>
          <w:szCs w:val="24"/>
        </w:rPr>
        <w:t xml:space="preserve"> </w:t>
      </w:r>
      <w:r w:rsidRPr="004C74BD">
        <w:rPr>
          <w:sz w:val="24"/>
          <w:szCs w:val="24"/>
        </w:rPr>
        <w:t>comparison between the 800 sustainability crowdfunding campaigns and an “average commercial language” benchmark using mean LIWC percentage scores. Results are summarized in Table 8 and illustrated in Figures 2 and 3.</w:t>
      </w:r>
    </w:p>
    <w:p w14:paraId="1A59C2E2" w14:textId="34F8C9EC" w:rsidR="004C74BD" w:rsidRDefault="004C74BD" w:rsidP="004C74BD">
      <w:pPr>
        <w:pStyle w:val="ListParagraph"/>
        <w:rPr>
          <w:sz w:val="24"/>
          <w:szCs w:val="24"/>
        </w:rPr>
      </w:pPr>
    </w:p>
    <w:p w14:paraId="00962715" w14:textId="77777777" w:rsidR="004C74BD" w:rsidRDefault="004C74BD" w:rsidP="004C74BD">
      <w:pPr>
        <w:pStyle w:val="ListParagraph"/>
        <w:rPr>
          <w:b/>
          <w:bCs/>
          <w:sz w:val="24"/>
          <w:szCs w:val="24"/>
        </w:rPr>
      </w:pPr>
      <w:r w:rsidRPr="004C74BD">
        <w:rPr>
          <w:b/>
          <w:bCs/>
          <w:sz w:val="24"/>
          <w:szCs w:val="24"/>
        </w:rPr>
        <w:t>2.4 Software and Analytical Tools</w:t>
      </w:r>
    </w:p>
    <w:p w14:paraId="0BE9C40B" w14:textId="34514E8E" w:rsidR="00306390" w:rsidRDefault="004116E1" w:rsidP="004C74BD">
      <w:pPr>
        <w:pStyle w:val="ListParagraph"/>
        <w:rPr>
          <w:sz w:val="24"/>
          <w:szCs w:val="24"/>
        </w:rPr>
      </w:pPr>
      <w:r w:rsidRPr="004116E1">
        <w:rPr>
          <w:sz w:val="24"/>
          <w:szCs w:val="24"/>
        </w:rPr>
        <w:t>The study utilizes LIWC-22 (Linguistic Inquiry and Word Count) software for psycholinguistic text analysis, MATLAB R2024a for Grey-DEMATEL computations and matrix-based analysis, and IBM SPSS Statistics Version 29 for descriptive statistics and regression analyses.</w:t>
      </w:r>
    </w:p>
    <w:p w14:paraId="53A76456" w14:textId="77777777" w:rsidR="004116E1" w:rsidRPr="004116E1" w:rsidRDefault="004116E1" w:rsidP="004C74BD">
      <w:pPr>
        <w:pStyle w:val="ListParagraph"/>
        <w:rPr>
          <w:sz w:val="24"/>
          <w:szCs w:val="24"/>
        </w:rPr>
      </w:pPr>
    </w:p>
    <w:p w14:paraId="1F1B4359" w14:textId="2C65B539" w:rsidR="00F50AD9" w:rsidRPr="0037415E" w:rsidRDefault="00F50AD9" w:rsidP="0037415E">
      <w:pPr>
        <w:pStyle w:val="ListParagraph"/>
        <w:rPr>
          <w:sz w:val="24"/>
          <w:szCs w:val="24"/>
        </w:rPr>
      </w:pPr>
    </w:p>
    <w:sectPr w:rsidR="00F50AD9" w:rsidRPr="0037415E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205A"/>
    <w:multiLevelType w:val="multilevel"/>
    <w:tmpl w:val="87C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465AA"/>
    <w:multiLevelType w:val="hybridMultilevel"/>
    <w:tmpl w:val="5B2C1B14"/>
    <w:lvl w:ilvl="0" w:tplc="D1F422CC">
      <w:start w:val="3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D4D34"/>
    <w:multiLevelType w:val="multilevel"/>
    <w:tmpl w:val="27DE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B0C2E"/>
    <w:multiLevelType w:val="multilevel"/>
    <w:tmpl w:val="F5F4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948ED"/>
    <w:multiLevelType w:val="multilevel"/>
    <w:tmpl w:val="DE8A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17CC0"/>
    <w:multiLevelType w:val="multilevel"/>
    <w:tmpl w:val="7FD82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687E12"/>
    <w:multiLevelType w:val="hybridMultilevel"/>
    <w:tmpl w:val="1F5E9DEC"/>
    <w:lvl w:ilvl="0" w:tplc="FEB88160">
      <w:start w:val="1"/>
      <w:numFmt w:val="bullet"/>
      <w:lvlText w:val="●"/>
      <w:lvlJc w:val="left"/>
      <w:pPr>
        <w:ind w:left="720" w:hanging="360"/>
      </w:pPr>
    </w:lvl>
    <w:lvl w:ilvl="1" w:tplc="CF9AD89A">
      <w:start w:val="1"/>
      <w:numFmt w:val="bullet"/>
      <w:lvlText w:val="○"/>
      <w:lvlJc w:val="left"/>
      <w:pPr>
        <w:ind w:left="1440" w:hanging="360"/>
      </w:pPr>
    </w:lvl>
    <w:lvl w:ilvl="2" w:tplc="434E94F6">
      <w:start w:val="1"/>
      <w:numFmt w:val="bullet"/>
      <w:lvlText w:val="■"/>
      <w:lvlJc w:val="left"/>
      <w:pPr>
        <w:ind w:left="2160" w:hanging="360"/>
      </w:pPr>
    </w:lvl>
    <w:lvl w:ilvl="3" w:tplc="4E823614">
      <w:start w:val="1"/>
      <w:numFmt w:val="bullet"/>
      <w:lvlText w:val="●"/>
      <w:lvlJc w:val="left"/>
      <w:pPr>
        <w:ind w:left="2880" w:hanging="360"/>
      </w:pPr>
    </w:lvl>
    <w:lvl w:ilvl="4" w:tplc="2F1490C4">
      <w:start w:val="1"/>
      <w:numFmt w:val="bullet"/>
      <w:lvlText w:val="○"/>
      <w:lvlJc w:val="left"/>
      <w:pPr>
        <w:ind w:left="3600" w:hanging="360"/>
      </w:pPr>
    </w:lvl>
    <w:lvl w:ilvl="5" w:tplc="2A5C7BE2">
      <w:start w:val="1"/>
      <w:numFmt w:val="bullet"/>
      <w:lvlText w:val="■"/>
      <w:lvlJc w:val="left"/>
      <w:pPr>
        <w:ind w:left="4320" w:hanging="360"/>
      </w:pPr>
    </w:lvl>
    <w:lvl w:ilvl="6" w:tplc="2AF42320">
      <w:start w:val="1"/>
      <w:numFmt w:val="bullet"/>
      <w:lvlText w:val="●"/>
      <w:lvlJc w:val="left"/>
      <w:pPr>
        <w:ind w:left="5040" w:hanging="360"/>
      </w:pPr>
    </w:lvl>
    <w:lvl w:ilvl="7" w:tplc="EC9E2676">
      <w:start w:val="1"/>
      <w:numFmt w:val="bullet"/>
      <w:lvlText w:val="●"/>
      <w:lvlJc w:val="left"/>
      <w:pPr>
        <w:ind w:left="5760" w:hanging="360"/>
      </w:pPr>
    </w:lvl>
    <w:lvl w:ilvl="8" w:tplc="0A7EF92C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41A17427"/>
    <w:multiLevelType w:val="multilevel"/>
    <w:tmpl w:val="B694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6175C"/>
    <w:multiLevelType w:val="multilevel"/>
    <w:tmpl w:val="9676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E7A20"/>
    <w:multiLevelType w:val="multilevel"/>
    <w:tmpl w:val="BB1A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006B73"/>
    <w:multiLevelType w:val="hybridMultilevel"/>
    <w:tmpl w:val="DE645868"/>
    <w:lvl w:ilvl="0" w:tplc="F51CB42E">
      <w:start w:val="1"/>
      <w:numFmt w:val="bullet"/>
      <w:lvlText w:val="•"/>
      <w:lvlJc w:val="left"/>
      <w:pPr>
        <w:ind w:left="360" w:hanging="260"/>
      </w:pPr>
    </w:lvl>
    <w:lvl w:ilvl="1" w:tplc="C6401E2E">
      <w:start w:val="1"/>
      <w:numFmt w:val="bullet"/>
      <w:lvlText w:val="◦"/>
      <w:lvlJc w:val="left"/>
      <w:pPr>
        <w:ind w:left="720" w:hanging="260"/>
      </w:pPr>
    </w:lvl>
    <w:lvl w:ilvl="2" w:tplc="44F85676">
      <w:numFmt w:val="decimal"/>
      <w:lvlText w:val=""/>
      <w:lvlJc w:val="left"/>
    </w:lvl>
    <w:lvl w:ilvl="3" w:tplc="85DA7520">
      <w:numFmt w:val="decimal"/>
      <w:lvlText w:val=""/>
      <w:lvlJc w:val="left"/>
    </w:lvl>
    <w:lvl w:ilvl="4" w:tplc="B768B16C">
      <w:numFmt w:val="decimal"/>
      <w:lvlText w:val=""/>
      <w:lvlJc w:val="left"/>
    </w:lvl>
    <w:lvl w:ilvl="5" w:tplc="052CB070">
      <w:numFmt w:val="decimal"/>
      <w:lvlText w:val=""/>
      <w:lvlJc w:val="left"/>
    </w:lvl>
    <w:lvl w:ilvl="6" w:tplc="616866C4">
      <w:numFmt w:val="decimal"/>
      <w:lvlText w:val=""/>
      <w:lvlJc w:val="left"/>
    </w:lvl>
    <w:lvl w:ilvl="7" w:tplc="043CB324">
      <w:numFmt w:val="decimal"/>
      <w:lvlText w:val=""/>
      <w:lvlJc w:val="left"/>
    </w:lvl>
    <w:lvl w:ilvl="8" w:tplc="19EE3F58">
      <w:numFmt w:val="decimal"/>
      <w:lvlText w:val=""/>
      <w:lvlJc w:val="left"/>
    </w:lvl>
  </w:abstractNum>
  <w:abstractNum w:abstractNumId="11" w15:restartNumberingAfterBreak="0">
    <w:nsid w:val="6A7F62E3"/>
    <w:multiLevelType w:val="multilevel"/>
    <w:tmpl w:val="F23E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2A17AB"/>
    <w:multiLevelType w:val="multilevel"/>
    <w:tmpl w:val="4894C5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17615778">
    <w:abstractNumId w:val="6"/>
    <w:lvlOverride w:ilvl="0">
      <w:startOverride w:val="1"/>
    </w:lvlOverride>
  </w:num>
  <w:num w:numId="2" w16cid:durableId="482041325">
    <w:abstractNumId w:val="10"/>
    <w:lvlOverride w:ilvl="0">
      <w:startOverride w:val="1"/>
    </w:lvlOverride>
  </w:num>
  <w:num w:numId="3" w16cid:durableId="1396473115">
    <w:abstractNumId w:val="5"/>
  </w:num>
  <w:num w:numId="4" w16cid:durableId="703754400">
    <w:abstractNumId w:val="1"/>
  </w:num>
  <w:num w:numId="5" w16cid:durableId="588580693">
    <w:abstractNumId w:val="12"/>
  </w:num>
  <w:num w:numId="6" w16cid:durableId="1467814560">
    <w:abstractNumId w:val="2"/>
  </w:num>
  <w:num w:numId="7" w16cid:durableId="66074322">
    <w:abstractNumId w:val="3"/>
  </w:num>
  <w:num w:numId="8" w16cid:durableId="251594713">
    <w:abstractNumId w:val="9"/>
  </w:num>
  <w:num w:numId="9" w16cid:durableId="1695038684">
    <w:abstractNumId w:val="7"/>
  </w:num>
  <w:num w:numId="10" w16cid:durableId="135337109">
    <w:abstractNumId w:val="11"/>
  </w:num>
  <w:num w:numId="11" w16cid:durableId="1636326422">
    <w:abstractNumId w:val="8"/>
  </w:num>
  <w:num w:numId="12" w16cid:durableId="980034976">
    <w:abstractNumId w:val="0"/>
  </w:num>
  <w:num w:numId="13" w16cid:durableId="349112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D9"/>
    <w:rsid w:val="00064DBE"/>
    <w:rsid w:val="001C513C"/>
    <w:rsid w:val="002010A2"/>
    <w:rsid w:val="002F45A8"/>
    <w:rsid w:val="00306390"/>
    <w:rsid w:val="0037415E"/>
    <w:rsid w:val="004116E1"/>
    <w:rsid w:val="004324C8"/>
    <w:rsid w:val="00481AFD"/>
    <w:rsid w:val="004C74BD"/>
    <w:rsid w:val="00573CAA"/>
    <w:rsid w:val="00752F11"/>
    <w:rsid w:val="007957B5"/>
    <w:rsid w:val="0092472F"/>
    <w:rsid w:val="00997E56"/>
    <w:rsid w:val="00C405FB"/>
    <w:rsid w:val="00C60A25"/>
    <w:rsid w:val="00CF5341"/>
    <w:rsid w:val="00D1662A"/>
    <w:rsid w:val="00E37E51"/>
    <w:rsid w:val="00EE3E08"/>
    <w:rsid w:val="00F5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A9A6"/>
  <w15:docId w15:val="{BF904243-D0F4-43E4-A3D5-060C4AFD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CF5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64D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Daran Tuli</cp:lastModifiedBy>
  <cp:revision>4</cp:revision>
  <dcterms:created xsi:type="dcterms:W3CDTF">2026-07-28T09:01:00Z</dcterms:created>
  <dcterms:modified xsi:type="dcterms:W3CDTF">2026-07-29T15:04:00Z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5df78a2f-2eb4-4fdd-915f-321b36143e6c</vt:lpwstr>
  </property>
</Properties>
</file>