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97738" w14:textId="705215DE" w:rsidR="00AF2029" w:rsidRPr="008252B0" w:rsidRDefault="00AF2029" w:rsidP="00AF2029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heading=h.lan3gdf6pemc" w:colFirst="0" w:colLast="0"/>
      <w:bookmarkStart w:id="1" w:name="_Hlk233306647"/>
      <w:bookmarkEnd w:id="0"/>
      <w:r w:rsidRPr="008252B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Supplementary Material to</w:t>
      </w:r>
    </w:p>
    <w:p w14:paraId="0BD44A80" w14:textId="7C5F55D0" w:rsidR="00AF2029" w:rsidRPr="008252B0" w:rsidRDefault="00AF2029" w:rsidP="00AF2029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r w:rsidRPr="008252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Sub-seasonal predictability of winter tornado regimes in Europe captured through disruptions to the stratospheric polar vortex </w:t>
      </w:r>
    </w:p>
    <w:bookmarkEnd w:id="1"/>
    <w:p w14:paraId="7706C8B7" w14:textId="77777777" w:rsidR="00AF2029" w:rsidRPr="008252B0" w:rsidRDefault="00AF2029" w:rsidP="00AF2029">
      <w:pPr>
        <w:spacing w:before="240" w:after="12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vertAlign w:val="superscript"/>
        </w:rPr>
      </w:pP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</w:rPr>
        <w:t>Matthieu Lacroix</w:t>
      </w: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· Flavio Tiago Couto</w:t>
      </w: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· Yanni Gunnell</w:t>
      </w:r>
      <w:r w:rsidRPr="008252B0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14:paraId="5A4F0014" w14:textId="77777777" w:rsidR="00AF2029" w:rsidRPr="008252B0" w:rsidRDefault="00AF2029" w:rsidP="00AF2029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E461C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(1)</w:t>
      </w:r>
      <w:r w:rsidRPr="00E461C4"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 w:rsidRPr="00E461C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Université Lumière Lyon 2, CNRS UMR 5600 Environnement-Ville-Société, 5 Avenue P. Mendès-France, F-69676 Bron, France. </w:t>
      </w:r>
      <w:hyperlink r:id="rId6" w:history="1">
        <w:r w:rsidRPr="008252B0">
          <w:rPr>
            <w:rStyle w:val="Lienhypertexte"/>
            <w:rFonts w:ascii="Times New Roman" w:eastAsia="Times New Roman" w:hAnsi="Times New Roman" w:cs="Times New Roman"/>
            <w:i/>
            <w:iCs/>
            <w:sz w:val="20"/>
            <w:szCs w:val="20"/>
            <w:lang w:val="en-US"/>
          </w:rPr>
          <w:t>matthieu.lacroix@univ-lyon2.fr</w:t>
        </w:r>
      </w:hyperlink>
      <w:r w:rsidRPr="008252B0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 xml:space="preserve"> – ORCID ML: 0009-0003-7049-486X – ORCID YG: 0000-0002-3944-3795</w:t>
      </w:r>
    </w:p>
    <w:p w14:paraId="23C2D2D0" w14:textId="77777777" w:rsidR="00AF2029" w:rsidRPr="00C63D92" w:rsidRDefault="00AF2029" w:rsidP="00AF2029">
      <w:pPr>
        <w:spacing w:line="360" w:lineRule="auto"/>
        <w:ind w:left="1080" w:hanging="36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</w:pPr>
      <w:r w:rsidRPr="00C63D92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pt-BR"/>
        </w:rPr>
        <w:t>(2)</w:t>
      </w:r>
      <w:r w:rsidRPr="00C63D92">
        <w:rPr>
          <w:rFonts w:ascii="Times New Roman" w:eastAsia="Times New Roman" w:hAnsi="Times New Roman" w:cs="Times New Roman"/>
          <w:sz w:val="14"/>
          <w:szCs w:val="14"/>
          <w:lang w:val="pt-BR"/>
        </w:rPr>
        <w:t xml:space="preserve">   </w:t>
      </w:r>
      <w:r w:rsidRPr="00C63D92"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t>Universidade de Évora, Centro de Investigação em Ciência e Tecnologia para o Sistema Terra e Energia – CREATE, &amp; Departamento de Física, Escola de Ciências e Tecnologia – ECT,</w:t>
      </w:r>
      <w:r w:rsidRPr="00C63D92">
        <w:rPr>
          <w:rFonts w:ascii="Times New Roman" w:eastAsia="Times New Roman" w:hAnsi="Times New Roman" w:cs="Times New Roman"/>
          <w:lang w:val="pt-BR"/>
        </w:rPr>
        <w:t xml:space="preserve"> </w:t>
      </w:r>
      <w:r w:rsidRPr="00C63D92"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t xml:space="preserve">7000-671 Évora, Portugal. 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fldChar w:fldCharType="begin"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instrText xml:space="preserve"> HYPERLINK "mailto:</w:instrText>
      </w:r>
      <w:r w:rsidRPr="00C63D92"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instrText>fcouto@uevora.pt</w:instrTex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instrText xml:space="preserve">" </w:instrTex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fldChar w:fldCharType="separate"/>
      </w:r>
      <w:r w:rsidRPr="00E41863">
        <w:rPr>
          <w:rStyle w:val="Lienhypertexte"/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t>fcouto@uevora.pt</w:t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fldChar w:fldCharType="end"/>
      </w:r>
      <w:r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t xml:space="preserve"> – ORCID: </w:t>
      </w:r>
      <w:r w:rsidRPr="00C63D93">
        <w:rPr>
          <w:rFonts w:ascii="Times New Roman" w:eastAsia="Times New Roman" w:hAnsi="Times New Roman" w:cs="Times New Roman"/>
          <w:i/>
          <w:iCs/>
          <w:sz w:val="20"/>
          <w:szCs w:val="20"/>
          <w:lang w:val="pt-BR"/>
        </w:rPr>
        <w:t>0000-0003-0175-2100</w:t>
      </w:r>
    </w:p>
    <w:p w14:paraId="5A74ABF3" w14:textId="77777777" w:rsidR="00AF2029" w:rsidRDefault="00AF2029" w:rsidP="00684A82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055502D1" w14:textId="77777777" w:rsidR="00AF2029" w:rsidRDefault="00AF2029" w:rsidP="00684A82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</w:p>
    <w:p w14:paraId="043F8104" w14:textId="4C08DBB8" w:rsidR="00684A82" w:rsidRDefault="00684A82" w:rsidP="00684A82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anchorId="70C53855" wp14:editId="6990C583">
            <wp:simplePos x="0" y="0"/>
            <wp:positionH relativeFrom="margin">
              <wp:posOffset>902970</wp:posOffset>
            </wp:positionH>
            <wp:positionV relativeFrom="margin">
              <wp:posOffset>-129540</wp:posOffset>
            </wp:positionV>
            <wp:extent cx="4086860" cy="6694805"/>
            <wp:effectExtent l="0" t="0" r="889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860" cy="66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n-GB"/>
        </w:rPr>
        <w:t>Figure S1.</w:t>
      </w:r>
      <w:r w:rsidRPr="00D0234C">
        <w:rPr>
          <w:rFonts w:ascii="Times New Roman" w:hAnsi="Times New Roman" w:cs="Times New Roman"/>
          <w:lang w:val="en-GB"/>
        </w:rPr>
        <w:t xml:space="preserve"> Spatiotemporal evolution of bulk ETEI anomalies following major Sudden Stratospheric Warming</w:t>
      </w:r>
      <w:r>
        <w:rPr>
          <w:rFonts w:ascii="Times New Roman" w:hAnsi="Times New Roman" w:cs="Times New Roman"/>
          <w:lang w:val="en-GB"/>
        </w:rPr>
        <w:t xml:space="preserve"> events</w:t>
      </w:r>
      <w:r w:rsidRPr="00D0234C">
        <w:rPr>
          <w:rFonts w:ascii="Times New Roman" w:hAnsi="Times New Roman" w:cs="Times New Roman"/>
          <w:lang w:val="en-GB"/>
        </w:rPr>
        <w:t>. Lagged spatial composites of the European Tornado Environment Index (ETEI) anomalies (in standard deviations) are presented across six consecutive weekly sub-seasonal windows (T+1 to T+42 days) relative to the SSW central date (T</w:t>
      </w:r>
      <w:r>
        <w:rPr>
          <w:rFonts w:ascii="Times New Roman" w:hAnsi="Times New Roman" w:cs="Times New Roman"/>
          <w:lang w:val="en-GB"/>
        </w:rPr>
        <w:t xml:space="preserve"> </w:t>
      </w:r>
      <w:r w:rsidRPr="00D0234C">
        <w:rPr>
          <w:rFonts w:ascii="Times New Roman" w:hAnsi="Times New Roman" w:cs="Times New Roman"/>
          <w:lang w:val="en-GB"/>
        </w:rPr>
        <w:t>=</w:t>
      </w:r>
      <w:r>
        <w:rPr>
          <w:rFonts w:ascii="Times New Roman" w:hAnsi="Times New Roman" w:cs="Times New Roman"/>
          <w:lang w:val="en-GB"/>
        </w:rPr>
        <w:t xml:space="preserve"> </w:t>
      </w:r>
      <w:r w:rsidRPr="00D0234C">
        <w:rPr>
          <w:rFonts w:ascii="Times New Roman" w:hAnsi="Times New Roman" w:cs="Times New Roman"/>
          <w:lang w:val="en-GB"/>
        </w:rPr>
        <w:t>0). The analysis encompasses 50 major SSW events spanning the Jan–Mar</w:t>
      </w:r>
      <w:r>
        <w:rPr>
          <w:rFonts w:ascii="Times New Roman" w:hAnsi="Times New Roman" w:cs="Times New Roman"/>
          <w:lang w:val="en-GB"/>
        </w:rPr>
        <w:t>ch</w:t>
      </w:r>
      <w:r w:rsidRPr="00D0234C">
        <w:rPr>
          <w:rFonts w:ascii="Times New Roman" w:hAnsi="Times New Roman" w:cs="Times New Roman"/>
          <w:lang w:val="en-GB"/>
        </w:rPr>
        <w:t xml:space="preserve"> 1950–2025 climatology. Stippling denotes regions where anomalies are statistically significant at the 95% confidence level (</w:t>
      </w:r>
      <w:r w:rsidRPr="00FE252E">
        <w:rPr>
          <w:rFonts w:ascii="Times New Roman" w:hAnsi="Times New Roman" w:cs="Times New Roman"/>
          <w:i/>
          <w:iCs/>
          <w:lang w:val="en-GB"/>
        </w:rPr>
        <w:t>p</w:t>
      </w:r>
      <w:r w:rsidRPr="00D0234C">
        <w:rPr>
          <w:rFonts w:ascii="Times New Roman" w:hAnsi="Times New Roman" w:cs="Times New Roman"/>
          <w:lang w:val="en-GB"/>
        </w:rPr>
        <w:t xml:space="preserve"> &lt; 0.05), assessed via a two-tailed, pixel-wise bootstrap resampling procedure. While a weak dipole pattern emerges</w:t>
      </w:r>
      <w:r>
        <w:rPr>
          <w:rFonts w:ascii="Times New Roman" w:hAnsi="Times New Roman" w:cs="Times New Roman"/>
          <w:lang w:val="en-GB"/>
        </w:rPr>
        <w:t xml:space="preserve">, </w:t>
      </w:r>
      <w:r w:rsidRPr="00D0234C">
        <w:rPr>
          <w:rFonts w:ascii="Times New Roman" w:hAnsi="Times New Roman" w:cs="Times New Roman"/>
          <w:lang w:val="en-GB"/>
        </w:rPr>
        <w:t xml:space="preserve">characterised by suppressed convective potential over northern Europe and marginal enhancements across the Mediterranean </w:t>
      </w:r>
      <w:r>
        <w:rPr>
          <w:rFonts w:ascii="Times New Roman" w:hAnsi="Times New Roman" w:cs="Times New Roman"/>
          <w:lang w:val="en-GB"/>
        </w:rPr>
        <w:t>B</w:t>
      </w:r>
      <w:r w:rsidRPr="00D0234C">
        <w:rPr>
          <w:rFonts w:ascii="Times New Roman" w:hAnsi="Times New Roman" w:cs="Times New Roman"/>
          <w:lang w:val="en-GB"/>
        </w:rPr>
        <w:t>asin</w:t>
      </w:r>
      <w:r>
        <w:rPr>
          <w:rFonts w:ascii="Times New Roman" w:hAnsi="Times New Roman" w:cs="Times New Roman"/>
          <w:lang w:val="en-GB"/>
        </w:rPr>
        <w:t>, t</w:t>
      </w:r>
      <w:r w:rsidRPr="00D0234C">
        <w:rPr>
          <w:rFonts w:ascii="Times New Roman" w:hAnsi="Times New Roman" w:cs="Times New Roman"/>
          <w:lang w:val="en-GB"/>
        </w:rPr>
        <w:t xml:space="preserve">he limited spatial continuity and lack of widespread significance in this unstratified (all-event) </w:t>
      </w:r>
      <w:r w:rsidRPr="00D0234C">
        <w:rPr>
          <w:rFonts w:ascii="Times New Roman" w:hAnsi="Times New Roman" w:cs="Times New Roman"/>
          <w:lang w:val="en-GB"/>
        </w:rPr>
        <w:lastRenderedPageBreak/>
        <w:t>composite underscore the high inter-event variance. This highlights the necessity of stratifying the downward-propagating signal by the background East A</w:t>
      </w:r>
      <w:bookmarkStart w:id="2" w:name="_Hlk234109807"/>
      <w:bookmarkEnd w:id="2"/>
      <w:r w:rsidRPr="00D0234C">
        <w:rPr>
          <w:rFonts w:ascii="Times New Roman" w:hAnsi="Times New Roman" w:cs="Times New Roman"/>
          <w:lang w:val="en-GB"/>
        </w:rPr>
        <w:t xml:space="preserve">tlantic (EA) tropospheric regime, as </w:t>
      </w:r>
      <w:r w:rsidR="008252B0" w:rsidRPr="0066230A"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59264" behindDoc="1" locked="0" layoutInCell="1" allowOverlap="1" wp14:anchorId="76F772A4" wp14:editId="0AE1F5C4">
            <wp:simplePos x="0" y="0"/>
            <wp:positionH relativeFrom="margin">
              <wp:align>center</wp:align>
            </wp:positionH>
            <wp:positionV relativeFrom="page">
              <wp:posOffset>1752600</wp:posOffset>
            </wp:positionV>
            <wp:extent cx="6975475" cy="3825240"/>
            <wp:effectExtent l="0" t="0" r="0" b="3810"/>
            <wp:wrapTight wrapText="bothSides">
              <wp:wrapPolygon edited="0">
                <wp:start x="0" y="0"/>
                <wp:lineTo x="0" y="21514"/>
                <wp:lineTo x="21531" y="21514"/>
                <wp:lineTo x="21531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234C">
        <w:rPr>
          <w:rFonts w:ascii="Times New Roman" w:hAnsi="Times New Roman" w:cs="Times New Roman"/>
          <w:lang w:val="en-GB"/>
        </w:rPr>
        <w:t>demonstrated in the main text.</w:t>
      </w:r>
    </w:p>
    <w:p w14:paraId="13451780" w14:textId="74B3ED26" w:rsidR="00684A82" w:rsidRPr="007610F0" w:rsidRDefault="00684A82" w:rsidP="00684A82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Figure S2.</w:t>
      </w:r>
      <w:r w:rsidRPr="0084711F">
        <w:rPr>
          <w:rFonts w:ascii="Times New Roman" w:hAnsi="Times New Roman" w:cs="Times New Roman"/>
          <w:lang w:val="en-GB"/>
        </w:rPr>
        <w:t xml:space="preserve"> Regional bootstrap null distribution and significance testing for the </w:t>
      </w:r>
      <w:proofErr w:type="gramStart"/>
      <w:r w:rsidRPr="0084711F">
        <w:rPr>
          <w:rFonts w:ascii="Times New Roman" w:hAnsi="Times New Roman" w:cs="Times New Roman"/>
          <w:lang w:val="en-GB"/>
        </w:rPr>
        <w:t>EA(</w:t>
      </w:r>
      <w:proofErr w:type="gramEnd"/>
      <w:r w:rsidRPr="0084711F">
        <w:rPr>
          <w:rFonts w:ascii="Times New Roman" w:hAnsi="Times New Roman" w:cs="Times New Roman"/>
          <w:lang w:val="en-GB"/>
        </w:rPr>
        <w:t>+) regime. The histogram displays the distribution of 1,000 spatially averaged ETEI anomalies (</w:t>
      </w:r>
      <m:oMath>
        <m:r>
          <w:rPr>
            <w:rFonts w:ascii="Cambria Math" w:eastAsia="Cambria Math" w:hAnsi="Cambria Math" w:cs="Cambria Math"/>
            <w:color w:val="1F1F1F"/>
          </w:rPr>
          <m:t>σ</m:t>
        </m:r>
      </m:oMath>
      <w:r w:rsidRPr="0084711F">
        <w:rPr>
          <w:rFonts w:ascii="Times New Roman" w:hAnsi="Times New Roman" w:cs="Times New Roman"/>
          <w:lang w:val="en-GB"/>
        </w:rPr>
        <w:t>) generated via random resampling (</w:t>
      </w:r>
      <w:r w:rsidRPr="00FE252E">
        <w:rPr>
          <w:rFonts w:ascii="Times New Roman" w:hAnsi="Times New Roman" w:cs="Times New Roman"/>
          <w:i/>
          <w:iCs/>
          <w:lang w:val="en-GB"/>
        </w:rPr>
        <w:t>n</w:t>
      </w:r>
      <w:r>
        <w:rPr>
          <w:rFonts w:ascii="Times New Roman" w:hAnsi="Times New Roman" w:cs="Times New Roman"/>
          <w:lang w:val="en-GB"/>
        </w:rPr>
        <w:t xml:space="preserve"> </w:t>
      </w:r>
      <w:r w:rsidRPr="0084711F">
        <w:rPr>
          <w:rFonts w:ascii="Times New Roman" w:hAnsi="Times New Roman" w:cs="Times New Roman"/>
          <w:lang w:val="en-GB"/>
        </w:rPr>
        <w:t>=</w:t>
      </w:r>
      <w:r>
        <w:rPr>
          <w:rFonts w:ascii="Times New Roman" w:hAnsi="Times New Roman" w:cs="Times New Roman"/>
          <w:lang w:val="en-GB"/>
        </w:rPr>
        <w:t xml:space="preserve"> </w:t>
      </w:r>
      <w:r w:rsidRPr="0084711F">
        <w:rPr>
          <w:rFonts w:ascii="Times New Roman" w:hAnsi="Times New Roman" w:cs="Times New Roman"/>
          <w:lang w:val="en-GB"/>
        </w:rPr>
        <w:t>26) to simulate the null hypothesis over the Western Mediterranean box (32.0°N–42.0°N, 10.0°W–25.0°E). Vertical dashed lines represent the boundaries of the two-tailed 95% confidence interval (</w:t>
      </w:r>
      <w:r>
        <w:rPr>
          <w:rFonts w:ascii="Times New Roman" w:eastAsia="Times New Roman" w:hAnsi="Times New Roman" w:cs="Times New Roman"/>
          <w:i/>
          <w:iCs/>
          <w:color w:val="000000"/>
        </w:rPr>
        <w:t>α</w:t>
      </w:r>
      <w:r w:rsidRPr="000D3420">
        <w:rPr>
          <w:rFonts w:ascii="Times New Roman" w:eastAsia="Times New Roman" w:hAnsi="Times New Roman" w:cs="Times New Roman"/>
          <w:i/>
          <w:iCs/>
          <w:color w:val="000000"/>
          <w:lang w:val="en-GB"/>
        </w:rPr>
        <w:t xml:space="preserve"> </w:t>
      </w:r>
      <w:r w:rsidRPr="000D3420">
        <w:rPr>
          <w:rFonts w:ascii="Times New Roman" w:eastAsia="Times New Roman" w:hAnsi="Times New Roman" w:cs="Times New Roman"/>
          <w:color w:val="000000"/>
          <w:lang w:val="en-GB"/>
        </w:rPr>
        <w:t>= 0.05</w:t>
      </w:r>
      <w:r w:rsidRPr="0084711F">
        <w:rPr>
          <w:rFonts w:ascii="Times New Roman" w:hAnsi="Times New Roman" w:cs="Times New Roman"/>
          <w:lang w:val="en-GB"/>
        </w:rPr>
        <w:t xml:space="preserve">). </w:t>
      </w:r>
      <w:r>
        <w:rPr>
          <w:rFonts w:ascii="Times New Roman" w:hAnsi="Times New Roman" w:cs="Times New Roman"/>
          <w:lang w:val="en-GB"/>
        </w:rPr>
        <w:t>S</w:t>
      </w:r>
      <w:r w:rsidRPr="0084711F">
        <w:rPr>
          <w:rFonts w:ascii="Times New Roman" w:hAnsi="Times New Roman" w:cs="Times New Roman"/>
          <w:lang w:val="en-GB"/>
        </w:rPr>
        <w:t xml:space="preserve">olid black line denotes the actual observed regional-mean anomaly (+0.155 </w:t>
      </w:r>
      <m:oMath>
        <m:r>
          <w:rPr>
            <w:rFonts w:ascii="Cambria Math" w:eastAsia="Cambria Math" w:hAnsi="Cambria Math" w:cs="Cambria Math"/>
            <w:color w:val="1F1F1F"/>
          </w:rPr>
          <m:t>σ</m:t>
        </m:r>
      </m:oMath>
      <w:r w:rsidRPr="0084711F">
        <w:rPr>
          <w:rFonts w:ascii="Times New Roman" w:hAnsi="Times New Roman" w:cs="Times New Roman"/>
          <w:lang w:val="en-GB"/>
        </w:rPr>
        <w:t xml:space="preserve">) for the </w:t>
      </w:r>
      <w:proofErr w:type="gramStart"/>
      <w:r w:rsidRPr="0084711F">
        <w:rPr>
          <w:rFonts w:ascii="Times New Roman" w:hAnsi="Times New Roman" w:cs="Times New Roman"/>
          <w:lang w:val="en-GB"/>
        </w:rPr>
        <w:t>EA(</w:t>
      </w:r>
      <w:proofErr w:type="gramEnd"/>
      <w:r w:rsidRPr="0084711F">
        <w:rPr>
          <w:rFonts w:ascii="Times New Roman" w:hAnsi="Times New Roman" w:cs="Times New Roman"/>
          <w:lang w:val="en-GB"/>
        </w:rPr>
        <w:t xml:space="preserve">+) sub-sample during the Week 3–4 lag window (T+15 to T+30 days). Because the observed anomaly strictly exceeds the upper 97.5th percentile threshold (+0.134 </w:t>
      </w:r>
      <m:oMath>
        <m:r>
          <w:rPr>
            <w:rFonts w:ascii="Cambria Math" w:eastAsia="Cambria Math" w:hAnsi="Cambria Math" w:cs="Cambria Math"/>
            <w:color w:val="1F1F1F"/>
          </w:rPr>
          <m:t>σ</m:t>
        </m:r>
      </m:oMath>
      <w:r w:rsidRPr="0084711F">
        <w:rPr>
          <w:rFonts w:ascii="Times New Roman" w:hAnsi="Times New Roman" w:cs="Times New Roman"/>
          <w:lang w:val="en-GB"/>
        </w:rPr>
        <w:t>), the sub-seasonal enhancement of tornadic environments across this region is confirmed to be statistically significant, demonstrating the robust modulating effect of the tropospheric background state.</w:t>
      </w:r>
    </w:p>
    <w:p w14:paraId="6A74BD5F" w14:textId="27784557" w:rsidR="0066230A" w:rsidRDefault="0066230A">
      <w:pPr>
        <w:rPr>
          <w:lang w:val="en-GB"/>
        </w:rPr>
      </w:pPr>
    </w:p>
    <w:p w14:paraId="440D12D9" w14:textId="77777777" w:rsidR="0066230A" w:rsidRDefault="0066230A">
      <w:pPr>
        <w:rPr>
          <w:lang w:val="en-GB"/>
        </w:rPr>
      </w:pPr>
    </w:p>
    <w:p w14:paraId="370C3836" w14:textId="77777777" w:rsidR="0066230A" w:rsidRDefault="0066230A">
      <w:pPr>
        <w:rPr>
          <w:lang w:val="en-GB"/>
        </w:rPr>
      </w:pPr>
    </w:p>
    <w:p w14:paraId="1341E13F" w14:textId="77777777" w:rsidR="0066230A" w:rsidRDefault="0066230A">
      <w:pPr>
        <w:rPr>
          <w:lang w:val="en-GB"/>
        </w:rPr>
      </w:pPr>
    </w:p>
    <w:p w14:paraId="606ACF61" w14:textId="1FC4BFD0" w:rsidR="0066230A" w:rsidRDefault="0066230A">
      <w:pPr>
        <w:rPr>
          <w:lang w:val="en-GB"/>
        </w:rPr>
      </w:pPr>
    </w:p>
    <w:p w14:paraId="097D543A" w14:textId="0F14C21A" w:rsidR="0066230A" w:rsidRDefault="0066230A">
      <w:pPr>
        <w:rPr>
          <w:lang w:val="en-GB"/>
        </w:rPr>
      </w:pPr>
    </w:p>
    <w:p w14:paraId="466C060C" w14:textId="4C97E221" w:rsidR="0066230A" w:rsidRDefault="0066230A">
      <w:pPr>
        <w:rPr>
          <w:lang w:val="en-GB"/>
        </w:rPr>
      </w:pPr>
    </w:p>
    <w:p w14:paraId="210A3D0C" w14:textId="480A3A2C" w:rsidR="0066230A" w:rsidRDefault="0066230A">
      <w:pPr>
        <w:rPr>
          <w:lang w:val="en-GB"/>
        </w:rPr>
      </w:pPr>
    </w:p>
    <w:p w14:paraId="1B635423" w14:textId="65D9532C" w:rsidR="0066230A" w:rsidRDefault="0066230A">
      <w:pPr>
        <w:rPr>
          <w:lang w:val="en-GB"/>
        </w:rPr>
      </w:pPr>
    </w:p>
    <w:p w14:paraId="20461C48" w14:textId="175DD328" w:rsidR="0066230A" w:rsidRDefault="0066230A">
      <w:pPr>
        <w:rPr>
          <w:lang w:val="en-GB"/>
        </w:rPr>
      </w:pPr>
    </w:p>
    <w:p w14:paraId="6D947647" w14:textId="0F207E89" w:rsidR="0066230A" w:rsidRDefault="0066230A">
      <w:pPr>
        <w:rPr>
          <w:lang w:val="en-GB"/>
        </w:rPr>
      </w:pPr>
    </w:p>
    <w:p w14:paraId="2381A732" w14:textId="3DA8AA2C" w:rsidR="0066230A" w:rsidRDefault="008252B0">
      <w:pPr>
        <w:rPr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anchor distT="0" distB="0" distL="114300" distR="114300" simplePos="0" relativeHeight="251660288" behindDoc="1" locked="0" layoutInCell="1" allowOverlap="1" wp14:anchorId="4AE5B470" wp14:editId="56048AE7">
            <wp:simplePos x="0" y="0"/>
            <wp:positionH relativeFrom="column">
              <wp:posOffset>-451485</wp:posOffset>
            </wp:positionH>
            <wp:positionV relativeFrom="page">
              <wp:posOffset>2340610</wp:posOffset>
            </wp:positionV>
            <wp:extent cx="6534150" cy="3877945"/>
            <wp:effectExtent l="0" t="0" r="0" b="8255"/>
            <wp:wrapTight wrapText="bothSides">
              <wp:wrapPolygon edited="0">
                <wp:start x="0" y="0"/>
                <wp:lineTo x="0" y="21540"/>
                <wp:lineTo x="21537" y="21540"/>
                <wp:lineTo x="21537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89BC2B" w14:textId="71A40D8C" w:rsidR="002822CC" w:rsidRPr="0066230A" w:rsidRDefault="0066230A" w:rsidP="0066230A">
      <w:pPr>
        <w:spacing w:line="360" w:lineRule="auto"/>
        <w:jc w:val="both"/>
        <w:rPr>
          <w:rFonts w:ascii="Times New Roman" w:hAnsi="Times New Roman" w:cs="Times New Roman"/>
          <w:lang w:val="en-GB"/>
        </w:rPr>
      </w:pPr>
      <w:r w:rsidRPr="0066230A">
        <w:rPr>
          <w:rFonts w:ascii="Times New Roman" w:hAnsi="Times New Roman" w:cs="Times New Roman"/>
          <w:lang w:val="en-GB"/>
        </w:rPr>
        <w:t xml:space="preserve">Figure S3. Fraction of </w:t>
      </w:r>
      <w:r w:rsidR="00AF2029">
        <w:rPr>
          <w:rFonts w:ascii="Times New Roman" w:hAnsi="Times New Roman" w:cs="Times New Roman"/>
          <w:lang w:val="en-GB"/>
        </w:rPr>
        <w:t>m</w:t>
      </w:r>
      <w:r w:rsidR="00AF2029" w:rsidRPr="0066230A">
        <w:rPr>
          <w:rFonts w:ascii="Times New Roman" w:hAnsi="Times New Roman" w:cs="Times New Roman"/>
          <w:lang w:val="en-GB"/>
        </w:rPr>
        <w:t xml:space="preserve">ajor </w:t>
      </w:r>
      <w:r w:rsidRPr="0066230A">
        <w:rPr>
          <w:rFonts w:ascii="Times New Roman" w:hAnsi="Times New Roman" w:cs="Times New Roman"/>
          <w:lang w:val="en-GB"/>
        </w:rPr>
        <w:t xml:space="preserve">SSW events associated with at least one tornado report </w:t>
      </w:r>
      <w:r w:rsidR="008252B0">
        <w:rPr>
          <w:rFonts w:ascii="Times New Roman" w:hAnsi="Times New Roman" w:cs="Times New Roman"/>
          <w:lang w:val="en-GB"/>
        </w:rPr>
        <w:t xml:space="preserve">(≥F0) </w:t>
      </w:r>
      <w:r w:rsidRPr="0066230A">
        <w:rPr>
          <w:rFonts w:ascii="Times New Roman" w:hAnsi="Times New Roman" w:cs="Times New Roman"/>
          <w:lang w:val="en-GB"/>
        </w:rPr>
        <w:t xml:space="preserve">within the Southern European domain (32–42°N, 10°W–25°E) on each lag day relative to the SSW central date (T = 0), stratified by EA regime. Raw daily counts were </w:t>
      </w:r>
      <w:proofErr w:type="spellStart"/>
      <w:r w:rsidRPr="0066230A">
        <w:rPr>
          <w:rFonts w:ascii="Times New Roman" w:hAnsi="Times New Roman" w:cs="Times New Roman"/>
          <w:lang w:val="en-GB"/>
        </w:rPr>
        <w:t>winsorised</w:t>
      </w:r>
      <w:proofErr w:type="spellEnd"/>
      <w:r w:rsidRPr="0066230A">
        <w:rPr>
          <w:rFonts w:ascii="Times New Roman" w:hAnsi="Times New Roman" w:cs="Times New Roman"/>
          <w:lang w:val="en-GB"/>
        </w:rPr>
        <w:t xml:space="preserve"> at one report </w:t>
      </w:r>
      <w:r w:rsidR="00AF2029">
        <w:rPr>
          <w:rFonts w:ascii="Times New Roman" w:hAnsi="Times New Roman" w:cs="Times New Roman"/>
          <w:lang w:val="en-GB"/>
        </w:rPr>
        <w:t>for each</w:t>
      </w:r>
      <w:r w:rsidR="00AF2029" w:rsidRPr="0066230A">
        <w:rPr>
          <w:rFonts w:ascii="Times New Roman" w:hAnsi="Times New Roman" w:cs="Times New Roman"/>
          <w:lang w:val="en-GB"/>
        </w:rPr>
        <w:t xml:space="preserve"> </w:t>
      </w:r>
      <w:r w:rsidRPr="0066230A">
        <w:rPr>
          <w:rFonts w:ascii="Times New Roman" w:hAnsi="Times New Roman" w:cs="Times New Roman"/>
          <w:lang w:val="en-GB"/>
        </w:rPr>
        <w:t>SSW event-day to prevent individual outbreak days from dominating the composite signal, and a 5-day</w:t>
      </w:r>
      <w:r w:rsidR="00AF2029">
        <w:rPr>
          <w:rFonts w:ascii="Times New Roman" w:hAnsi="Times New Roman" w:cs="Times New Roman"/>
          <w:lang w:val="en-GB"/>
        </w:rPr>
        <w:t>-</w:t>
      </w:r>
      <w:r w:rsidRPr="0066230A">
        <w:rPr>
          <w:rFonts w:ascii="Times New Roman" w:hAnsi="Times New Roman" w:cs="Times New Roman"/>
          <w:lang w:val="en-GB"/>
        </w:rPr>
        <w:t xml:space="preserve">centred </w:t>
      </w:r>
      <w:r w:rsidR="00AF2029">
        <w:rPr>
          <w:rFonts w:ascii="Times New Roman" w:hAnsi="Times New Roman" w:cs="Times New Roman"/>
          <w:lang w:val="en-GB"/>
        </w:rPr>
        <w:t>moving average</w:t>
      </w:r>
      <w:r w:rsidR="00AF2029" w:rsidRPr="0066230A">
        <w:rPr>
          <w:rFonts w:ascii="Times New Roman" w:hAnsi="Times New Roman" w:cs="Times New Roman"/>
          <w:lang w:val="en-GB"/>
        </w:rPr>
        <w:t xml:space="preserve"> </w:t>
      </w:r>
      <w:r w:rsidRPr="0066230A">
        <w:rPr>
          <w:rFonts w:ascii="Times New Roman" w:hAnsi="Times New Roman" w:cs="Times New Roman"/>
          <w:lang w:val="en-GB"/>
        </w:rPr>
        <w:t xml:space="preserve">was applied for visual clarity. Both regimes exhibit a sharp suppression of tornado activity at T = 0, consistent with the immediate dynamic response to the polar vortex disruption. Following this </w:t>
      </w:r>
      <w:bookmarkStart w:id="3" w:name="_GoBack"/>
      <w:bookmarkEnd w:id="3"/>
      <w:r w:rsidRPr="0066230A">
        <w:rPr>
          <w:rFonts w:ascii="Times New Roman" w:hAnsi="Times New Roman" w:cs="Times New Roman"/>
          <w:lang w:val="en-GB"/>
        </w:rPr>
        <w:t xml:space="preserve">suppression, only the </w:t>
      </w:r>
      <w:proofErr w:type="gramStart"/>
      <w:r w:rsidRPr="0066230A">
        <w:rPr>
          <w:rFonts w:ascii="Times New Roman" w:hAnsi="Times New Roman" w:cs="Times New Roman"/>
          <w:lang w:val="en-GB"/>
        </w:rPr>
        <w:t>EA(</w:t>
      </w:r>
      <w:proofErr w:type="gramEnd"/>
      <w:r w:rsidRPr="0066230A">
        <w:rPr>
          <w:rFonts w:ascii="Times New Roman" w:hAnsi="Times New Roman" w:cs="Times New Roman"/>
          <w:lang w:val="en-GB"/>
        </w:rPr>
        <w:t xml:space="preserve">+) regime shows a coherent recovery and sustained elevation of tornado occurrence frequency during W3–4 (T+15 to T+30), reaching levels that exceed the pre-SSW baseline — broadly consistent with the ETEI composite analysis (Fig. 6). No equivalent organised signal emerges in the </w:t>
      </w:r>
      <w:proofErr w:type="gramStart"/>
      <w:r w:rsidRPr="0066230A">
        <w:rPr>
          <w:rFonts w:ascii="Times New Roman" w:hAnsi="Times New Roman" w:cs="Times New Roman"/>
          <w:lang w:val="en-GB"/>
        </w:rPr>
        <w:t>EA(</w:t>
      </w:r>
      <w:proofErr w:type="gramEnd"/>
      <w:r w:rsidRPr="0066230A">
        <w:rPr>
          <w:rFonts w:ascii="Times New Roman" w:hAnsi="Times New Roman" w:cs="Times New Roman"/>
          <w:lang w:val="en-GB"/>
        </w:rPr>
        <w:t>−) regime within this window. Given the small sub-sample sizes (n = 26 and n = 23) and the known inhomogeneities in ESWD reporting density</w:t>
      </w:r>
      <w:r w:rsidR="00AF2029">
        <w:rPr>
          <w:rFonts w:ascii="Times New Roman" w:hAnsi="Times New Roman" w:cs="Times New Roman"/>
          <w:lang w:val="en-GB"/>
        </w:rPr>
        <w:t xml:space="preserve"> over the 1950–2025 period (see discussions, however, in Lacroix et al., 2026a, b)</w:t>
      </w:r>
      <w:r w:rsidRPr="0066230A">
        <w:rPr>
          <w:rFonts w:ascii="Times New Roman" w:hAnsi="Times New Roman" w:cs="Times New Roman"/>
          <w:lang w:val="en-GB"/>
        </w:rPr>
        <w:t xml:space="preserve">, </w:t>
      </w:r>
      <w:r w:rsidR="00AF2029" w:rsidRPr="0066230A">
        <w:rPr>
          <w:rFonts w:ascii="Times New Roman" w:hAnsi="Times New Roman" w:cs="Times New Roman"/>
          <w:lang w:val="en-GB"/>
        </w:rPr>
        <w:t>th</w:t>
      </w:r>
      <w:r w:rsidR="00AF2029">
        <w:rPr>
          <w:rFonts w:ascii="Times New Roman" w:hAnsi="Times New Roman" w:cs="Times New Roman"/>
          <w:lang w:val="en-GB"/>
        </w:rPr>
        <w:t>ese</w:t>
      </w:r>
      <w:r w:rsidR="00AF2029" w:rsidRPr="0066230A">
        <w:rPr>
          <w:rFonts w:ascii="Times New Roman" w:hAnsi="Times New Roman" w:cs="Times New Roman"/>
          <w:lang w:val="en-GB"/>
        </w:rPr>
        <w:t xml:space="preserve"> </w:t>
      </w:r>
      <w:r w:rsidR="00AF2029">
        <w:rPr>
          <w:rFonts w:ascii="Times New Roman" w:hAnsi="Times New Roman" w:cs="Times New Roman"/>
          <w:lang w:val="en-GB"/>
        </w:rPr>
        <w:t>graphs</w:t>
      </w:r>
      <w:r w:rsidR="00AF2029" w:rsidRPr="0066230A">
        <w:rPr>
          <w:rFonts w:ascii="Times New Roman" w:hAnsi="Times New Roman" w:cs="Times New Roman"/>
          <w:lang w:val="en-GB"/>
        </w:rPr>
        <w:t xml:space="preserve"> </w:t>
      </w:r>
      <w:r w:rsidRPr="0066230A">
        <w:rPr>
          <w:rFonts w:ascii="Times New Roman" w:hAnsi="Times New Roman" w:cs="Times New Roman"/>
          <w:lang w:val="en-GB"/>
        </w:rPr>
        <w:t>should be interpreted as observational corroboration rather than independent statistical proof.</w:t>
      </w:r>
    </w:p>
    <w:sectPr w:rsidR="002822CC" w:rsidRPr="00662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756DEB9E" w16cex:dateUtc="2026-07-06T08:33:00Z"/>
  <w16cex:commentExtensible w16cex:durableId="40D64C0E" w16cex:dateUtc="2026-07-06T08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CD468" w14:textId="77777777" w:rsidR="00D72563" w:rsidRDefault="00D72563" w:rsidP="00AF2029">
      <w:pPr>
        <w:spacing w:after="0" w:line="240" w:lineRule="auto"/>
      </w:pPr>
      <w:r>
        <w:separator/>
      </w:r>
    </w:p>
  </w:endnote>
  <w:endnote w:type="continuationSeparator" w:id="0">
    <w:p w14:paraId="7027D816" w14:textId="77777777" w:rsidR="00D72563" w:rsidRDefault="00D72563" w:rsidP="00AF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44537" w14:textId="77777777" w:rsidR="00D72563" w:rsidRDefault="00D72563" w:rsidP="00AF2029">
      <w:pPr>
        <w:spacing w:after="0" w:line="240" w:lineRule="auto"/>
      </w:pPr>
      <w:r>
        <w:separator/>
      </w:r>
    </w:p>
  </w:footnote>
  <w:footnote w:type="continuationSeparator" w:id="0">
    <w:p w14:paraId="3F5392AE" w14:textId="77777777" w:rsidR="00D72563" w:rsidRDefault="00D72563" w:rsidP="00AF20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62"/>
    <w:rsid w:val="00046D62"/>
    <w:rsid w:val="002822CC"/>
    <w:rsid w:val="00324B50"/>
    <w:rsid w:val="00594013"/>
    <w:rsid w:val="0066230A"/>
    <w:rsid w:val="00684A82"/>
    <w:rsid w:val="008252B0"/>
    <w:rsid w:val="009F0377"/>
    <w:rsid w:val="00A54B74"/>
    <w:rsid w:val="00AF2029"/>
    <w:rsid w:val="00CE3FFD"/>
    <w:rsid w:val="00D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4B589"/>
  <w15:chartTrackingRefBased/>
  <w15:docId w15:val="{F0B237B1-4563-48BB-9369-C064040CF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4A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684A82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4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4A82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AF202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F2029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F2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2029"/>
  </w:style>
  <w:style w:type="paragraph" w:styleId="Pieddepage">
    <w:name w:val="footer"/>
    <w:basedOn w:val="Normal"/>
    <w:link w:val="PieddepageCar"/>
    <w:uiPriority w:val="99"/>
    <w:unhideWhenUsed/>
    <w:rsid w:val="00AF2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2029"/>
  </w:style>
  <w:style w:type="paragraph" w:styleId="Commentaire">
    <w:name w:val="annotation text"/>
    <w:basedOn w:val="Normal"/>
    <w:link w:val="CommentaireCar"/>
    <w:uiPriority w:val="99"/>
    <w:semiHidden/>
    <w:unhideWhenUsed/>
    <w:rsid w:val="00AF202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F202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20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20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thieu.lacroix@univ-lyon2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619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Lumière Lyon 2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Lacroix Matthieu</dc:creator>
  <cp:keywords/>
  <dc:description/>
  <cp:lastModifiedBy>Lacroix Matthieu</cp:lastModifiedBy>
  <cp:revision>6</cp:revision>
  <dcterms:created xsi:type="dcterms:W3CDTF">2026-07-05T00:08:00Z</dcterms:created>
  <dcterms:modified xsi:type="dcterms:W3CDTF">2026-07-06T15:36:00Z</dcterms:modified>
</cp:coreProperties>
</file>