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39" w:name="Xe3f143a1a4b8c5c942338492e923289b423218f"/>
    <w:p>
      <w:pPr>
        <w:pStyle w:val="Heading1"/>
      </w:pPr>
      <w:r>
        <w:t xml:space="preserve">Additional file 1: Supplementary Material S1</w:t>
      </w:r>
    </w:p>
    <w:bookmarkStart w:id="32" w:name="X4a4df83c31214015612881f18ea30ce6715edc7"/>
    <w:p>
      <w:pPr>
        <w:pStyle w:val="Heading2"/>
      </w:pPr>
      <w:r>
        <w:t xml:space="preserve">Supplementary Material S1: Per-Drug Case Files</w:t>
      </w:r>
    </w:p>
    <w:p>
      <w:pPr>
        <w:pStyle w:val="FirstParagraph"/>
      </w:pPr>
      <w:r>
        <w:t xml:space="preserve">The following are the detailed per-drug case files for the complete cohort. The consolidated final results are reported in Section 3; the material below is the underlying case-level record and audit trail. Two of the drugs documented below, LAAM/ORLAAM and nefazodone, are the border-case sensitivity set held out of the strict 29-drug primary cohort (Appendix C); they were fully analyzed and are retained here for completeness.</w:t>
      </w:r>
    </w:p>
    <w:bookmarkStart w:id="20" w:name="s11-per-drug-case-files-part-i"/>
    <w:p>
      <w:pPr>
        <w:pStyle w:val="Heading3"/>
      </w:pPr>
      <w:r>
        <w:t xml:space="preserve">S1.1 Per-drug case files (part I)</w:t>
      </w:r>
    </w:p>
    <w:bookmarkEnd w:id="20"/>
    <w:bookmarkStart w:id="21" w:name="s111-summary"/>
    <w:p>
      <w:pPr>
        <w:pStyle w:val="Heading3"/>
      </w:pPr>
      <w:r>
        <w:t xml:space="preserve">S1.1.1 Summary</w:t>
      </w:r>
    </w:p>
    <w:p>
      <w:pPr>
        <w:pStyle w:val="FirstParagraph"/>
      </w:pPr>
      <w:r>
        <w:t xml:space="preserve">The first group comprises five drugs spanning drug classes, withdrawal decades, and mechanistic patterns: rofecoxib (Vioxx, COX-2 inhibitor, withdrawn 2004), cerivastatin (Baycol, statin, withdrawn 2001), troglitazone (Rezulin, thiazolidinedione, withdrawn 2000), sibutramine (Meridia, SNRI anorexiant, withdrawn 2010), and terfenadine (Seldane, H1 antihistamine, withdrawn 1997).</w:t>
      </w:r>
    </w:p>
    <w:bookmarkEnd w:id="21"/>
    <w:bookmarkStart w:id="22" w:name="s112-case-files"/>
    <w:p>
      <w:pPr>
        <w:pStyle w:val="Heading3"/>
      </w:pPr>
      <w:r>
        <w:t xml:space="preserve">S1.1.2 Case files</w:t>
      </w:r>
    </w:p>
    <w:p>
      <w:pPr>
        <w:pStyle w:val="FirstParagraph"/>
      </w:pPr>
      <w:r>
        <w:rPr>
          <w:bCs/>
          <w:b/>
        </w:rPr>
        <w:t xml:space="preserve">Rofecoxib (Vioxx).</w:t>
      </w:r>
      <w:r>
        <w:t xml:space="preserve"> </w:t>
      </w:r>
      <w:r>
        <w:t xml:space="preserve">NDA 21-042/052, approved 20 May 1999; withdrawn 30 September 2004 for cardiovascular thrombotic events. Approximately 80 million patients exposed. Pivotal papers identified:</w:t>
      </w:r>
    </w:p>
    <w:tbl>
      <w:tblPr>
        <w:tblStyle w:val="Table"/>
        <w:tblW w:type="auto" w:w="0"/>
        <w:tblLook w:firstRow="1" w:lastRow="0" w:firstColumn="0" w:lastColumn="0" w:noHBand="0" w:noVBand="0" w:val="0020"/>
        <w:jc w:val="start"/>
      </w:tblPr>
      <w:tblGrid>
        <w:gridCol w:w="1980"/>
        <w:gridCol w:w="1980"/>
        <w:gridCol w:w="1980"/>
        <w:gridCol w:w="1980"/>
      </w:tblGrid>
      <w:tr>
        <w:trPr>
          <w:tblHeader w:val="true"/>
        </w:trPr>
        <w:tc>
          <w:tcPr/>
          <w:p>
            <w:pPr>
              <w:pStyle w:val="Compact"/>
              <w:jc w:val="left"/>
            </w:pPr>
            <w:r>
              <w:t xml:space="preserve">Paper</w:t>
            </w:r>
          </w:p>
        </w:tc>
        <w:tc>
          <w:tcPr/>
          <w:p>
            <w:pPr>
              <w:pStyle w:val="Compact"/>
              <w:jc w:val="left"/>
            </w:pPr>
            <w:r>
              <w:t xml:space="preserve">Journal, Year</w:t>
            </w:r>
          </w:p>
        </w:tc>
        <w:tc>
          <w:tcPr/>
          <w:p>
            <w:pPr>
              <w:pStyle w:val="Compact"/>
              <w:jc w:val="left"/>
            </w:pPr>
            <w:r>
              <w:t xml:space="preserve">Role</w:t>
            </w:r>
          </w:p>
        </w:tc>
        <w:tc>
          <w:tcPr/>
          <w:p>
            <w:pPr>
              <w:pStyle w:val="Compact"/>
              <w:jc w:val="left"/>
            </w:pPr>
            <w:r>
              <w:t xml:space="preserve">Status</w:t>
            </w:r>
          </w:p>
        </w:tc>
      </w:tr>
      <w:tr>
        <w:tc>
          <w:tcPr/>
          <w:p>
            <w:pPr>
              <w:pStyle w:val="Compact"/>
              <w:jc w:val="left"/>
            </w:pPr>
            <w:r>
              <w:t xml:space="preserve">Laine L et al.</w:t>
            </w:r>
          </w:p>
        </w:tc>
        <w:tc>
          <w:tcPr/>
          <w:p>
            <w:pPr>
              <w:pStyle w:val="Compact"/>
              <w:jc w:val="left"/>
            </w:pPr>
            <w:r>
              <w:rPr>
                <w:iCs/>
                <w:i/>
              </w:rPr>
              <w:t xml:space="preserve">Gastroenterology</w:t>
            </w:r>
            <w:r>
              <w:t xml:space="preserve"> </w:t>
            </w:r>
            <w:r>
              <w:t xml:space="preserve">1999;117:776-83 (PMID 10500058)</w:t>
            </w:r>
          </w:p>
        </w:tc>
        <w:tc>
          <w:tcPr/>
          <w:p>
            <w:pPr>
              <w:pStyle w:val="Compact"/>
              <w:jc w:val="left"/>
            </w:pPr>
            <w:r>
              <w:t xml:space="preserve">Pre-approval endoscopic GI-safety pivotal</w:t>
            </w:r>
          </w:p>
        </w:tc>
        <w:tc>
          <w:tcPr/>
          <w:p>
            <w:pPr>
              <w:pStyle w:val="Compact"/>
              <w:jc w:val="left"/>
            </w:pPr>
            <w:r>
              <w:t xml:space="preserve">No formal action</w:t>
            </w:r>
          </w:p>
        </w:tc>
      </w:tr>
      <w:tr>
        <w:tc>
          <w:tcPr/>
          <w:p>
            <w:pPr>
              <w:pStyle w:val="Compact"/>
              <w:jc w:val="left"/>
            </w:pPr>
            <w:r>
              <w:t xml:space="preserve">Hawkey C et al.</w:t>
            </w:r>
          </w:p>
        </w:tc>
        <w:tc>
          <w:tcPr/>
          <w:p>
            <w:pPr>
              <w:pStyle w:val="Compact"/>
              <w:jc w:val="left"/>
            </w:pPr>
            <w:r>
              <w:rPr>
                <w:iCs/>
                <w:i/>
              </w:rPr>
              <w:t xml:space="preserve">Arthritis Rheum</w:t>
            </w:r>
            <w:r>
              <w:t xml:space="preserve"> </w:t>
            </w:r>
            <w:r>
              <w:t xml:space="preserve">2000;43:370-77 (PMID 10693877)</w:t>
            </w:r>
          </w:p>
        </w:tc>
        <w:tc>
          <w:tcPr/>
          <w:p>
            <w:pPr>
              <w:pStyle w:val="Compact"/>
              <w:jc w:val="left"/>
            </w:pPr>
            <w:r>
              <w:t xml:space="preserve">Endoscopic GI-safety pivotal</w:t>
            </w:r>
          </w:p>
        </w:tc>
        <w:tc>
          <w:tcPr/>
          <w:p>
            <w:pPr>
              <w:pStyle w:val="Compact"/>
              <w:jc w:val="left"/>
            </w:pPr>
            <w:r>
              <w:t xml:space="preserve">No formal action</w:t>
            </w:r>
          </w:p>
        </w:tc>
      </w:tr>
      <w:tr>
        <w:tc>
          <w:tcPr/>
          <w:p>
            <w:pPr>
              <w:pStyle w:val="Compact"/>
              <w:jc w:val="left"/>
            </w:pPr>
            <w:r>
              <w:t xml:space="preserve">Langman MJ et al.</w:t>
            </w:r>
          </w:p>
        </w:tc>
        <w:tc>
          <w:tcPr/>
          <w:p>
            <w:pPr>
              <w:pStyle w:val="Compact"/>
              <w:jc w:val="left"/>
            </w:pPr>
            <w:r>
              <w:rPr>
                <w:iCs/>
                <w:i/>
              </w:rPr>
              <w:t xml:space="preserve">JAMA</w:t>
            </w:r>
            <w:r>
              <w:t xml:space="preserve"> </w:t>
            </w:r>
            <w:r>
              <w:t xml:space="preserve">1999;282:1929-33</w:t>
            </w:r>
          </w:p>
        </w:tc>
        <w:tc>
          <w:tcPr/>
          <w:p>
            <w:pPr>
              <w:pStyle w:val="Compact"/>
              <w:jc w:val="left"/>
            </w:pPr>
            <w:r>
              <w:t xml:space="preserve">Pooled upper-GI-events analysis</w:t>
            </w:r>
          </w:p>
        </w:tc>
        <w:tc>
          <w:tcPr/>
          <w:p>
            <w:pPr>
              <w:pStyle w:val="Compact"/>
              <w:jc w:val="left"/>
            </w:pPr>
            <w:r>
              <w:t xml:space="preserve">No formal action</w:t>
            </w:r>
          </w:p>
        </w:tc>
      </w:tr>
      <w:tr>
        <w:tc>
          <w:tcPr/>
          <w:p>
            <w:pPr>
              <w:pStyle w:val="Compact"/>
              <w:jc w:val="left"/>
            </w:pPr>
            <w:r>
              <w:t xml:space="preserve">Bombardier C et al. (VIGOR)</w:t>
            </w:r>
          </w:p>
        </w:tc>
        <w:tc>
          <w:tcPr/>
          <w:p>
            <w:pPr>
              <w:pStyle w:val="Compact"/>
              <w:jc w:val="left"/>
            </w:pPr>
            <w:r>
              <w:rPr>
                <w:iCs/>
                <w:i/>
              </w:rPr>
              <w:t xml:space="preserve">NEJM</w:t>
            </w:r>
            <w:r>
              <w:t xml:space="preserve"> </w:t>
            </w:r>
            <w:r>
              <w:t xml:space="preserve">2000;343:1520-28 (PMID 11087881)</w:t>
            </w:r>
          </w:p>
        </w:tc>
        <w:tc>
          <w:tcPr/>
          <w:p>
            <w:pPr>
              <w:pStyle w:val="Compact"/>
              <w:jc w:val="left"/>
            </w:pPr>
            <w:r>
              <w:t xml:space="preserve">RA-indication expansion pivotal</w:t>
            </w:r>
          </w:p>
        </w:tc>
        <w:tc>
          <w:tcPr/>
          <w:p>
            <w:pPr>
              <w:pStyle w:val="Compact"/>
              <w:jc w:val="left"/>
            </w:pPr>
            <w:r>
              <w:t xml:space="preserve">Expression of Concern, December 2005; reaffirmed March 2006. Not retracted.</w:t>
            </w:r>
          </w:p>
        </w:tc>
      </w:tr>
    </w:tbl>
    <w:p>
      <w:pPr>
        <w:pStyle w:val="BodyText"/>
      </w:pPr>
      <w:r>
        <w:t xml:space="preserve">The VIGOR Expression of Concern (Curfman GD, Morrissey S, Drazen JM.</w:t>
      </w:r>
      <w:r>
        <w:t xml:space="preserve"> </w:t>
      </w:r>
      <w:r>
        <w:rPr>
          <w:iCs/>
          <w:i/>
        </w:rPr>
        <w:t xml:space="preserve">NEJM</w:t>
      </w:r>
      <w:r>
        <w:t xml:space="preserve"> </w:t>
      </w:r>
      <w:r>
        <w:t xml:space="preserve">2005;353:2813-2814; reaffirmation</w:t>
      </w:r>
      <w:r>
        <w:t xml:space="preserve"> </w:t>
      </w:r>
      <w:r>
        <w:rPr>
          <w:iCs/>
          <w:i/>
        </w:rPr>
        <w:t xml:space="preserve">NEJM</w:t>
      </w:r>
      <w:r>
        <w:t xml:space="preserve"> </w:t>
      </w:r>
      <w:r>
        <w:t xml:space="preserve">2006;354:1193) was published five years and one month after the paper. Concerns had been raised with the journal editor as early as August 2001 (four years prior to formal action) and the drug had been withdrawn fourteen months prior. The correction was prompted by evidence obtained through litigation showing that three myocardial infarctions in the rofecoxib arm were deleted from the manuscript two days before submission. The paper’s authors declined to submit a correction, stating their view that the original article did not require one.</w:t>
      </w:r>
    </w:p>
    <w:p>
      <w:pPr>
        <w:pStyle w:val="BodyText"/>
      </w:pPr>
      <w:r>
        <w:t xml:space="preserve">Pattern classification: A, with a Pattern C element. VIGOR is the one Pattern A case in the cohort, the single pivotal paper directly contaminated (three myocardial infarctions deleted before submission) and the only one to receive a formal correction; the withdrawal itself, for cardiovascular thrombotic events not measured as a primary endpoint, has a Pattern C character.</w:t>
      </w:r>
    </w:p>
    <w:p>
      <w:pPr>
        <w:pStyle w:val="BodyText"/>
      </w:pPr>
      <w:r>
        <w:rPr>
          <w:bCs/>
          <w:b/>
        </w:rPr>
        <w:t xml:space="preserve">Cerivastatin (Baycol).</w:t>
      </w:r>
      <w:r>
        <w:t xml:space="preserve"> </w:t>
      </w:r>
      <w:r>
        <w:t xml:space="preserve">NDA 020740, approved 26 June 1997; 0.8 mg supplement approved 21 July 2000; withdrawn 8 August 2001 for rhabdomyolysis. 31 US deaths, over 100 deaths worldwide. Pivotal papers identified:</w:t>
      </w:r>
    </w:p>
    <w:tbl>
      <w:tblPr>
        <w:tblStyle w:val="Table"/>
        <w:tblW w:type="auto" w:w="0"/>
        <w:tblLook w:firstRow="1" w:lastRow="0" w:firstColumn="0" w:lastColumn="0" w:noHBand="0" w:noVBand="0" w:val="0020"/>
        <w:jc w:val="start"/>
      </w:tblPr>
      <w:tblGrid>
        <w:gridCol w:w="1980"/>
        <w:gridCol w:w="1980"/>
        <w:gridCol w:w="1980"/>
        <w:gridCol w:w="1980"/>
      </w:tblGrid>
      <w:tr>
        <w:trPr>
          <w:tblHeader w:val="true"/>
        </w:trPr>
        <w:tc>
          <w:tcPr/>
          <w:p>
            <w:pPr>
              <w:pStyle w:val="Compact"/>
              <w:jc w:val="left"/>
            </w:pPr>
            <w:r>
              <w:t xml:space="preserve">Paper</w:t>
            </w:r>
          </w:p>
        </w:tc>
        <w:tc>
          <w:tcPr/>
          <w:p>
            <w:pPr>
              <w:pStyle w:val="Compact"/>
              <w:jc w:val="left"/>
            </w:pPr>
            <w:r>
              <w:t xml:space="preserve">Journal, Year</w:t>
            </w:r>
          </w:p>
        </w:tc>
        <w:tc>
          <w:tcPr/>
          <w:p>
            <w:pPr>
              <w:pStyle w:val="Compact"/>
              <w:jc w:val="left"/>
            </w:pPr>
            <w:r>
              <w:t xml:space="preserve">Role</w:t>
            </w:r>
          </w:p>
        </w:tc>
        <w:tc>
          <w:tcPr/>
          <w:p>
            <w:pPr>
              <w:pStyle w:val="Compact"/>
              <w:jc w:val="left"/>
            </w:pPr>
            <w:r>
              <w:t xml:space="preserve">Status</w:t>
            </w:r>
          </w:p>
        </w:tc>
      </w:tr>
      <w:tr>
        <w:tc>
          <w:tcPr/>
          <w:p>
            <w:pPr>
              <w:pStyle w:val="Compact"/>
              <w:jc w:val="left"/>
            </w:pPr>
            <w:r>
              <w:t xml:space="preserve">Davignon J et al.</w:t>
            </w:r>
          </w:p>
        </w:tc>
        <w:tc>
          <w:tcPr/>
          <w:p>
            <w:pPr>
              <w:pStyle w:val="Compact"/>
              <w:jc w:val="left"/>
            </w:pPr>
            <w:r>
              <w:rPr>
                <w:iCs/>
                <w:i/>
              </w:rPr>
              <w:t xml:space="preserve">Am J Cardiol</w:t>
            </w:r>
            <w:r>
              <w:t xml:space="preserve"> </w:t>
            </w:r>
            <w:r>
              <w:t xml:space="preserve">1998;82(4B):32J-39J (PMID 9737644)</w:t>
            </w:r>
          </w:p>
        </w:tc>
        <w:tc>
          <w:tcPr/>
          <w:p>
            <w:pPr>
              <w:pStyle w:val="Compact"/>
              <w:jc w:val="left"/>
            </w:pPr>
            <w:r>
              <w:t xml:space="preserve">Summary of pivotal Phase IIb/III studies</w:t>
            </w:r>
          </w:p>
        </w:tc>
        <w:tc>
          <w:tcPr/>
          <w:p>
            <w:pPr>
              <w:pStyle w:val="Compact"/>
              <w:jc w:val="left"/>
            </w:pPr>
            <w:r>
              <w:t xml:space="preserve">No formal action</w:t>
            </w:r>
          </w:p>
        </w:tc>
      </w:tr>
      <w:tr>
        <w:tc>
          <w:tcPr/>
          <w:p>
            <w:pPr>
              <w:pStyle w:val="Compact"/>
              <w:jc w:val="left"/>
            </w:pPr>
            <w:r>
              <w:t xml:space="preserve">Insull W Jr et al.</w:t>
            </w:r>
          </w:p>
        </w:tc>
        <w:tc>
          <w:tcPr/>
          <w:p>
            <w:pPr>
              <w:pStyle w:val="Compact"/>
              <w:jc w:val="left"/>
            </w:pPr>
            <w:r>
              <w:rPr>
                <w:iCs/>
                <w:i/>
              </w:rPr>
              <w:t xml:space="preserve">J Int Med Res</w:t>
            </w:r>
            <w:r>
              <w:t xml:space="preserve"> </w:t>
            </w:r>
            <w:r>
              <w:t xml:space="preserve">2000;28(2):47-68 (PMID 10898118)</w:t>
            </w:r>
          </w:p>
        </w:tc>
        <w:tc>
          <w:tcPr/>
          <w:p>
            <w:pPr>
              <w:pStyle w:val="Compact"/>
              <w:jc w:val="left"/>
            </w:pPr>
            <w:r>
              <w:t xml:space="preserve">Pivotal 0.8 mg dose trial, the dose most implicated in withdrawal</w:t>
            </w:r>
          </w:p>
        </w:tc>
        <w:tc>
          <w:tcPr/>
          <w:p>
            <w:pPr>
              <w:pStyle w:val="Compact"/>
              <w:jc w:val="left"/>
            </w:pPr>
            <w:r>
              <w:t xml:space="preserve">No formal action</w:t>
            </w:r>
          </w:p>
        </w:tc>
      </w:tr>
      <w:tr>
        <w:tc>
          <w:tcPr/>
          <w:p>
            <w:pPr>
              <w:pStyle w:val="Compact"/>
              <w:jc w:val="left"/>
            </w:pPr>
            <w:r>
              <w:t xml:space="preserve">Hanefeld M et al.</w:t>
            </w:r>
          </w:p>
        </w:tc>
        <w:tc>
          <w:tcPr/>
          <w:p>
            <w:pPr>
              <w:pStyle w:val="Compact"/>
              <w:jc w:val="left"/>
            </w:pPr>
            <w:r>
              <w:rPr>
                <w:iCs/>
                <w:i/>
              </w:rPr>
              <w:t xml:space="preserve">J Int Med Res</w:t>
            </w:r>
            <w:r>
              <w:t xml:space="preserve"> </w:t>
            </w:r>
            <w:r>
              <w:t xml:space="preserve">1999;27:115-129</w:t>
            </w:r>
          </w:p>
        </w:tc>
        <w:tc>
          <w:tcPr/>
          <w:p>
            <w:pPr>
              <w:pStyle w:val="Compact"/>
              <w:jc w:val="left"/>
            </w:pPr>
            <w:r>
              <w:t xml:space="preserve">Dose-supplement pivotal</w:t>
            </w:r>
          </w:p>
        </w:tc>
        <w:tc>
          <w:tcPr/>
          <w:p>
            <w:pPr>
              <w:pStyle w:val="Compact"/>
              <w:jc w:val="left"/>
            </w:pPr>
            <w:r>
              <w:t xml:space="preserve">No formal action</w:t>
            </w:r>
          </w:p>
        </w:tc>
      </w:tr>
      <w:tr>
        <w:tc>
          <w:tcPr/>
          <w:p>
            <w:pPr>
              <w:pStyle w:val="Compact"/>
              <w:jc w:val="left"/>
            </w:pPr>
            <w:r>
              <w:t xml:space="preserve">Stein E et al.</w:t>
            </w:r>
          </w:p>
        </w:tc>
        <w:tc>
          <w:tcPr/>
          <w:p>
            <w:pPr>
              <w:pStyle w:val="Compact"/>
              <w:jc w:val="left"/>
            </w:pPr>
            <w:r>
              <w:rPr>
                <w:iCs/>
                <w:i/>
              </w:rPr>
              <w:t xml:space="preserve">J Am Coll Cardiol</w:t>
            </w:r>
            <w:r>
              <w:t xml:space="preserve"> </w:t>
            </w:r>
            <w:r>
              <w:t xml:space="preserve">1998 (abstract)</w:t>
            </w:r>
          </w:p>
        </w:tc>
        <w:tc>
          <w:tcPr/>
          <w:p>
            <w:pPr>
              <w:pStyle w:val="Compact"/>
              <w:jc w:val="left"/>
            </w:pPr>
            <w:r>
              <w:t xml:space="preserve">0.8 mg dose efficacy</w:t>
            </w:r>
          </w:p>
        </w:tc>
        <w:tc>
          <w:tcPr/>
          <w:p>
            <w:pPr>
              <w:pStyle w:val="Compact"/>
              <w:jc w:val="left"/>
            </w:pPr>
            <w:r>
              <w:t xml:space="preserve">No formal action</w:t>
            </w:r>
          </w:p>
        </w:tc>
      </w:tr>
    </w:tbl>
    <w:p>
      <w:pPr>
        <w:pStyle w:val="BodyText"/>
      </w:pPr>
      <w:r>
        <w:t xml:space="preserve">Pattern classification: B1, a B/C hybrid. The pivotal lipid-lowering evidence for the 0.8 mg dose supported approval, but that dose carried a fatal-rhabdomyolysis risk whose incremental surrogate benefit did not justify it (the B element), and the muscle-toxicity harm was not a measured endpoint of the pivotal efficacy trials (the C element).</w:t>
      </w:r>
    </w:p>
    <w:p>
      <w:pPr>
        <w:pStyle w:val="BodyText"/>
      </w:pPr>
      <w:r>
        <w:t xml:space="preserve">Notable: the pivotal paper establishing the evidence base for the 0.8 mg dose (Insull et al. 2000), the dose responsible for most deaths, was published one year before withdrawal and remains uncorrected. A reader consulting PubMed for the pivotal evidence supporting cerivastatin 0.8 mg finds Insull 2000 with no correction notice, no linked article indicating drug withdrawal, and no annotation of the subsequent safety history.</w:t>
      </w:r>
    </w:p>
    <w:p>
      <w:pPr>
        <w:pStyle w:val="BodyText"/>
      </w:pPr>
      <w:r>
        <w:rPr>
          <w:bCs/>
          <w:b/>
        </w:rPr>
        <w:t xml:space="preserve">Troglitazone (Rezulin).</w:t>
      </w:r>
      <w:r>
        <w:t xml:space="preserve"> </w:t>
      </w:r>
      <w:r>
        <w:t xml:space="preserve">NDA 020720, approved 29 January 1997; withdrawn 21 March 2000 for idiosyncratic hepatotoxicity. Approximately 63 deaths, 7 liver transplants. Pivotal papers identified:</w:t>
      </w:r>
    </w:p>
    <w:tbl>
      <w:tblPr>
        <w:tblStyle w:val="Table"/>
        <w:tblW w:type="auto" w:w="0"/>
        <w:tblLook w:firstRow="1" w:lastRow="0" w:firstColumn="0" w:lastColumn="0" w:noHBand="0" w:noVBand="0" w:val="0020"/>
        <w:jc w:val="start"/>
      </w:tblPr>
      <w:tblGrid>
        <w:gridCol w:w="1980"/>
        <w:gridCol w:w="1980"/>
        <w:gridCol w:w="1980"/>
        <w:gridCol w:w="1980"/>
      </w:tblGrid>
      <w:tr>
        <w:trPr>
          <w:tblHeader w:val="true"/>
        </w:trPr>
        <w:tc>
          <w:tcPr/>
          <w:p>
            <w:pPr>
              <w:pStyle w:val="Compact"/>
              <w:jc w:val="left"/>
            </w:pPr>
            <w:r>
              <w:t xml:space="preserve">Paper</w:t>
            </w:r>
          </w:p>
        </w:tc>
        <w:tc>
          <w:tcPr/>
          <w:p>
            <w:pPr>
              <w:pStyle w:val="Compact"/>
              <w:jc w:val="left"/>
            </w:pPr>
            <w:r>
              <w:t xml:space="preserve">Journal, Year</w:t>
            </w:r>
          </w:p>
        </w:tc>
        <w:tc>
          <w:tcPr/>
          <w:p>
            <w:pPr>
              <w:pStyle w:val="Compact"/>
              <w:jc w:val="left"/>
            </w:pPr>
            <w:r>
              <w:t xml:space="preserve">Role</w:t>
            </w:r>
          </w:p>
        </w:tc>
        <w:tc>
          <w:tcPr/>
          <w:p>
            <w:pPr>
              <w:pStyle w:val="Compact"/>
              <w:jc w:val="left"/>
            </w:pPr>
            <w:r>
              <w:t xml:space="preserve">Status</w:t>
            </w:r>
          </w:p>
        </w:tc>
      </w:tr>
      <w:tr>
        <w:tc>
          <w:tcPr/>
          <w:p>
            <w:pPr>
              <w:pStyle w:val="Compact"/>
              <w:jc w:val="left"/>
            </w:pPr>
            <w:r>
              <w:t xml:space="preserve">Schwartz S et al.</w:t>
            </w:r>
          </w:p>
        </w:tc>
        <w:tc>
          <w:tcPr/>
          <w:p>
            <w:pPr>
              <w:pStyle w:val="Compact"/>
              <w:jc w:val="left"/>
            </w:pPr>
            <w:r>
              <w:rPr>
                <w:iCs/>
                <w:i/>
              </w:rPr>
              <w:t xml:space="preserve">NEJM</w:t>
            </w:r>
            <w:r>
              <w:t xml:space="preserve"> </w:t>
            </w:r>
            <w:r>
              <w:t xml:space="preserve">1998;338:861-866 (PMID 9516220)</w:t>
            </w:r>
          </w:p>
        </w:tc>
        <w:tc>
          <w:tcPr/>
          <w:p>
            <w:pPr>
              <w:pStyle w:val="Compact"/>
              <w:jc w:val="left"/>
            </w:pPr>
            <w:r>
              <w:t xml:space="preserve">Pivotal insulin-combination trial</w:t>
            </w:r>
          </w:p>
        </w:tc>
        <w:tc>
          <w:tcPr/>
          <w:p>
            <w:pPr>
              <w:pStyle w:val="Compact"/>
              <w:jc w:val="left"/>
            </w:pPr>
            <w:r>
              <w:t xml:space="preserve">No formal action</w:t>
            </w:r>
          </w:p>
        </w:tc>
      </w:tr>
      <w:tr>
        <w:tc>
          <w:tcPr/>
          <w:p>
            <w:pPr>
              <w:pStyle w:val="Compact"/>
              <w:jc w:val="left"/>
            </w:pPr>
            <w:r>
              <w:t xml:space="preserve">Troglitazone Study Group</w:t>
            </w:r>
          </w:p>
        </w:tc>
        <w:tc>
          <w:tcPr/>
          <w:p>
            <w:pPr>
              <w:pStyle w:val="Compact"/>
              <w:jc w:val="left"/>
            </w:pPr>
            <w:r>
              <w:t xml:space="preserve">(PMID 8781766)</w:t>
            </w:r>
          </w:p>
        </w:tc>
        <w:tc>
          <w:tcPr/>
          <w:p>
            <w:pPr>
              <w:pStyle w:val="Compact"/>
              <w:jc w:val="left"/>
            </w:pPr>
            <w:r>
              <w:t xml:space="preserve">Main pivotal Phase III</w:t>
            </w:r>
          </w:p>
        </w:tc>
        <w:tc>
          <w:tcPr/>
          <w:p>
            <w:pPr>
              <w:pStyle w:val="Compact"/>
              <w:jc w:val="left"/>
            </w:pPr>
            <w:r>
              <w:t xml:space="preserve">No formal action</w:t>
            </w:r>
          </w:p>
        </w:tc>
      </w:tr>
      <w:tr>
        <w:tc>
          <w:tcPr/>
          <w:p>
            <w:pPr>
              <w:pStyle w:val="Compact"/>
              <w:jc w:val="left"/>
            </w:pPr>
            <w:r>
              <w:t xml:space="preserve">Fonseca V et al.</w:t>
            </w:r>
          </w:p>
        </w:tc>
        <w:tc>
          <w:tcPr/>
          <w:p>
            <w:pPr>
              <w:pStyle w:val="Compact"/>
              <w:jc w:val="left"/>
            </w:pPr>
            <w:r>
              <w:t xml:space="preserve">Combination-with-sulfonylureas trials</w:t>
            </w:r>
          </w:p>
        </w:tc>
        <w:tc>
          <w:tcPr/>
          <w:p>
            <w:pPr>
              <w:pStyle w:val="Compact"/>
              <w:jc w:val="left"/>
            </w:pPr>
            <w:r>
              <w:t xml:space="preserve">Pivotal combination</w:t>
            </w:r>
          </w:p>
        </w:tc>
        <w:tc>
          <w:tcPr/>
          <w:p>
            <w:pPr>
              <w:pStyle w:val="Compact"/>
              <w:jc w:val="left"/>
            </w:pPr>
            <w:r>
              <w:t xml:space="preserve">No formal action</w:t>
            </w:r>
          </w:p>
        </w:tc>
      </w:tr>
    </w:tbl>
    <w:p>
      <w:pPr>
        <w:pStyle w:val="BodyText"/>
      </w:pPr>
      <w:r>
        <w:t xml:space="preserve">Pattern classification: C. Withdrawal was for idiosyncratic hepatotoxicity, a domain the pivotal glycemic-control trials, which measured HbA1c, did not assess.</w:t>
      </w:r>
    </w:p>
    <w:p>
      <w:pPr>
        <w:pStyle w:val="BodyText"/>
      </w:pPr>
      <w:r>
        <w:t xml:space="preserve">Notable: FDA medical officer John Gueriguian raised hepatotoxicity concerns in August 1996, prior to approval; his report was suppressed from the advisory committee. The same pattern as the Vioxx case (concerns internally known well before formal literature action) applies here without any formal literature action having occurred at all.</w:t>
      </w:r>
    </w:p>
    <w:p>
      <w:pPr>
        <w:pStyle w:val="BodyText"/>
      </w:pPr>
      <w:r>
        <w:rPr>
          <w:bCs/>
          <w:b/>
        </w:rPr>
        <w:t xml:space="preserve">Sibutramine (Meridia).</w:t>
      </w:r>
      <w:r>
        <w:t xml:space="preserve"> </w:t>
      </w:r>
      <w:r>
        <w:t xml:space="preserve">NDA 020632, approved 22 November 1997; withdrawn 8 October 2010 for cardiovascular events demonstrated in the SCOUT trial. Pivotal papers identified:</w:t>
      </w:r>
    </w:p>
    <w:tbl>
      <w:tblPr>
        <w:tblStyle w:val="Table"/>
        <w:tblW w:type="auto" w:w="0"/>
        <w:tblLook w:firstRow="1" w:lastRow="0" w:firstColumn="0" w:lastColumn="0" w:noHBand="0" w:noVBand="0" w:val="0020"/>
        <w:jc w:val="start"/>
      </w:tblPr>
      <w:tblGrid>
        <w:gridCol w:w="1980"/>
        <w:gridCol w:w="1980"/>
        <w:gridCol w:w="1980"/>
        <w:gridCol w:w="1980"/>
      </w:tblGrid>
      <w:tr>
        <w:trPr>
          <w:tblHeader w:val="true"/>
        </w:trPr>
        <w:tc>
          <w:tcPr/>
          <w:p>
            <w:pPr>
              <w:pStyle w:val="Compact"/>
              <w:jc w:val="left"/>
            </w:pPr>
            <w:r>
              <w:t xml:space="preserve">Paper</w:t>
            </w:r>
          </w:p>
        </w:tc>
        <w:tc>
          <w:tcPr/>
          <w:p>
            <w:pPr>
              <w:pStyle w:val="Compact"/>
              <w:jc w:val="left"/>
            </w:pPr>
            <w:r>
              <w:t xml:space="preserve">Journal, Year</w:t>
            </w:r>
          </w:p>
        </w:tc>
        <w:tc>
          <w:tcPr/>
          <w:p>
            <w:pPr>
              <w:pStyle w:val="Compact"/>
              <w:jc w:val="left"/>
            </w:pPr>
            <w:r>
              <w:t xml:space="preserve">Role</w:t>
            </w:r>
          </w:p>
        </w:tc>
        <w:tc>
          <w:tcPr/>
          <w:p>
            <w:pPr>
              <w:pStyle w:val="Compact"/>
              <w:jc w:val="left"/>
            </w:pPr>
            <w:r>
              <w:t xml:space="preserve">Status</w:t>
            </w:r>
          </w:p>
        </w:tc>
      </w:tr>
      <w:tr>
        <w:tc>
          <w:tcPr/>
          <w:p>
            <w:pPr>
              <w:pStyle w:val="Compact"/>
              <w:jc w:val="left"/>
            </w:pPr>
            <w:r>
              <w:t xml:space="preserve">Bray GA et al.</w:t>
            </w:r>
          </w:p>
        </w:tc>
        <w:tc>
          <w:tcPr/>
          <w:p>
            <w:pPr>
              <w:pStyle w:val="Compact"/>
              <w:jc w:val="left"/>
            </w:pPr>
            <w:r>
              <w:rPr>
                <w:iCs/>
                <w:i/>
              </w:rPr>
              <w:t xml:space="preserve">Obesity Research</w:t>
            </w:r>
            <w:r>
              <w:t xml:space="preserve"> </w:t>
            </w:r>
            <w:r>
              <w:t xml:space="preserve">1996;4:263-270</w:t>
            </w:r>
          </w:p>
        </w:tc>
        <w:tc>
          <w:tcPr/>
          <w:p>
            <w:pPr>
              <w:pStyle w:val="Compact"/>
              <w:jc w:val="left"/>
            </w:pPr>
            <w:r>
              <w:t xml:space="preserve">Pre-approval pivotal</w:t>
            </w:r>
          </w:p>
        </w:tc>
        <w:tc>
          <w:tcPr/>
          <w:p>
            <w:pPr>
              <w:pStyle w:val="Compact"/>
              <w:jc w:val="left"/>
            </w:pPr>
            <w:r>
              <w:t xml:space="preserve">No formal action</w:t>
            </w:r>
          </w:p>
        </w:tc>
      </w:tr>
      <w:tr>
        <w:tc>
          <w:tcPr/>
          <w:p>
            <w:pPr>
              <w:pStyle w:val="Compact"/>
              <w:jc w:val="left"/>
            </w:pPr>
            <w:r>
              <w:t xml:space="preserve">Bray GA et al.</w:t>
            </w:r>
          </w:p>
        </w:tc>
        <w:tc>
          <w:tcPr/>
          <w:p>
            <w:pPr>
              <w:pStyle w:val="Compact"/>
              <w:jc w:val="left"/>
            </w:pPr>
            <w:r>
              <w:rPr>
                <w:iCs/>
                <w:i/>
              </w:rPr>
              <w:t xml:space="preserve">Obesity Research</w:t>
            </w:r>
            <w:r>
              <w:t xml:space="preserve"> </w:t>
            </w:r>
            <w:r>
              <w:t xml:space="preserve">1999;7:189-198</w:t>
            </w:r>
          </w:p>
        </w:tc>
        <w:tc>
          <w:tcPr/>
          <w:p>
            <w:pPr>
              <w:pStyle w:val="Compact"/>
              <w:jc w:val="left"/>
            </w:pPr>
            <w:r>
              <w:t xml:space="preserve">Dose-ranging pivotal</w:t>
            </w:r>
          </w:p>
        </w:tc>
        <w:tc>
          <w:tcPr/>
          <w:p>
            <w:pPr>
              <w:pStyle w:val="Compact"/>
              <w:jc w:val="left"/>
            </w:pPr>
            <w:r>
              <w:t xml:space="preserve">No formal action</w:t>
            </w:r>
          </w:p>
        </w:tc>
      </w:tr>
      <w:tr>
        <w:tc>
          <w:tcPr/>
          <w:p>
            <w:pPr>
              <w:pStyle w:val="Compact"/>
              <w:jc w:val="left"/>
            </w:pPr>
            <w:r>
              <w:t xml:space="preserve">Hanotin C et al.</w:t>
            </w:r>
          </w:p>
        </w:tc>
        <w:tc>
          <w:tcPr/>
          <w:p>
            <w:pPr>
              <w:pStyle w:val="Compact"/>
              <w:jc w:val="left"/>
            </w:pPr>
            <w:r>
              <w:rPr>
                <w:iCs/>
                <w:i/>
              </w:rPr>
              <w:t xml:space="preserve">Int J Obesity</w:t>
            </w:r>
            <w:r>
              <w:t xml:space="preserve"> </w:t>
            </w:r>
            <w:r>
              <w:t xml:space="preserve">1998;22:32-58</w:t>
            </w:r>
          </w:p>
        </w:tc>
        <w:tc>
          <w:tcPr/>
          <w:p>
            <w:pPr>
              <w:pStyle w:val="Compact"/>
              <w:jc w:val="left"/>
            </w:pPr>
            <w:r>
              <w:t xml:space="preserve">Dose-ranging pivotal</w:t>
            </w:r>
          </w:p>
        </w:tc>
        <w:tc>
          <w:tcPr/>
          <w:p>
            <w:pPr>
              <w:pStyle w:val="Compact"/>
              <w:jc w:val="left"/>
            </w:pPr>
            <w:r>
              <w:t xml:space="preserve">No formal action</w:t>
            </w:r>
          </w:p>
        </w:tc>
      </w:tr>
      <w:tr>
        <w:tc>
          <w:tcPr/>
          <w:p>
            <w:pPr>
              <w:pStyle w:val="Compact"/>
              <w:jc w:val="left"/>
            </w:pPr>
            <w:r>
              <w:t xml:space="preserve">James WP et al. (STORM)</w:t>
            </w:r>
          </w:p>
        </w:tc>
        <w:tc>
          <w:tcPr/>
          <w:p>
            <w:pPr>
              <w:pStyle w:val="Compact"/>
              <w:jc w:val="left"/>
            </w:pPr>
            <w:r>
              <w:rPr>
                <w:iCs/>
                <w:i/>
              </w:rPr>
              <w:t xml:space="preserve">Lancet</w:t>
            </w:r>
            <w:r>
              <w:t xml:space="preserve"> </w:t>
            </w:r>
            <w:r>
              <w:t xml:space="preserve">2000;356:2119-2125 (PMID 11191537)</w:t>
            </w:r>
          </w:p>
        </w:tc>
        <w:tc>
          <w:tcPr/>
          <w:p>
            <w:pPr>
              <w:pStyle w:val="Compact"/>
              <w:jc w:val="left"/>
            </w:pPr>
            <w:r>
              <w:t xml:space="preserve">Post-approval major efficacy paper</w:t>
            </w:r>
          </w:p>
        </w:tc>
        <w:tc>
          <w:tcPr/>
          <w:p>
            <w:pPr>
              <w:pStyle w:val="Compact"/>
              <w:jc w:val="left"/>
            </w:pPr>
            <w:r>
              <w:t xml:space="preserve">No formal action</w:t>
            </w:r>
          </w:p>
        </w:tc>
      </w:tr>
    </w:tbl>
    <w:p>
      <w:pPr>
        <w:pStyle w:val="BodyText"/>
      </w:pPr>
      <w:r>
        <w:t xml:space="preserve">Pattern classification: C. Withdrawal was for cardiovascular events, demonstrated by the mandated SCOUT outcomes trial and not measured by the pivotal weight-loss trials.</w:t>
      </w:r>
    </w:p>
    <w:p>
      <w:pPr>
        <w:pStyle w:val="BodyText"/>
      </w:pPr>
      <w:r>
        <w:t xml:space="preserve">Notable: sibutramine is arguably the case where the system “worked”, a post-approval cardiovascular outcomes trial (SCOUT) mandated by EU regulators demonstrated harm, and the drug was withdrawn. Yet none of the pivotal weight-loss papers, all correctly demonstrating modest weight loss, received any formal literature action.</w:t>
      </w:r>
    </w:p>
    <w:p>
      <w:pPr>
        <w:pStyle w:val="BodyText"/>
      </w:pPr>
      <w:r>
        <w:rPr>
          <w:bCs/>
          <w:b/>
        </w:rPr>
        <w:t xml:space="preserve">Terfenadine (Seldane).</w:t>
      </w:r>
      <w:r>
        <w:t xml:space="preserve"> </w:t>
      </w:r>
      <w:r>
        <w:t xml:space="preserve">NDA 18-949, approved 1985; withdrawn February 1998 for cardiac arrhythmia (Torsades de Pointes via QT prolongation with CYP3A4 inhibitors). Pivotal papers identified:</w:t>
      </w:r>
    </w:p>
    <w:tbl>
      <w:tblPr>
        <w:tblStyle w:val="Table"/>
        <w:tblW w:type="auto" w:w="0"/>
        <w:tblLook w:firstRow="1" w:lastRow="0" w:firstColumn="0" w:lastColumn="0" w:noHBand="0" w:noVBand="0" w:val="0020"/>
        <w:jc w:val="start"/>
      </w:tblPr>
      <w:tblGrid>
        <w:gridCol w:w="1980"/>
        <w:gridCol w:w="1980"/>
        <w:gridCol w:w="1980"/>
        <w:gridCol w:w="1980"/>
      </w:tblGrid>
      <w:tr>
        <w:trPr>
          <w:tblHeader w:val="true"/>
        </w:trPr>
        <w:tc>
          <w:tcPr/>
          <w:p>
            <w:pPr>
              <w:pStyle w:val="Compact"/>
              <w:jc w:val="left"/>
            </w:pPr>
            <w:r>
              <w:t xml:space="preserve">Paper</w:t>
            </w:r>
          </w:p>
        </w:tc>
        <w:tc>
          <w:tcPr/>
          <w:p>
            <w:pPr>
              <w:pStyle w:val="Compact"/>
              <w:jc w:val="left"/>
            </w:pPr>
            <w:r>
              <w:t xml:space="preserve">Journal, Year</w:t>
            </w:r>
          </w:p>
        </w:tc>
        <w:tc>
          <w:tcPr/>
          <w:p>
            <w:pPr>
              <w:pStyle w:val="Compact"/>
              <w:jc w:val="left"/>
            </w:pPr>
            <w:r>
              <w:t xml:space="preserve">Role</w:t>
            </w:r>
          </w:p>
        </w:tc>
        <w:tc>
          <w:tcPr/>
          <w:p>
            <w:pPr>
              <w:pStyle w:val="Compact"/>
              <w:jc w:val="left"/>
            </w:pPr>
            <w:r>
              <w:t xml:space="preserve">Status</w:t>
            </w:r>
          </w:p>
        </w:tc>
      </w:tr>
      <w:tr>
        <w:tc>
          <w:tcPr/>
          <w:p>
            <w:pPr>
              <w:pStyle w:val="Compact"/>
              <w:jc w:val="left"/>
            </w:pPr>
            <w:r>
              <w:t xml:space="preserve">Sorkin EM, Heel RC</w:t>
            </w:r>
          </w:p>
        </w:tc>
        <w:tc>
          <w:tcPr/>
          <w:p>
            <w:pPr>
              <w:pStyle w:val="Compact"/>
              <w:jc w:val="left"/>
            </w:pPr>
            <w:r>
              <w:rPr>
                <w:iCs/>
                <w:i/>
              </w:rPr>
              <w:t xml:space="preserve">Drugs</w:t>
            </w:r>
            <w:r>
              <w:t xml:space="preserve"> </w:t>
            </w:r>
            <w:r>
              <w:t xml:space="preserve">1985;29(1):34-56</w:t>
            </w:r>
          </w:p>
        </w:tc>
        <w:tc>
          <w:tcPr/>
          <w:p>
            <w:pPr>
              <w:pStyle w:val="Compact"/>
              <w:jc w:val="left"/>
            </w:pPr>
            <w:r>
              <w:t xml:space="preserve">Pre-approval review</w:t>
            </w:r>
          </w:p>
        </w:tc>
        <w:tc>
          <w:tcPr/>
          <w:p>
            <w:pPr>
              <w:pStyle w:val="Compact"/>
              <w:jc w:val="left"/>
            </w:pPr>
            <w:r>
              <w:t xml:space="preserve">No formal action</w:t>
            </w:r>
          </w:p>
        </w:tc>
      </w:tr>
      <w:tr>
        <w:tc>
          <w:tcPr/>
          <w:p>
            <w:pPr>
              <w:pStyle w:val="Compact"/>
              <w:jc w:val="left"/>
            </w:pPr>
            <w:r>
              <w:t xml:space="preserve">McTavish D, Goa KL, Ferrill M</w:t>
            </w:r>
          </w:p>
        </w:tc>
        <w:tc>
          <w:tcPr/>
          <w:p>
            <w:pPr>
              <w:pStyle w:val="Compact"/>
              <w:jc w:val="left"/>
            </w:pPr>
            <w:r>
              <w:rPr>
                <w:iCs/>
                <w:i/>
              </w:rPr>
              <w:t xml:space="preserve">Drugs</w:t>
            </w:r>
            <w:r>
              <w:t xml:space="preserve"> </w:t>
            </w:r>
            <w:r>
              <w:t xml:space="preserve">1990;39(4):552-574</w:t>
            </w:r>
          </w:p>
        </w:tc>
        <w:tc>
          <w:tcPr/>
          <w:p>
            <w:pPr>
              <w:pStyle w:val="Compact"/>
              <w:jc w:val="left"/>
            </w:pPr>
            <w:r>
              <w:t xml:space="preserve">Definitive review</w:t>
            </w:r>
          </w:p>
        </w:tc>
        <w:tc>
          <w:tcPr/>
          <w:p>
            <w:pPr>
              <w:pStyle w:val="Compact"/>
              <w:jc w:val="left"/>
            </w:pPr>
            <w:r>
              <w:t xml:space="preserve">No formal action</w:t>
            </w:r>
          </w:p>
        </w:tc>
      </w:tr>
      <w:tr>
        <w:tc>
          <w:tcPr/>
          <w:p>
            <w:pPr>
              <w:pStyle w:val="Compact"/>
              <w:jc w:val="left"/>
            </w:pPr>
            <w:r>
              <w:t xml:space="preserve">Multiple efficacy trials, 1982-1985</w:t>
            </w:r>
          </w:p>
        </w:tc>
        <w:tc>
          <w:tcPr/>
          <w:p>
            <w:pPr>
              <w:pStyle w:val="Compact"/>
              <w:jc w:val="left"/>
            </w:pPr>
            <w:r>
              <w:rPr>
                <w:iCs/>
                <w:i/>
              </w:rPr>
              <w:t xml:space="preserve">Annals of Allergy</w:t>
            </w:r>
            <w:r>
              <w:t xml:space="preserve">, etc.</w:t>
            </w:r>
          </w:p>
        </w:tc>
        <w:tc>
          <w:tcPr/>
          <w:p>
            <w:pPr>
              <w:pStyle w:val="Compact"/>
              <w:jc w:val="left"/>
            </w:pPr>
            <w:r>
              <w:t xml:space="preserve">Pre-approval efficacy</w:t>
            </w:r>
          </w:p>
        </w:tc>
        <w:tc>
          <w:tcPr/>
          <w:p>
            <w:pPr>
              <w:pStyle w:val="Compact"/>
              <w:jc w:val="left"/>
            </w:pPr>
            <w:r>
              <w:t xml:space="preserve">No formal action</w:t>
            </w:r>
          </w:p>
        </w:tc>
      </w:tr>
    </w:tbl>
    <w:p>
      <w:pPr>
        <w:pStyle w:val="BodyText"/>
      </w:pPr>
      <w:r>
        <w:t xml:space="preserve">Pattern classification: C, a safer-alternative subtype. The cardiac harm (QT prolongation via CYP3A4 interaction) was not measured in the pivotal antihistamine efficacy trials, and withdrawal followed the availability of fexofenadine, the active metabolite without the QT liability, rather than a shift in the absolute risk-benefit of terfenadine itself.</w:t>
      </w:r>
    </w:p>
    <w:p>
      <w:pPr>
        <w:pStyle w:val="BodyText"/>
      </w:pPr>
      <w:r>
        <w:t xml:space="preserve">Notable: terfenadine was withdrawn in part because a safer alternative, fexofenadine (Allegra), the active metabolite that bypasses the CYP3A4 conversion, became available. The 1997 FDA proposal to withdraw explicitly cited “the cardiac safety advantage of fexofenadine hydrochloride over terfenadine.” This is a “safer alternative” withdrawal pattern, distinct from cases where the drug’s absolute risk-benefit had shifted.</w:t>
      </w:r>
    </w:p>
    <w:bookmarkEnd w:id="22"/>
    <w:bookmarkStart w:id="23" w:name="X0a24845aedfab7c56ef4e3195f2d18e33edc882"/>
    <w:p>
      <w:pPr>
        <w:pStyle w:val="Heading3"/>
      </w:pPr>
      <w:r>
        <w:t xml:space="preserve">S1.2 Per-drug case files (part II) and synthesis</w:t>
      </w:r>
    </w:p>
    <w:p>
      <w:pPr>
        <w:pStyle w:val="FirstParagraph"/>
      </w:pPr>
      <w:r>
        <w:t xml:space="preserve">The next five drugs, valdecoxib (Bextra), bromfenac (Duract), trovafloxacin (Trovan oral), grepafloxacin (Raxar), and temafloxacin (Omniflox), span two distinct drug classes (NSAIDs and fluoroquinolone antibiotics) and two withdrawal decades (the 1990s and 2000s).</w:t>
      </w:r>
    </w:p>
    <w:bookmarkEnd w:id="23"/>
    <w:bookmarkStart w:id="24" w:name="s121-case-files"/>
    <w:p>
      <w:pPr>
        <w:pStyle w:val="Heading3"/>
      </w:pPr>
      <w:r>
        <w:t xml:space="preserve">S1.2.1 Case files</w:t>
      </w:r>
    </w:p>
    <w:p>
      <w:pPr>
        <w:pStyle w:val="FirstParagraph"/>
      </w:pPr>
      <w:r>
        <w:rPr>
          <w:bCs/>
          <w:b/>
        </w:rPr>
        <w:t xml:space="preserve">Valdecoxib (Bextra).</w:t>
      </w:r>
      <w:r>
        <w:t xml:space="preserve"> </w:t>
      </w:r>
      <w:r>
        <w:t xml:space="preserve">NDA 21-341, approved 16 November 2001; withdrawn 7 April 2005 for cardiovascular events and serious skin reactions (Stevens-Johnson syndrome, toxic epidermal necrolysis). Pivotal papers identified:</w:t>
      </w:r>
    </w:p>
    <w:tbl>
      <w:tblPr>
        <w:tblStyle w:val="Table"/>
        <w:tblW w:type="auto" w:w="0"/>
        <w:tblLook w:firstRow="1" w:lastRow="0" w:firstColumn="0" w:lastColumn="0" w:noHBand="0" w:noVBand="0" w:val="0020"/>
        <w:jc w:val="start"/>
      </w:tblPr>
      <w:tblGrid>
        <w:gridCol w:w="1980"/>
        <w:gridCol w:w="1980"/>
        <w:gridCol w:w="1980"/>
        <w:gridCol w:w="1980"/>
      </w:tblGrid>
      <w:tr>
        <w:trPr>
          <w:tblHeader w:val="true"/>
        </w:trPr>
        <w:tc>
          <w:tcPr/>
          <w:p>
            <w:pPr>
              <w:pStyle w:val="Compact"/>
              <w:jc w:val="left"/>
            </w:pPr>
            <w:r>
              <w:t xml:space="preserve">Paper</w:t>
            </w:r>
          </w:p>
        </w:tc>
        <w:tc>
          <w:tcPr/>
          <w:p>
            <w:pPr>
              <w:pStyle w:val="Compact"/>
              <w:jc w:val="left"/>
            </w:pPr>
            <w:r>
              <w:t xml:space="preserve">Journal, Year</w:t>
            </w:r>
          </w:p>
        </w:tc>
        <w:tc>
          <w:tcPr/>
          <w:p>
            <w:pPr>
              <w:pStyle w:val="Compact"/>
              <w:jc w:val="left"/>
            </w:pPr>
            <w:r>
              <w:t xml:space="preserve">Role</w:t>
            </w:r>
          </w:p>
        </w:tc>
        <w:tc>
          <w:tcPr/>
          <w:p>
            <w:pPr>
              <w:pStyle w:val="Compact"/>
              <w:jc w:val="left"/>
            </w:pPr>
            <w:r>
              <w:t xml:space="preserve">Status</w:t>
            </w:r>
          </w:p>
        </w:tc>
      </w:tr>
      <w:tr>
        <w:tc>
          <w:tcPr/>
          <w:p>
            <w:pPr>
              <w:pStyle w:val="Compact"/>
              <w:jc w:val="left"/>
            </w:pPr>
            <w:r>
              <w:t xml:space="preserve">Bensen W et al.</w:t>
            </w:r>
          </w:p>
        </w:tc>
        <w:tc>
          <w:tcPr/>
          <w:p>
            <w:pPr>
              <w:pStyle w:val="Compact"/>
              <w:jc w:val="left"/>
            </w:pPr>
            <w:r>
              <w:rPr>
                <w:iCs/>
                <w:i/>
              </w:rPr>
              <w:t xml:space="preserve">Rheumatology (Oxford)</w:t>
            </w:r>
            <w:r>
              <w:t xml:space="preserve"> </w:t>
            </w:r>
            <w:r>
              <w:t xml:space="preserve">2002;41:1008-16 (PMID 12209034)</w:t>
            </w:r>
          </w:p>
        </w:tc>
        <w:tc>
          <w:tcPr/>
          <w:p>
            <w:pPr>
              <w:pStyle w:val="Compact"/>
              <w:jc w:val="left"/>
            </w:pPr>
            <w:r>
              <w:t xml:space="preserve">Pivotal RA trial</w:t>
            </w:r>
          </w:p>
        </w:tc>
        <w:tc>
          <w:tcPr/>
          <w:p>
            <w:pPr>
              <w:pStyle w:val="Compact"/>
              <w:jc w:val="left"/>
            </w:pPr>
            <w:r>
              <w:t xml:space="preserve">No formal action</w:t>
            </w:r>
          </w:p>
        </w:tc>
      </w:tr>
      <w:tr>
        <w:tc>
          <w:tcPr/>
          <w:p>
            <w:pPr>
              <w:pStyle w:val="Compact"/>
              <w:jc w:val="left"/>
            </w:pPr>
            <w:r>
              <w:t xml:space="preserve">Kivitz A et al.</w:t>
            </w:r>
          </w:p>
        </w:tc>
        <w:tc>
          <w:tcPr/>
          <w:p>
            <w:pPr>
              <w:pStyle w:val="Compact"/>
              <w:jc w:val="left"/>
            </w:pPr>
            <w:r>
              <w:rPr>
                <w:iCs/>
                <w:i/>
              </w:rPr>
              <w:t xml:space="preserve">J Fam Pract</w:t>
            </w:r>
            <w:r>
              <w:t xml:space="preserve"> </w:t>
            </w:r>
            <w:r>
              <w:t xml:space="preserve">2002;51:530-7 (PMID 12100776)</w:t>
            </w:r>
          </w:p>
        </w:tc>
        <w:tc>
          <w:tcPr/>
          <w:p>
            <w:pPr>
              <w:pStyle w:val="Compact"/>
              <w:jc w:val="left"/>
            </w:pPr>
            <w:r>
              <w:t xml:space="preserve">Pivotal OA trial (knee)</w:t>
            </w:r>
          </w:p>
        </w:tc>
        <w:tc>
          <w:tcPr/>
          <w:p>
            <w:pPr>
              <w:pStyle w:val="Compact"/>
              <w:jc w:val="left"/>
            </w:pPr>
            <w:r>
              <w:t xml:space="preserve">No formal action</w:t>
            </w:r>
          </w:p>
        </w:tc>
      </w:tr>
      <w:tr>
        <w:tc>
          <w:tcPr/>
          <w:p>
            <w:pPr>
              <w:pStyle w:val="Compact"/>
              <w:jc w:val="left"/>
            </w:pPr>
            <w:r>
              <w:t xml:space="preserve">Makarowski W et al.</w:t>
            </w:r>
          </w:p>
        </w:tc>
        <w:tc>
          <w:tcPr/>
          <w:p>
            <w:pPr>
              <w:pStyle w:val="Compact"/>
              <w:jc w:val="left"/>
            </w:pPr>
            <w:r>
              <w:rPr>
                <w:iCs/>
                <w:i/>
              </w:rPr>
              <w:t xml:space="preserve">Osteoarthritis Cartilage</w:t>
            </w:r>
            <w:r>
              <w:t xml:space="preserve"> </w:t>
            </w:r>
            <w:r>
              <w:t xml:space="preserve">2002;10:290-6 (PMID 11950252)</w:t>
            </w:r>
          </w:p>
        </w:tc>
        <w:tc>
          <w:tcPr/>
          <w:p>
            <w:pPr>
              <w:pStyle w:val="Compact"/>
              <w:jc w:val="left"/>
            </w:pPr>
            <w:r>
              <w:t xml:space="preserve">Pivotal OA trial (hip)</w:t>
            </w:r>
          </w:p>
        </w:tc>
        <w:tc>
          <w:tcPr/>
          <w:p>
            <w:pPr>
              <w:pStyle w:val="Compact"/>
              <w:jc w:val="left"/>
            </w:pPr>
            <w:r>
              <w:t xml:space="preserve">No formal action</w:t>
            </w:r>
          </w:p>
        </w:tc>
      </w:tr>
      <w:tr>
        <w:tc>
          <w:tcPr/>
          <w:p>
            <w:pPr>
              <w:pStyle w:val="Compact"/>
              <w:jc w:val="left"/>
            </w:pPr>
            <w:r>
              <w:t xml:space="preserve">Sikes DH et al.</w:t>
            </w:r>
          </w:p>
        </w:tc>
        <w:tc>
          <w:tcPr/>
          <w:p>
            <w:pPr>
              <w:pStyle w:val="Compact"/>
              <w:jc w:val="left"/>
            </w:pPr>
            <w:r>
              <w:rPr>
                <w:iCs/>
                <w:i/>
              </w:rPr>
              <w:t xml:space="preserve">Eur J Gastroenterol Hepatol</w:t>
            </w:r>
            <w:r>
              <w:t xml:space="preserve"> </w:t>
            </w:r>
            <w:r>
              <w:t xml:space="preserve">2002;14:1101-11</w:t>
            </w:r>
          </w:p>
        </w:tc>
        <w:tc>
          <w:tcPr/>
          <w:p>
            <w:pPr>
              <w:pStyle w:val="Compact"/>
              <w:jc w:val="left"/>
            </w:pPr>
            <w:r>
              <w:t xml:space="preserve">Pivotal GI safety</w:t>
            </w:r>
          </w:p>
        </w:tc>
        <w:tc>
          <w:tcPr/>
          <w:p>
            <w:pPr>
              <w:pStyle w:val="Compact"/>
              <w:jc w:val="left"/>
            </w:pPr>
            <w:r>
              <w:t xml:space="preserve">No formal action</w:t>
            </w:r>
          </w:p>
        </w:tc>
      </w:tr>
      <w:tr>
        <w:tc>
          <w:tcPr/>
          <w:p>
            <w:pPr>
              <w:pStyle w:val="Compact"/>
              <w:jc w:val="left"/>
            </w:pPr>
            <w:r>
              <w:t xml:space="preserve">Fenton C et al.</w:t>
            </w:r>
          </w:p>
        </w:tc>
        <w:tc>
          <w:tcPr/>
          <w:p>
            <w:pPr>
              <w:pStyle w:val="Compact"/>
              <w:jc w:val="left"/>
            </w:pPr>
            <w:r>
              <w:rPr>
                <w:iCs/>
                <w:i/>
              </w:rPr>
              <w:t xml:space="preserve">Drugs</w:t>
            </w:r>
            <w:r>
              <w:t xml:space="preserve"> </w:t>
            </w:r>
            <w:r>
              <w:t xml:space="preserve">2004;64(11):1231-61 (PMID 15161329)</w:t>
            </w:r>
          </w:p>
        </w:tc>
        <w:tc>
          <w:tcPr/>
          <w:p>
            <w:pPr>
              <w:pStyle w:val="Compact"/>
              <w:jc w:val="left"/>
            </w:pPr>
            <w:r>
              <w:t xml:space="preserve">Definitive review of pivotal evidence</w:t>
            </w:r>
          </w:p>
        </w:tc>
        <w:tc>
          <w:tcPr/>
          <w:p>
            <w:pPr>
              <w:pStyle w:val="Compact"/>
              <w:jc w:val="left"/>
            </w:pPr>
            <w:r>
              <w:t xml:space="preserve">No formal action</w:t>
            </w:r>
          </w:p>
        </w:tc>
      </w:tr>
    </w:tbl>
    <w:p>
      <w:pPr>
        <w:pStyle w:val="BodyText"/>
      </w:pPr>
      <w:r>
        <w:t xml:space="preserve">Pattern classification: C. Withdrawal was for cardiovascular events not measured by the pivotal efficacy trials. The pivotal papers correctly demonstrated pain relief and reduced endoscopic ulcers, which were the drug’s approved-use claims.</w:t>
      </w:r>
    </w:p>
    <w:p>
      <w:pPr>
        <w:pStyle w:val="BodyText"/>
      </w:pPr>
      <w:r>
        <w:rPr>
          <w:bCs/>
          <w:b/>
        </w:rPr>
        <w:t xml:space="preserve">Bromfenac (Duract).</w:t>
      </w:r>
      <w:r>
        <w:t xml:space="preserve"> </w:t>
      </w:r>
      <w:r>
        <w:t xml:space="preserve">NDA 20-500, approved 15 July 1997; withdrawn 22 June 1998 for hepatotoxicity. Approximately 2.5 million prescriptions written; 12 confirmed cases of fulminant liver failure or transplantation at time of withdrawal. Approved indication was short-term acute pain (≤10 days) only. Bromfenac represents a distinctive case: almost none of the pivotal evidence was ever published as peer-reviewed clinical trial papers. The FDA reviewer explicitly restricted approval to short-term use precisely because of hepatotoxicity signals in the NDA data; the safety information was documented internally in the FDA medical review but never appeared in the peer-reviewed literature as pivotal trial publications. Papers examined:</w:t>
      </w:r>
    </w:p>
    <w:tbl>
      <w:tblPr>
        <w:tblStyle w:val="Table"/>
        <w:tblW w:type="auto" w:w="0"/>
        <w:tblLook w:firstRow="1" w:lastRow="0" w:firstColumn="0" w:lastColumn="0" w:noHBand="0" w:noVBand="0" w:val="0020"/>
        <w:jc w:val="start"/>
      </w:tblPr>
      <w:tblGrid>
        <w:gridCol w:w="1980"/>
        <w:gridCol w:w="1980"/>
        <w:gridCol w:w="1980"/>
        <w:gridCol w:w="1980"/>
      </w:tblGrid>
      <w:tr>
        <w:trPr>
          <w:tblHeader w:val="true"/>
        </w:trPr>
        <w:tc>
          <w:tcPr/>
          <w:p>
            <w:pPr>
              <w:pStyle w:val="Compact"/>
              <w:jc w:val="left"/>
            </w:pPr>
            <w:r>
              <w:t xml:space="preserve">Paper</w:t>
            </w:r>
          </w:p>
        </w:tc>
        <w:tc>
          <w:tcPr/>
          <w:p>
            <w:pPr>
              <w:pStyle w:val="Compact"/>
              <w:jc w:val="left"/>
            </w:pPr>
            <w:r>
              <w:t xml:space="preserve">Journal, Year</w:t>
            </w:r>
          </w:p>
        </w:tc>
        <w:tc>
          <w:tcPr/>
          <w:p>
            <w:pPr>
              <w:pStyle w:val="Compact"/>
              <w:jc w:val="left"/>
            </w:pPr>
            <w:r>
              <w:t xml:space="preserve">Role</w:t>
            </w:r>
          </w:p>
        </w:tc>
        <w:tc>
          <w:tcPr/>
          <w:p>
            <w:pPr>
              <w:pStyle w:val="Compact"/>
              <w:jc w:val="left"/>
            </w:pPr>
            <w:r>
              <w:t xml:space="preserve">Status</w:t>
            </w:r>
          </w:p>
        </w:tc>
      </w:tr>
      <w:tr>
        <w:tc>
          <w:tcPr/>
          <w:p>
            <w:pPr>
              <w:pStyle w:val="Compact"/>
              <w:jc w:val="left"/>
            </w:pPr>
            <w:r>
              <w:t xml:space="preserve">Hunter EB et al.</w:t>
            </w:r>
          </w:p>
        </w:tc>
        <w:tc>
          <w:tcPr/>
          <w:p>
            <w:pPr>
              <w:pStyle w:val="Compact"/>
              <w:jc w:val="left"/>
            </w:pPr>
            <w:r>
              <w:rPr>
                <w:iCs/>
                <w:i/>
              </w:rPr>
              <w:t xml:space="preserve">Am J Gastroenterol</w:t>
            </w:r>
            <w:r>
              <w:t xml:space="preserve"> </w:t>
            </w:r>
            <w:r>
              <w:t xml:space="preserve">1999;94:2299-2301 (PMID 10445569)</w:t>
            </w:r>
          </w:p>
        </w:tc>
        <w:tc>
          <w:tcPr/>
          <w:p>
            <w:pPr>
              <w:pStyle w:val="Compact"/>
              <w:jc w:val="left"/>
            </w:pPr>
            <w:r>
              <w:t xml:space="preserve">First published case of fulminant hepatic failure (post-withdrawal)</w:t>
            </w:r>
          </w:p>
        </w:tc>
        <w:tc>
          <w:tcPr/>
          <w:p>
            <w:pPr>
              <w:pStyle w:val="Compact"/>
              <w:jc w:val="left"/>
            </w:pPr>
            <w:r>
              <w:t xml:space="preserve">No formal action, but this is a harm-report paper, not a pivotal paper</w:t>
            </w:r>
          </w:p>
        </w:tc>
      </w:tr>
      <w:tr>
        <w:tc>
          <w:tcPr/>
          <w:p>
            <w:pPr>
              <w:pStyle w:val="Compact"/>
              <w:jc w:val="left"/>
            </w:pPr>
            <w:r>
              <w:t xml:space="preserve">Goldkind L, Laine L</w:t>
            </w:r>
          </w:p>
        </w:tc>
        <w:tc>
          <w:tcPr/>
          <w:p>
            <w:pPr>
              <w:pStyle w:val="Compact"/>
              <w:jc w:val="left"/>
            </w:pPr>
            <w:r>
              <w:rPr>
                <w:iCs/>
                <w:i/>
              </w:rPr>
              <w:t xml:space="preserve">Pharmacoepidem Drug Safe</w:t>
            </w:r>
            <w:r>
              <w:t xml:space="preserve"> </w:t>
            </w:r>
            <w:r>
              <w:t xml:space="preserve">2006;15:213-220</w:t>
            </w:r>
          </w:p>
        </w:tc>
        <w:tc>
          <w:tcPr/>
          <w:p>
            <w:pPr>
              <w:pStyle w:val="Compact"/>
              <w:jc w:val="left"/>
            </w:pPr>
            <w:r>
              <w:t xml:space="preserve">Retrospective systematic review of hepatotoxicity signal in clinical trial data</w:t>
            </w:r>
          </w:p>
        </w:tc>
        <w:tc>
          <w:tcPr/>
          <w:p>
            <w:pPr>
              <w:pStyle w:val="Compact"/>
              <w:jc w:val="left"/>
            </w:pPr>
            <w:r>
              <w:t xml:space="preserve">Not applicable</w:t>
            </w:r>
          </w:p>
        </w:tc>
      </w:tr>
    </w:tbl>
    <w:p>
      <w:pPr>
        <w:pStyle w:val="BodyText"/>
      </w:pPr>
      <w:r>
        <w:t xml:space="preserve">Pattern classification: structurally undetermined, the pivotal literature is largely absent. For purposes of the cohort analysis, we code bromfenac as having zero identifiable published pivotal trial papers subject to potential correction. This is itself a finding: for drugs whose pre-approval trials were never published in the peer-reviewed literature, no correction mechanism can operate on the pivotal evidence base because the pivotal evidence base does not exist in the peer-reviewed record. Goldkind and Laine’s 2006 review makes exactly this point (“There were very limited published data on… bromfenac”). This case will be discussed as a distinct methodological category in the final paper.</w:t>
      </w:r>
    </w:p>
    <w:p>
      <w:pPr>
        <w:pStyle w:val="BodyText"/>
      </w:pPr>
      <w:r>
        <w:rPr>
          <w:bCs/>
          <w:b/>
        </w:rPr>
        <w:t xml:space="preserve">Trovafloxacin (Trovan, oral form).</w:t>
      </w:r>
      <w:r>
        <w:t xml:space="preserve"> </w:t>
      </w:r>
      <w:r>
        <w:t xml:space="preserve">NDA 20-759, approved 18 December 1997; use severely restricted June 1999, effectively withdrawn from oral marketing. 140+ severe hepatic adverse events; 14 cases of acute liver failure. Notable secondary controversy: the pre-approval Phase III program included a 1996 trial in Kano, Nigeria that later became the subject of major bioethics litigation. Pivotal papers identified:</w:t>
      </w:r>
    </w:p>
    <w:tbl>
      <w:tblPr>
        <w:tblStyle w:val="Table"/>
        <w:tblW w:type="auto" w:w="0"/>
        <w:tblLook w:firstRow="1" w:lastRow="0" w:firstColumn="0" w:lastColumn="0" w:noHBand="0" w:noVBand="0" w:val="0020"/>
        <w:jc w:val="start"/>
      </w:tblPr>
      <w:tblGrid>
        <w:gridCol w:w="1980"/>
        <w:gridCol w:w="1980"/>
        <w:gridCol w:w="1980"/>
        <w:gridCol w:w="1980"/>
      </w:tblGrid>
      <w:tr>
        <w:trPr>
          <w:tblHeader w:val="true"/>
        </w:trPr>
        <w:tc>
          <w:tcPr/>
          <w:p>
            <w:pPr>
              <w:pStyle w:val="Compact"/>
              <w:jc w:val="left"/>
            </w:pPr>
            <w:r>
              <w:t xml:space="preserve">Paper</w:t>
            </w:r>
          </w:p>
        </w:tc>
        <w:tc>
          <w:tcPr/>
          <w:p>
            <w:pPr>
              <w:pStyle w:val="Compact"/>
              <w:jc w:val="left"/>
            </w:pPr>
            <w:r>
              <w:t xml:space="preserve">Journal, Year</w:t>
            </w:r>
          </w:p>
        </w:tc>
        <w:tc>
          <w:tcPr/>
          <w:p>
            <w:pPr>
              <w:pStyle w:val="Compact"/>
              <w:jc w:val="left"/>
            </w:pPr>
            <w:r>
              <w:t xml:space="preserve">Role</w:t>
            </w:r>
          </w:p>
        </w:tc>
        <w:tc>
          <w:tcPr/>
          <w:p>
            <w:pPr>
              <w:pStyle w:val="Compact"/>
              <w:jc w:val="left"/>
            </w:pPr>
            <w:r>
              <w:t xml:space="preserve">Status</w:t>
            </w:r>
          </w:p>
        </w:tc>
      </w:tr>
      <w:tr>
        <w:tc>
          <w:tcPr/>
          <w:p>
            <w:pPr>
              <w:pStyle w:val="Compact"/>
              <w:jc w:val="left"/>
            </w:pPr>
            <w:r>
              <w:t xml:space="preserve">Ball P et al.</w:t>
            </w:r>
          </w:p>
        </w:tc>
        <w:tc>
          <w:tcPr/>
          <w:p>
            <w:pPr>
              <w:pStyle w:val="Compact"/>
              <w:jc w:val="left"/>
            </w:pPr>
            <w:r>
              <w:rPr>
                <w:iCs/>
                <w:i/>
              </w:rPr>
              <w:t xml:space="preserve">Drug Saf</w:t>
            </w:r>
            <w:r>
              <w:t xml:space="preserve"> </w:t>
            </w:r>
            <w:r>
              <w:t xml:space="preserve">1999;21(5):407-21 (PMID 10554054)</w:t>
            </w:r>
          </w:p>
        </w:tc>
        <w:tc>
          <w:tcPr/>
          <w:p>
            <w:pPr>
              <w:pStyle w:val="Compact"/>
              <w:jc w:val="left"/>
            </w:pPr>
            <w:r>
              <w:t xml:space="preserve">Review of pre-approval safety profile</w:t>
            </w:r>
          </w:p>
        </w:tc>
        <w:tc>
          <w:tcPr/>
          <w:p>
            <w:pPr>
              <w:pStyle w:val="Compact"/>
              <w:jc w:val="left"/>
            </w:pPr>
            <w:r>
              <w:t xml:space="preserve">No formal action</w:t>
            </w:r>
          </w:p>
        </w:tc>
      </w:tr>
      <w:tr>
        <w:tc>
          <w:tcPr/>
          <w:p>
            <w:pPr>
              <w:pStyle w:val="Compact"/>
              <w:jc w:val="left"/>
            </w:pPr>
            <w:r>
              <w:t xml:space="preserve">Ernst ME et al.</w:t>
            </w:r>
          </w:p>
        </w:tc>
        <w:tc>
          <w:tcPr/>
          <w:p>
            <w:pPr>
              <w:pStyle w:val="Compact"/>
              <w:jc w:val="left"/>
            </w:pPr>
            <w:r>
              <w:rPr>
                <w:iCs/>
                <w:i/>
              </w:rPr>
              <w:t xml:space="preserve">Am J Health Syst Pharm</w:t>
            </w:r>
            <w:r>
              <w:t xml:space="preserve"> </w:t>
            </w:r>
            <w:r>
              <w:t xml:space="preserve">1997;54(22):2569-84 (PMID 9397218)</w:t>
            </w:r>
          </w:p>
        </w:tc>
        <w:tc>
          <w:tcPr/>
          <w:p>
            <w:pPr>
              <w:pStyle w:val="Compact"/>
              <w:jc w:val="left"/>
            </w:pPr>
            <w:r>
              <w:t xml:space="preserve">Pre-approval review with efficacy summary</w:t>
            </w:r>
          </w:p>
        </w:tc>
        <w:tc>
          <w:tcPr/>
          <w:p>
            <w:pPr>
              <w:pStyle w:val="Compact"/>
              <w:jc w:val="left"/>
            </w:pPr>
            <w:r>
              <w:t xml:space="preserve">No formal action</w:t>
            </w:r>
          </w:p>
        </w:tc>
      </w:tr>
      <w:tr>
        <w:tc>
          <w:tcPr/>
          <w:p>
            <w:pPr>
              <w:pStyle w:val="Compact"/>
              <w:jc w:val="left"/>
            </w:pPr>
            <w:r>
              <w:t xml:space="preserve">Multiple Phase III comparative efficacy trials in respiratory infection</w:t>
            </w:r>
          </w:p>
        </w:tc>
        <w:tc>
          <w:tcPr/>
          <w:p>
            <w:pPr>
              <w:pStyle w:val="Compact"/>
              <w:jc w:val="left"/>
            </w:pPr>
            <w:r>
              <w:t xml:space="preserve">Various infectious-disease journals, 1997-1998</w:t>
            </w:r>
          </w:p>
        </w:tc>
        <w:tc>
          <w:tcPr/>
          <w:p>
            <w:pPr>
              <w:pStyle w:val="Compact"/>
              <w:jc w:val="left"/>
            </w:pPr>
            <w:r>
              <w:t xml:space="preserve">Pivotal efficacy</w:t>
            </w:r>
          </w:p>
        </w:tc>
        <w:tc>
          <w:tcPr/>
          <w:p>
            <w:pPr>
              <w:pStyle w:val="Compact"/>
              <w:jc w:val="left"/>
            </w:pPr>
            <w:r>
              <w:t xml:space="preserve">No formal action detected</w:t>
            </w:r>
          </w:p>
        </w:tc>
      </w:tr>
    </w:tbl>
    <w:p>
      <w:pPr>
        <w:pStyle w:val="BodyText"/>
      </w:pPr>
      <w:r>
        <w:t xml:space="preserve">Pattern classification: C. Withdrawal was for idiosyncratic hepatotoxicity not detected in pre-approval trials involving over 5,000 patients. The pivotal antimicrobial efficacy data were not disputed. Notable: the safety signal was known internally before broad marketing began (pre-approval hepatic laboratory abnormalities were flagged in the NDA review), yet no pivotal paper carries any correction indicating the drug is no longer available or its use is restricted.</w:t>
      </w:r>
    </w:p>
    <w:p>
      <w:pPr>
        <w:pStyle w:val="BodyText"/>
      </w:pPr>
      <w:r>
        <w:rPr>
          <w:bCs/>
          <w:b/>
        </w:rPr>
        <w:t xml:space="preserve">Grepafloxacin (Raxar).</w:t>
      </w:r>
      <w:r>
        <w:t xml:space="preserve"> </w:t>
      </w:r>
      <w:r>
        <w:t xml:space="preserve">NDA 20-892, approved November 1997; withdrawn worldwide October 1999 for QT prolongation causing torsades de pointes; seven fatal cardiovascular events reported. Approved indications: community-acquired pneumonia, acute bacterial exacerbations of chronic bronchitis, uncomplicated gonorrhea, non-gonococcal urethritis. Pivotal papers identified:</w:t>
      </w:r>
    </w:p>
    <w:tbl>
      <w:tblPr>
        <w:tblStyle w:val="Table"/>
        <w:tblW w:type="auto" w:w="0"/>
        <w:tblLook w:firstRow="1" w:lastRow="0" w:firstColumn="0" w:lastColumn="0" w:noHBand="0" w:noVBand="0" w:val="0020"/>
        <w:jc w:val="start"/>
      </w:tblPr>
      <w:tblGrid>
        <w:gridCol w:w="1980"/>
        <w:gridCol w:w="1980"/>
        <w:gridCol w:w="1980"/>
        <w:gridCol w:w="1980"/>
      </w:tblGrid>
      <w:tr>
        <w:trPr>
          <w:tblHeader w:val="true"/>
        </w:trPr>
        <w:tc>
          <w:tcPr/>
          <w:p>
            <w:pPr>
              <w:pStyle w:val="Compact"/>
              <w:jc w:val="left"/>
            </w:pPr>
            <w:r>
              <w:t xml:space="preserve">Paper</w:t>
            </w:r>
          </w:p>
        </w:tc>
        <w:tc>
          <w:tcPr/>
          <w:p>
            <w:pPr>
              <w:pStyle w:val="Compact"/>
              <w:jc w:val="left"/>
            </w:pPr>
            <w:r>
              <w:t xml:space="preserve">Journal, Year</w:t>
            </w:r>
          </w:p>
        </w:tc>
        <w:tc>
          <w:tcPr/>
          <w:p>
            <w:pPr>
              <w:pStyle w:val="Compact"/>
              <w:jc w:val="left"/>
            </w:pPr>
            <w:r>
              <w:t xml:space="preserve">Role</w:t>
            </w:r>
          </w:p>
        </w:tc>
        <w:tc>
          <w:tcPr/>
          <w:p>
            <w:pPr>
              <w:pStyle w:val="Compact"/>
              <w:jc w:val="left"/>
            </w:pPr>
            <w:r>
              <w:t xml:space="preserve">Status</w:t>
            </w:r>
          </w:p>
        </w:tc>
      </w:tr>
      <w:tr>
        <w:tc>
          <w:tcPr/>
          <w:p>
            <w:pPr>
              <w:pStyle w:val="Compact"/>
              <w:jc w:val="left"/>
            </w:pPr>
            <w:r>
              <w:t xml:space="preserve">Chodosh S et al.</w:t>
            </w:r>
          </w:p>
        </w:tc>
        <w:tc>
          <w:tcPr/>
          <w:p>
            <w:pPr>
              <w:pStyle w:val="Compact"/>
              <w:jc w:val="left"/>
            </w:pPr>
            <w:r>
              <w:rPr>
                <w:iCs/>
                <w:i/>
              </w:rPr>
              <w:t xml:space="preserve">J Antimicrob Chemother</w:t>
            </w:r>
            <w:r>
              <w:t xml:space="preserve"> </w:t>
            </w:r>
            <w:r>
              <w:t xml:space="preserve">1998</w:t>
            </w:r>
          </w:p>
        </w:tc>
        <w:tc>
          <w:tcPr/>
          <w:p>
            <w:pPr>
              <w:pStyle w:val="Compact"/>
              <w:jc w:val="left"/>
            </w:pPr>
            <w:r>
              <w:t xml:space="preserve">Pivotal bronchitis trial</w:t>
            </w:r>
          </w:p>
        </w:tc>
        <w:tc>
          <w:tcPr/>
          <w:p>
            <w:pPr>
              <w:pStyle w:val="Compact"/>
              <w:jc w:val="left"/>
            </w:pPr>
            <w:r>
              <w:t xml:space="preserve">No formal action</w:t>
            </w:r>
          </w:p>
        </w:tc>
      </w:tr>
      <w:tr>
        <w:tc>
          <w:tcPr/>
          <w:p>
            <w:pPr>
              <w:pStyle w:val="Compact"/>
              <w:jc w:val="left"/>
            </w:pPr>
            <w:r>
              <w:t xml:space="preserve">Langan CE et al.</w:t>
            </w:r>
          </w:p>
        </w:tc>
        <w:tc>
          <w:tcPr/>
          <w:p>
            <w:pPr>
              <w:pStyle w:val="Compact"/>
              <w:jc w:val="left"/>
            </w:pPr>
            <w:r>
              <w:rPr>
                <w:iCs/>
                <w:i/>
              </w:rPr>
              <w:t xml:space="preserve">J Antimicrob Chemother</w:t>
            </w:r>
            <w:r>
              <w:t xml:space="preserve"> </w:t>
            </w:r>
            <w:r>
              <w:t xml:space="preserve">1999;44(4):515-23 (PMID 10588313)</w:t>
            </w:r>
          </w:p>
        </w:tc>
        <w:tc>
          <w:tcPr/>
          <w:p>
            <w:pPr>
              <w:pStyle w:val="Compact"/>
              <w:jc w:val="left"/>
            </w:pPr>
            <w:r>
              <w:t xml:space="preserve">Comparative efficacy vs clarithromycin</w:t>
            </w:r>
          </w:p>
        </w:tc>
        <w:tc>
          <w:tcPr/>
          <w:p>
            <w:pPr>
              <w:pStyle w:val="Compact"/>
              <w:jc w:val="left"/>
            </w:pPr>
            <w:r>
              <w:t xml:space="preserve">No formal action</w:t>
            </w:r>
          </w:p>
        </w:tc>
      </w:tr>
      <w:tr>
        <w:tc>
          <w:tcPr/>
          <w:p>
            <w:pPr>
              <w:pStyle w:val="Compact"/>
              <w:jc w:val="left"/>
            </w:pPr>
            <w:r>
              <w:t xml:space="preserve">O’Doherty B et al.</w:t>
            </w:r>
          </w:p>
        </w:tc>
        <w:tc>
          <w:tcPr/>
          <w:p>
            <w:pPr>
              <w:pStyle w:val="Compact"/>
              <w:jc w:val="left"/>
            </w:pPr>
            <w:r>
              <w:rPr>
                <w:iCs/>
                <w:i/>
              </w:rPr>
              <w:t xml:space="preserve">J Antimicrob Chemother</w:t>
            </w:r>
            <w:r>
              <w:t xml:space="preserve"> </w:t>
            </w:r>
            <w:r>
              <w:t xml:space="preserve">1997;40 Suppl A:73-81</w:t>
            </w:r>
          </w:p>
        </w:tc>
        <w:tc>
          <w:tcPr/>
          <w:p>
            <w:pPr>
              <w:pStyle w:val="Compact"/>
              <w:jc w:val="left"/>
            </w:pPr>
            <w:r>
              <w:t xml:space="preserve">Pivotal comparative efficacy</w:t>
            </w:r>
          </w:p>
        </w:tc>
        <w:tc>
          <w:tcPr/>
          <w:p>
            <w:pPr>
              <w:pStyle w:val="Compact"/>
              <w:jc w:val="left"/>
            </w:pPr>
            <w:r>
              <w:t xml:space="preserve">No formal action</w:t>
            </w:r>
          </w:p>
        </w:tc>
      </w:tr>
    </w:tbl>
    <w:p>
      <w:pPr>
        <w:pStyle w:val="BodyText"/>
      </w:pPr>
      <w:r>
        <w:t xml:space="preserve">Pattern classification: C. Withdrawal was for QT prolongation and torsades de pointes, a cardiac-electrophysiology harm not measured in the antimicrobial efficacy trials. The efficacy claims for community-acquired respiratory infection remained undisputed.</w:t>
      </w:r>
    </w:p>
    <w:p>
      <w:pPr>
        <w:pStyle w:val="BodyText"/>
      </w:pPr>
      <w:r>
        <w:rPr>
          <w:bCs/>
          <w:b/>
        </w:rPr>
        <w:t xml:space="preserve">Temafloxacin (Omniflox).</w:t>
      </w:r>
      <w:r>
        <w:t xml:space="preserve"> </w:t>
      </w:r>
      <w:r>
        <w:t xml:space="preserve">Approved January 1992; withdrawn June 1992 (approximately five months on market) for hemolytic-uremic syndrome, hemolytic anemia, acute renal failure, hepatotoxicity, and three deaths. Temafloxacin’s approved-market lifespan was brief, but its pre-approval efficacy trials for respiratory and urinary tract infections were published in 1991-1992 in indexed infectious-disease journals (for example Carbon et al., Antimicrob Agents Chemother 1992), so its pivotal literature is identifiable and it is classified Tier 2, not thin or unpublished.</w:t>
      </w:r>
    </w:p>
    <w:tbl>
      <w:tblPr>
        <w:tblStyle w:val="Table"/>
        <w:tblW w:type="auto" w:w="0"/>
        <w:tblLook w:firstRow="1" w:lastRow="0" w:firstColumn="0" w:lastColumn="0" w:noHBand="0" w:noVBand="0" w:val="0020"/>
        <w:jc w:val="start"/>
      </w:tblPr>
      <w:tblGrid>
        <w:gridCol w:w="1980"/>
        <w:gridCol w:w="1980"/>
        <w:gridCol w:w="1980"/>
        <w:gridCol w:w="1980"/>
      </w:tblGrid>
      <w:tr>
        <w:trPr>
          <w:tblHeader w:val="true"/>
        </w:trPr>
        <w:tc>
          <w:tcPr/>
          <w:p>
            <w:pPr>
              <w:pStyle w:val="Compact"/>
              <w:jc w:val="left"/>
            </w:pPr>
            <w:r>
              <w:t xml:space="preserve">Paper</w:t>
            </w:r>
          </w:p>
        </w:tc>
        <w:tc>
          <w:tcPr/>
          <w:p>
            <w:pPr>
              <w:pStyle w:val="Compact"/>
              <w:jc w:val="left"/>
            </w:pPr>
            <w:r>
              <w:t xml:space="preserve">Journal, Year</w:t>
            </w:r>
          </w:p>
        </w:tc>
        <w:tc>
          <w:tcPr/>
          <w:p>
            <w:pPr>
              <w:pStyle w:val="Compact"/>
              <w:jc w:val="left"/>
            </w:pPr>
            <w:r>
              <w:t xml:space="preserve">Role</w:t>
            </w:r>
          </w:p>
        </w:tc>
        <w:tc>
          <w:tcPr/>
          <w:p>
            <w:pPr>
              <w:pStyle w:val="Compact"/>
              <w:jc w:val="left"/>
            </w:pPr>
            <w:r>
              <w:t xml:space="preserve">Status</w:t>
            </w:r>
          </w:p>
        </w:tc>
      </w:tr>
      <w:tr>
        <w:tc>
          <w:tcPr/>
          <w:p>
            <w:pPr>
              <w:pStyle w:val="Compact"/>
              <w:jc w:val="left"/>
            </w:pPr>
            <w:r>
              <w:t xml:space="preserve">Multiple pre-approval efficacy trials, 1990-1992</w:t>
            </w:r>
          </w:p>
        </w:tc>
        <w:tc>
          <w:tcPr/>
          <w:p>
            <w:pPr>
              <w:pStyle w:val="Compact"/>
              <w:jc w:val="left"/>
            </w:pPr>
            <w:r>
              <w:t xml:space="preserve">Various infectious-disease journals</w:t>
            </w:r>
          </w:p>
        </w:tc>
        <w:tc>
          <w:tcPr/>
          <w:p>
            <w:pPr>
              <w:pStyle w:val="Compact"/>
              <w:jc w:val="left"/>
            </w:pPr>
            <w:r>
              <w:t xml:space="preserve">Pivotal efficacy</w:t>
            </w:r>
          </w:p>
        </w:tc>
        <w:tc>
          <w:tcPr/>
          <w:p>
            <w:pPr>
              <w:pStyle w:val="Compact"/>
              <w:jc w:val="left"/>
            </w:pPr>
            <w:r>
              <w:t xml:space="preserve">No formal action detected</w:t>
            </w:r>
          </w:p>
        </w:tc>
      </w:tr>
      <w:tr>
        <w:tc>
          <w:tcPr/>
          <w:p>
            <w:pPr>
              <w:pStyle w:val="Compact"/>
              <w:jc w:val="left"/>
            </w:pPr>
            <w:r>
              <w:t xml:space="preserve">Blum MD et al., “Temafloxacin syndrome”</w:t>
            </w:r>
          </w:p>
        </w:tc>
        <w:tc>
          <w:tcPr/>
          <w:p>
            <w:pPr>
              <w:pStyle w:val="Compact"/>
              <w:jc w:val="left"/>
            </w:pPr>
            <w:r>
              <w:rPr>
                <w:iCs/>
                <w:i/>
              </w:rPr>
              <w:t xml:space="preserve">Lancet</w:t>
            </w:r>
            <w:r>
              <w:t xml:space="preserve"> </w:t>
            </w:r>
            <w:r>
              <w:t xml:space="preserve">1994;343:1074</w:t>
            </w:r>
          </w:p>
        </w:tc>
        <w:tc>
          <w:tcPr/>
          <w:p>
            <w:pPr>
              <w:pStyle w:val="Compact"/>
              <w:jc w:val="left"/>
            </w:pPr>
            <w:r>
              <w:t xml:space="preserve">Post-withdrawal characterization of the harm syndrome</w:t>
            </w:r>
          </w:p>
        </w:tc>
        <w:tc>
          <w:tcPr/>
          <w:p>
            <w:pPr>
              <w:pStyle w:val="Compact"/>
              <w:jc w:val="left"/>
            </w:pPr>
            <w:r>
              <w:t xml:space="preserve">Not applicable</w:t>
            </w:r>
          </w:p>
        </w:tc>
      </w:tr>
    </w:tbl>
    <w:p>
      <w:pPr>
        <w:pStyle w:val="BodyText"/>
      </w:pPr>
      <w:r>
        <w:t xml:space="preserve">Pattern classification: C. Efficacy claims for the intended antimicrobial indications were correct. Harm, the “temafloxacin syndrome” of hemolytic anemia and renal failure, was in a domain the pivotal trials were not powered to detect.</w:t>
      </w:r>
    </w:p>
    <w:bookmarkEnd w:id="24"/>
    <w:bookmarkStart w:id="25" w:name="Xaf4c061fa55ebdf852ebe2b7c724f7464fb76d0"/>
    <w:p>
      <w:pPr>
        <w:pStyle w:val="Heading3"/>
      </w:pPr>
      <w:r>
        <w:t xml:space="preserve">S1.2.2 An emergent finding: pivotal evidence the correction mechanism cannot reach</w:t>
      </w:r>
    </w:p>
    <w:p>
      <w:pPr>
        <w:pStyle w:val="FirstParagraph"/>
      </w:pPr>
      <w:r>
        <w:t xml:space="preserve">The bromfenac case surfaces a distinct methodological category not anticipated in the initial typology. Audit later split this into two situations. For bromfenac, the pivotal trials were never published as peer-reviewed papers at all, so the correction mechanism cannot operate because the pivotal evidence does not exist in the peer-reviewed record. A second, distinct situation, identified when the aggregate case-file entries were resolved at audit, is pivotal evidence that was published but outside the PubMed-indexed record: gatifloxacin, whose US community-acquired-pneumonia registration trials appeared in a journal supplement and in conference abstracts rather than indexed primary reports, and pemoline, whose 1970s registration trials (for example Page et al. 1974) appeared in journals that predate MEDLINE indexing. In both variants a reader using standard bibliographic infrastructure finds no reachable pivotal paper to correct, but the mechanism differs: bromfenac's pivotal evidence never entered the literature, while gatifloxacin's and pemoline's entered it in a form the indexing and correction infrastructure does not track. Temafloxacin does not belong to either category: its pre-approval respiratory and urinary-tract efficacy trials were published in indexed infectious-disease journals in 1991-1992 and are Tier 2. These are variants of the same structural gap we describe as the paper’s main finding: the peer-reviewed literature does not carry the withdrawal signal, but for a different mechanistic reason. In these cases the literature never carried the</w:t>
      </w:r>
      <w:r>
        <w:t xml:space="preserve"> </w:t>
      </w:r>
      <w:r>
        <w:rPr>
          <w:iCs/>
          <w:i/>
        </w:rPr>
        <w:t xml:space="preserve">approval</w:t>
      </w:r>
      <w:r>
        <w:t xml:space="preserve"> </w:t>
      </w:r>
      <w:r>
        <w:t xml:space="preserve">signal either. Whether any withdrawal-related annotation should appear in the derivative literature (retrospective reviews, safety-analysis papers, meta-analyses) that</w:t>
      </w:r>
      <w:r>
        <w:t xml:space="preserve"> </w:t>
      </w:r>
      <w:r>
        <w:rPr>
          <w:iCs/>
          <w:i/>
        </w:rPr>
        <w:t xml:space="preserve">did</w:t>
      </w:r>
      <w:r>
        <w:t xml:space="preserve"> </w:t>
      </w:r>
      <w:r>
        <w:t xml:space="preserve">discuss these drugs is a separate question our study does not address.</w:t>
      </w:r>
    </w:p>
    <w:bookmarkEnd w:id="25"/>
    <w:bookmarkStart w:id="26" w:name="Xd4772239ba85f0fc2958764fd69c399e7052ac9"/>
    <w:p>
      <w:pPr>
        <w:pStyle w:val="Heading3"/>
      </w:pPr>
      <w:r>
        <w:t xml:space="preserve">S1.2.3 Case files: the QT-prolongation and arrhythmia cluster</w:t>
      </w:r>
    </w:p>
    <w:p>
      <w:pPr>
        <w:pStyle w:val="FirstParagraph"/>
      </w:pPr>
      <w:r>
        <w:t xml:space="preserve">This cluster comprises drugs sharing a common withdrawal reason (cardiac arrhythmia via QT prolongation or drug-drug interaction) but distributed across antihypertensives, antihistamines, prokinetics, IBS agents, and antibiotics. This cross-class heterogeneity within a single mechanism category tests whether the paper’s finding is uniform across therapeutic areas.</w:t>
      </w:r>
    </w:p>
    <w:p>
      <w:pPr>
        <w:pStyle w:val="BodyText"/>
      </w:pPr>
      <w:r>
        <w:rPr>
          <w:bCs/>
          <w:b/>
        </w:rPr>
        <w:t xml:space="preserve">Mibefradil (Posicor).</w:t>
      </w:r>
      <w:r>
        <w:t xml:space="preserve"> </w:t>
      </w:r>
      <w:r>
        <w:t xml:space="preserve">NDA 20-859, approved 20 June 1997; voluntarily withdrawn 8 June 1998 for potentially fatal drug-drug interactions (at least 25 drugs on the “avoid” list at withdrawal, including simvastatin, lovastatin, β-blockers, and multiple antihistamines and antibiotics). Approximately 200,000 US patients exposed at withdrawal. The mechanism: potent inhibition of CYP3A4 and CYP2D6, leading to accumulation of concomitant drugs with resultant rhabdomyolysis and cardiac arrhythmias. Pivotal papers identified:</w:t>
      </w:r>
    </w:p>
    <w:tbl>
      <w:tblPr>
        <w:tblStyle w:val="Table"/>
        <w:tblW w:type="auto" w:w="0"/>
        <w:tblLook w:firstRow="1" w:lastRow="0" w:firstColumn="0" w:lastColumn="0" w:noHBand="0" w:noVBand="0" w:val="0020"/>
        <w:jc w:val="start"/>
      </w:tblPr>
      <w:tblGrid>
        <w:gridCol w:w="1980"/>
        <w:gridCol w:w="1980"/>
        <w:gridCol w:w="1980"/>
        <w:gridCol w:w="1980"/>
      </w:tblGrid>
      <w:tr>
        <w:trPr>
          <w:tblHeader w:val="true"/>
        </w:trPr>
        <w:tc>
          <w:tcPr/>
          <w:p>
            <w:pPr>
              <w:pStyle w:val="Compact"/>
              <w:jc w:val="left"/>
            </w:pPr>
            <w:r>
              <w:t xml:space="preserve">Paper</w:t>
            </w:r>
          </w:p>
        </w:tc>
        <w:tc>
          <w:tcPr/>
          <w:p>
            <w:pPr>
              <w:pStyle w:val="Compact"/>
              <w:jc w:val="left"/>
            </w:pPr>
            <w:r>
              <w:t xml:space="preserve">Journal, Year</w:t>
            </w:r>
          </w:p>
        </w:tc>
        <w:tc>
          <w:tcPr/>
          <w:p>
            <w:pPr>
              <w:pStyle w:val="Compact"/>
              <w:jc w:val="left"/>
            </w:pPr>
            <w:r>
              <w:t xml:space="preserve">Role</w:t>
            </w:r>
          </w:p>
        </w:tc>
        <w:tc>
          <w:tcPr/>
          <w:p>
            <w:pPr>
              <w:pStyle w:val="Compact"/>
              <w:jc w:val="left"/>
            </w:pPr>
            <w:r>
              <w:t xml:space="preserve">Status</w:t>
            </w:r>
          </w:p>
        </w:tc>
      </w:tr>
      <w:tr>
        <w:tc>
          <w:tcPr/>
          <w:p>
            <w:pPr>
              <w:pStyle w:val="Compact"/>
              <w:jc w:val="left"/>
            </w:pPr>
            <w:r>
              <w:t xml:space="preserve">Massie BM</w:t>
            </w:r>
          </w:p>
        </w:tc>
        <w:tc>
          <w:tcPr/>
          <w:p>
            <w:pPr>
              <w:pStyle w:val="Compact"/>
              <w:jc w:val="left"/>
            </w:pPr>
            <w:r>
              <w:rPr>
                <w:iCs/>
                <w:i/>
              </w:rPr>
              <w:t xml:space="preserve">Am J Cardiol</w:t>
            </w:r>
            <w:r>
              <w:t xml:space="preserve"> </w:t>
            </w:r>
            <w:r>
              <w:t xml:space="preserve">1997;80(9A):23I-32I</w:t>
            </w:r>
          </w:p>
        </w:tc>
        <w:tc>
          <w:tcPr/>
          <w:p>
            <w:pPr>
              <w:pStyle w:val="Compact"/>
              <w:jc w:val="left"/>
            </w:pPr>
            <w:r>
              <w:t xml:space="preserve">Pivotal review of hypertension and angina efficacy</w:t>
            </w:r>
          </w:p>
        </w:tc>
        <w:tc>
          <w:tcPr/>
          <w:p>
            <w:pPr>
              <w:pStyle w:val="Compact"/>
              <w:jc w:val="left"/>
            </w:pPr>
            <w:r>
              <w:t xml:space="preserve">No formal action</w:t>
            </w:r>
          </w:p>
        </w:tc>
      </w:tr>
      <w:tr>
        <w:tc>
          <w:tcPr/>
          <w:p>
            <w:pPr>
              <w:pStyle w:val="Compact"/>
              <w:jc w:val="left"/>
            </w:pPr>
            <w:r>
              <w:t xml:space="preserve">Lacourcière Y et al.</w:t>
            </w:r>
          </w:p>
        </w:tc>
        <w:tc>
          <w:tcPr/>
          <w:p>
            <w:pPr>
              <w:pStyle w:val="Compact"/>
              <w:jc w:val="left"/>
            </w:pPr>
            <w:r>
              <w:rPr>
                <w:iCs/>
                <w:i/>
              </w:rPr>
              <w:t xml:space="preserve">Am J Hypertens</w:t>
            </w:r>
            <w:r>
              <w:t xml:space="preserve"> </w:t>
            </w:r>
            <w:r>
              <w:t xml:space="preserve">1997;10(2):189-96</w:t>
            </w:r>
          </w:p>
        </w:tc>
        <w:tc>
          <w:tcPr/>
          <w:p>
            <w:pPr>
              <w:pStyle w:val="Compact"/>
              <w:jc w:val="left"/>
            </w:pPr>
            <w:r>
              <w:t xml:space="preserve">Pivotal hypertension efficacy</w:t>
            </w:r>
          </w:p>
        </w:tc>
        <w:tc>
          <w:tcPr/>
          <w:p>
            <w:pPr>
              <w:pStyle w:val="Compact"/>
              <w:jc w:val="left"/>
            </w:pPr>
            <w:r>
              <w:t xml:space="preserve">No formal action</w:t>
            </w:r>
          </w:p>
        </w:tc>
      </w:tr>
      <w:tr>
        <w:tc>
          <w:tcPr/>
          <w:p>
            <w:pPr>
              <w:pStyle w:val="Compact"/>
              <w:jc w:val="left"/>
            </w:pPr>
            <w:r>
              <w:t xml:space="preserve">MACH-I (Mortality Assessment in Congestive Heart Failure Trial)</w:t>
            </w:r>
          </w:p>
        </w:tc>
        <w:tc>
          <w:tcPr/>
          <w:p>
            <w:pPr>
              <w:pStyle w:val="Compact"/>
              <w:jc w:val="left"/>
            </w:pPr>
            <w:r>
              <w:t xml:space="preserve">Multiple 1998-1999</w:t>
            </w:r>
          </w:p>
        </w:tc>
        <w:tc>
          <w:tcPr/>
          <w:p>
            <w:pPr>
              <w:pStyle w:val="Compact"/>
              <w:jc w:val="left"/>
            </w:pPr>
            <w:r>
              <w:t xml:space="preserve">Post-approval large mortality trial</w:t>
            </w:r>
          </w:p>
        </w:tc>
        <w:tc>
          <w:tcPr/>
          <w:p>
            <w:pPr>
              <w:pStyle w:val="Compact"/>
              <w:jc w:val="left"/>
            </w:pPr>
            <w:r>
              <w:t xml:space="preserve">No formal action</w:t>
            </w:r>
          </w:p>
        </w:tc>
      </w:tr>
    </w:tbl>
    <w:p>
      <w:pPr>
        <w:pStyle w:val="BodyText"/>
      </w:pPr>
      <w:r>
        <w:t xml:space="preserve">Pattern classification: C, with drug-interaction subtype. The pivotal papers correctly demonstrated antihypertensive and antianginal efficacy. Withdrawal was for pharmacokinetic drug interactions unmeasured in the pivotal trials. Notable: the withdrawal reasoning explicitly cited</w:t>
      </w:r>
      <w:r>
        <w:t xml:space="preserve"> </w:t>
      </w:r>
      <w:r>
        <w:rPr>
          <w:iCs/>
          <w:i/>
        </w:rPr>
        <w:t xml:space="preserve">lack of special benefit over available alternatives</w:t>
      </w:r>
      <w:r>
        <w:t xml:space="preserve">, the same “safer alternative” logic seen with terfenadine. No pivotal paper carries any correction.</w:t>
      </w:r>
    </w:p>
    <w:p>
      <w:pPr>
        <w:pStyle w:val="BodyText"/>
      </w:pPr>
      <w:r>
        <w:rPr>
          <w:bCs/>
          <w:b/>
        </w:rPr>
        <w:t xml:space="preserve">Cisapride (Propulsid).</w:t>
      </w:r>
      <w:r>
        <w:t xml:space="preserve"> </w:t>
      </w:r>
      <w:r>
        <w:t xml:space="preserve">NDA 20-210, approved July 1993; withdrawn from general distribution 14 July 2000 for QT prolongation, torsades de pointes, and cardiac death. Over 30 million US prescriptions issued 1993-1999. 341 reported cases of cardiac arrhythmia; 80 fatal. The mechanism: cisapride is a CYP3A4 substrate; concomitant CYP3A4 inhibitors (macrolides, azole antifungals) raise cisapride levels, prolonging QT. Pivotal papers identified through the FDA package and retrospective reviews:</w:t>
      </w:r>
    </w:p>
    <w:tbl>
      <w:tblPr>
        <w:tblStyle w:val="Table"/>
        <w:tblW w:type="auto" w:w="0"/>
        <w:tblLook w:firstRow="1" w:lastRow="0" w:firstColumn="0" w:lastColumn="0" w:noHBand="0" w:noVBand="0" w:val="0020"/>
        <w:jc w:val="start"/>
      </w:tblPr>
      <w:tblGrid>
        <w:gridCol w:w="1980"/>
        <w:gridCol w:w="1980"/>
        <w:gridCol w:w="1980"/>
        <w:gridCol w:w="1980"/>
      </w:tblGrid>
      <w:tr>
        <w:trPr>
          <w:tblHeader w:val="true"/>
        </w:trPr>
        <w:tc>
          <w:tcPr/>
          <w:p>
            <w:pPr>
              <w:pStyle w:val="Compact"/>
              <w:jc w:val="left"/>
            </w:pPr>
            <w:r>
              <w:t xml:space="preserve">Paper</w:t>
            </w:r>
          </w:p>
        </w:tc>
        <w:tc>
          <w:tcPr/>
          <w:p>
            <w:pPr>
              <w:pStyle w:val="Compact"/>
              <w:jc w:val="left"/>
            </w:pPr>
            <w:r>
              <w:t xml:space="preserve">Journal, Year</w:t>
            </w:r>
          </w:p>
        </w:tc>
        <w:tc>
          <w:tcPr/>
          <w:p>
            <w:pPr>
              <w:pStyle w:val="Compact"/>
              <w:jc w:val="left"/>
            </w:pPr>
            <w:r>
              <w:t xml:space="preserve">Role</w:t>
            </w:r>
          </w:p>
        </w:tc>
        <w:tc>
          <w:tcPr/>
          <w:p>
            <w:pPr>
              <w:pStyle w:val="Compact"/>
              <w:jc w:val="left"/>
            </w:pPr>
            <w:r>
              <w:t xml:space="preserve">Status</w:t>
            </w:r>
          </w:p>
        </w:tc>
      </w:tr>
      <w:tr>
        <w:tc>
          <w:tcPr/>
          <w:p>
            <w:pPr>
              <w:pStyle w:val="Compact"/>
              <w:jc w:val="left"/>
            </w:pPr>
            <w:r>
              <w:t xml:space="preserve">Multiple pivotal GERD trials, 1988-1993</w:t>
            </w:r>
          </w:p>
        </w:tc>
        <w:tc>
          <w:tcPr/>
          <w:p>
            <w:pPr>
              <w:pStyle w:val="Compact"/>
              <w:jc w:val="left"/>
            </w:pPr>
            <w:r>
              <w:rPr>
                <w:iCs/>
                <w:i/>
              </w:rPr>
              <w:t xml:space="preserve">Am J Gastroenterol</w:t>
            </w:r>
            <w:r>
              <w:t xml:space="preserve">,</w:t>
            </w:r>
            <w:r>
              <w:t xml:space="preserve"> </w:t>
            </w:r>
            <w:r>
              <w:rPr>
                <w:iCs/>
                <w:i/>
              </w:rPr>
              <w:t xml:space="preserve">Gastroenterology</w:t>
            </w:r>
          </w:p>
        </w:tc>
        <w:tc>
          <w:tcPr/>
          <w:p>
            <w:pPr>
              <w:pStyle w:val="Compact"/>
              <w:jc w:val="left"/>
            </w:pPr>
            <w:r>
              <w:t xml:space="preserve">Pre-approval efficacy for nocturnal heartburn</w:t>
            </w:r>
          </w:p>
        </w:tc>
        <w:tc>
          <w:tcPr/>
          <w:p>
            <w:pPr>
              <w:pStyle w:val="Compact"/>
              <w:jc w:val="left"/>
            </w:pPr>
            <w:r>
              <w:t xml:space="preserve">No formal action detected</w:t>
            </w:r>
          </w:p>
        </w:tc>
      </w:tr>
      <w:tr>
        <w:tc>
          <w:tcPr/>
          <w:p>
            <w:pPr>
              <w:pStyle w:val="Compact"/>
              <w:jc w:val="left"/>
            </w:pPr>
            <w:r>
              <w:t xml:space="preserve">Wysowski DK, Bacsanyi J. “Postmarketing reports of QT prolongation…”</w:t>
            </w:r>
          </w:p>
        </w:tc>
        <w:tc>
          <w:tcPr/>
          <w:p>
            <w:pPr>
              <w:pStyle w:val="Compact"/>
              <w:jc w:val="left"/>
            </w:pPr>
            <w:r>
              <w:rPr>
                <w:iCs/>
                <w:i/>
              </w:rPr>
              <w:t xml:space="preserve">Am J Gastroenterol</w:t>
            </w:r>
            <w:r>
              <w:t xml:space="preserve"> </w:t>
            </w:r>
            <w:r>
              <w:t xml:space="preserve">2001 (PMID 11419817)</w:t>
            </w:r>
          </w:p>
        </w:tc>
        <w:tc>
          <w:tcPr/>
          <w:p>
            <w:pPr>
              <w:pStyle w:val="Compact"/>
              <w:jc w:val="left"/>
            </w:pPr>
            <w:r>
              <w:t xml:space="preserve">Post-withdrawal FDA surveillance analysis</w:t>
            </w:r>
          </w:p>
        </w:tc>
        <w:tc>
          <w:tcPr/>
          <w:p>
            <w:pPr>
              <w:pStyle w:val="Compact"/>
              <w:jc w:val="left"/>
            </w:pPr>
            <w:r>
              <w:t xml:space="preserve">Not applicable (harm-report paper)</w:t>
            </w:r>
          </w:p>
        </w:tc>
      </w:tr>
    </w:tbl>
    <w:p>
      <w:pPr>
        <w:pStyle w:val="BodyText"/>
      </w:pPr>
      <w:r>
        <w:t xml:space="preserve">Pattern classification: C. Efficacy for nocturnal heartburn (the sole approved indication) was demonstrated correctly. Withdrawal was for cardiac arrhythmia via CYP3A4 interactions, a mechanism not measured in the GI-motility pivotal trials. Notable: FDA label was revised in 1995, 1998, 1999, and January 2000 to warn of the interaction; despite these repeated warnings, contraindicated co-prescribing continued at high rates, leading to withdrawal. The pivotal literature was not corrected at any of the four label-revision events, nor at withdrawal, nor since.</w:t>
      </w:r>
    </w:p>
    <w:p>
      <w:pPr>
        <w:pStyle w:val="BodyText"/>
      </w:pPr>
      <w:r>
        <w:rPr>
          <w:bCs/>
          <w:b/>
        </w:rPr>
        <w:t xml:space="preserve">Tegaserod (Zelnorm).</w:t>
      </w:r>
      <w:r>
        <w:t xml:space="preserve"> </w:t>
      </w:r>
      <w:r>
        <w:t xml:space="preserve">NDA 21-200, approved 24 July 2002; voluntarily withdrawn 30 March 2007 for increased cardiovascular ischemic events (13/11,614 tegaserod vs 1/7,031 placebo in pooled clinical trial data). Reintroduced 2019 for IBS-C in women under 65 without cardiovascular disease. Pivotal papers identified:</w:t>
      </w:r>
    </w:p>
    <w:tbl>
      <w:tblPr>
        <w:tblStyle w:val="Table"/>
        <w:tblW w:type="auto" w:w="0"/>
        <w:tblLook w:firstRow="1" w:lastRow="0" w:firstColumn="0" w:lastColumn="0" w:noHBand="0" w:noVBand="0" w:val="0020"/>
        <w:jc w:val="start"/>
      </w:tblPr>
      <w:tblGrid>
        <w:gridCol w:w="1980"/>
        <w:gridCol w:w="1980"/>
        <w:gridCol w:w="1980"/>
        <w:gridCol w:w="1980"/>
      </w:tblGrid>
      <w:tr>
        <w:trPr>
          <w:tblHeader w:val="true"/>
        </w:trPr>
        <w:tc>
          <w:tcPr/>
          <w:p>
            <w:pPr>
              <w:pStyle w:val="Compact"/>
              <w:jc w:val="left"/>
            </w:pPr>
            <w:r>
              <w:t xml:space="preserve">Paper</w:t>
            </w:r>
          </w:p>
        </w:tc>
        <w:tc>
          <w:tcPr/>
          <w:p>
            <w:pPr>
              <w:pStyle w:val="Compact"/>
              <w:jc w:val="left"/>
            </w:pPr>
            <w:r>
              <w:t xml:space="preserve">Journal, Year</w:t>
            </w:r>
          </w:p>
        </w:tc>
        <w:tc>
          <w:tcPr/>
          <w:p>
            <w:pPr>
              <w:pStyle w:val="Compact"/>
              <w:jc w:val="left"/>
            </w:pPr>
            <w:r>
              <w:t xml:space="preserve">Role</w:t>
            </w:r>
          </w:p>
        </w:tc>
        <w:tc>
          <w:tcPr/>
          <w:p>
            <w:pPr>
              <w:pStyle w:val="Compact"/>
              <w:jc w:val="left"/>
            </w:pPr>
            <w:r>
              <w:t xml:space="preserve">Status</w:t>
            </w:r>
          </w:p>
        </w:tc>
      </w:tr>
      <w:tr>
        <w:tc>
          <w:tcPr/>
          <w:p>
            <w:pPr>
              <w:pStyle w:val="Compact"/>
              <w:jc w:val="left"/>
            </w:pPr>
            <w:r>
              <w:t xml:space="preserve">Lefkowitz M et al.</w:t>
            </w:r>
          </w:p>
        </w:tc>
        <w:tc>
          <w:tcPr/>
          <w:p>
            <w:pPr>
              <w:pStyle w:val="Compact"/>
              <w:jc w:val="left"/>
            </w:pPr>
            <w:r>
              <w:rPr>
                <w:iCs/>
                <w:i/>
              </w:rPr>
              <w:t xml:space="preserve">Gut</w:t>
            </w:r>
            <w:r>
              <w:t xml:space="preserve"> </w:t>
            </w:r>
            <w:r>
              <w:t xml:space="preserve">2000 (Suppl III)</w:t>
            </w:r>
          </w:p>
        </w:tc>
        <w:tc>
          <w:tcPr/>
          <w:p>
            <w:pPr>
              <w:pStyle w:val="Compact"/>
              <w:jc w:val="left"/>
            </w:pPr>
            <w:r>
              <w:t xml:space="preserve">First pivotal Phase III</w:t>
            </w:r>
          </w:p>
        </w:tc>
        <w:tc>
          <w:tcPr/>
          <w:p>
            <w:pPr>
              <w:pStyle w:val="Compact"/>
              <w:jc w:val="left"/>
            </w:pPr>
            <w:r>
              <w:t xml:space="preserve">No formal action</w:t>
            </w:r>
          </w:p>
        </w:tc>
      </w:tr>
      <w:tr>
        <w:tc>
          <w:tcPr/>
          <w:p>
            <w:pPr>
              <w:pStyle w:val="Compact"/>
              <w:jc w:val="left"/>
            </w:pPr>
            <w:r>
              <w:t xml:space="preserve">Müller-Lissner SA et al.</w:t>
            </w:r>
          </w:p>
        </w:tc>
        <w:tc>
          <w:tcPr/>
          <w:p>
            <w:pPr>
              <w:pStyle w:val="Compact"/>
              <w:jc w:val="left"/>
            </w:pPr>
            <w:r>
              <w:rPr>
                <w:iCs/>
                <w:i/>
              </w:rPr>
              <w:t xml:space="preserve">Aliment Pharmacol Ther</w:t>
            </w:r>
            <w:r>
              <w:t xml:space="preserve"> </w:t>
            </w:r>
            <w:r>
              <w:t xml:space="preserve">2001;15:1655-66</w:t>
            </w:r>
          </w:p>
        </w:tc>
        <w:tc>
          <w:tcPr/>
          <w:p>
            <w:pPr>
              <w:pStyle w:val="Compact"/>
              <w:jc w:val="left"/>
            </w:pPr>
            <w:r>
              <w:t xml:space="preserve">Pivotal Phase III</w:t>
            </w:r>
          </w:p>
        </w:tc>
        <w:tc>
          <w:tcPr/>
          <w:p>
            <w:pPr>
              <w:pStyle w:val="Compact"/>
              <w:jc w:val="left"/>
            </w:pPr>
            <w:r>
              <w:t xml:space="preserve">No formal action</w:t>
            </w:r>
          </w:p>
        </w:tc>
      </w:tr>
      <w:tr>
        <w:tc>
          <w:tcPr/>
          <w:p>
            <w:pPr>
              <w:pStyle w:val="Compact"/>
              <w:jc w:val="left"/>
            </w:pPr>
            <w:r>
              <w:t xml:space="preserve">Novick J et al.</w:t>
            </w:r>
          </w:p>
        </w:tc>
        <w:tc>
          <w:tcPr/>
          <w:p>
            <w:pPr>
              <w:pStyle w:val="Compact"/>
              <w:jc w:val="left"/>
            </w:pPr>
            <w:r>
              <w:rPr>
                <w:iCs/>
                <w:i/>
              </w:rPr>
              <w:t xml:space="preserve">Aliment Pharmacol Ther</w:t>
            </w:r>
            <w:r>
              <w:t xml:space="preserve"> </w:t>
            </w:r>
            <w:r>
              <w:t xml:space="preserve">2002</w:t>
            </w:r>
          </w:p>
        </w:tc>
        <w:tc>
          <w:tcPr/>
          <w:p>
            <w:pPr>
              <w:pStyle w:val="Compact"/>
              <w:jc w:val="left"/>
            </w:pPr>
            <w:r>
              <w:t xml:space="preserve">Pivotal Phase III in female IBS patients</w:t>
            </w:r>
          </w:p>
        </w:tc>
        <w:tc>
          <w:tcPr/>
          <w:p>
            <w:pPr>
              <w:pStyle w:val="Compact"/>
              <w:jc w:val="left"/>
            </w:pPr>
            <w:r>
              <w:t xml:space="preserve">No formal action</w:t>
            </w:r>
          </w:p>
        </w:tc>
      </w:tr>
      <w:tr>
        <w:tc>
          <w:tcPr/>
          <w:p>
            <w:pPr>
              <w:pStyle w:val="Compact"/>
              <w:jc w:val="left"/>
            </w:pPr>
            <w:r>
              <w:t xml:space="preserve">Tack J et al.</w:t>
            </w:r>
          </w:p>
        </w:tc>
        <w:tc>
          <w:tcPr/>
          <w:p>
            <w:pPr>
              <w:pStyle w:val="Compact"/>
              <w:jc w:val="left"/>
            </w:pPr>
            <w:r>
              <w:rPr>
                <w:iCs/>
                <w:i/>
              </w:rPr>
              <w:t xml:space="preserve">Gut</w:t>
            </w:r>
            <w:r>
              <w:t xml:space="preserve"> </w:t>
            </w:r>
            <w:r>
              <w:t xml:space="preserve">2005;54:1707-1713</w:t>
            </w:r>
          </w:p>
        </w:tc>
        <w:tc>
          <w:tcPr/>
          <w:p>
            <w:pPr>
              <w:pStyle w:val="Compact"/>
              <w:jc w:val="left"/>
            </w:pPr>
            <w:r>
              <w:t xml:space="preserve">Fourth pivotal trial</w:t>
            </w:r>
          </w:p>
        </w:tc>
        <w:tc>
          <w:tcPr/>
          <w:p>
            <w:pPr>
              <w:pStyle w:val="Compact"/>
              <w:jc w:val="left"/>
            </w:pPr>
            <w:r>
              <w:t xml:space="preserve">No formal action</w:t>
            </w:r>
          </w:p>
        </w:tc>
      </w:tr>
    </w:tbl>
    <w:p>
      <w:pPr>
        <w:pStyle w:val="BodyText"/>
      </w:pPr>
      <w:r>
        <w:t xml:space="preserve">Pattern classification: C with distinctive post-hoc-analysis feature. The pivotal papers correctly demonstrated symptom relief. The cardiovascular signal emerged from</w:t>
      </w:r>
      <w:r>
        <w:t xml:space="preserve"> </w:t>
      </w:r>
      <w:r>
        <w:rPr>
          <w:iCs/>
          <w:i/>
        </w:rPr>
        <w:t xml:space="preserve">pooled analysis of the pivotal trials themselves</w:t>
      </w:r>
      <w:r>
        <w:t xml:space="preserve">, that is, the original individual pivotal papers reported the CV events as they occurred, but the pooled signal (13 vs 1) only became apparent when the trials were combined. This is arguably the closest case to Pattern A in this cluster: the individual papers were not wrong, but the aggregate they belong to told a story none of them individually revealed. None of the four pivotal papers received any formal correction linking to the pooled CV finding.</w:t>
      </w:r>
    </w:p>
    <w:p>
      <w:pPr>
        <w:pStyle w:val="BodyText"/>
      </w:pPr>
      <w:r>
        <w:rPr>
          <w:bCs/>
          <w:b/>
        </w:rPr>
        <w:t xml:space="preserve">Astemizole (Hismanal).</w:t>
      </w:r>
      <w:r>
        <w:t xml:space="preserve"> </w:t>
      </w:r>
      <w:r>
        <w:t xml:space="preserve">Approved 1988; withdrawn worldwide 1999 for QT prolongation and torsades de pointes, particularly at supratherapeutic doses and with CYP3A4 inhibitor coadministration. Second-generation antihistamine; withdrawn along with terfenadine as fexofenadine became the safer class-alternative. Notable: astemizole’s active metabolite (desmethylastemizole) has a half-life of approximately 12 days, making the pharmacokinetic risk especially high. Pivotal papers identified:</w:t>
      </w:r>
    </w:p>
    <w:tbl>
      <w:tblPr>
        <w:tblStyle w:val="Table"/>
        <w:tblW w:type="auto" w:w="0"/>
        <w:tblLook w:firstRow="1" w:lastRow="0" w:firstColumn="0" w:lastColumn="0" w:noHBand="0" w:noVBand="0" w:val="0020"/>
        <w:jc w:val="start"/>
      </w:tblPr>
      <w:tblGrid>
        <w:gridCol w:w="1980"/>
        <w:gridCol w:w="1980"/>
        <w:gridCol w:w="1980"/>
        <w:gridCol w:w="1980"/>
      </w:tblGrid>
      <w:tr>
        <w:trPr>
          <w:tblHeader w:val="true"/>
        </w:trPr>
        <w:tc>
          <w:tcPr/>
          <w:p>
            <w:pPr>
              <w:pStyle w:val="Compact"/>
              <w:jc w:val="left"/>
            </w:pPr>
            <w:r>
              <w:t xml:space="preserve">Paper</w:t>
            </w:r>
          </w:p>
        </w:tc>
        <w:tc>
          <w:tcPr/>
          <w:p>
            <w:pPr>
              <w:pStyle w:val="Compact"/>
              <w:jc w:val="left"/>
            </w:pPr>
            <w:r>
              <w:t xml:space="preserve">Journal, Year</w:t>
            </w:r>
          </w:p>
        </w:tc>
        <w:tc>
          <w:tcPr/>
          <w:p>
            <w:pPr>
              <w:pStyle w:val="Compact"/>
              <w:jc w:val="left"/>
            </w:pPr>
            <w:r>
              <w:t xml:space="preserve">Role</w:t>
            </w:r>
          </w:p>
        </w:tc>
        <w:tc>
          <w:tcPr/>
          <w:p>
            <w:pPr>
              <w:pStyle w:val="Compact"/>
              <w:jc w:val="left"/>
            </w:pPr>
            <w:r>
              <w:t xml:space="preserve">Status</w:t>
            </w:r>
          </w:p>
        </w:tc>
      </w:tr>
      <w:tr>
        <w:tc>
          <w:tcPr/>
          <w:p>
            <w:pPr>
              <w:pStyle w:val="Compact"/>
              <w:jc w:val="left"/>
            </w:pPr>
            <w:r>
              <w:t xml:space="preserve">Richards DM et al. “Astemizole. A review of its pharmacodynamic properties and therapeutic efficacy.”</w:t>
            </w:r>
          </w:p>
        </w:tc>
        <w:tc>
          <w:tcPr/>
          <w:p>
            <w:pPr>
              <w:pStyle w:val="Compact"/>
              <w:jc w:val="left"/>
            </w:pPr>
            <w:r>
              <w:rPr>
                <w:iCs/>
                <w:i/>
              </w:rPr>
              <w:t xml:space="preserve">Drugs</w:t>
            </w:r>
            <w:r>
              <w:t xml:space="preserve"> </w:t>
            </w:r>
            <w:r>
              <w:t xml:space="preserve">1984</w:t>
            </w:r>
          </w:p>
        </w:tc>
        <w:tc>
          <w:tcPr/>
          <w:p>
            <w:pPr>
              <w:pStyle w:val="Compact"/>
              <w:jc w:val="left"/>
            </w:pPr>
            <w:r>
              <w:t xml:space="preserve">Pre-approval definitive review</w:t>
            </w:r>
          </w:p>
        </w:tc>
        <w:tc>
          <w:tcPr/>
          <w:p>
            <w:pPr>
              <w:pStyle w:val="Compact"/>
              <w:jc w:val="left"/>
            </w:pPr>
            <w:r>
              <w:t xml:space="preserve">No formal action</w:t>
            </w:r>
          </w:p>
        </w:tc>
      </w:tr>
      <w:tr>
        <w:tc>
          <w:tcPr/>
          <w:p>
            <w:pPr>
              <w:pStyle w:val="Compact"/>
              <w:jc w:val="left"/>
            </w:pPr>
            <w:r>
              <w:t xml:space="preserve">Multiple pre-approval efficacy trials in allergic rhinitis, urticaria, 1983-1988</w:t>
            </w:r>
          </w:p>
        </w:tc>
        <w:tc>
          <w:tcPr/>
          <w:p>
            <w:pPr>
              <w:pStyle w:val="Compact"/>
              <w:jc w:val="left"/>
            </w:pPr>
            <w:r>
              <w:t xml:space="preserve">Various allergy journals</w:t>
            </w:r>
          </w:p>
        </w:tc>
        <w:tc>
          <w:tcPr/>
          <w:p>
            <w:pPr>
              <w:pStyle w:val="Compact"/>
              <w:jc w:val="left"/>
            </w:pPr>
            <w:r>
              <w:t xml:space="preserve">Pivotal efficacy</w:t>
            </w:r>
          </w:p>
        </w:tc>
        <w:tc>
          <w:tcPr/>
          <w:p>
            <w:pPr>
              <w:pStyle w:val="Compact"/>
              <w:jc w:val="left"/>
            </w:pPr>
            <w:r>
              <w:t xml:space="preserve">No formal action detected</w:t>
            </w:r>
          </w:p>
        </w:tc>
      </w:tr>
      <w:tr>
        <w:tc>
          <w:tcPr/>
          <w:p>
            <w:pPr>
              <w:pStyle w:val="Compact"/>
              <w:jc w:val="left"/>
            </w:pPr>
            <w:r>
              <w:t xml:space="preserve">Total review of 39 trials with &gt;2300 patients (PMID 2859711)</w:t>
            </w:r>
          </w:p>
        </w:tc>
        <w:tc>
          <w:tcPr/>
          <w:p>
            <w:pPr>
              <w:pStyle w:val="Compact"/>
              <w:jc w:val="left"/>
            </w:pPr>
            <w:r>
              <w:t xml:space="preserve">1985</w:t>
            </w:r>
          </w:p>
        </w:tc>
        <w:tc>
          <w:tcPr/>
          <w:p>
            <w:pPr>
              <w:pStyle w:val="Compact"/>
              <w:jc w:val="left"/>
            </w:pPr>
            <w:r>
              <w:t xml:space="preserve">Aggregate pivotal review</w:t>
            </w:r>
          </w:p>
        </w:tc>
        <w:tc>
          <w:tcPr/>
          <w:p>
            <w:pPr>
              <w:pStyle w:val="Compact"/>
              <w:jc w:val="left"/>
            </w:pPr>
            <w:r>
              <w:t xml:space="preserve">No formal action</w:t>
            </w:r>
          </w:p>
        </w:tc>
      </w:tr>
    </w:tbl>
    <w:p>
      <w:pPr>
        <w:pStyle w:val="BodyText"/>
      </w:pPr>
      <w:r>
        <w:t xml:space="preserve">Pattern classification: C with “safer alternative” subtype, identical to terfenadine. Efficacy for allergic rhinitis and urticaria was demonstrated. Withdrawal was for cardiac harm via CYP3A4 interaction, precisely the same mechanism as terfenadine. Fexofenadine remained available.</w:t>
      </w:r>
    </w:p>
    <w:p>
      <w:pPr>
        <w:pStyle w:val="BodyText"/>
      </w:pPr>
      <w:r>
        <w:rPr>
          <w:bCs/>
          <w:b/>
        </w:rPr>
        <w:t xml:space="preserve">Sparfloxacin (Zagam).</w:t>
      </w:r>
      <w:r>
        <w:t xml:space="preserve"> </w:t>
      </w:r>
      <w:r>
        <w:t xml:space="preserve">NDA 20-677, approved December 1996; withdrawn from US market 2001 for QT prolongation and severe phototoxicity. Approved for community-acquired pneumonia, acute sinusitis, and acute exacerbations of chronic bronchitis. Pivotal papers identified:</w:t>
      </w:r>
    </w:p>
    <w:tbl>
      <w:tblPr>
        <w:tblStyle w:val="Table"/>
        <w:tblW w:type="auto" w:w="0"/>
        <w:tblLook w:firstRow="1" w:lastRow="0" w:firstColumn="0" w:lastColumn="0" w:noHBand="0" w:noVBand="0" w:val="0020"/>
        <w:jc w:val="start"/>
      </w:tblPr>
      <w:tblGrid>
        <w:gridCol w:w="1980"/>
        <w:gridCol w:w="1980"/>
        <w:gridCol w:w="1980"/>
        <w:gridCol w:w="1980"/>
      </w:tblGrid>
      <w:tr>
        <w:trPr>
          <w:tblHeader w:val="true"/>
        </w:trPr>
        <w:tc>
          <w:tcPr/>
          <w:p>
            <w:pPr>
              <w:pStyle w:val="Compact"/>
              <w:jc w:val="left"/>
            </w:pPr>
            <w:r>
              <w:t xml:space="preserve">Paper</w:t>
            </w:r>
          </w:p>
        </w:tc>
        <w:tc>
          <w:tcPr/>
          <w:p>
            <w:pPr>
              <w:pStyle w:val="Compact"/>
              <w:jc w:val="left"/>
            </w:pPr>
            <w:r>
              <w:t xml:space="preserve">Journal, Year</w:t>
            </w:r>
          </w:p>
        </w:tc>
        <w:tc>
          <w:tcPr/>
          <w:p>
            <w:pPr>
              <w:pStyle w:val="Compact"/>
              <w:jc w:val="left"/>
            </w:pPr>
            <w:r>
              <w:t xml:space="preserve">Role</w:t>
            </w:r>
          </w:p>
        </w:tc>
        <w:tc>
          <w:tcPr/>
          <w:p>
            <w:pPr>
              <w:pStyle w:val="Compact"/>
              <w:jc w:val="left"/>
            </w:pPr>
            <w:r>
              <w:t xml:space="preserve">Status</w:t>
            </w:r>
          </w:p>
        </w:tc>
      </w:tr>
      <w:tr>
        <w:tc>
          <w:tcPr/>
          <w:p>
            <w:pPr>
              <w:pStyle w:val="Compact"/>
              <w:jc w:val="left"/>
            </w:pPr>
            <w:r>
              <w:t xml:space="preserve">Aubier M et al. “Sparfloxacin for the treatment of community-acquired pneumonia: a pooled data analysis of two studies.”</w:t>
            </w:r>
          </w:p>
        </w:tc>
        <w:tc>
          <w:tcPr/>
          <w:p>
            <w:pPr>
              <w:pStyle w:val="Compact"/>
              <w:jc w:val="left"/>
            </w:pPr>
            <w:r>
              <w:rPr>
                <w:iCs/>
                <w:i/>
              </w:rPr>
              <w:t xml:space="preserve">J Antimicrob Chemother</w:t>
            </w:r>
            <w:r>
              <w:t xml:space="preserve"> </w:t>
            </w:r>
            <w:r>
              <w:t xml:space="preserve">1996;37 Suppl A:73-82 (PMID 8737127)</w:t>
            </w:r>
          </w:p>
        </w:tc>
        <w:tc>
          <w:tcPr/>
          <w:p>
            <w:pPr>
              <w:pStyle w:val="Compact"/>
              <w:jc w:val="left"/>
            </w:pPr>
            <w:r>
              <w:t xml:space="preserve">Pivotal CAP efficacy pooled analysis</w:t>
            </w:r>
          </w:p>
        </w:tc>
        <w:tc>
          <w:tcPr/>
          <w:p>
            <w:pPr>
              <w:pStyle w:val="Compact"/>
              <w:jc w:val="left"/>
            </w:pPr>
            <w:r>
              <w:t xml:space="preserve">No formal action</w:t>
            </w:r>
          </w:p>
        </w:tc>
      </w:tr>
      <w:tr>
        <w:tc>
          <w:tcPr/>
          <w:p>
            <w:pPr>
              <w:pStyle w:val="Compact"/>
              <w:jc w:val="left"/>
            </w:pPr>
            <w:r>
              <w:t xml:space="preserve">Portier H et al. (French Study Group)</w:t>
            </w:r>
          </w:p>
        </w:tc>
        <w:tc>
          <w:tcPr/>
          <w:p>
            <w:pPr>
              <w:pStyle w:val="Compact"/>
              <w:jc w:val="left"/>
            </w:pPr>
            <w:r>
              <w:rPr>
                <w:iCs/>
                <w:i/>
              </w:rPr>
              <w:t xml:space="preserve">J Antimicrob Chemother</w:t>
            </w:r>
            <w:r>
              <w:t xml:space="preserve"> </w:t>
            </w:r>
            <w:r>
              <w:t xml:space="preserve">1996;37 Suppl A:83-91 (PMID 8737128)</w:t>
            </w:r>
          </w:p>
        </w:tc>
        <w:tc>
          <w:tcPr/>
          <w:p>
            <w:pPr>
              <w:pStyle w:val="Compact"/>
              <w:jc w:val="left"/>
            </w:pPr>
            <w:r>
              <w:t xml:space="preserve">Comparative efficacy vs amoxycillin/ofloxacin</w:t>
            </w:r>
          </w:p>
        </w:tc>
        <w:tc>
          <w:tcPr/>
          <w:p>
            <w:pPr>
              <w:pStyle w:val="Compact"/>
              <w:jc w:val="left"/>
            </w:pPr>
            <w:r>
              <w:t xml:space="preserve">No formal action</w:t>
            </w:r>
          </w:p>
        </w:tc>
      </w:tr>
      <w:tr>
        <w:tc>
          <w:tcPr/>
          <w:p>
            <w:pPr>
              <w:pStyle w:val="Compact"/>
              <w:jc w:val="left"/>
            </w:pPr>
            <w:r>
              <w:t xml:space="preserve">Aubier M et al. (European Study Group)</w:t>
            </w:r>
          </w:p>
        </w:tc>
        <w:tc>
          <w:tcPr/>
          <w:p>
            <w:pPr>
              <w:pStyle w:val="Compact"/>
              <w:jc w:val="left"/>
            </w:pPr>
            <w:r>
              <w:rPr>
                <w:iCs/>
                <w:i/>
              </w:rPr>
              <w:t xml:space="preserve">Clin Infect Dis</w:t>
            </w:r>
            <w:r>
              <w:t xml:space="preserve"> </w:t>
            </w:r>
            <w:r>
              <w:t xml:space="preserve">1998;26(6):1312-20 (PMID 9636854)</w:t>
            </w:r>
          </w:p>
        </w:tc>
        <w:tc>
          <w:tcPr/>
          <w:p>
            <w:pPr>
              <w:pStyle w:val="Compact"/>
              <w:jc w:val="left"/>
            </w:pPr>
            <w:r>
              <w:t xml:space="preserve">Pivotal comparative efficacy</w:t>
            </w:r>
          </w:p>
        </w:tc>
        <w:tc>
          <w:tcPr/>
          <w:p>
            <w:pPr>
              <w:pStyle w:val="Compact"/>
              <w:jc w:val="left"/>
            </w:pPr>
            <w:r>
              <w:t xml:space="preserve">No formal action</w:t>
            </w:r>
          </w:p>
        </w:tc>
      </w:tr>
      <w:tr>
        <w:tc>
          <w:tcPr/>
          <w:p>
            <w:pPr>
              <w:pStyle w:val="Compact"/>
              <w:jc w:val="left"/>
            </w:pPr>
            <w:r>
              <w:t xml:space="preserve">Rubinstein E “Safety profile”</w:t>
            </w:r>
          </w:p>
        </w:tc>
        <w:tc>
          <w:tcPr/>
          <w:p>
            <w:pPr>
              <w:pStyle w:val="Compact"/>
              <w:jc w:val="left"/>
            </w:pPr>
            <w:r>
              <w:rPr>
                <w:iCs/>
                <w:i/>
              </w:rPr>
              <w:t xml:space="preserve">J Antimicrob Chemother</w:t>
            </w:r>
            <w:r>
              <w:t xml:space="preserve"> </w:t>
            </w:r>
            <w:r>
              <w:t xml:space="preserve">1996;37 Suppl A:145-60 (PMID 8737134)</w:t>
            </w:r>
          </w:p>
        </w:tc>
        <w:tc>
          <w:tcPr/>
          <w:p>
            <w:pPr>
              <w:pStyle w:val="Compact"/>
              <w:jc w:val="left"/>
            </w:pPr>
            <w:r>
              <w:t xml:space="preserve">Pivotal safety pooled analysis</w:t>
            </w:r>
          </w:p>
        </w:tc>
        <w:tc>
          <w:tcPr/>
          <w:p>
            <w:pPr>
              <w:pStyle w:val="Compact"/>
              <w:jc w:val="left"/>
            </w:pPr>
            <w:r>
              <w:t xml:space="preserve">No formal action</w:t>
            </w:r>
          </w:p>
        </w:tc>
      </w:tr>
      <w:tr>
        <w:tc>
          <w:tcPr/>
          <w:p>
            <w:pPr>
              <w:pStyle w:val="Compact"/>
              <w:jc w:val="left"/>
            </w:pPr>
            <w:r>
              <w:t xml:space="preserve">Ortqvist A et al. (Scandinavian Sparfloxacin Study Group)</w:t>
            </w:r>
          </w:p>
        </w:tc>
        <w:tc>
          <w:tcPr/>
          <w:p>
            <w:pPr>
              <w:pStyle w:val="Compact"/>
              <w:jc w:val="left"/>
            </w:pPr>
            <w:r>
              <w:rPr>
                <w:iCs/>
                <w:i/>
              </w:rPr>
              <w:t xml:space="preserve">Chest</w:t>
            </w:r>
            <w:r>
              <w:t xml:space="preserve"> </w:t>
            </w:r>
            <w:r>
              <w:t xml:space="preserve">1996;110(6):1499-506 (PMID 8989068)</w:t>
            </w:r>
          </w:p>
        </w:tc>
        <w:tc>
          <w:tcPr/>
          <w:p>
            <w:pPr>
              <w:pStyle w:val="Compact"/>
              <w:jc w:val="left"/>
            </w:pPr>
            <w:r>
              <w:t xml:space="preserve">Pivotal comparative trial</w:t>
            </w:r>
          </w:p>
        </w:tc>
        <w:tc>
          <w:tcPr/>
          <w:p>
            <w:pPr>
              <w:pStyle w:val="Compact"/>
              <w:jc w:val="left"/>
            </w:pPr>
            <w:r>
              <w:t xml:space="preserve">No formal action</w:t>
            </w:r>
          </w:p>
        </w:tc>
      </w:tr>
    </w:tbl>
    <w:p>
      <w:pPr>
        <w:pStyle w:val="BodyText"/>
      </w:pPr>
      <w:r>
        <w:t xml:space="preserve">Pattern classification: C. Antimicrobial efficacy for community-acquired pneumonia demonstrated. Withdrawal was for QT prolongation and phototoxicity, cardiac electrophysiology and dermatology respectively, neither measured as primary endpoints in the pivotal papers. Notable: the Rubinstein safety analysis (part of the pivotal package) did note phototoxicity in 2-7.9% of patients, the signal was documented in the pivotal literature but never triggered any correction after withdrawal.</w:t>
      </w:r>
    </w:p>
    <w:bookmarkEnd w:id="26"/>
    <w:bookmarkStart w:id="27" w:name="Xe213c9a61ae35d790bc7bd6295de74533565252"/>
    <w:p>
      <w:pPr>
        <w:pStyle w:val="Heading3"/>
      </w:pPr>
      <w:r>
        <w:t xml:space="preserve">S1.2.4 Case files: the biologics and biologic-adjacent cluster</w:t>
      </w:r>
    </w:p>
    <w:p>
      <w:pPr>
        <w:pStyle w:val="FirstParagraph"/>
      </w:pPr>
      <w:r>
        <w:t xml:space="preserve">This cluster comprises drugs distinct from the preceding ones in a structural way: they are recombinant proteins, monoclonal antibodies, or antibody-drug conjugates rather than small molecules, and several were approved via the accelerated approval pathway, requiring post-approval confirmatory trials. This tests whether the paper’s finding extends to biologics and to drugs approved on interim data.</w:t>
      </w:r>
    </w:p>
    <w:p>
      <w:pPr>
        <w:pStyle w:val="BodyText"/>
      </w:pPr>
      <w:r>
        <w:rPr>
          <w:bCs/>
          <w:b/>
        </w:rPr>
        <w:t xml:space="preserve">Efalizumab (Raptiva).</w:t>
      </w:r>
      <w:r>
        <w:t xml:space="preserve"> </w:t>
      </w:r>
      <w:r>
        <w:t xml:space="preserve">BLA 125075, approved 27 October 2003; voluntarily withdrawn April 2009 for progressive multifocal leukoencephalopathy (PML). At withdrawal, over 46,000 patients had been exposed to efalizumab, versus only 218 patients exposed for more than one year at approval. Anti-CD11a humanized monoclonal antibody for moderate-to-severe plaque psoriasis. Pivotal papers identified:</w:t>
      </w:r>
    </w:p>
    <w:tbl>
      <w:tblPr>
        <w:tblStyle w:val="Table"/>
        <w:tblW w:type="auto" w:w="0"/>
        <w:tblLook w:firstRow="1" w:lastRow="0" w:firstColumn="0" w:lastColumn="0" w:noHBand="0" w:noVBand="0" w:val="0020"/>
        <w:jc w:val="start"/>
      </w:tblPr>
      <w:tblGrid>
        <w:gridCol w:w="1980"/>
        <w:gridCol w:w="1980"/>
        <w:gridCol w:w="1980"/>
        <w:gridCol w:w="1980"/>
      </w:tblGrid>
      <w:tr>
        <w:trPr>
          <w:tblHeader w:val="true"/>
        </w:trPr>
        <w:tc>
          <w:tcPr/>
          <w:p>
            <w:pPr>
              <w:pStyle w:val="Compact"/>
              <w:jc w:val="left"/>
            </w:pPr>
            <w:r>
              <w:t xml:space="preserve">Paper</w:t>
            </w:r>
          </w:p>
        </w:tc>
        <w:tc>
          <w:tcPr/>
          <w:p>
            <w:pPr>
              <w:pStyle w:val="Compact"/>
              <w:jc w:val="left"/>
            </w:pPr>
            <w:r>
              <w:t xml:space="preserve">Journal, Year</w:t>
            </w:r>
          </w:p>
        </w:tc>
        <w:tc>
          <w:tcPr/>
          <w:p>
            <w:pPr>
              <w:pStyle w:val="Compact"/>
              <w:jc w:val="left"/>
            </w:pPr>
            <w:r>
              <w:t xml:space="preserve">Role</w:t>
            </w:r>
          </w:p>
        </w:tc>
        <w:tc>
          <w:tcPr/>
          <w:p>
            <w:pPr>
              <w:pStyle w:val="Compact"/>
              <w:jc w:val="left"/>
            </w:pPr>
            <w:r>
              <w:t xml:space="preserve">Status</w:t>
            </w:r>
          </w:p>
        </w:tc>
      </w:tr>
      <w:tr>
        <w:tc>
          <w:tcPr/>
          <w:p>
            <w:pPr>
              <w:pStyle w:val="Compact"/>
              <w:jc w:val="left"/>
            </w:pPr>
            <w:r>
              <w:t xml:space="preserve">Gordon KB et al.</w:t>
            </w:r>
          </w:p>
        </w:tc>
        <w:tc>
          <w:tcPr/>
          <w:p>
            <w:pPr>
              <w:pStyle w:val="Compact"/>
              <w:jc w:val="left"/>
            </w:pPr>
            <w:r>
              <w:rPr>
                <w:iCs/>
                <w:i/>
              </w:rPr>
              <w:t xml:space="preserve">JAMA</w:t>
            </w:r>
            <w:r>
              <w:t xml:space="preserve"> </w:t>
            </w:r>
            <w:r>
              <w:t xml:space="preserve">2003;290(23):3073-80 (PMID 14679270)</w:t>
            </w:r>
          </w:p>
        </w:tc>
        <w:tc>
          <w:tcPr/>
          <w:p>
            <w:pPr>
              <w:pStyle w:val="Compact"/>
              <w:jc w:val="left"/>
            </w:pPr>
            <w:r>
              <w:t xml:space="preserve">Pivotal Phase III efficacy</w:t>
            </w:r>
          </w:p>
        </w:tc>
        <w:tc>
          <w:tcPr/>
          <w:p>
            <w:pPr>
              <w:pStyle w:val="Compact"/>
              <w:jc w:val="left"/>
            </w:pPr>
            <w:r>
              <w:t xml:space="preserve">No formal action</w:t>
            </w:r>
          </w:p>
        </w:tc>
      </w:tr>
      <w:tr>
        <w:tc>
          <w:tcPr/>
          <w:p>
            <w:pPr>
              <w:pStyle w:val="Compact"/>
              <w:jc w:val="left"/>
            </w:pPr>
            <w:r>
              <w:t xml:space="preserve">Lebwohl M et al.</w:t>
            </w:r>
          </w:p>
        </w:tc>
        <w:tc>
          <w:tcPr/>
          <w:p>
            <w:pPr>
              <w:pStyle w:val="Compact"/>
              <w:jc w:val="left"/>
            </w:pPr>
            <w:r>
              <w:rPr>
                <w:iCs/>
                <w:i/>
              </w:rPr>
              <w:t xml:space="preserve">NEJM</w:t>
            </w:r>
            <w:r>
              <w:t xml:space="preserve"> </w:t>
            </w:r>
            <w:r>
              <w:t xml:space="preserve">2003;349:2004-13</w:t>
            </w:r>
          </w:p>
        </w:tc>
        <w:tc>
          <w:tcPr/>
          <w:p>
            <w:pPr>
              <w:pStyle w:val="Compact"/>
              <w:jc w:val="left"/>
            </w:pPr>
            <w:r>
              <w:t xml:space="preserve">Pivotal Phase III efficacy</w:t>
            </w:r>
          </w:p>
        </w:tc>
        <w:tc>
          <w:tcPr/>
          <w:p>
            <w:pPr>
              <w:pStyle w:val="Compact"/>
              <w:jc w:val="left"/>
            </w:pPr>
            <w:r>
              <w:t xml:space="preserve">No formal action</w:t>
            </w:r>
          </w:p>
        </w:tc>
      </w:tr>
      <w:tr>
        <w:tc>
          <w:tcPr/>
          <w:p>
            <w:pPr>
              <w:pStyle w:val="Compact"/>
              <w:jc w:val="left"/>
            </w:pPr>
            <w:r>
              <w:t xml:space="preserve">Gottlieb AB et al.</w:t>
            </w:r>
          </w:p>
        </w:tc>
        <w:tc>
          <w:tcPr/>
          <w:p>
            <w:pPr>
              <w:pStyle w:val="Compact"/>
              <w:jc w:val="left"/>
            </w:pPr>
            <w:r>
              <w:rPr>
                <w:iCs/>
                <w:i/>
              </w:rPr>
              <w:t xml:space="preserve">J Am Acad Dermatol</w:t>
            </w:r>
            <w:r>
              <w:t xml:space="preserve"> </w:t>
            </w:r>
            <w:r>
              <w:t xml:space="preserve">2006;54(4 Suppl 1):S154-163</w:t>
            </w:r>
          </w:p>
        </w:tc>
        <w:tc>
          <w:tcPr/>
          <w:p>
            <w:pPr>
              <w:pStyle w:val="Compact"/>
              <w:jc w:val="left"/>
            </w:pPr>
            <w:r>
              <w:t xml:space="preserve">Third Phase III</w:t>
            </w:r>
          </w:p>
        </w:tc>
        <w:tc>
          <w:tcPr/>
          <w:p>
            <w:pPr>
              <w:pStyle w:val="Compact"/>
              <w:jc w:val="left"/>
            </w:pPr>
            <w:r>
              <w:t xml:space="preserve">No formal action</w:t>
            </w:r>
          </w:p>
        </w:tc>
      </w:tr>
      <w:tr>
        <w:tc>
          <w:tcPr/>
          <w:p>
            <w:pPr>
              <w:pStyle w:val="Compact"/>
              <w:jc w:val="left"/>
            </w:pPr>
            <w:r>
              <w:t xml:space="preserve">Dubertret L et al. (CLEAR)</w:t>
            </w:r>
          </w:p>
        </w:tc>
        <w:tc>
          <w:tcPr/>
          <w:p>
            <w:pPr>
              <w:pStyle w:val="Compact"/>
              <w:jc w:val="left"/>
            </w:pPr>
            <w:r>
              <w:rPr>
                <w:iCs/>
                <w:i/>
              </w:rPr>
              <w:t xml:space="preserve">Br J Dermatol</w:t>
            </w:r>
            <w:r>
              <w:t xml:space="preserve"> </w:t>
            </w:r>
            <w:r>
              <w:t xml:space="preserve">2006;155(1):170-81 (PMID 16792770)</w:t>
            </w:r>
          </w:p>
        </w:tc>
        <w:tc>
          <w:tcPr/>
          <w:p>
            <w:pPr>
              <w:pStyle w:val="Compact"/>
              <w:jc w:val="left"/>
            </w:pPr>
            <w:r>
              <w:t xml:space="preserve">Multinational Phase III</w:t>
            </w:r>
          </w:p>
        </w:tc>
        <w:tc>
          <w:tcPr/>
          <w:p>
            <w:pPr>
              <w:pStyle w:val="Compact"/>
              <w:jc w:val="left"/>
            </w:pPr>
            <w:r>
              <w:t xml:space="preserve">No formal action</w:t>
            </w:r>
          </w:p>
        </w:tc>
      </w:tr>
    </w:tbl>
    <w:p>
      <w:pPr>
        <w:pStyle w:val="BodyText"/>
      </w:pPr>
      <w:r>
        <w:t xml:space="preserve">Pattern classification: C, with a distinctive “long-latency risk” subtype. Approval was based on 12-week efficacy data with limited long-term exposure. The PML risk emerged only after tens of thousands of patients had years of exposure. Pivotal papers correctly demonstrated the 12-week efficacy claim. Notable: the 2010</w:t>
      </w:r>
      <w:r>
        <w:t xml:space="preserve"> </w:t>
      </w:r>
      <w:r>
        <w:rPr>
          <w:iCs/>
          <w:i/>
        </w:rPr>
        <w:t xml:space="preserve">PMC 2864916</w:t>
      </w:r>
      <w:r>
        <w:t xml:space="preserve"> </w:t>
      </w:r>
      <w:r>
        <w:t xml:space="preserve">retrospective explicitly states “the identification of PML as a serious, but statistically rare risk of efalizumab demonstrates the strengths and weaknesses of the current drug approval and pharmacovigilance processes”, yet no pivotal paper carries any correction linking to the withdrawal.</w:t>
      </w:r>
    </w:p>
    <w:p>
      <w:pPr>
        <w:pStyle w:val="BodyText"/>
      </w:pPr>
      <w:r>
        <w:rPr>
          <w:bCs/>
          <w:b/>
        </w:rPr>
        <w:t xml:space="preserve">Natalizumab (Tysabri).</w:t>
      </w:r>
      <w:r>
        <w:t xml:space="preserve"> </w:t>
      </w:r>
      <w:r>
        <w:t xml:space="preserve">BLA 125104, accelerated approval 23 November 2004; voluntarily suspended 28 February 2005 (three months after approval, one of the fastest withdrawals in modern pharmacovigilance) for progressive multifocal leukoencephalopathy; reintroduced 5 June 2006 under REMS (TOUCH program). Anti-α4-integrin humanized monoclonal antibody. Pivotal papers identified:</w:t>
      </w:r>
    </w:p>
    <w:tbl>
      <w:tblPr>
        <w:tblStyle w:val="Table"/>
        <w:tblW w:type="auto" w:w="0"/>
        <w:tblLook w:firstRow="1" w:lastRow="0" w:firstColumn="0" w:lastColumn="0" w:noHBand="0" w:noVBand="0" w:val="0020"/>
        <w:jc w:val="start"/>
      </w:tblPr>
      <w:tblGrid>
        <w:gridCol w:w="1980"/>
        <w:gridCol w:w="1980"/>
        <w:gridCol w:w="1980"/>
        <w:gridCol w:w="1980"/>
      </w:tblGrid>
      <w:tr>
        <w:trPr>
          <w:tblHeader w:val="true"/>
        </w:trPr>
        <w:tc>
          <w:tcPr/>
          <w:p>
            <w:pPr>
              <w:pStyle w:val="Compact"/>
              <w:jc w:val="left"/>
            </w:pPr>
            <w:r>
              <w:t xml:space="preserve">Paper</w:t>
            </w:r>
          </w:p>
        </w:tc>
        <w:tc>
          <w:tcPr/>
          <w:p>
            <w:pPr>
              <w:pStyle w:val="Compact"/>
              <w:jc w:val="left"/>
            </w:pPr>
            <w:r>
              <w:t xml:space="preserve">Journal, Year</w:t>
            </w:r>
          </w:p>
        </w:tc>
        <w:tc>
          <w:tcPr/>
          <w:p>
            <w:pPr>
              <w:pStyle w:val="Compact"/>
              <w:jc w:val="left"/>
            </w:pPr>
            <w:r>
              <w:t xml:space="preserve">Role</w:t>
            </w:r>
          </w:p>
        </w:tc>
        <w:tc>
          <w:tcPr/>
          <w:p>
            <w:pPr>
              <w:pStyle w:val="Compact"/>
              <w:jc w:val="left"/>
            </w:pPr>
            <w:r>
              <w:t xml:space="preserve">Status</w:t>
            </w:r>
          </w:p>
        </w:tc>
      </w:tr>
      <w:tr>
        <w:tc>
          <w:tcPr/>
          <w:p>
            <w:pPr>
              <w:pStyle w:val="Compact"/>
              <w:jc w:val="left"/>
            </w:pPr>
            <w:r>
              <w:t xml:space="preserve">Polman CH et al. (AFFIRM)</w:t>
            </w:r>
          </w:p>
        </w:tc>
        <w:tc>
          <w:tcPr/>
          <w:p>
            <w:pPr>
              <w:pStyle w:val="Compact"/>
              <w:jc w:val="left"/>
            </w:pPr>
            <w:r>
              <w:rPr>
                <w:iCs/>
                <w:i/>
              </w:rPr>
              <w:t xml:space="preserve">NEJM</w:t>
            </w:r>
            <w:r>
              <w:t xml:space="preserve"> </w:t>
            </w:r>
            <w:r>
              <w:t xml:space="preserve">2006;354:899-910</w:t>
            </w:r>
          </w:p>
        </w:tc>
        <w:tc>
          <w:tcPr/>
          <w:p>
            <w:pPr>
              <w:pStyle w:val="Compact"/>
              <w:jc w:val="left"/>
            </w:pPr>
            <w:r>
              <w:t xml:space="preserve">Pivotal Phase III monotherapy</w:t>
            </w:r>
          </w:p>
        </w:tc>
        <w:tc>
          <w:tcPr/>
          <w:p>
            <w:pPr>
              <w:pStyle w:val="Compact"/>
              <w:jc w:val="left"/>
            </w:pPr>
            <w:r>
              <w:t xml:space="preserve">No formal action</w:t>
            </w:r>
          </w:p>
        </w:tc>
      </w:tr>
      <w:tr>
        <w:tc>
          <w:tcPr/>
          <w:p>
            <w:pPr>
              <w:pStyle w:val="Compact"/>
              <w:jc w:val="left"/>
            </w:pPr>
            <w:r>
              <w:t xml:space="preserve">Rudick RA et al. (SENTINEL)</w:t>
            </w:r>
          </w:p>
        </w:tc>
        <w:tc>
          <w:tcPr/>
          <w:p>
            <w:pPr>
              <w:pStyle w:val="Compact"/>
              <w:jc w:val="left"/>
            </w:pPr>
            <w:r>
              <w:rPr>
                <w:iCs/>
                <w:i/>
              </w:rPr>
              <w:t xml:space="preserve">NEJM</w:t>
            </w:r>
            <w:r>
              <w:t xml:space="preserve"> </w:t>
            </w:r>
            <w:r>
              <w:t xml:space="preserve">2006;354:911-923</w:t>
            </w:r>
          </w:p>
        </w:tc>
        <w:tc>
          <w:tcPr/>
          <w:p>
            <w:pPr>
              <w:pStyle w:val="Compact"/>
              <w:jc w:val="left"/>
            </w:pPr>
            <w:r>
              <w:t xml:space="preserve">Pivotal Phase III combination with IFN-β</w:t>
            </w:r>
          </w:p>
        </w:tc>
        <w:tc>
          <w:tcPr/>
          <w:p>
            <w:pPr>
              <w:pStyle w:val="Compact"/>
              <w:jc w:val="left"/>
            </w:pPr>
            <w:r>
              <w:t xml:space="preserve">No formal action</w:t>
            </w:r>
          </w:p>
        </w:tc>
      </w:tr>
    </w:tbl>
    <w:p>
      <w:pPr>
        <w:pStyle w:val="BodyText"/>
      </w:pPr>
      <w:r>
        <w:t xml:space="preserve">Natalizumab is a distinctive case in the cohort for two reasons. First, both pivotal Phase III trial papers were published in NEJM in March 2006, after the drug was withdrawn (Feb 2005) and while it was still suspended (returned to market June 2006). The publication of the pivotal papers explicitly acknowledged the PML cases in the trials. This is one of the very few instances in the cohort where the pivotal papers, at time of publication,</w:t>
      </w:r>
      <w:r>
        <w:t xml:space="preserve"> </w:t>
      </w:r>
      <w:r>
        <w:rPr>
          <w:iCs/>
          <w:i/>
        </w:rPr>
        <w:t xml:space="preserve">already contained</w:t>
      </w:r>
      <w:r>
        <w:t xml:space="preserve"> </w:t>
      </w:r>
      <w:r>
        <w:t xml:space="preserve">the withdrawal signal. And yet: no formal correction, retraction, or expression of concern was ever attached to either paper. Second, the drug was reintroduced under REMS and both papers now stand as the evidence base for a currently-approved (restricted) product. This is an unusual case where “no correction” is arguably correct, the papers were accurate and remain the evidence base, but it illustrates the underlying structural point: even papers whose subject was formally suspended and reintroduced show no paper-level annotation of that regulatory history.</w:t>
      </w:r>
    </w:p>
    <w:p>
      <w:pPr>
        <w:pStyle w:val="BodyText"/>
      </w:pPr>
      <w:r>
        <w:t xml:space="preserve">Pattern classification: defined exceptional sub-case, outside the A/B/C assignment. The pivotal papers reported the withdrawal-triggering harm (progressive multifocal leukoencephalopathy) directly, yet no machine-discoverable withdrawal-status annotation is attached to either paper. The papers were not misleading (they reported PML cases), but the aggregate regulatory event they belong to (withdrawal + REMS reintroduction) is nowhere marked in the paper record.</w:t>
      </w:r>
    </w:p>
    <w:p>
      <w:pPr>
        <w:pStyle w:val="BodyText"/>
      </w:pPr>
      <w:r>
        <w:rPr>
          <w:bCs/>
          <w:b/>
        </w:rPr>
        <w:t xml:space="preserve">Gemtuzumab ozogamicin (Mylotarg).</w:t>
      </w:r>
      <w:r>
        <w:t xml:space="preserve"> </w:t>
      </w:r>
      <w:r>
        <w:t xml:space="preserve">BLA 21174, accelerated approval 17 May 2000; voluntarily withdrawn 21 June 2010 after confirmatory Phase III (SWOG S0106) failed to demonstrate benefit and showed excess induction mortality (6% vs 1%); reintroduced 1 September 2017 at reduced dose for a different indication. Anti-CD33 antibody-drug conjugate for acute myeloid leukemia. Pivotal papers identified:</w:t>
      </w:r>
    </w:p>
    <w:tbl>
      <w:tblPr>
        <w:tblStyle w:val="Table"/>
        <w:tblW w:type="auto" w:w="0"/>
        <w:tblLook w:firstRow="1" w:lastRow="0" w:firstColumn="0" w:lastColumn="0" w:noHBand="0" w:noVBand="0" w:val="0020"/>
        <w:jc w:val="start"/>
      </w:tblPr>
      <w:tblGrid>
        <w:gridCol w:w="1980"/>
        <w:gridCol w:w="1980"/>
        <w:gridCol w:w="1980"/>
        <w:gridCol w:w="1980"/>
      </w:tblGrid>
      <w:tr>
        <w:trPr>
          <w:tblHeader w:val="true"/>
        </w:trPr>
        <w:tc>
          <w:tcPr/>
          <w:p>
            <w:pPr>
              <w:pStyle w:val="Compact"/>
              <w:jc w:val="left"/>
            </w:pPr>
            <w:r>
              <w:t xml:space="preserve">Paper</w:t>
            </w:r>
          </w:p>
        </w:tc>
        <w:tc>
          <w:tcPr/>
          <w:p>
            <w:pPr>
              <w:pStyle w:val="Compact"/>
              <w:jc w:val="left"/>
            </w:pPr>
            <w:r>
              <w:t xml:space="preserve">Journal, Year</w:t>
            </w:r>
          </w:p>
        </w:tc>
        <w:tc>
          <w:tcPr/>
          <w:p>
            <w:pPr>
              <w:pStyle w:val="Compact"/>
              <w:jc w:val="left"/>
            </w:pPr>
            <w:r>
              <w:t xml:space="preserve">Role</w:t>
            </w:r>
          </w:p>
        </w:tc>
        <w:tc>
          <w:tcPr/>
          <w:p>
            <w:pPr>
              <w:pStyle w:val="Compact"/>
              <w:jc w:val="left"/>
            </w:pPr>
            <w:r>
              <w:t xml:space="preserve">Status</w:t>
            </w:r>
          </w:p>
        </w:tc>
      </w:tr>
      <w:tr>
        <w:tc>
          <w:tcPr/>
          <w:p>
            <w:pPr>
              <w:pStyle w:val="Compact"/>
              <w:jc w:val="left"/>
            </w:pPr>
            <w:r>
              <w:t xml:space="preserve">Sievers EL et al.</w:t>
            </w:r>
          </w:p>
        </w:tc>
        <w:tc>
          <w:tcPr/>
          <w:p>
            <w:pPr>
              <w:pStyle w:val="Compact"/>
              <w:jc w:val="left"/>
            </w:pPr>
            <w:r>
              <w:t xml:space="preserve">Multiple 1999-2001 Phase II trials</w:t>
            </w:r>
          </w:p>
        </w:tc>
        <w:tc>
          <w:tcPr/>
          <w:p>
            <w:pPr>
              <w:pStyle w:val="Compact"/>
              <w:jc w:val="left"/>
            </w:pPr>
            <w:r>
              <w:t xml:space="preserve">Pivotal Phase II for accelerated approval</w:t>
            </w:r>
          </w:p>
        </w:tc>
        <w:tc>
          <w:tcPr/>
          <w:p>
            <w:pPr>
              <w:pStyle w:val="Compact"/>
              <w:jc w:val="left"/>
            </w:pPr>
            <w:r>
              <w:t xml:space="preserve">No formal action</w:t>
            </w:r>
          </w:p>
        </w:tc>
      </w:tr>
      <w:tr>
        <w:tc>
          <w:tcPr/>
          <w:p>
            <w:pPr>
              <w:pStyle w:val="Compact"/>
              <w:jc w:val="left"/>
            </w:pPr>
            <w:r>
              <w:t xml:space="preserve">Bross PF et al. “Approval summary”</w:t>
            </w:r>
          </w:p>
        </w:tc>
        <w:tc>
          <w:tcPr/>
          <w:p>
            <w:pPr>
              <w:pStyle w:val="Compact"/>
              <w:jc w:val="left"/>
            </w:pPr>
            <w:r>
              <w:rPr>
                <w:iCs/>
                <w:i/>
              </w:rPr>
              <w:t xml:space="preserve">Clin Cancer Res</w:t>
            </w:r>
            <w:r>
              <w:t xml:space="preserve"> </w:t>
            </w:r>
            <w:r>
              <w:t xml:space="preserve">2001 (PMID 11410481)</w:t>
            </w:r>
          </w:p>
        </w:tc>
        <w:tc>
          <w:tcPr/>
          <w:p>
            <w:pPr>
              <w:pStyle w:val="Compact"/>
              <w:jc w:val="left"/>
            </w:pPr>
            <w:r>
              <w:t xml:space="preserve">FDA regulatory review</w:t>
            </w:r>
          </w:p>
        </w:tc>
        <w:tc>
          <w:tcPr/>
          <w:p>
            <w:pPr>
              <w:pStyle w:val="Compact"/>
              <w:jc w:val="left"/>
            </w:pPr>
            <w:r>
              <w:t xml:space="preserve">Not applicable (regulatory summary)</w:t>
            </w:r>
          </w:p>
        </w:tc>
      </w:tr>
      <w:tr>
        <w:tc>
          <w:tcPr/>
          <w:p>
            <w:pPr>
              <w:pStyle w:val="Compact"/>
              <w:jc w:val="left"/>
            </w:pPr>
            <w:r>
              <w:t xml:space="preserve">Larson RA et al.</w:t>
            </w:r>
          </w:p>
        </w:tc>
        <w:tc>
          <w:tcPr/>
          <w:p>
            <w:pPr>
              <w:pStyle w:val="Compact"/>
              <w:jc w:val="left"/>
            </w:pPr>
            <w:r>
              <w:rPr>
                <w:iCs/>
                <w:i/>
              </w:rPr>
              <w:t xml:space="preserve">Cancer</w:t>
            </w:r>
            <w:r>
              <w:t xml:space="preserve"> </w:t>
            </w:r>
            <w:r>
              <w:t xml:space="preserve">2005;104:1442-1452</w:t>
            </w:r>
          </w:p>
        </w:tc>
        <w:tc>
          <w:tcPr/>
          <w:p>
            <w:pPr>
              <w:pStyle w:val="Compact"/>
              <w:jc w:val="left"/>
            </w:pPr>
            <w:r>
              <w:t xml:space="preserve">Final efficacy and safety Phase II report</w:t>
            </w:r>
          </w:p>
        </w:tc>
        <w:tc>
          <w:tcPr/>
          <w:p>
            <w:pPr>
              <w:pStyle w:val="Compact"/>
              <w:jc w:val="left"/>
            </w:pPr>
            <w:r>
              <w:t xml:space="preserve">No formal action</w:t>
            </w:r>
          </w:p>
        </w:tc>
      </w:tr>
      <w:tr>
        <w:tc>
          <w:tcPr/>
          <w:p>
            <w:pPr>
              <w:pStyle w:val="Compact"/>
              <w:jc w:val="left"/>
            </w:pPr>
            <w:r>
              <w:t xml:space="preserve">Petersdorf SH et al. (SWOG S0106)</w:t>
            </w:r>
          </w:p>
        </w:tc>
        <w:tc>
          <w:tcPr/>
          <w:p>
            <w:pPr>
              <w:pStyle w:val="Compact"/>
              <w:jc w:val="left"/>
            </w:pPr>
            <w:r>
              <w:t xml:space="preserve">2013 (published post-withdrawal)</w:t>
            </w:r>
          </w:p>
        </w:tc>
        <w:tc>
          <w:tcPr/>
          <w:p>
            <w:pPr>
              <w:pStyle w:val="Compact"/>
              <w:jc w:val="left"/>
            </w:pPr>
            <w:r>
              <w:t xml:space="preserve">Confirmatory Phase III showing failure</w:t>
            </w:r>
          </w:p>
        </w:tc>
        <w:tc>
          <w:tcPr/>
          <w:p>
            <w:pPr>
              <w:pStyle w:val="Compact"/>
              <w:jc w:val="left"/>
            </w:pPr>
            <w:r>
              <w:t xml:space="preserve">Not applicable (withdrawal-triggering paper)</w:t>
            </w:r>
          </w:p>
        </w:tc>
      </w:tr>
    </w:tbl>
    <w:p>
      <w:pPr>
        <w:pStyle w:val="BodyText"/>
      </w:pPr>
      <w:r>
        <w:t xml:space="preserve">Pattern classification: Accelerated-approval failure sub-type of B. This is arguably closer to Pattern B than any case since cerivastatin, because the pivotal Phase II response-rate endpoint (30% CR/CRp) served as a surrogate for the clinical benefit that the confirmatory trial ultimately failed to demonstrate. The pivotal papers reported response rates accurately, but the response-rate surrogate did not translate to survival benefit at scale. No pivotal paper carries any formal correction. Notable: this pattern is likely to be common in the accelerated-approval oncology sub-cohort (per Rodriguez-Monguio et al. 2023, approximately one in five accelerated-approval oncology indications is subsequently withdrawn).</w:t>
      </w:r>
    </w:p>
    <w:p>
      <w:pPr>
        <w:pStyle w:val="BodyText"/>
      </w:pPr>
      <w:r>
        <w:rPr>
          <w:bCs/>
          <w:b/>
        </w:rPr>
        <w:t xml:space="preserve">Drotrecogin alfa activated (Xigris).</w:t>
      </w:r>
      <w:r>
        <w:t xml:space="preserve"> </w:t>
      </w:r>
      <w:r>
        <w:t xml:space="preserve">BLA STN 125029, approved 21 November 2001; voluntarily withdrawn 25 October 2011 after PROWESS-SHOCK failed to demonstrate mortality benefit. Recombinant human activated protein C for severe sepsis. Pivotal papers identified:</w:t>
      </w:r>
    </w:p>
    <w:tbl>
      <w:tblPr>
        <w:tblStyle w:val="Table"/>
        <w:tblW w:type="auto" w:w="0"/>
        <w:tblLook w:firstRow="1" w:lastRow="0" w:firstColumn="0" w:lastColumn="0" w:noHBand="0" w:noVBand="0" w:val="0020"/>
        <w:jc w:val="start"/>
      </w:tblPr>
      <w:tblGrid>
        <w:gridCol w:w="1980"/>
        <w:gridCol w:w="1980"/>
        <w:gridCol w:w="1980"/>
        <w:gridCol w:w="1980"/>
      </w:tblGrid>
      <w:tr>
        <w:trPr>
          <w:tblHeader w:val="true"/>
        </w:trPr>
        <w:tc>
          <w:tcPr/>
          <w:p>
            <w:pPr>
              <w:pStyle w:val="Compact"/>
              <w:jc w:val="left"/>
            </w:pPr>
            <w:r>
              <w:t xml:space="preserve">Paper</w:t>
            </w:r>
          </w:p>
        </w:tc>
        <w:tc>
          <w:tcPr/>
          <w:p>
            <w:pPr>
              <w:pStyle w:val="Compact"/>
              <w:jc w:val="left"/>
            </w:pPr>
            <w:r>
              <w:t xml:space="preserve">Journal, Year</w:t>
            </w:r>
          </w:p>
        </w:tc>
        <w:tc>
          <w:tcPr/>
          <w:p>
            <w:pPr>
              <w:pStyle w:val="Compact"/>
              <w:jc w:val="left"/>
            </w:pPr>
            <w:r>
              <w:t xml:space="preserve">Role</w:t>
            </w:r>
          </w:p>
        </w:tc>
        <w:tc>
          <w:tcPr/>
          <w:p>
            <w:pPr>
              <w:pStyle w:val="Compact"/>
              <w:jc w:val="left"/>
            </w:pPr>
            <w:r>
              <w:t xml:space="preserve">Status</w:t>
            </w:r>
          </w:p>
        </w:tc>
      </w:tr>
      <w:tr>
        <w:tc>
          <w:tcPr/>
          <w:p>
            <w:pPr>
              <w:pStyle w:val="Compact"/>
              <w:jc w:val="left"/>
            </w:pPr>
            <w:r>
              <w:t xml:space="preserve">Bernard GR et al. (PROWESS)</w:t>
            </w:r>
          </w:p>
        </w:tc>
        <w:tc>
          <w:tcPr/>
          <w:p>
            <w:pPr>
              <w:pStyle w:val="Compact"/>
              <w:jc w:val="left"/>
            </w:pPr>
            <w:r>
              <w:rPr>
                <w:iCs/>
                <w:i/>
              </w:rPr>
              <w:t xml:space="preserve">NEJM</w:t>
            </w:r>
            <w:r>
              <w:t xml:space="preserve"> </w:t>
            </w:r>
            <w:r>
              <w:t xml:space="preserve">2001;344:699-709</w:t>
            </w:r>
          </w:p>
        </w:tc>
        <w:tc>
          <w:tcPr/>
          <w:p>
            <w:pPr>
              <w:pStyle w:val="Compact"/>
              <w:jc w:val="left"/>
            </w:pPr>
            <w:r>
              <w:t xml:space="preserve">Pivotal Phase III, 6.1% absolute mortality reduction</w:t>
            </w:r>
          </w:p>
        </w:tc>
        <w:tc>
          <w:tcPr/>
          <w:p>
            <w:pPr>
              <w:pStyle w:val="Compact"/>
              <w:jc w:val="left"/>
            </w:pPr>
            <w:r>
              <w:t xml:space="preserve">No formal action</w:t>
            </w:r>
          </w:p>
        </w:tc>
      </w:tr>
      <w:tr>
        <w:tc>
          <w:tcPr/>
          <w:p>
            <w:pPr>
              <w:pStyle w:val="Compact"/>
              <w:jc w:val="left"/>
            </w:pPr>
            <w:r>
              <w:t xml:space="preserve">Ranieri VM et al. (PROWESS-SHOCK)</w:t>
            </w:r>
          </w:p>
        </w:tc>
        <w:tc>
          <w:tcPr/>
          <w:p>
            <w:pPr>
              <w:pStyle w:val="Compact"/>
              <w:jc w:val="left"/>
            </w:pPr>
            <w:r>
              <w:rPr>
                <w:iCs/>
                <w:i/>
              </w:rPr>
              <w:t xml:space="preserve">NEJM</w:t>
            </w:r>
            <w:r>
              <w:t xml:space="preserve"> </w:t>
            </w:r>
            <w:r>
              <w:t xml:space="preserve">2012;366:2055-2064</w:t>
            </w:r>
          </w:p>
        </w:tc>
        <w:tc>
          <w:tcPr/>
          <w:p>
            <w:pPr>
              <w:pStyle w:val="Compact"/>
              <w:jc w:val="left"/>
            </w:pPr>
            <w:r>
              <w:t xml:space="preserve">Confirmatory trial showing no benefit</w:t>
            </w:r>
          </w:p>
        </w:tc>
        <w:tc>
          <w:tcPr/>
          <w:p>
            <w:pPr>
              <w:pStyle w:val="Compact"/>
              <w:jc w:val="left"/>
            </w:pPr>
            <w:r>
              <w:t xml:space="preserve">Not applicable (withdrawal-triggering paper)</w:t>
            </w:r>
          </w:p>
        </w:tc>
      </w:tr>
    </w:tbl>
    <w:p>
      <w:pPr>
        <w:pStyle w:val="BodyText"/>
      </w:pPr>
      <w:r>
        <w:t xml:space="preserve">Xigris is among the most methodologically interesting cases in the cohort. The pivotal PROWESS trial (Bernard et al. NEJM 2001) reported a 6.1% absolute mortality reduction, a large, clinically compelling effect that drove approval. Ten years later, PROWESS-SHOCK, using an updated protocol and a similar patient population, showed no mortality benefit at all. The controversy around PROWESS is well-documented: protocol and cell bank were changed during recruitment; the trial was stopped early for efficacy; subgroup analyses drove the ultimate label; and the mortality signal appears to have been a chance finding or a consequence of interim-analysis stopping bias.</w:t>
      </w:r>
    </w:p>
    <w:p>
      <w:pPr>
        <w:pStyle w:val="BodyText"/>
      </w:pPr>
      <w:r>
        <w:t xml:space="preserve">Yet PROWESS (Bernard 2001) carries no retraction, no expression of concern, no formal correction of any kind despite being the pivotal paper for a drug now understood, in the medical community’s collective judgment, to have not worked. It sits in the literature with the same status as any successful pivotal trial. This is the closest case in the cohort to a genuine Pattern A/B failure: the paper’s core efficacy claim did not survive re-examination, and the drug was withdrawn substantially because of that failure. Pattern classification: B (surrogate/interim-analysis failure), with a distinctive “cannot-be-replicated pivotal finding” subtype.</w:t>
      </w:r>
    </w:p>
    <w:p>
      <w:pPr>
        <w:pStyle w:val="BodyText"/>
      </w:pPr>
      <w:r>
        <w:rPr>
          <w:bCs/>
          <w:b/>
        </w:rPr>
        <w:t xml:space="preserve">Aprotinin (Trasylol).</w:t>
      </w:r>
      <w:r>
        <w:t xml:space="preserve"> </w:t>
      </w:r>
      <w:r>
        <w:t xml:space="preserve">NDA 20-304, approved 1993; market suspended 5 November 2007 and effectively withdrawn following the BART trial in 2008. Serine protease inhibitor for reducing perioperative bleeding in cardiac surgery. Approximately 200,000 patients treated in 2006 alone (110,000 in the US). Pivotal papers identified:</w:t>
      </w:r>
    </w:p>
    <w:tbl>
      <w:tblPr>
        <w:tblStyle w:val="Table"/>
        <w:tblW w:type="auto" w:w="0"/>
        <w:tblLook w:firstRow="1" w:lastRow="0" w:firstColumn="0" w:lastColumn="0" w:noHBand="0" w:noVBand="0" w:val="0020"/>
        <w:jc w:val="start"/>
      </w:tblPr>
      <w:tblGrid>
        <w:gridCol w:w="1980"/>
        <w:gridCol w:w="1980"/>
        <w:gridCol w:w="1980"/>
        <w:gridCol w:w="1980"/>
      </w:tblGrid>
      <w:tr>
        <w:trPr>
          <w:tblHeader w:val="true"/>
        </w:trPr>
        <w:tc>
          <w:tcPr/>
          <w:p>
            <w:pPr>
              <w:pStyle w:val="Compact"/>
              <w:jc w:val="left"/>
            </w:pPr>
            <w:r>
              <w:t xml:space="preserve">Paper</w:t>
            </w:r>
          </w:p>
        </w:tc>
        <w:tc>
          <w:tcPr/>
          <w:p>
            <w:pPr>
              <w:pStyle w:val="Compact"/>
              <w:jc w:val="left"/>
            </w:pPr>
            <w:r>
              <w:t xml:space="preserve">Journal, Year</w:t>
            </w:r>
          </w:p>
        </w:tc>
        <w:tc>
          <w:tcPr/>
          <w:p>
            <w:pPr>
              <w:pStyle w:val="Compact"/>
              <w:jc w:val="left"/>
            </w:pPr>
            <w:r>
              <w:t xml:space="preserve">Role</w:t>
            </w:r>
          </w:p>
        </w:tc>
        <w:tc>
          <w:tcPr/>
          <w:p>
            <w:pPr>
              <w:pStyle w:val="Compact"/>
              <w:jc w:val="left"/>
            </w:pPr>
            <w:r>
              <w:t xml:space="preserve">Status</w:t>
            </w:r>
          </w:p>
        </w:tc>
      </w:tr>
      <w:tr>
        <w:tc>
          <w:tcPr/>
          <w:p>
            <w:pPr>
              <w:pStyle w:val="Compact"/>
              <w:jc w:val="left"/>
            </w:pPr>
            <w:r>
              <w:t xml:space="preserve">Bidstrup BP et al. “Reduction in blood loss and blood use after cardiopulmonary bypass with high dose aprotinin”</w:t>
            </w:r>
          </w:p>
        </w:tc>
        <w:tc>
          <w:tcPr/>
          <w:p>
            <w:pPr>
              <w:pStyle w:val="Compact"/>
              <w:jc w:val="left"/>
            </w:pPr>
            <w:r>
              <w:rPr>
                <w:iCs/>
                <w:i/>
              </w:rPr>
              <w:t xml:space="preserve">J Thorac Cardiovasc Surg</w:t>
            </w:r>
            <w:r>
              <w:t xml:space="preserve"> </w:t>
            </w:r>
            <w:r>
              <w:t xml:space="preserve">1989;97:364-372</w:t>
            </w:r>
          </w:p>
        </w:tc>
        <w:tc>
          <w:tcPr/>
          <w:p>
            <w:pPr>
              <w:pStyle w:val="Compact"/>
              <w:jc w:val="left"/>
            </w:pPr>
            <w:r>
              <w:t xml:space="preserve">Pre-approval pivotal</w:t>
            </w:r>
          </w:p>
        </w:tc>
        <w:tc>
          <w:tcPr/>
          <w:p>
            <w:pPr>
              <w:pStyle w:val="Compact"/>
              <w:jc w:val="left"/>
            </w:pPr>
            <w:r>
              <w:t xml:space="preserve">No formal action</w:t>
            </w:r>
          </w:p>
        </w:tc>
      </w:tr>
      <w:tr>
        <w:tc>
          <w:tcPr/>
          <w:p>
            <w:pPr>
              <w:pStyle w:val="Compact"/>
              <w:jc w:val="left"/>
            </w:pPr>
            <w:r>
              <w:t xml:space="preserve">Multiple Phase III trials 1988-1992</w:t>
            </w:r>
          </w:p>
        </w:tc>
        <w:tc>
          <w:tcPr/>
          <w:p>
            <w:pPr>
              <w:pStyle w:val="Compact"/>
              <w:jc w:val="left"/>
            </w:pPr>
            <w:r>
              <w:t xml:space="preserve">Various cardiothoracic surgery journals</w:t>
            </w:r>
          </w:p>
        </w:tc>
        <w:tc>
          <w:tcPr/>
          <w:p>
            <w:pPr>
              <w:pStyle w:val="Compact"/>
              <w:jc w:val="left"/>
            </w:pPr>
            <w:r>
              <w:t xml:space="preserve">Pivotal efficacy</w:t>
            </w:r>
          </w:p>
        </w:tc>
        <w:tc>
          <w:tcPr/>
          <w:p>
            <w:pPr>
              <w:pStyle w:val="Compact"/>
              <w:jc w:val="left"/>
            </w:pPr>
            <w:r>
              <w:t xml:space="preserve">No formal action</w:t>
            </w:r>
          </w:p>
        </w:tc>
      </w:tr>
      <w:tr>
        <w:tc>
          <w:tcPr/>
          <w:p>
            <w:pPr>
              <w:pStyle w:val="Compact"/>
              <w:jc w:val="left"/>
            </w:pPr>
            <w:r>
              <w:t xml:space="preserve">Levy JH et al. (US multicenter dose-ranging, repeat CABG)</w:t>
            </w:r>
          </w:p>
        </w:tc>
        <w:tc>
          <w:tcPr/>
          <w:p>
            <w:pPr>
              <w:pStyle w:val="Compact"/>
              <w:jc w:val="left"/>
            </w:pPr>
            <w:r>
              <w:rPr>
                <w:iCs/>
                <w:i/>
              </w:rPr>
              <w:t xml:space="preserve">Circulation</w:t>
            </w:r>
            <w:r>
              <w:t xml:space="preserve"> </w:t>
            </w:r>
            <w:r>
              <w:t xml:space="preserve">1995;92:2236-2244 (PMID 7554207)</w:t>
            </w:r>
          </w:p>
        </w:tc>
        <w:tc>
          <w:tcPr/>
          <w:p>
            <w:pPr>
              <w:pStyle w:val="Compact"/>
              <w:jc w:val="left"/>
            </w:pPr>
            <w:r>
              <w:t xml:space="preserve">Post-approval trial; held out of the strict original-approval pivotal denominator (NDA inclusion not documented in the accessible FDA review)</w:t>
            </w:r>
          </w:p>
        </w:tc>
        <w:tc>
          <w:tcPr/>
          <w:p>
            <w:pPr>
              <w:pStyle w:val="Compact"/>
              <w:jc w:val="left"/>
            </w:pPr>
            <w:r>
              <w:t xml:space="preserve">No formal action</w:t>
            </w:r>
          </w:p>
        </w:tc>
      </w:tr>
      <w:tr>
        <w:tc>
          <w:tcPr/>
          <w:p>
            <w:pPr>
              <w:pStyle w:val="Compact"/>
              <w:jc w:val="left"/>
            </w:pPr>
            <w:r>
              <w:t xml:space="preserve">Mangano DT et al. “The risk associated with aprotinin in cardiac surgery”</w:t>
            </w:r>
          </w:p>
        </w:tc>
        <w:tc>
          <w:tcPr/>
          <w:p>
            <w:pPr>
              <w:pStyle w:val="Compact"/>
              <w:jc w:val="left"/>
            </w:pPr>
            <w:r>
              <w:rPr>
                <w:iCs/>
                <w:i/>
              </w:rPr>
              <w:t xml:space="preserve">NEJM</w:t>
            </w:r>
            <w:r>
              <w:t xml:space="preserve"> </w:t>
            </w:r>
            <w:r>
              <w:t xml:space="preserve">2006;354:353-365</w:t>
            </w:r>
          </w:p>
        </w:tc>
        <w:tc>
          <w:tcPr/>
          <w:p>
            <w:pPr>
              <w:pStyle w:val="Compact"/>
              <w:jc w:val="left"/>
            </w:pPr>
            <w:r>
              <w:t xml:space="preserve">Harm-signal observational study</w:t>
            </w:r>
          </w:p>
        </w:tc>
        <w:tc>
          <w:tcPr/>
          <w:p>
            <w:pPr>
              <w:pStyle w:val="Compact"/>
              <w:jc w:val="left"/>
            </w:pPr>
            <w:r>
              <w:t xml:space="preserve">Not applicable (harm report)</w:t>
            </w:r>
          </w:p>
        </w:tc>
      </w:tr>
      <w:tr>
        <w:tc>
          <w:tcPr/>
          <w:p>
            <w:pPr>
              <w:pStyle w:val="Compact"/>
              <w:jc w:val="left"/>
            </w:pPr>
            <w:r>
              <w:t xml:space="preserve">Mangano DT et al. “Mortality associated with aprotinin during 5 years…”</w:t>
            </w:r>
          </w:p>
        </w:tc>
        <w:tc>
          <w:tcPr/>
          <w:p>
            <w:pPr>
              <w:pStyle w:val="Compact"/>
              <w:jc w:val="left"/>
            </w:pPr>
            <w:r>
              <w:rPr>
                <w:iCs/>
                <w:i/>
              </w:rPr>
              <w:t xml:space="preserve">JAMA</w:t>
            </w:r>
            <w:r>
              <w:t xml:space="preserve"> </w:t>
            </w:r>
            <w:r>
              <w:t xml:space="preserve">2007;297:471-479</w:t>
            </w:r>
          </w:p>
        </w:tc>
        <w:tc>
          <w:tcPr/>
          <w:p>
            <w:pPr>
              <w:pStyle w:val="Compact"/>
              <w:jc w:val="left"/>
            </w:pPr>
            <w:r>
              <w:t xml:space="preserve">5-year follow-up harm study</w:t>
            </w:r>
          </w:p>
        </w:tc>
        <w:tc>
          <w:tcPr/>
          <w:p>
            <w:pPr>
              <w:pStyle w:val="Compact"/>
              <w:jc w:val="left"/>
            </w:pPr>
            <w:r>
              <w:t xml:space="preserve">Not applicable (harm report)</w:t>
            </w:r>
          </w:p>
        </w:tc>
      </w:tr>
      <w:tr>
        <w:tc>
          <w:tcPr/>
          <w:p>
            <w:pPr>
              <w:pStyle w:val="Compact"/>
              <w:jc w:val="left"/>
            </w:pPr>
            <w:r>
              <w:t xml:space="preserve">Fergusson DA et al. (BART)</w:t>
            </w:r>
          </w:p>
        </w:tc>
        <w:tc>
          <w:tcPr/>
          <w:p>
            <w:pPr>
              <w:pStyle w:val="Compact"/>
              <w:jc w:val="left"/>
            </w:pPr>
            <w:r>
              <w:rPr>
                <w:iCs/>
                <w:i/>
              </w:rPr>
              <w:t xml:space="preserve">NEJM</w:t>
            </w:r>
            <w:r>
              <w:t xml:space="preserve"> </w:t>
            </w:r>
            <w:r>
              <w:t xml:space="preserve">2008;358:2319-2331</w:t>
            </w:r>
          </w:p>
        </w:tc>
        <w:tc>
          <w:tcPr/>
          <w:p>
            <w:pPr>
              <w:pStyle w:val="Compact"/>
              <w:jc w:val="left"/>
            </w:pPr>
            <w:r>
              <w:t xml:space="preserve">Withdrawal-triggering RCT</w:t>
            </w:r>
          </w:p>
        </w:tc>
        <w:tc>
          <w:tcPr/>
          <w:p>
            <w:pPr>
              <w:pStyle w:val="Compact"/>
              <w:jc w:val="left"/>
            </w:pPr>
            <w:r>
              <w:t xml:space="preserve">Not applicable (withdrawal-triggering)</w:t>
            </w:r>
          </w:p>
        </w:tc>
      </w:tr>
    </w:tbl>
    <w:p>
      <w:pPr>
        <w:pStyle w:val="BodyText"/>
      </w:pPr>
      <w:r>
        <w:t xml:space="preserve">Pattern classification: C, “safer alternative + evidence-generation dispute” subtype. Pivotal efficacy for reduced blood loss demonstrated. Withdrawal was for mortality and organ-damage signals that emerged from later observational studies and finally BART. Notable: post-withdrawal, Health Canada’s re-analysis of BART data (2011) concluded the withdrawal had been “premature,” and the drug has been reintroduced in some jurisdictions. This is one of the more contested withdrawals in the cohort. The pivotal efficacy literature from 1988-1993 carries no correction of any kind.</w:t>
      </w:r>
    </w:p>
    <w:bookmarkEnd w:id="27"/>
    <w:bookmarkStart w:id="28" w:name="X5f3205b25412a4926000af37aa3e4149773ef93"/>
    <w:p>
      <w:pPr>
        <w:pStyle w:val="Heading3"/>
      </w:pPr>
      <w:r>
        <w:t xml:space="preserve">S1.2.5 Case files: cardiovascular and hepatotoxicity cluster</w:t>
      </w:r>
    </w:p>
    <w:p>
      <w:pPr>
        <w:pStyle w:val="FirstParagraph"/>
      </w:pPr>
      <w:r>
        <w:t xml:space="preserve">This cluster comprises drugs distributed across four distinct withdrawal mechanisms, cardiac arrhythmia (bepridil, encainide), hepatotoxicity (nefazodone), cardiac valvulopathy (pergolide), and bronchospasm (rapacuronium), and two withdrawal decades (the 1990s and 2000s). Two cases here have distinctive methodological features that merit close attention.</w:t>
      </w:r>
    </w:p>
    <w:p>
      <w:pPr>
        <w:pStyle w:val="BodyText"/>
      </w:pPr>
      <w:r>
        <w:rPr>
          <w:bCs/>
          <w:b/>
        </w:rPr>
        <w:t xml:space="preserve">Bepridil (Vascor).</w:t>
      </w:r>
      <w:r>
        <w:t xml:space="preserve"> </w:t>
      </w:r>
      <w:r>
        <w:t xml:space="preserve">NDA 19-002, approved 28 December 1990; withdrawn by Ortho-McNeil in 2004 for ventricular arrhythmia (torsades de pointes) and agranulocytosis. Approved indication: chronic stable angina refractory to other antianginal therapy. Pivotal papers identified:</w:t>
      </w:r>
    </w:p>
    <w:tbl>
      <w:tblPr>
        <w:tblStyle w:val="Table"/>
        <w:tblW w:type="auto" w:w="0"/>
        <w:tblLook w:firstRow="1" w:lastRow="0" w:firstColumn="0" w:lastColumn="0" w:noHBand="0" w:noVBand="0" w:val="0020"/>
        <w:jc w:val="start"/>
      </w:tblPr>
      <w:tblGrid>
        <w:gridCol w:w="1980"/>
        <w:gridCol w:w="1980"/>
        <w:gridCol w:w="1980"/>
        <w:gridCol w:w="1980"/>
      </w:tblGrid>
      <w:tr>
        <w:trPr>
          <w:tblHeader w:val="true"/>
        </w:trPr>
        <w:tc>
          <w:tcPr/>
          <w:p>
            <w:pPr>
              <w:pStyle w:val="Compact"/>
              <w:jc w:val="left"/>
            </w:pPr>
            <w:r>
              <w:t xml:space="preserve">Paper</w:t>
            </w:r>
          </w:p>
        </w:tc>
        <w:tc>
          <w:tcPr/>
          <w:p>
            <w:pPr>
              <w:pStyle w:val="Compact"/>
              <w:jc w:val="left"/>
            </w:pPr>
            <w:r>
              <w:t xml:space="preserve">Journal, Year</w:t>
            </w:r>
          </w:p>
        </w:tc>
        <w:tc>
          <w:tcPr/>
          <w:p>
            <w:pPr>
              <w:pStyle w:val="Compact"/>
              <w:jc w:val="left"/>
            </w:pPr>
            <w:r>
              <w:t xml:space="preserve">Role</w:t>
            </w:r>
          </w:p>
        </w:tc>
        <w:tc>
          <w:tcPr/>
          <w:p>
            <w:pPr>
              <w:pStyle w:val="Compact"/>
              <w:jc w:val="left"/>
            </w:pPr>
            <w:r>
              <w:t xml:space="preserve">Status</w:t>
            </w:r>
          </w:p>
        </w:tc>
      </w:tr>
      <w:tr>
        <w:tc>
          <w:tcPr/>
          <w:p>
            <w:pPr>
              <w:pStyle w:val="Compact"/>
              <w:jc w:val="left"/>
            </w:pPr>
            <w:r>
              <w:t xml:space="preserve">Narahara KA et al.</w:t>
            </w:r>
          </w:p>
        </w:tc>
        <w:tc>
          <w:tcPr/>
          <w:p>
            <w:pPr>
              <w:pStyle w:val="Compact"/>
              <w:jc w:val="left"/>
            </w:pPr>
            <w:r>
              <w:rPr>
                <w:iCs/>
                <w:i/>
              </w:rPr>
              <w:t xml:space="preserve">Am J Cardiol</w:t>
            </w:r>
            <w:r>
              <w:t xml:space="preserve"> </w:t>
            </w:r>
            <w:r>
              <w:t xml:space="preserve">1992;69(11):37D-42D (PMID 1553890)</w:t>
            </w:r>
          </w:p>
        </w:tc>
        <w:tc>
          <w:tcPr/>
          <w:p>
            <w:pPr>
              <w:pStyle w:val="Compact"/>
              <w:jc w:val="left"/>
            </w:pPr>
            <w:r>
              <w:t xml:space="preserve">Pivotal placebo-controlled trial</w:t>
            </w:r>
          </w:p>
        </w:tc>
        <w:tc>
          <w:tcPr/>
          <w:p>
            <w:pPr>
              <w:pStyle w:val="Compact"/>
              <w:jc w:val="left"/>
            </w:pPr>
            <w:r>
              <w:t xml:space="preserve">No formal action</w:t>
            </w:r>
          </w:p>
        </w:tc>
      </w:tr>
      <w:tr>
        <w:tc>
          <w:tcPr/>
          <w:p>
            <w:pPr>
              <w:pStyle w:val="Compact"/>
              <w:jc w:val="left"/>
            </w:pPr>
            <w:r>
              <w:t xml:space="preserve">Shapiro W et al.</w:t>
            </w:r>
          </w:p>
        </w:tc>
        <w:tc>
          <w:tcPr/>
          <w:p>
            <w:pPr>
              <w:pStyle w:val="Compact"/>
              <w:jc w:val="left"/>
            </w:pPr>
            <w:r>
              <w:rPr>
                <w:iCs/>
                <w:i/>
              </w:rPr>
              <w:t xml:space="preserve">Am J Cardiol</w:t>
            </w:r>
            <w:r>
              <w:t xml:space="preserve"> </w:t>
            </w:r>
            <w:r>
              <w:t xml:space="preserve">1992;69(11):43D-49D (PMID 1553891)</w:t>
            </w:r>
          </w:p>
        </w:tc>
        <w:tc>
          <w:tcPr/>
          <w:p>
            <w:pPr>
              <w:pStyle w:val="Compact"/>
              <w:jc w:val="left"/>
            </w:pPr>
            <w:r>
              <w:t xml:space="preserve">Pivotal efficacy/withdrawal study</w:t>
            </w:r>
          </w:p>
        </w:tc>
        <w:tc>
          <w:tcPr/>
          <w:p>
            <w:pPr>
              <w:pStyle w:val="Compact"/>
              <w:jc w:val="left"/>
            </w:pPr>
            <w:r>
              <w:t xml:space="preserve">No formal action</w:t>
            </w:r>
          </w:p>
        </w:tc>
      </w:tr>
      <w:tr>
        <w:tc>
          <w:tcPr/>
          <w:p>
            <w:pPr>
              <w:pStyle w:val="Compact"/>
              <w:jc w:val="left"/>
            </w:pPr>
            <w:r>
              <w:t xml:space="preserve">Singh BN et al.</w:t>
            </w:r>
          </w:p>
        </w:tc>
        <w:tc>
          <w:tcPr/>
          <w:p>
            <w:pPr>
              <w:pStyle w:val="Compact"/>
              <w:jc w:val="left"/>
            </w:pPr>
            <w:r>
              <w:t xml:space="preserve">Pivotal safety analysis (US clinical trials, 840 patients, PMID 1532469)</w:t>
            </w:r>
          </w:p>
        </w:tc>
        <w:tc>
          <w:tcPr/>
          <w:p>
            <w:pPr>
              <w:pStyle w:val="Compact"/>
              <w:jc w:val="left"/>
            </w:pPr>
            <w:r>
              <w:t xml:space="preserve">Pivotal safety pooled analysis</w:t>
            </w:r>
          </w:p>
        </w:tc>
        <w:tc>
          <w:tcPr/>
          <w:p>
            <w:pPr>
              <w:pStyle w:val="Compact"/>
              <w:jc w:val="left"/>
            </w:pPr>
            <w:r>
              <w:t xml:space="preserve">No formal action</w:t>
            </w:r>
          </w:p>
        </w:tc>
      </w:tr>
    </w:tbl>
    <w:p>
      <w:pPr>
        <w:pStyle w:val="BodyText"/>
      </w:pPr>
      <w:r>
        <w:t xml:space="preserve">Pattern classification: distinctive variant of Pattern C, “known-at-approval” harm. Bepridil is a genuinely unusual case in the cohort because the pivotal safety pooled analysis (Singh 1992) explicitly documented torsades de pointes at approximately 1% incidence and QT prolongation as a class effect of the drug. The FDA-approved label at market carried an indication restriction: “reserved for patients who have failed to respond optimally to, or are intolerant of, other anti-anginal medication.” The 2004 withdrawal was not for a newly-discovered harm but for cumulative post-approval adverse event reports of the same signal the pivotal literature had characterized. This is a variant we had not previously seen in the cohort: the pivotal literature was correct in its risk characterization, and the drug’s withdrawal fourteen years later reflects a cumulative-risk judgment, not a new-signal event. No pivotal paper carries any correction. This case complicates the “harm in unmeasured domain” framing of Pattern C because the harm was measured, just not decisive at the time of approval.</w:t>
      </w:r>
    </w:p>
    <w:p>
      <w:pPr>
        <w:pStyle w:val="BodyText"/>
      </w:pPr>
      <w:r>
        <w:rPr>
          <w:bCs/>
          <w:b/>
        </w:rPr>
        <w:t xml:space="preserve">Encainide (Enkaid).</w:t>
      </w:r>
      <w:r>
        <w:t xml:space="preserve"> </w:t>
      </w:r>
      <w:r>
        <w:t xml:space="preserve">NDA 19-579, approved 25 December 1986; withdrawn by Bristol-Myers Squibb in December 1991 following CAST-I. Approved indication: life-threatening ventricular arrhythmias. Pivotal papers identified:</w:t>
      </w:r>
    </w:p>
    <w:tbl>
      <w:tblPr>
        <w:tblStyle w:val="Table"/>
        <w:tblW w:type="auto" w:w="0"/>
        <w:tblLook w:firstRow="1" w:lastRow="0" w:firstColumn="0" w:lastColumn="0" w:noHBand="0" w:noVBand="0" w:val="0020"/>
        <w:jc w:val="start"/>
      </w:tblPr>
      <w:tblGrid>
        <w:gridCol w:w="1980"/>
        <w:gridCol w:w="1980"/>
        <w:gridCol w:w="1980"/>
        <w:gridCol w:w="1980"/>
      </w:tblGrid>
      <w:tr>
        <w:trPr>
          <w:tblHeader w:val="true"/>
        </w:trPr>
        <w:tc>
          <w:tcPr/>
          <w:p>
            <w:pPr>
              <w:pStyle w:val="Compact"/>
              <w:jc w:val="left"/>
            </w:pPr>
            <w:r>
              <w:t xml:space="preserve">Paper</w:t>
            </w:r>
          </w:p>
        </w:tc>
        <w:tc>
          <w:tcPr/>
          <w:p>
            <w:pPr>
              <w:pStyle w:val="Compact"/>
              <w:jc w:val="left"/>
            </w:pPr>
            <w:r>
              <w:t xml:space="preserve">Journal, Year</w:t>
            </w:r>
          </w:p>
        </w:tc>
        <w:tc>
          <w:tcPr/>
          <w:p>
            <w:pPr>
              <w:pStyle w:val="Compact"/>
              <w:jc w:val="left"/>
            </w:pPr>
            <w:r>
              <w:t xml:space="preserve">Role</w:t>
            </w:r>
          </w:p>
        </w:tc>
        <w:tc>
          <w:tcPr/>
          <w:p>
            <w:pPr>
              <w:pStyle w:val="Compact"/>
              <w:jc w:val="left"/>
            </w:pPr>
            <w:r>
              <w:t xml:space="preserve">Status</w:t>
            </w:r>
          </w:p>
        </w:tc>
      </w:tr>
      <w:tr>
        <w:tc>
          <w:tcPr/>
          <w:p>
            <w:pPr>
              <w:pStyle w:val="Compact"/>
              <w:jc w:val="left"/>
            </w:pPr>
            <w:r>
              <w:t xml:space="preserve">Pre-approval Phase III trials (multiple, 1984-1986)</w:t>
            </w:r>
          </w:p>
        </w:tc>
        <w:tc>
          <w:tcPr/>
          <w:p>
            <w:pPr>
              <w:pStyle w:val="Compact"/>
              <w:jc w:val="left"/>
            </w:pPr>
            <w:r>
              <w:t xml:space="preserve">Various cardiology journals</w:t>
            </w:r>
          </w:p>
        </w:tc>
        <w:tc>
          <w:tcPr/>
          <w:p>
            <w:pPr>
              <w:pStyle w:val="Compact"/>
              <w:jc w:val="left"/>
            </w:pPr>
            <w:r>
              <w:t xml:space="preserve">Pivotal efficacy for PVC suppression</w:t>
            </w:r>
          </w:p>
        </w:tc>
        <w:tc>
          <w:tcPr/>
          <w:p>
            <w:pPr>
              <w:pStyle w:val="Compact"/>
              <w:jc w:val="left"/>
            </w:pPr>
            <w:r>
              <w:t xml:space="preserve">No formal action detected</w:t>
            </w:r>
          </w:p>
        </w:tc>
      </w:tr>
      <w:tr>
        <w:tc>
          <w:tcPr/>
          <w:p>
            <w:pPr>
              <w:pStyle w:val="Compact"/>
              <w:jc w:val="left"/>
            </w:pPr>
            <w:r>
              <w:t xml:space="preserve">Roden DM, Woosley RL “Class Ic antiarrhythmic drugs”</w:t>
            </w:r>
          </w:p>
        </w:tc>
        <w:tc>
          <w:tcPr/>
          <w:p>
            <w:pPr>
              <w:pStyle w:val="Compact"/>
              <w:jc w:val="left"/>
            </w:pPr>
            <w:r>
              <w:rPr>
                <w:iCs/>
                <w:i/>
              </w:rPr>
              <w:t xml:space="preserve">NEJM</w:t>
            </w:r>
            <w:r>
              <w:t xml:space="preserve"> </w:t>
            </w:r>
            <w:r>
              <w:t xml:space="preserve">1986</w:t>
            </w:r>
          </w:p>
        </w:tc>
        <w:tc>
          <w:tcPr/>
          <w:p>
            <w:pPr>
              <w:pStyle w:val="Compact"/>
              <w:jc w:val="left"/>
            </w:pPr>
            <w:r>
              <w:t xml:space="preserve">Definitive review of class</w:t>
            </w:r>
          </w:p>
        </w:tc>
        <w:tc>
          <w:tcPr/>
          <w:p>
            <w:pPr>
              <w:pStyle w:val="Compact"/>
              <w:jc w:val="left"/>
            </w:pPr>
            <w:r>
              <w:t xml:space="preserve">No formal action</w:t>
            </w:r>
          </w:p>
        </w:tc>
      </w:tr>
      <w:tr>
        <w:tc>
          <w:tcPr/>
          <w:p>
            <w:pPr>
              <w:pStyle w:val="Compact"/>
              <w:jc w:val="left"/>
            </w:pPr>
            <w:r>
              <w:t xml:space="preserve">Echt DS et al. (CAST-I)</w:t>
            </w:r>
          </w:p>
        </w:tc>
        <w:tc>
          <w:tcPr/>
          <w:p>
            <w:pPr>
              <w:pStyle w:val="Compact"/>
              <w:jc w:val="left"/>
            </w:pPr>
            <w:r>
              <w:rPr>
                <w:iCs/>
                <w:i/>
              </w:rPr>
              <w:t xml:space="preserve">NEJM</w:t>
            </w:r>
            <w:r>
              <w:t xml:space="preserve"> </w:t>
            </w:r>
            <w:r>
              <w:t xml:space="preserve">1991;324(12):781-88 (PMID 1900101)</w:t>
            </w:r>
          </w:p>
        </w:tc>
        <w:tc>
          <w:tcPr/>
          <w:p>
            <w:pPr>
              <w:pStyle w:val="Compact"/>
              <w:jc w:val="left"/>
            </w:pPr>
            <w:r>
              <w:t xml:space="preserve">Post-approval RCT overturning clinical rationale</w:t>
            </w:r>
          </w:p>
        </w:tc>
        <w:tc>
          <w:tcPr/>
          <w:p>
            <w:pPr>
              <w:pStyle w:val="Compact"/>
              <w:jc w:val="left"/>
            </w:pPr>
            <w:r>
              <w:t xml:space="preserve">Not applicable (withdrawal-triggering paper)</w:t>
            </w:r>
          </w:p>
        </w:tc>
      </w:tr>
      <w:tr>
        <w:tc>
          <w:tcPr/>
          <w:p>
            <w:pPr>
              <w:pStyle w:val="Compact"/>
              <w:jc w:val="left"/>
            </w:pPr>
            <w:r>
              <w:t xml:space="preserve">CAST Investigators Preliminary Report</w:t>
            </w:r>
          </w:p>
        </w:tc>
        <w:tc>
          <w:tcPr/>
          <w:p>
            <w:pPr>
              <w:pStyle w:val="Compact"/>
              <w:jc w:val="left"/>
            </w:pPr>
            <w:r>
              <w:rPr>
                <w:iCs/>
                <w:i/>
              </w:rPr>
              <w:t xml:space="preserve">NEJM</w:t>
            </w:r>
            <w:r>
              <w:t xml:space="preserve"> </w:t>
            </w:r>
            <w:r>
              <w:t xml:space="preserve">1989;321:406-412</w:t>
            </w:r>
          </w:p>
        </w:tc>
        <w:tc>
          <w:tcPr/>
          <w:p>
            <w:pPr>
              <w:pStyle w:val="Compact"/>
              <w:jc w:val="left"/>
            </w:pPr>
            <w:r>
              <w:t xml:space="preserve">Interim CAST report</w:t>
            </w:r>
          </w:p>
        </w:tc>
        <w:tc>
          <w:tcPr/>
          <w:p>
            <w:pPr>
              <w:pStyle w:val="Compact"/>
              <w:jc w:val="left"/>
            </w:pPr>
            <w:r>
              <w:t xml:space="preserve">Not applicable</w:t>
            </w:r>
          </w:p>
        </w:tc>
      </w:tr>
    </w:tbl>
    <w:p>
      <w:pPr>
        <w:pStyle w:val="BodyText"/>
      </w:pPr>
      <w:r>
        <w:t xml:space="preserve">Pattern classification: distinctive: “correct-effect, incorrect-clinical-rationale” subtype. Encainide is one of the most methodologically important cases in the cohort. The pivotal Phase III trials were correct: encainide reliably suppressed premature ventricular contractions. The pivotal papers claimed exactly what was claimed. The problem was not with the papers but with the clinical rationale connecting them to a mortality benefit, a rationale that CAST-I overturned decisively. The pivotal literature described a real drug effect on a surrogate; the surrogate did not translate to clinical benefit and in fact translated to harm. This is a pure Pattern B case, structurally similar to cerivastatin and Xigris/PROWESS. And, like PROWESS, the drug’s pivotal papers stand uncorrected today despite the fact that CAST-I fundamentally rewrote what the medical community thought PVC-suppression achieved. The encainide-flecainide-moricizine case is textbook example of surrogate-endpoint failure in cardiology; that textbook lesson exists in the medical literature entirely in the CAST papers themselves and in review articles about them, not in any annotation of the original pivotal encainide efficacy papers.</w:t>
      </w:r>
    </w:p>
    <w:p>
      <w:pPr>
        <w:pStyle w:val="BodyText"/>
      </w:pPr>
      <w:r>
        <w:rPr>
          <w:bCs/>
          <w:b/>
        </w:rPr>
        <w:t xml:space="preserve">Nefazodone (Serzone).</w:t>
      </w:r>
      <w:r>
        <w:t xml:space="preserve"> </w:t>
      </w:r>
      <w:r>
        <w:t xml:space="preserve">NDA 20-152, approved 22 December 1994; US brand-name withdrawn May 2004 by Bristol-Myers Squibb, but generic nefazodone remains US-marketed. Hepatotoxicity, approximately 1 case of liver failure per 250,000-300,000 patient-years. Pivotal papers identified:</w:t>
      </w:r>
    </w:p>
    <w:tbl>
      <w:tblPr>
        <w:tblStyle w:val="Table"/>
        <w:tblW w:type="auto" w:w="0"/>
        <w:tblLook w:firstRow="1" w:lastRow="0" w:firstColumn="0" w:lastColumn="0" w:noHBand="0" w:noVBand="0" w:val="0020"/>
        <w:jc w:val="start"/>
      </w:tblPr>
      <w:tblGrid>
        <w:gridCol w:w="1980"/>
        <w:gridCol w:w="1980"/>
        <w:gridCol w:w="1980"/>
        <w:gridCol w:w="1980"/>
      </w:tblGrid>
      <w:tr>
        <w:trPr>
          <w:tblHeader w:val="true"/>
        </w:trPr>
        <w:tc>
          <w:tcPr/>
          <w:p>
            <w:pPr>
              <w:pStyle w:val="Compact"/>
              <w:jc w:val="left"/>
            </w:pPr>
            <w:r>
              <w:t xml:space="preserve">Paper</w:t>
            </w:r>
          </w:p>
        </w:tc>
        <w:tc>
          <w:tcPr/>
          <w:p>
            <w:pPr>
              <w:pStyle w:val="Compact"/>
              <w:jc w:val="left"/>
            </w:pPr>
            <w:r>
              <w:t xml:space="preserve">Journal, Year</w:t>
            </w:r>
          </w:p>
        </w:tc>
        <w:tc>
          <w:tcPr/>
          <w:p>
            <w:pPr>
              <w:pStyle w:val="Compact"/>
              <w:jc w:val="left"/>
            </w:pPr>
            <w:r>
              <w:t xml:space="preserve">Role</w:t>
            </w:r>
          </w:p>
        </w:tc>
        <w:tc>
          <w:tcPr/>
          <w:p>
            <w:pPr>
              <w:pStyle w:val="Compact"/>
              <w:jc w:val="left"/>
            </w:pPr>
            <w:r>
              <w:t xml:space="preserve">Status</w:t>
            </w:r>
          </w:p>
        </w:tc>
      </w:tr>
      <w:tr>
        <w:tc>
          <w:tcPr/>
          <w:p>
            <w:pPr>
              <w:pStyle w:val="Compact"/>
              <w:jc w:val="left"/>
            </w:pPr>
            <w:r>
              <w:t xml:space="preserve">Feiger A et al.</w:t>
            </w:r>
          </w:p>
        </w:tc>
        <w:tc>
          <w:tcPr/>
          <w:p>
            <w:pPr>
              <w:pStyle w:val="Compact"/>
              <w:jc w:val="left"/>
            </w:pPr>
            <w:r>
              <w:rPr>
                <w:iCs/>
                <w:i/>
              </w:rPr>
              <w:t xml:space="preserve">J Clin Psychiatry</w:t>
            </w:r>
            <w:r>
              <w:t xml:space="preserve"> </w:t>
            </w:r>
            <w:r>
              <w:t xml:space="preserve">1996;57 Suppl 2:53-62</w:t>
            </w:r>
          </w:p>
        </w:tc>
        <w:tc>
          <w:tcPr/>
          <w:p>
            <w:pPr>
              <w:pStyle w:val="Compact"/>
              <w:jc w:val="left"/>
            </w:pPr>
            <w:r>
              <w:t xml:space="preserve">Pivotal placebo/comparator trial</w:t>
            </w:r>
          </w:p>
        </w:tc>
        <w:tc>
          <w:tcPr/>
          <w:p>
            <w:pPr>
              <w:pStyle w:val="Compact"/>
              <w:jc w:val="left"/>
            </w:pPr>
            <w:r>
              <w:t xml:space="preserve">No formal action</w:t>
            </w:r>
          </w:p>
        </w:tc>
      </w:tr>
      <w:tr>
        <w:tc>
          <w:tcPr/>
          <w:p>
            <w:pPr>
              <w:pStyle w:val="Compact"/>
              <w:jc w:val="left"/>
            </w:pPr>
            <w:r>
              <w:t xml:space="preserve">Fontaine R et al.</w:t>
            </w:r>
          </w:p>
        </w:tc>
        <w:tc>
          <w:tcPr/>
          <w:p>
            <w:pPr>
              <w:pStyle w:val="Compact"/>
              <w:jc w:val="left"/>
            </w:pPr>
            <w:r>
              <w:rPr>
                <w:iCs/>
                <w:i/>
              </w:rPr>
              <w:t xml:space="preserve">J Clin Psychiatry</w:t>
            </w:r>
            <w:r>
              <w:t xml:space="preserve"> </w:t>
            </w:r>
            <w:r>
              <w:t xml:space="preserve">1994;55 Suppl:24-32</w:t>
            </w:r>
          </w:p>
        </w:tc>
        <w:tc>
          <w:tcPr/>
          <w:p>
            <w:pPr>
              <w:pStyle w:val="Compact"/>
              <w:jc w:val="left"/>
            </w:pPr>
            <w:r>
              <w:t xml:space="preserve">Pivotal efficacy analysis</w:t>
            </w:r>
          </w:p>
        </w:tc>
        <w:tc>
          <w:tcPr/>
          <w:p>
            <w:pPr>
              <w:pStyle w:val="Compact"/>
              <w:jc w:val="left"/>
            </w:pPr>
            <w:r>
              <w:t xml:space="preserve">No formal action</w:t>
            </w:r>
          </w:p>
        </w:tc>
      </w:tr>
      <w:tr>
        <w:tc>
          <w:tcPr/>
          <w:p>
            <w:pPr>
              <w:pStyle w:val="Compact"/>
              <w:jc w:val="left"/>
            </w:pPr>
            <w:r>
              <w:t xml:space="preserve">Multiple Phase III trials 1992-1994</w:t>
            </w:r>
          </w:p>
        </w:tc>
        <w:tc>
          <w:tcPr/>
          <w:p>
            <w:pPr>
              <w:pStyle w:val="Compact"/>
              <w:jc w:val="left"/>
            </w:pPr>
            <w:r>
              <w:rPr>
                <w:iCs/>
                <w:i/>
              </w:rPr>
              <w:t xml:space="preserve">J Clin Psychiatry</w:t>
            </w:r>
            <w:r>
              <w:t xml:space="preserve">, various</w:t>
            </w:r>
          </w:p>
        </w:tc>
        <w:tc>
          <w:tcPr/>
          <w:p>
            <w:pPr>
              <w:pStyle w:val="Compact"/>
              <w:jc w:val="left"/>
            </w:pPr>
            <w:r>
              <w:t xml:space="preserve">Pivotal efficacy for major depression</w:t>
            </w:r>
          </w:p>
        </w:tc>
        <w:tc>
          <w:tcPr/>
          <w:p>
            <w:pPr>
              <w:pStyle w:val="Compact"/>
              <w:jc w:val="left"/>
            </w:pPr>
            <w:r>
              <w:t xml:space="preserve">No formal action detected</w:t>
            </w:r>
          </w:p>
        </w:tc>
      </w:tr>
      <w:tr>
        <w:tc>
          <w:tcPr/>
          <w:p>
            <w:pPr>
              <w:pStyle w:val="Compact"/>
              <w:jc w:val="left"/>
            </w:pPr>
            <w:r>
              <w:t xml:space="preserve">Choi S “Nefazodone (Serzone) withdrawn because of hepatotoxicity”</w:t>
            </w:r>
          </w:p>
        </w:tc>
        <w:tc>
          <w:tcPr/>
          <w:p>
            <w:pPr>
              <w:pStyle w:val="Compact"/>
              <w:jc w:val="left"/>
            </w:pPr>
            <w:r>
              <w:rPr>
                <w:iCs/>
                <w:i/>
              </w:rPr>
              <w:t xml:space="preserve">CMAJ</w:t>
            </w:r>
            <w:r>
              <w:t xml:space="preserve"> </w:t>
            </w:r>
            <w:r>
              <w:t xml:space="preserve">2003;169:1187 (PMID 14638657)</w:t>
            </w:r>
          </w:p>
        </w:tc>
        <w:tc>
          <w:tcPr/>
          <w:p>
            <w:pPr>
              <w:pStyle w:val="Compact"/>
              <w:jc w:val="left"/>
            </w:pPr>
            <w:r>
              <w:t xml:space="preserve">Post-approval editorial announcing withdrawal</w:t>
            </w:r>
          </w:p>
        </w:tc>
        <w:tc>
          <w:tcPr/>
          <w:p>
            <w:pPr>
              <w:pStyle w:val="Compact"/>
              <w:jc w:val="left"/>
            </w:pPr>
            <w:r>
              <w:t xml:space="preserve">Not applicable (withdrawal announcement)</w:t>
            </w:r>
          </w:p>
        </w:tc>
      </w:tr>
    </w:tbl>
    <w:p>
      <w:pPr>
        <w:pStyle w:val="BodyText"/>
      </w:pPr>
      <w:r>
        <w:t xml:space="preserve">Pattern classification: Pattern C, with a distinctive “partial-withdrawal” wrinkle. Nefazodone is unusual: Bristol-Myers Squibb withdrew the branded product citing declining sales after other jurisdictions had withdrawn for safety, but the generic remains available in the US. The FDA never formally withdrew the drug. This is technically closer to a commercial withdrawal accompanied by safety concerns than a pure safety withdrawal, but the safety signal (fatal hepatotoxicity) was substantial and the drug was withdrawn in Canada, Europe, and Australia for safety reasons. We include nefazodone in the primary cohort tagged as “partial withdrawal, brand withdrawn, generic available.” The pivotal literature carries no correction of any kind.</w:t>
      </w:r>
    </w:p>
    <w:p>
      <w:pPr>
        <w:pStyle w:val="BodyText"/>
      </w:pPr>
      <w:r>
        <w:rPr>
          <w:bCs/>
          <w:b/>
        </w:rPr>
        <w:t xml:space="preserve">Pergolide (Permax).</w:t>
      </w:r>
      <w:r>
        <w:t xml:space="preserve"> </w:t>
      </w:r>
      <w:r>
        <w:t xml:space="preserve">NDA 19-385, approved 30 December 1988 as adjunctive Parkinson’s therapy; supplemental approval 1998 for restless legs syndrome; withdrawn by Valeant in March 2007 following the January 2007 NEJM publications (Schade et al. PMID 17202453; Zanettini et al. PMID 17202454) demonstrating cardiac valvulopathy. Pivotal papers identified:</w:t>
      </w:r>
    </w:p>
    <w:tbl>
      <w:tblPr>
        <w:tblStyle w:val="Table"/>
        <w:tblW w:type="auto" w:w="0"/>
        <w:tblLook w:firstRow="1" w:lastRow="0" w:firstColumn="0" w:lastColumn="0" w:noHBand="0" w:noVBand="0" w:val="0020"/>
        <w:jc w:val="start"/>
      </w:tblPr>
      <w:tblGrid>
        <w:gridCol w:w="1980"/>
        <w:gridCol w:w="1980"/>
        <w:gridCol w:w="1980"/>
        <w:gridCol w:w="1980"/>
      </w:tblGrid>
      <w:tr>
        <w:trPr>
          <w:tblHeader w:val="true"/>
        </w:trPr>
        <w:tc>
          <w:tcPr/>
          <w:p>
            <w:pPr>
              <w:pStyle w:val="Compact"/>
              <w:jc w:val="left"/>
            </w:pPr>
            <w:r>
              <w:t xml:space="preserve">Paper</w:t>
            </w:r>
          </w:p>
        </w:tc>
        <w:tc>
          <w:tcPr/>
          <w:p>
            <w:pPr>
              <w:pStyle w:val="Compact"/>
              <w:jc w:val="left"/>
            </w:pPr>
            <w:r>
              <w:t xml:space="preserve">Journal, Year</w:t>
            </w:r>
          </w:p>
        </w:tc>
        <w:tc>
          <w:tcPr/>
          <w:p>
            <w:pPr>
              <w:pStyle w:val="Compact"/>
              <w:jc w:val="left"/>
            </w:pPr>
            <w:r>
              <w:t xml:space="preserve">Role</w:t>
            </w:r>
          </w:p>
        </w:tc>
        <w:tc>
          <w:tcPr/>
          <w:p>
            <w:pPr>
              <w:pStyle w:val="Compact"/>
              <w:jc w:val="left"/>
            </w:pPr>
            <w:r>
              <w:t xml:space="preserve">Status</w:t>
            </w:r>
          </w:p>
        </w:tc>
      </w:tr>
      <w:tr>
        <w:tc>
          <w:tcPr/>
          <w:p>
            <w:pPr>
              <w:pStyle w:val="Compact"/>
              <w:jc w:val="left"/>
            </w:pPr>
            <w:r>
              <w:t xml:space="preserve">Multiple pivotal Phase III trials 1985-1988</w:t>
            </w:r>
          </w:p>
        </w:tc>
        <w:tc>
          <w:tcPr/>
          <w:p>
            <w:pPr>
              <w:pStyle w:val="Compact"/>
              <w:jc w:val="left"/>
            </w:pPr>
            <w:r>
              <w:rPr>
                <w:iCs/>
                <w:i/>
              </w:rPr>
              <w:t xml:space="preserve">Neurology</w:t>
            </w:r>
            <w:r>
              <w:t xml:space="preserve">,</w:t>
            </w:r>
            <w:r>
              <w:t xml:space="preserve"> </w:t>
            </w:r>
            <w:r>
              <w:rPr>
                <w:iCs/>
                <w:i/>
              </w:rPr>
              <w:t xml:space="preserve">Ann Neurol</w:t>
            </w:r>
          </w:p>
        </w:tc>
        <w:tc>
          <w:tcPr/>
          <w:p>
            <w:pPr>
              <w:pStyle w:val="Compact"/>
              <w:jc w:val="left"/>
            </w:pPr>
            <w:r>
              <w:t xml:space="preserve">Pivotal efficacy for adjunctive PD</w:t>
            </w:r>
          </w:p>
        </w:tc>
        <w:tc>
          <w:tcPr/>
          <w:p>
            <w:pPr>
              <w:pStyle w:val="Compact"/>
              <w:jc w:val="left"/>
            </w:pPr>
            <w:r>
              <w:t xml:space="preserve">No formal action detected</w:t>
            </w:r>
          </w:p>
        </w:tc>
      </w:tr>
      <w:tr>
        <w:tc>
          <w:tcPr/>
          <w:p>
            <w:pPr>
              <w:pStyle w:val="Compact"/>
              <w:jc w:val="left"/>
            </w:pPr>
            <w:r>
              <w:t xml:space="preserve">Olanow CW, Fahn S et al.</w:t>
            </w:r>
          </w:p>
        </w:tc>
        <w:tc>
          <w:tcPr/>
          <w:p>
            <w:pPr>
              <w:pStyle w:val="Compact"/>
              <w:jc w:val="left"/>
            </w:pPr>
            <w:r>
              <w:rPr>
                <w:iCs/>
                <w:i/>
              </w:rPr>
              <w:t xml:space="preserve">Mov Disord</w:t>
            </w:r>
            <w:r>
              <w:t xml:space="preserve"> </w:t>
            </w:r>
            <w:r>
              <w:t xml:space="preserve">1994;9:40-47 (PMID 8139604)</w:t>
            </w:r>
          </w:p>
        </w:tc>
        <w:tc>
          <w:tcPr/>
          <w:p>
            <w:pPr>
              <w:pStyle w:val="Compact"/>
              <w:jc w:val="left"/>
            </w:pPr>
            <w:r>
              <w:t xml:space="preserve">Post-approval multicenter trial / long-term evidence; held out of the strict original-approval pivotal denominator unless supplement evidence is documented</w:t>
            </w:r>
          </w:p>
        </w:tc>
        <w:tc>
          <w:tcPr/>
          <w:p>
            <w:pPr>
              <w:pStyle w:val="Compact"/>
              <w:jc w:val="left"/>
            </w:pPr>
            <w:r>
              <w:t xml:space="preserve">No formal action</w:t>
            </w:r>
          </w:p>
        </w:tc>
      </w:tr>
      <w:tr>
        <w:tc>
          <w:tcPr/>
          <w:p>
            <w:pPr>
              <w:pStyle w:val="Compact"/>
              <w:jc w:val="left"/>
            </w:pPr>
            <w:r>
              <w:t xml:space="preserve">Schade R, Andersohn F et al.</w:t>
            </w:r>
          </w:p>
        </w:tc>
        <w:tc>
          <w:tcPr/>
          <w:p>
            <w:pPr>
              <w:pStyle w:val="Compact"/>
              <w:jc w:val="left"/>
            </w:pPr>
            <w:r>
              <w:rPr>
                <w:iCs/>
                <w:i/>
              </w:rPr>
              <w:t xml:space="preserve">NEJM</w:t>
            </w:r>
            <w:r>
              <w:t xml:space="preserve"> </w:t>
            </w:r>
            <w:r>
              <w:t xml:space="preserve">2007;356:29-38 (PMID 17202453)</w:t>
            </w:r>
          </w:p>
        </w:tc>
        <w:tc>
          <w:tcPr/>
          <w:p>
            <w:pPr>
              <w:pStyle w:val="Compact"/>
              <w:jc w:val="left"/>
            </w:pPr>
            <w:r>
              <w:t xml:space="preserve">Withdrawal-triggering case-control study</w:t>
            </w:r>
          </w:p>
        </w:tc>
        <w:tc>
          <w:tcPr/>
          <w:p>
            <w:pPr>
              <w:pStyle w:val="Compact"/>
              <w:jc w:val="left"/>
            </w:pPr>
            <w:r>
              <w:t xml:space="preserve">Not applicable (withdrawal-triggering)</w:t>
            </w:r>
          </w:p>
        </w:tc>
      </w:tr>
      <w:tr>
        <w:tc>
          <w:tcPr/>
          <w:p>
            <w:pPr>
              <w:pStyle w:val="Compact"/>
              <w:jc w:val="left"/>
            </w:pPr>
            <w:r>
              <w:t xml:space="preserve">Zanettini R, Antonini A et al.</w:t>
            </w:r>
          </w:p>
        </w:tc>
        <w:tc>
          <w:tcPr/>
          <w:p>
            <w:pPr>
              <w:pStyle w:val="Compact"/>
              <w:jc w:val="left"/>
            </w:pPr>
            <w:r>
              <w:rPr>
                <w:iCs/>
                <w:i/>
              </w:rPr>
              <w:t xml:space="preserve">NEJM</w:t>
            </w:r>
            <w:r>
              <w:t xml:space="preserve"> </w:t>
            </w:r>
            <w:r>
              <w:t xml:space="preserve">2007;356:39-46 (PMID 17202454)</w:t>
            </w:r>
          </w:p>
        </w:tc>
        <w:tc>
          <w:tcPr/>
          <w:p>
            <w:pPr>
              <w:pStyle w:val="Compact"/>
              <w:jc w:val="left"/>
            </w:pPr>
            <w:r>
              <w:t xml:space="preserve">Withdrawal-triggering echocardiographic study</w:t>
            </w:r>
          </w:p>
        </w:tc>
        <w:tc>
          <w:tcPr/>
          <w:p>
            <w:pPr>
              <w:pStyle w:val="Compact"/>
              <w:jc w:val="left"/>
            </w:pPr>
            <w:r>
              <w:t xml:space="preserve">Not applicable (withdrawal-triggering)</w:t>
            </w:r>
          </w:p>
        </w:tc>
      </w:tr>
    </w:tbl>
    <w:p>
      <w:pPr>
        <w:pStyle w:val="BodyText"/>
      </w:pPr>
      <w:r>
        <w:t xml:space="preserve">Pattern classification: Pattern C, “class-effect / mechanistic-family” subtype. Pergolide is an ergoline dopamine agonist; the valvulopathy signal was mechanistically linked to 5-HT2B receptor agonism, the same mechanism responsible for the fen-phen valvulopathy withdrawal a decade earlier. The pivotal PD efficacy trials from the mid-1980s correctly demonstrated motor improvement. The withdrawal was for a class effect that had become clear only after the fen-phen precedent and the 2007 confirmatory studies. Distinctive: pergolide is one of the few drugs in the cohort withdrawn for a harm that could have been anticipated from prior withdrawal events in related mechanistic classes, the fen-phen precedent established the 5-HT2B-agonism/valvulopathy link in 1997. The pivotal literature carries no correction.</w:t>
      </w:r>
    </w:p>
    <w:p>
      <w:pPr>
        <w:pStyle w:val="BodyText"/>
      </w:pPr>
      <w:r>
        <w:rPr>
          <w:bCs/>
          <w:b/>
        </w:rPr>
        <w:t xml:space="preserve">Rapacuronium (Raplon).</w:t>
      </w:r>
      <w:r>
        <w:t xml:space="preserve"> </w:t>
      </w:r>
      <w:r>
        <w:t xml:space="preserve">NDA 20-984, approved 18 August 1999; withdrawn by Organon 27 March 2001 for fatal bronchospasm (approximately 20 months on market). Non-depolarizing neuromuscular blocker intended as a succinylcholine alternative for rapid-sequence intubation. Pivotal papers identified:</w:t>
      </w:r>
    </w:p>
    <w:tbl>
      <w:tblPr>
        <w:tblStyle w:val="Table"/>
        <w:tblW w:type="auto" w:w="0"/>
        <w:tblLook w:firstRow="1" w:lastRow="0" w:firstColumn="0" w:lastColumn="0" w:noHBand="0" w:noVBand="0" w:val="0020"/>
        <w:jc w:val="start"/>
      </w:tblPr>
      <w:tblGrid>
        <w:gridCol w:w="1980"/>
        <w:gridCol w:w="1980"/>
        <w:gridCol w:w="1980"/>
        <w:gridCol w:w="1980"/>
      </w:tblGrid>
      <w:tr>
        <w:trPr>
          <w:tblHeader w:val="true"/>
        </w:trPr>
        <w:tc>
          <w:tcPr/>
          <w:p>
            <w:pPr>
              <w:pStyle w:val="Compact"/>
              <w:jc w:val="left"/>
            </w:pPr>
            <w:r>
              <w:t xml:space="preserve">Paper</w:t>
            </w:r>
          </w:p>
        </w:tc>
        <w:tc>
          <w:tcPr/>
          <w:p>
            <w:pPr>
              <w:pStyle w:val="Compact"/>
              <w:jc w:val="left"/>
            </w:pPr>
            <w:r>
              <w:t xml:space="preserve">Journal, Year</w:t>
            </w:r>
          </w:p>
        </w:tc>
        <w:tc>
          <w:tcPr/>
          <w:p>
            <w:pPr>
              <w:pStyle w:val="Compact"/>
              <w:jc w:val="left"/>
            </w:pPr>
            <w:r>
              <w:t xml:space="preserve">Role</w:t>
            </w:r>
          </w:p>
        </w:tc>
        <w:tc>
          <w:tcPr/>
          <w:p>
            <w:pPr>
              <w:pStyle w:val="Compact"/>
              <w:jc w:val="left"/>
            </w:pPr>
            <w:r>
              <w:t xml:space="preserve">Status</w:t>
            </w:r>
          </w:p>
        </w:tc>
      </w:tr>
      <w:tr>
        <w:tc>
          <w:tcPr/>
          <w:p>
            <w:pPr>
              <w:pStyle w:val="Compact"/>
              <w:jc w:val="left"/>
            </w:pPr>
            <w:r>
              <w:t xml:space="preserve">Wright PM et al. “A pharmacodynamic explanation for the rapid onset/offset of rapacuronium bromide”</w:t>
            </w:r>
          </w:p>
        </w:tc>
        <w:tc>
          <w:tcPr/>
          <w:p>
            <w:pPr>
              <w:pStyle w:val="Compact"/>
              <w:jc w:val="left"/>
            </w:pPr>
            <w:r>
              <w:rPr>
                <w:iCs/>
                <w:i/>
              </w:rPr>
              <w:t xml:space="preserve">Anesthesiology</w:t>
            </w:r>
            <w:r>
              <w:t xml:space="preserve"> </w:t>
            </w:r>
            <w:r>
              <w:t xml:space="preserve">1999;90(1):16-23 (PMID 9915308)</w:t>
            </w:r>
          </w:p>
        </w:tc>
        <w:tc>
          <w:tcPr/>
          <w:p>
            <w:pPr>
              <w:pStyle w:val="Compact"/>
              <w:jc w:val="left"/>
            </w:pPr>
            <w:r>
              <w:t xml:space="preserve">Pivotal PK/PD study</w:t>
            </w:r>
          </w:p>
        </w:tc>
        <w:tc>
          <w:tcPr/>
          <w:p>
            <w:pPr>
              <w:pStyle w:val="Compact"/>
              <w:jc w:val="left"/>
            </w:pPr>
            <w:r>
              <w:t xml:space="preserve">No formal action</w:t>
            </w:r>
          </w:p>
        </w:tc>
      </w:tr>
      <w:tr>
        <w:tc>
          <w:tcPr/>
          <w:p>
            <w:pPr>
              <w:pStyle w:val="Compact"/>
              <w:jc w:val="left"/>
            </w:pPr>
            <w:r>
              <w:t xml:space="preserve">Szenohradszky J, Caldwell JE et al.</w:t>
            </w:r>
          </w:p>
        </w:tc>
        <w:tc>
          <w:tcPr/>
          <w:p>
            <w:pPr>
              <w:pStyle w:val="Compact"/>
              <w:jc w:val="left"/>
            </w:pPr>
            <w:r>
              <w:rPr>
                <w:iCs/>
                <w:i/>
              </w:rPr>
              <w:t xml:space="preserve">Anesthesiology</w:t>
            </w:r>
            <w:r>
              <w:t xml:space="preserve"> </w:t>
            </w:r>
            <w:r>
              <w:t xml:space="preserve">1999</w:t>
            </w:r>
          </w:p>
        </w:tc>
        <w:tc>
          <w:tcPr/>
          <w:p>
            <w:pPr>
              <w:pStyle w:val="Compact"/>
              <w:jc w:val="left"/>
            </w:pPr>
            <w:r>
              <w:t xml:space="preserve">Pivotal PK study</w:t>
            </w:r>
          </w:p>
        </w:tc>
        <w:tc>
          <w:tcPr/>
          <w:p>
            <w:pPr>
              <w:pStyle w:val="Compact"/>
              <w:jc w:val="left"/>
            </w:pPr>
            <w:r>
              <w:t xml:space="preserve">No formal action</w:t>
            </w:r>
          </w:p>
        </w:tc>
      </w:tr>
      <w:tr>
        <w:tc>
          <w:tcPr/>
          <w:p>
            <w:pPr>
              <w:pStyle w:val="Compact"/>
              <w:jc w:val="left"/>
            </w:pPr>
            <w:r>
              <w:t xml:space="preserve">Onrust SV, Foster RH “Rapacuronium bromide: a review of its use in anaesthetic practice”</w:t>
            </w:r>
          </w:p>
        </w:tc>
        <w:tc>
          <w:tcPr/>
          <w:p>
            <w:pPr>
              <w:pStyle w:val="Compact"/>
              <w:jc w:val="left"/>
            </w:pPr>
            <w:r>
              <w:rPr>
                <w:iCs/>
                <w:i/>
              </w:rPr>
              <w:t xml:space="preserve">Drugs</w:t>
            </w:r>
            <w:r>
              <w:t xml:space="preserve"> </w:t>
            </w:r>
            <w:r>
              <w:t xml:space="preserve">1999;58(5):887-918 (PMID 10595867)</w:t>
            </w:r>
          </w:p>
        </w:tc>
        <w:tc>
          <w:tcPr/>
          <w:p>
            <w:pPr>
              <w:pStyle w:val="Compact"/>
              <w:jc w:val="left"/>
            </w:pPr>
            <w:r>
              <w:t xml:space="preserve">Definitive pre-approval review</w:t>
            </w:r>
          </w:p>
        </w:tc>
        <w:tc>
          <w:tcPr/>
          <w:p>
            <w:pPr>
              <w:pStyle w:val="Compact"/>
              <w:jc w:val="left"/>
            </w:pPr>
            <w:r>
              <w:t xml:space="preserve">No formal action</w:t>
            </w:r>
          </w:p>
        </w:tc>
      </w:tr>
      <w:tr>
        <w:tc>
          <w:tcPr/>
          <w:p>
            <w:pPr>
              <w:pStyle w:val="Compact"/>
              <w:jc w:val="left"/>
            </w:pPr>
            <w:r>
              <w:t xml:space="preserve">Meakin GH, Pronske EH et al. “Bronchospasm after rapacuronium in infants and children”</w:t>
            </w:r>
          </w:p>
        </w:tc>
        <w:tc>
          <w:tcPr/>
          <w:p>
            <w:pPr>
              <w:pStyle w:val="Compact"/>
              <w:jc w:val="left"/>
            </w:pPr>
            <w:r>
              <w:rPr>
                <w:iCs/>
                <w:i/>
              </w:rPr>
              <w:t xml:space="preserve">Anesthesiology</w:t>
            </w:r>
            <w:r>
              <w:t xml:space="preserve"> </w:t>
            </w:r>
            <w:r>
              <w:t xml:space="preserve">2001;94:926-7 (PMID 11388548)</w:t>
            </w:r>
          </w:p>
        </w:tc>
        <w:tc>
          <w:tcPr/>
          <w:p>
            <w:pPr>
              <w:pStyle w:val="Compact"/>
              <w:jc w:val="left"/>
            </w:pPr>
            <w:r>
              <w:t xml:space="preserve">Post-approval harm report</w:t>
            </w:r>
          </w:p>
        </w:tc>
        <w:tc>
          <w:tcPr/>
          <w:p>
            <w:pPr>
              <w:pStyle w:val="Compact"/>
              <w:jc w:val="left"/>
            </w:pPr>
            <w:r>
              <w:t xml:space="preserve">Not applicable (harm report)</w:t>
            </w:r>
          </w:p>
        </w:tc>
      </w:tr>
      <w:tr>
        <w:tc>
          <w:tcPr/>
          <w:p>
            <w:pPr>
              <w:pStyle w:val="Compact"/>
              <w:jc w:val="left"/>
            </w:pPr>
            <w:r>
              <w:t xml:space="preserve">Naguib M editorial “How serious is the bronchospasm induced by rapacuronium?”</w:t>
            </w:r>
          </w:p>
        </w:tc>
        <w:tc>
          <w:tcPr/>
          <w:p>
            <w:pPr>
              <w:pStyle w:val="Compact"/>
              <w:jc w:val="left"/>
            </w:pPr>
            <w:r>
              <w:rPr>
                <w:iCs/>
                <w:i/>
              </w:rPr>
              <w:t xml:space="preserve">Anesthesiology</w:t>
            </w:r>
            <w:r>
              <w:t xml:space="preserve"> </w:t>
            </w:r>
            <w:r>
              <w:t xml:space="preserve">2001;94:924-5</w:t>
            </w:r>
          </w:p>
        </w:tc>
        <w:tc>
          <w:tcPr/>
          <w:p>
            <w:pPr>
              <w:pStyle w:val="Compact"/>
              <w:jc w:val="left"/>
            </w:pPr>
            <w:r>
              <w:t xml:space="preserve">Post-approval editorial</w:t>
            </w:r>
          </w:p>
        </w:tc>
        <w:tc>
          <w:tcPr/>
          <w:p>
            <w:pPr>
              <w:pStyle w:val="Compact"/>
              <w:jc w:val="left"/>
            </w:pPr>
            <w:r>
              <w:t xml:space="preserve">Not applicable</w:t>
            </w:r>
          </w:p>
        </w:tc>
      </w:tr>
    </w:tbl>
    <w:p>
      <w:pPr>
        <w:pStyle w:val="BodyText"/>
      </w:pPr>
      <w:r>
        <w:t xml:space="preserve">Pattern classification: Pattern C, “M2/M3 receptor selectivity” subtype. The pivotal papers correctly demonstrated rapid onset and short duration of neuromuscular blockade. The withdrawal was for bronchospasm caused by rapacuronium’s 15-fold higher affinity for M2 versus M3 muscarinic receptors, a pharmacological property not measured by the pivotal PK/PD trials because it was not the intended mechanism of action. No pivotal paper carries any correction. The APSF editorial announcing the withdrawal noted rapacuronium was “the twelfth medication or vaccine to be withdrawn by the FDA since 1997” and listed the others, the anesthesiology community’s collective memory of the withdrawal exists in this editorial and in subsequent mechanism-of-action review papers, but not in any annotation on the original pivotal literature.</w:t>
      </w:r>
    </w:p>
    <w:bookmarkEnd w:id="28"/>
    <w:bookmarkStart w:id="29" w:name="X91f635f0cd354ae839cbb1cf957b4158d5f6bca"/>
    <w:p>
      <w:pPr>
        <w:pStyle w:val="Heading3"/>
      </w:pPr>
      <w:r>
        <w:t xml:space="preserve">S1.2.6 Case files: remaining drugs and border cases</w:t>
      </w:r>
    </w:p>
    <w:p>
      <w:pPr>
        <w:pStyle w:val="FirstParagraph"/>
      </w:pPr>
      <w:r>
        <w:t xml:space="preserve">The remaining case files (nine drugs, with two natural pairings) cover: alatrofloxacin (Trovan IV), the fenfluramine/dexfenfluramine pair, gatifloxacin, pemoline, technetium fanolesomab, the alphacetylmethadol/levacetylmethadol pair, and alosetron as the reintroduced-drug border case.</w:t>
      </w:r>
    </w:p>
    <w:p>
      <w:pPr>
        <w:pStyle w:val="BodyText"/>
      </w:pPr>
      <w:r>
        <w:rPr>
          <w:bCs/>
          <w:b/>
        </w:rPr>
        <w:t xml:space="preserve">Alatrofloxacin (Trovan IV).</w:t>
      </w:r>
      <w:r>
        <w:t xml:space="preserve"> </w:t>
      </w:r>
      <w:r>
        <w:t xml:space="preserve">BLA and NDA 20-760 approved 18 December 1997; use severely restricted June 1999 and effectively withdrawn from oral marketing. Alatrofloxacin is the intravenous L-alanyl-L-alanyl prodrug of trovafloxacin (already documented above). Because the two drugs share the same active moiety and the same pivotal-trial evidence base, they share pivotal papers.</w:t>
      </w:r>
    </w:p>
    <w:p>
      <w:pPr>
        <w:pStyle w:val="BodyText"/>
      </w:pPr>
      <w:r>
        <w:t xml:space="preserve">Pattern classification: C, identical to trovafloxacin. No pivotal paper carries any formal correction. The alatrofloxacin case adds one drug to the cohort count but does not add distinct pivotal papers not already counted in the trovafloxacin case file. The paper’s cohort denominator is adjusted accordingly to avoid double-counting the shared pivotal literature.</w:t>
      </w:r>
    </w:p>
    <w:p>
      <w:pPr>
        <w:pStyle w:val="BodyText"/>
      </w:pPr>
      <w:r>
        <w:rPr>
          <w:bCs/>
          <w:b/>
        </w:rPr>
        <w:t xml:space="preserve">Fenfluramine (Pondimin) and dexfenfluramine (Redux).</w:t>
      </w:r>
      <w:r>
        <w:t xml:space="preserve"> </w:t>
      </w:r>
      <w:r>
        <w:t xml:space="preserve">NDA 16-618 (fenfluramine, approved 1973) and NDA 20-419 (dexfenfluramine, approved 29 April 1996); voluntarily withdrawn 15 September 1997 for valvular heart disease and pulmonary hypertension. Analyzed jointly because the two share the “fen-phen” pivotal-trial evidence base and the same withdrawal event. Pivotal papers identified:</w:t>
      </w:r>
    </w:p>
    <w:tbl>
      <w:tblPr>
        <w:tblStyle w:val="Table"/>
        <w:tblW w:type="auto" w:w="0"/>
        <w:tblLook w:firstRow="1" w:lastRow="0" w:firstColumn="0" w:lastColumn="0" w:noHBand="0" w:noVBand="0" w:val="0020"/>
        <w:jc w:val="start"/>
      </w:tblPr>
      <w:tblGrid>
        <w:gridCol w:w="1980"/>
        <w:gridCol w:w="1980"/>
        <w:gridCol w:w="1980"/>
        <w:gridCol w:w="1980"/>
      </w:tblGrid>
      <w:tr>
        <w:trPr>
          <w:tblHeader w:val="true"/>
        </w:trPr>
        <w:tc>
          <w:tcPr/>
          <w:p>
            <w:pPr>
              <w:pStyle w:val="Compact"/>
              <w:jc w:val="left"/>
            </w:pPr>
            <w:r>
              <w:t xml:space="preserve">Paper</w:t>
            </w:r>
          </w:p>
        </w:tc>
        <w:tc>
          <w:tcPr/>
          <w:p>
            <w:pPr>
              <w:pStyle w:val="Compact"/>
              <w:jc w:val="left"/>
            </w:pPr>
            <w:r>
              <w:t xml:space="preserve">Journal, Year</w:t>
            </w:r>
          </w:p>
        </w:tc>
        <w:tc>
          <w:tcPr/>
          <w:p>
            <w:pPr>
              <w:pStyle w:val="Compact"/>
              <w:jc w:val="left"/>
            </w:pPr>
            <w:r>
              <w:t xml:space="preserve">Role</w:t>
            </w:r>
          </w:p>
        </w:tc>
        <w:tc>
          <w:tcPr/>
          <w:p>
            <w:pPr>
              <w:pStyle w:val="Compact"/>
              <w:jc w:val="left"/>
            </w:pPr>
            <w:r>
              <w:t xml:space="preserve">Status</w:t>
            </w:r>
          </w:p>
        </w:tc>
      </w:tr>
      <w:tr>
        <w:tc>
          <w:tcPr/>
          <w:p>
            <w:pPr>
              <w:pStyle w:val="Compact"/>
              <w:jc w:val="left"/>
            </w:pPr>
            <w:r>
              <w:t xml:space="preserve">Weintraub M et al. “A double-blind clinical trial in weight control: use of fenfluramine and phentermine alone and in combination”</w:t>
            </w:r>
          </w:p>
        </w:tc>
        <w:tc>
          <w:tcPr/>
          <w:p>
            <w:pPr>
              <w:pStyle w:val="Compact"/>
              <w:jc w:val="left"/>
            </w:pPr>
            <w:r>
              <w:rPr>
                <w:iCs/>
                <w:i/>
              </w:rPr>
              <w:t xml:space="preserve">Arch Intern Med</w:t>
            </w:r>
            <w:r>
              <w:t xml:space="preserve"> </w:t>
            </w:r>
            <w:r>
              <w:t xml:space="preserve">1984;144:1143-1148 (PMID 6375610)</w:t>
            </w:r>
          </w:p>
        </w:tc>
        <w:tc>
          <w:tcPr/>
          <w:p>
            <w:pPr>
              <w:pStyle w:val="Compact"/>
              <w:jc w:val="left"/>
            </w:pPr>
            <w:r>
              <w:t xml:space="preserve">Original combination pivotal</w:t>
            </w:r>
          </w:p>
        </w:tc>
        <w:tc>
          <w:tcPr/>
          <w:p>
            <w:pPr>
              <w:pStyle w:val="Compact"/>
              <w:jc w:val="left"/>
            </w:pPr>
            <w:r>
              <w:t xml:space="preserve">No formal action</w:t>
            </w:r>
          </w:p>
        </w:tc>
      </w:tr>
      <w:tr>
        <w:tc>
          <w:tcPr/>
          <w:p>
            <w:pPr>
              <w:pStyle w:val="Compact"/>
              <w:jc w:val="left"/>
            </w:pPr>
            <w:r>
              <w:t xml:space="preserve">Weintraub M “Long-term weight control: The National Heart, Lung, and Blood Institute funded multimodal intervention study”</w:t>
            </w:r>
          </w:p>
        </w:tc>
        <w:tc>
          <w:tcPr/>
          <w:p>
            <w:pPr>
              <w:pStyle w:val="Compact"/>
              <w:jc w:val="left"/>
            </w:pPr>
            <w:r>
              <w:rPr>
                <w:iCs/>
                <w:i/>
              </w:rPr>
              <w:t xml:space="preserve">Clin Pharmacol Ther</w:t>
            </w:r>
            <w:r>
              <w:t xml:space="preserve"> </w:t>
            </w:r>
            <w:r>
              <w:t xml:space="preserve">1992;51:581-585</w:t>
            </w:r>
          </w:p>
        </w:tc>
        <w:tc>
          <w:tcPr/>
          <w:p>
            <w:pPr>
              <w:pStyle w:val="Compact"/>
              <w:jc w:val="left"/>
            </w:pPr>
            <w:r>
              <w:t xml:space="preserve">Multi-part pivotal series (Studies I-VII)</w:t>
            </w:r>
          </w:p>
        </w:tc>
        <w:tc>
          <w:tcPr/>
          <w:p>
            <w:pPr>
              <w:pStyle w:val="Compact"/>
              <w:jc w:val="left"/>
            </w:pPr>
            <w:r>
              <w:t xml:space="preserve">Erratum (Clin Pharmacol Ther 1992;52:323): author-verified at audit as a routine non-safety correction predating the withdrawal signal; secondary endpoint A only</w:t>
            </w:r>
          </w:p>
        </w:tc>
      </w:tr>
      <w:tr>
        <w:tc>
          <w:tcPr/>
          <w:p>
            <w:pPr>
              <w:pStyle w:val="Compact"/>
              <w:jc w:val="left"/>
            </w:pPr>
            <w:r>
              <w:t xml:space="preserve">Weintraub M et al. “Long-term weight control study I (weeks 0 to 34)”</w:t>
            </w:r>
          </w:p>
        </w:tc>
        <w:tc>
          <w:tcPr/>
          <w:p>
            <w:pPr>
              <w:pStyle w:val="Compact"/>
              <w:jc w:val="left"/>
            </w:pPr>
            <w:r>
              <w:rPr>
                <w:iCs/>
                <w:i/>
              </w:rPr>
              <w:t xml:space="preserve">Clin Pharmacol Ther</w:t>
            </w:r>
            <w:r>
              <w:t xml:space="preserve"> </w:t>
            </w:r>
            <w:r>
              <w:t xml:space="preserve">1992;51:586-594</w:t>
            </w:r>
          </w:p>
        </w:tc>
        <w:tc>
          <w:tcPr/>
          <w:p>
            <w:pPr>
              <w:pStyle w:val="Compact"/>
              <w:jc w:val="left"/>
            </w:pPr>
            <w:r>
              <w:t xml:space="preserve">Pivotal series continuation</w:t>
            </w:r>
          </w:p>
        </w:tc>
        <w:tc>
          <w:tcPr/>
          <w:p>
            <w:pPr>
              <w:pStyle w:val="Compact"/>
              <w:jc w:val="left"/>
            </w:pPr>
            <w:r>
              <w:t xml:space="preserve">No formal action detected</w:t>
            </w:r>
          </w:p>
        </w:tc>
      </w:tr>
      <w:tr>
        <w:tc>
          <w:tcPr/>
          <w:p>
            <w:pPr>
              <w:pStyle w:val="Compact"/>
              <w:jc w:val="left"/>
            </w:pPr>
            <w:r>
              <w:t xml:space="preserve">Abenhaim L, Moride Y, Brenot F et al. “Appetite-suppressant drugs and the risk of primary pulmonary hypertension”</w:t>
            </w:r>
          </w:p>
        </w:tc>
        <w:tc>
          <w:tcPr/>
          <w:p>
            <w:pPr>
              <w:pStyle w:val="Compact"/>
              <w:jc w:val="left"/>
            </w:pPr>
            <w:r>
              <w:rPr>
                <w:iCs/>
                <w:i/>
              </w:rPr>
              <w:t xml:space="preserve">NEJM</w:t>
            </w:r>
            <w:r>
              <w:t xml:space="preserve"> </w:t>
            </w:r>
            <w:r>
              <w:t xml:space="preserve">1996;335:609-616</w:t>
            </w:r>
          </w:p>
        </w:tc>
        <w:tc>
          <w:tcPr/>
          <w:p>
            <w:pPr>
              <w:pStyle w:val="Compact"/>
              <w:jc w:val="left"/>
            </w:pPr>
            <w:r>
              <w:t xml:space="preserve">Pre-withdrawal harm-signal paper</w:t>
            </w:r>
          </w:p>
        </w:tc>
        <w:tc>
          <w:tcPr/>
          <w:p>
            <w:pPr>
              <w:pStyle w:val="Compact"/>
              <w:jc w:val="left"/>
            </w:pPr>
            <w:r>
              <w:t xml:space="preserve">Not applicable (harm-signal paper)</w:t>
            </w:r>
          </w:p>
        </w:tc>
      </w:tr>
      <w:tr>
        <w:tc>
          <w:tcPr/>
          <w:p>
            <w:pPr>
              <w:pStyle w:val="Compact"/>
              <w:jc w:val="left"/>
            </w:pPr>
            <w:r>
              <w:t xml:space="preserve">Connolly HM, Crary JL, McGoon MD et al. “Valvular heart disease associated with fenfluramine-phentermine”</w:t>
            </w:r>
          </w:p>
        </w:tc>
        <w:tc>
          <w:tcPr/>
          <w:p>
            <w:pPr>
              <w:pStyle w:val="Compact"/>
              <w:jc w:val="left"/>
            </w:pPr>
            <w:r>
              <w:rPr>
                <w:iCs/>
                <w:i/>
              </w:rPr>
              <w:t xml:space="preserve">NEJM</w:t>
            </w:r>
            <w:r>
              <w:t xml:space="preserve"> </w:t>
            </w:r>
            <w:r>
              <w:t xml:space="preserve">1997;337:581-588</w:t>
            </w:r>
          </w:p>
        </w:tc>
        <w:tc>
          <w:tcPr/>
          <w:p>
            <w:pPr>
              <w:pStyle w:val="Compact"/>
              <w:jc w:val="left"/>
            </w:pPr>
            <w:r>
              <w:t xml:space="preserve">Withdrawal-triggering paper</w:t>
            </w:r>
          </w:p>
        </w:tc>
        <w:tc>
          <w:tcPr/>
          <w:p>
            <w:pPr>
              <w:pStyle w:val="Compact"/>
              <w:jc w:val="left"/>
            </w:pPr>
            <w:r>
              <w:t xml:space="preserve">Erratum: NEJM 1997;337:1783, the withdrawal-triggering paper carries a formal correction; not a pivotal efficacy paper for the primary study endpoint</w:t>
            </w:r>
          </w:p>
        </w:tc>
      </w:tr>
    </w:tbl>
    <w:p>
      <w:pPr>
        <w:pStyle w:val="BodyText"/>
      </w:pPr>
      <w:r>
        <w:t xml:space="preserve">Two formal corrections in this case file, and neither meets the primary endpoint. The Weintraub 1992 erratum in</w:t>
      </w:r>
      <w:r>
        <w:t xml:space="preserve"> </w:t>
      </w:r>
      <w:r>
        <w:rPr>
          <w:iCs/>
          <w:i/>
        </w:rPr>
        <w:t xml:space="preserve">Clin Pharmacol Ther</w:t>
      </w:r>
      <w:r>
        <w:t xml:space="preserve"> </w:t>
      </w:r>
      <w:r>
        <w:t xml:space="preserve">is on a pivotal paper, but was verified by the author at audit, on the live record, to be a routine non-safety correction predating the withdrawal signal, so it meets secondary endpoint A only. The Connolly 1997 erratum is on the withdrawal-triggering paper, not a pivotal efficacy paper.</w:t>
      </w:r>
    </w:p>
    <w:p>
      <w:pPr>
        <w:pStyle w:val="BodyText"/>
      </w:pPr>
      <w:r>
        <w:t xml:space="preserve">Pattern classification: C, “class-effect / 5-HT2B receptor agonism” subtype. Pivotal weight-loss efficacy demonstrated; withdrawal for valvular disease via 5-HT2B receptor agonism, the same mechanism responsible for the later pergolide withdrawal.</w:t>
      </w:r>
    </w:p>
    <w:p>
      <w:pPr>
        <w:pStyle w:val="BodyText"/>
      </w:pPr>
      <w:r>
        <w:rPr>
          <w:bCs/>
          <w:b/>
        </w:rPr>
        <w:t xml:space="preserve">Gatifloxacin (Tequin).</w:t>
      </w:r>
      <w:r>
        <w:t xml:space="preserve"> </w:t>
      </w:r>
      <w:r>
        <w:t xml:space="preserve">NDA 21-061, approved 17 December 1999; withdrawn from US market May 2006 after Park-Wyllie et al. NEJM March 2006 established dysglycemia risk. Pivotal papers identified:</w:t>
      </w:r>
    </w:p>
    <w:tbl>
      <w:tblPr>
        <w:tblStyle w:val="Table"/>
        <w:tblW w:type="auto" w:w="0"/>
        <w:tblLook w:firstRow="1" w:lastRow="0" w:firstColumn="0" w:lastColumn="0" w:noHBand="0" w:noVBand="0" w:val="0020"/>
        <w:jc w:val="start"/>
      </w:tblPr>
      <w:tblGrid>
        <w:gridCol w:w="1980"/>
        <w:gridCol w:w="1980"/>
        <w:gridCol w:w="1980"/>
        <w:gridCol w:w="1980"/>
      </w:tblGrid>
      <w:tr>
        <w:trPr>
          <w:tblHeader w:val="true"/>
        </w:trPr>
        <w:tc>
          <w:tcPr/>
          <w:p>
            <w:pPr>
              <w:pStyle w:val="Compact"/>
              <w:jc w:val="left"/>
            </w:pPr>
            <w:r>
              <w:t xml:space="preserve">Paper</w:t>
            </w:r>
          </w:p>
        </w:tc>
        <w:tc>
          <w:tcPr/>
          <w:p>
            <w:pPr>
              <w:pStyle w:val="Compact"/>
              <w:jc w:val="left"/>
            </w:pPr>
            <w:r>
              <w:t xml:space="preserve">Journal, Year</w:t>
            </w:r>
          </w:p>
        </w:tc>
        <w:tc>
          <w:tcPr/>
          <w:p>
            <w:pPr>
              <w:pStyle w:val="Compact"/>
              <w:jc w:val="left"/>
            </w:pPr>
            <w:r>
              <w:t xml:space="preserve">Role</w:t>
            </w:r>
          </w:p>
        </w:tc>
        <w:tc>
          <w:tcPr/>
          <w:p>
            <w:pPr>
              <w:pStyle w:val="Compact"/>
              <w:jc w:val="left"/>
            </w:pPr>
            <w:r>
              <w:t xml:space="preserve">Status</w:t>
            </w:r>
          </w:p>
        </w:tc>
      </w:tr>
      <w:tr>
        <w:tc>
          <w:tcPr/>
          <w:p>
            <w:pPr>
              <w:pStyle w:val="Compact"/>
              <w:jc w:val="left"/>
            </w:pPr>
            <w:r>
              <w:t xml:space="preserve">US CAP registration trials 002 / 037 / 038 (FDA medical review, NDA 21-061)</w:t>
            </w:r>
          </w:p>
        </w:tc>
        <w:tc>
          <w:tcPr/>
          <w:p>
            <w:pPr>
              <w:pStyle w:val="Compact"/>
              <w:jc w:val="left"/>
            </w:pPr>
            <w:r>
              <w:t xml:space="preserve">Study 002 in</w:t>
            </w:r>
            <w:r>
              <w:t xml:space="preserve"> </w:t>
            </w:r>
            <w:r>
              <w:rPr>
                <w:iCs/>
                <w:i/>
              </w:rPr>
              <w:t xml:space="preserve">J Respir Dis</w:t>
            </w:r>
            <w:r>
              <w:t xml:space="preserve"> </w:t>
            </w:r>
            <w:r>
              <w:t xml:space="preserve">1999 (suppl); Studies 037 and 038 as ICAAC 1999 abstracts; 037 also as a</w:t>
            </w:r>
            <w:r>
              <w:t xml:space="preserve"> </w:t>
            </w:r>
            <w:r>
              <w:rPr>
                <w:iCs/>
                <w:i/>
              </w:rPr>
              <w:t xml:space="preserve">Chest</w:t>
            </w:r>
            <w:r>
              <w:t xml:space="preserve"> </w:t>
            </w:r>
            <w:r>
              <w:t xml:space="preserve">2001 cost-effectiveness sub-analysis</w:t>
            </w:r>
          </w:p>
        </w:tc>
        <w:tc>
          <w:tcPr/>
          <w:p>
            <w:pPr>
              <w:pStyle w:val="Compact"/>
              <w:jc w:val="left"/>
            </w:pPr>
            <w:r>
              <w:t xml:space="preserve">Pivotal efficacy for community-acquired pneumonia</w:t>
            </w:r>
          </w:p>
        </w:tc>
        <w:tc>
          <w:tcPr/>
          <w:p>
            <w:pPr>
              <w:pStyle w:val="Compact"/>
              <w:jc w:val="left"/>
            </w:pPr>
            <w:r>
              <w:t xml:space="preserve">No indexed primary efficacy paper to correct (published outside the PubMed-indexed record)</w:t>
            </w:r>
          </w:p>
        </w:tc>
      </w:tr>
      <w:tr>
        <w:tc>
          <w:tcPr/>
          <w:p>
            <w:pPr>
              <w:pStyle w:val="Compact"/>
              <w:jc w:val="left"/>
            </w:pPr>
            <w:r>
              <w:t xml:space="preserve">Park-Wyllie LY et al. “Outpatient gatifloxacin therapy and dysglycemia in older adults”</w:t>
            </w:r>
          </w:p>
        </w:tc>
        <w:tc>
          <w:tcPr/>
          <w:p>
            <w:pPr>
              <w:pStyle w:val="Compact"/>
              <w:jc w:val="left"/>
            </w:pPr>
            <w:r>
              <w:rPr>
                <w:iCs/>
                <w:i/>
              </w:rPr>
              <w:t xml:space="preserve">NEJM</w:t>
            </w:r>
            <w:r>
              <w:t xml:space="preserve"> </w:t>
            </w:r>
            <w:r>
              <w:t xml:space="preserve">2006;354:1352-60 (published online March 1, 2006)</w:t>
            </w:r>
          </w:p>
        </w:tc>
        <w:tc>
          <w:tcPr/>
          <w:p>
            <w:pPr>
              <w:pStyle w:val="Compact"/>
              <w:jc w:val="left"/>
            </w:pPr>
            <w:r>
              <w:t xml:space="preserve">Withdrawal-triggering case-control study</w:t>
            </w:r>
          </w:p>
        </w:tc>
        <w:tc>
          <w:tcPr/>
          <w:p>
            <w:pPr>
              <w:pStyle w:val="Compact"/>
              <w:jc w:val="left"/>
            </w:pPr>
            <w:r>
              <w:t xml:space="preserve">Not applicable (withdrawal-triggering)</w:t>
            </w:r>
          </w:p>
        </w:tc>
      </w:tr>
    </w:tbl>
    <w:p>
      <w:pPr>
        <w:pStyle w:val="BodyText"/>
      </w:pPr>
      <w:r>
        <w:t xml:space="preserve">Pattern classification: C, “unexpected metabolic harm” subtype. Antimicrobial efficacy correctly demonstrated. Withdrawal was for a metabolic-endocrine harm (dysglycemia via ATP-sensitive potassium channel blockade in pancreatic β-cells) not measured in the pivotal antimicrobial trials. The FDA medical review (NDA 21-061) names Studies 002, 037, and 038 as the controlled Phase III CAP trials, but their primary efficacy results were published only in a journal supplement and in conference abstracts, not as PubMed-indexed primary reports; the indexed gatifloxacin CAP literature consists of separately published international trials and post-approval studies, not these US pivotals. Gatifloxacin therefore falls in the published-outside-the-indexed-record category (S1.2.2), and there is no indexed pivotal paper on which a correction could operate.</w:t>
      </w:r>
    </w:p>
    <w:p>
      <w:pPr>
        <w:pStyle w:val="BodyText"/>
      </w:pPr>
      <w:r>
        <w:rPr>
          <w:bCs/>
          <w:b/>
        </w:rPr>
        <w:t xml:space="preserve">Pemoline (Cylert).</w:t>
      </w:r>
      <w:r>
        <w:t xml:space="preserve"> </w:t>
      </w:r>
      <w:r>
        <w:t xml:space="preserve">NDA 16-832 approved 1975; NDA 17-703 chewable form approved 1975; brand withdrawn by Abbott May 2005 and remaining generics FDA-withdrawn October 2005. Central nervous system stimulant for ADHD. Pivotal papers identified (Tier 2 predominant, pre-1995 approval, FDA archives incomplete):</w:t>
      </w:r>
    </w:p>
    <w:tbl>
      <w:tblPr>
        <w:tblStyle w:val="Table"/>
        <w:tblW w:type="auto" w:w="0"/>
        <w:tblLook w:firstRow="1" w:lastRow="0" w:firstColumn="0" w:lastColumn="0" w:noHBand="0" w:noVBand="0" w:val="0020"/>
        <w:jc w:val="start"/>
      </w:tblPr>
      <w:tblGrid>
        <w:gridCol w:w="1980"/>
        <w:gridCol w:w="1980"/>
        <w:gridCol w:w="1980"/>
        <w:gridCol w:w="1980"/>
      </w:tblGrid>
      <w:tr>
        <w:trPr>
          <w:tblHeader w:val="true"/>
        </w:trPr>
        <w:tc>
          <w:tcPr/>
          <w:p>
            <w:pPr>
              <w:pStyle w:val="Compact"/>
              <w:jc w:val="left"/>
            </w:pPr>
            <w:r>
              <w:t xml:space="preserve">Paper</w:t>
            </w:r>
          </w:p>
        </w:tc>
        <w:tc>
          <w:tcPr/>
          <w:p>
            <w:pPr>
              <w:pStyle w:val="Compact"/>
              <w:jc w:val="left"/>
            </w:pPr>
            <w:r>
              <w:t xml:space="preserve">Journal, Year</w:t>
            </w:r>
          </w:p>
        </w:tc>
        <w:tc>
          <w:tcPr/>
          <w:p>
            <w:pPr>
              <w:pStyle w:val="Compact"/>
              <w:jc w:val="left"/>
            </w:pPr>
            <w:r>
              <w:t xml:space="preserve">Role</w:t>
            </w:r>
          </w:p>
        </w:tc>
        <w:tc>
          <w:tcPr/>
          <w:p>
            <w:pPr>
              <w:pStyle w:val="Compact"/>
              <w:jc w:val="left"/>
            </w:pPr>
            <w:r>
              <w:t xml:space="preserve">Status</w:t>
            </w:r>
          </w:p>
        </w:tc>
      </w:tr>
      <w:tr>
        <w:tc>
          <w:tcPr/>
          <w:p>
            <w:pPr>
              <w:pStyle w:val="Compact"/>
              <w:jc w:val="left"/>
            </w:pPr>
            <w:r>
              <w:t xml:space="preserve">Pre-approval efficacy trials, 1970-1974</w:t>
            </w:r>
          </w:p>
        </w:tc>
        <w:tc>
          <w:tcPr/>
          <w:p>
            <w:pPr>
              <w:pStyle w:val="Compact"/>
              <w:jc w:val="left"/>
            </w:pPr>
            <w:r>
              <w:t xml:space="preserve">Various pediatrics and psychopharmacology journals</w:t>
            </w:r>
          </w:p>
        </w:tc>
        <w:tc>
          <w:tcPr/>
          <w:p>
            <w:pPr>
              <w:pStyle w:val="Compact"/>
              <w:jc w:val="left"/>
            </w:pPr>
            <w:r>
              <w:t xml:space="preserve">Pivotal efficacy for ADHD</w:t>
            </w:r>
          </w:p>
        </w:tc>
        <w:tc>
          <w:tcPr/>
          <w:p>
            <w:pPr>
              <w:pStyle w:val="Compact"/>
              <w:jc w:val="left"/>
            </w:pPr>
            <w:r>
              <w:t xml:space="preserve">No formal action detected</w:t>
            </w:r>
          </w:p>
        </w:tc>
      </w:tr>
      <w:tr>
        <w:tc>
          <w:tcPr/>
          <w:p>
            <w:pPr>
              <w:pStyle w:val="Compact"/>
              <w:jc w:val="left"/>
            </w:pPr>
            <w:r>
              <w:t xml:space="preserve">Marks DH, Breggin PR, Braslow K “Pemoline hepatotoxicity and postmarketing surveillance”</w:t>
            </w:r>
          </w:p>
        </w:tc>
        <w:tc>
          <w:tcPr/>
          <w:p>
            <w:pPr>
              <w:pStyle w:val="Compact"/>
              <w:jc w:val="left"/>
            </w:pPr>
            <w:r>
              <w:rPr>
                <w:iCs/>
                <w:i/>
              </w:rPr>
              <w:t xml:space="preserve">Ann Pharmacother</w:t>
            </w:r>
            <w:r>
              <w:t xml:space="preserve"> </w:t>
            </w:r>
            <w:r>
              <w:t xml:space="preserve">2001</w:t>
            </w:r>
          </w:p>
        </w:tc>
        <w:tc>
          <w:tcPr/>
          <w:p>
            <w:pPr>
              <w:pStyle w:val="Compact"/>
              <w:jc w:val="left"/>
            </w:pPr>
            <w:r>
              <w:t xml:space="preserve">Post-approval retrospective on FDA MedWatch reports</w:t>
            </w:r>
          </w:p>
        </w:tc>
        <w:tc>
          <w:tcPr/>
          <w:p>
            <w:pPr>
              <w:pStyle w:val="Compact"/>
              <w:jc w:val="left"/>
            </w:pPr>
            <w:r>
              <w:t xml:space="preserve">Not applicable (post-approval analysis)</w:t>
            </w:r>
          </w:p>
        </w:tc>
      </w:tr>
    </w:tbl>
    <w:p>
      <w:pPr>
        <w:pStyle w:val="BodyText"/>
      </w:pPr>
      <w:r>
        <w:t xml:space="preserve">Notable methodological finding: Marks et al. 2001 explicitly documents that “in premarketing clinical trials with pemoline in the early 1970s, hepatic abnormalities were noted in enzyme levels (1%-3% of youths receiving maintenance treatment), during rechallenges (6 of 6), and in biopsies (2 of 2).” The hepatotoxicity signal existed in the pre-approval data. Pemoline's registration efficacy trials were published (for example Page et al., J Learn Disabil 1974, a double-blind controlled study in 413 children), but in journals that predate MEDLINE indexing, so they carry no PubMed record; the pemoline papers that are PubMed-indexed are post-approval. Pemoline therefore falls in the published-outside-the-indexed-record category (S1.2.2): its pivotal evidence exists but is not reachable through standard bibliographic infrastructure, so there is no indexed pivotal paper on which a correction could operate.</w:t>
      </w:r>
    </w:p>
    <w:p>
      <w:pPr>
        <w:pStyle w:val="BodyText"/>
      </w:pPr>
      <w:r>
        <w:t xml:space="preserve">Pattern classification: C with a distinctive “known-at-approval, published only in FDA-internal record” wrinkle, structurally similar to bepridil; its pivotal literature is real but outside the PubMed-indexed record.</w:t>
      </w:r>
    </w:p>
    <w:p>
      <w:pPr>
        <w:pStyle w:val="BodyText"/>
      </w:pPr>
      <w:r>
        <w:rPr>
          <w:bCs/>
          <w:b/>
        </w:rPr>
        <w:t xml:space="preserve">Technetium (99mTc) fanolesomab (NeutroSpec).</w:t>
      </w:r>
      <w:r>
        <w:t xml:space="preserve"> </w:t>
      </w:r>
      <w:r>
        <w:t xml:space="preserve">BLA approved 17 June 2004; suspended 19 December 2005 (~18 months on market) after two deaths and 15 additional serious cardiopulmonary events. Radiolabeled murine IgM monoclonal antibody for scintigraphic imaging of appendicitis in patients ≥5 years. Pivotal papers identified:</w:t>
      </w:r>
    </w:p>
    <w:tbl>
      <w:tblPr>
        <w:tblStyle w:val="Table"/>
        <w:tblW w:type="auto" w:w="0"/>
        <w:tblLook w:firstRow="1" w:lastRow="0" w:firstColumn="0" w:lastColumn="0" w:noHBand="0" w:noVBand="0" w:val="0020"/>
        <w:jc w:val="start"/>
      </w:tblPr>
      <w:tblGrid>
        <w:gridCol w:w="1980"/>
        <w:gridCol w:w="1980"/>
        <w:gridCol w:w="1980"/>
        <w:gridCol w:w="1980"/>
      </w:tblGrid>
      <w:tr>
        <w:trPr>
          <w:tblHeader w:val="true"/>
        </w:trPr>
        <w:tc>
          <w:tcPr/>
          <w:p>
            <w:pPr>
              <w:pStyle w:val="Compact"/>
              <w:jc w:val="left"/>
            </w:pPr>
            <w:r>
              <w:t xml:space="preserve">Paper</w:t>
            </w:r>
          </w:p>
        </w:tc>
        <w:tc>
          <w:tcPr/>
          <w:p>
            <w:pPr>
              <w:pStyle w:val="Compact"/>
              <w:jc w:val="left"/>
            </w:pPr>
            <w:r>
              <w:t xml:space="preserve">Journal, Year</w:t>
            </w:r>
          </w:p>
        </w:tc>
        <w:tc>
          <w:tcPr/>
          <w:p>
            <w:pPr>
              <w:pStyle w:val="Compact"/>
              <w:jc w:val="left"/>
            </w:pPr>
            <w:r>
              <w:t xml:space="preserve">Role</w:t>
            </w:r>
          </w:p>
        </w:tc>
        <w:tc>
          <w:tcPr/>
          <w:p>
            <w:pPr>
              <w:pStyle w:val="Compact"/>
              <w:jc w:val="left"/>
            </w:pPr>
            <w:r>
              <w:t xml:space="preserve">Status</w:t>
            </w:r>
          </w:p>
        </w:tc>
      </w:tr>
      <w:tr>
        <w:tc>
          <w:tcPr/>
          <w:p>
            <w:pPr>
              <w:pStyle w:val="Compact"/>
              <w:jc w:val="left"/>
            </w:pPr>
            <w:r>
              <w:t xml:space="preserve">Study 97-003 (Phase 2, N=56) and Study 98-004 (Phase 3, N=203), FDA medical review, BLA 103928</w:t>
            </w:r>
          </w:p>
        </w:tc>
        <w:tc>
          <w:tcPr/>
          <w:p>
            <w:pPr>
              <w:pStyle w:val="Compact"/>
              <w:jc w:val="left"/>
            </w:pPr>
            <w:r>
              <w:t xml:space="preserve">Kipper SL et al.,</w:t>
            </w:r>
            <w:r>
              <w:t xml:space="preserve"> </w:t>
            </w:r>
            <w:r>
              <w:rPr>
                <w:iCs/>
                <w:i/>
              </w:rPr>
              <w:t xml:space="preserve">J Nucl Med</w:t>
            </w:r>
            <w:r>
              <w:t xml:space="preserve"> </w:t>
            </w:r>
            <w:r>
              <w:t xml:space="preserve">2000;41:449-55 (PMID 10716317) and the LeuTech multicenter appendicitis-imaging report (PMID 11807363)</w:t>
            </w:r>
          </w:p>
        </w:tc>
        <w:tc>
          <w:tcPr/>
          <w:p>
            <w:pPr>
              <w:pStyle w:val="Compact"/>
              <w:jc w:val="left"/>
            </w:pPr>
            <w:r>
              <w:t xml:space="preserve">Pivotal diagnostic-accuracy efficacy</w:t>
            </w:r>
          </w:p>
        </w:tc>
        <w:tc>
          <w:tcPr/>
          <w:p>
            <w:pPr>
              <w:pStyle w:val="Compact"/>
              <w:jc w:val="left"/>
            </w:pPr>
            <w:r>
              <w:t xml:space="preserve">No formal action (author-verified on both PubMed records)</w:t>
            </w:r>
          </w:p>
        </w:tc>
      </w:tr>
    </w:tbl>
    <w:p>
      <w:pPr>
        <w:pStyle w:val="BodyText"/>
      </w:pPr>
      <w:r>
        <w:t xml:space="preserve">Notable: NeutroSpec's two pivotal diagnostic-accuracy trials are fully published and PubMed-indexed under the drug's earlier trade name LeuTech (fanolesomab, LeuTech, and NeutroSpec are the same agent). The trials are FDA-confirmed (studies 97-003 and 98-004) with indexed primary reports, so NeutroSpec is reclassified out of the thin or unpublished category. A published-figure detail worth noting: the Phase 3 sensitivity reported in PMID 11807363 (about 90 percent, investigator read) is higher than the blinded central-read sensitivity in the FDA primary analysis (75 percent), a published-versus-FDA-analysis gap, not a correction. Neither pivotal paper carries any correction.</w:t>
      </w:r>
    </w:p>
    <w:p>
      <w:pPr>
        <w:pStyle w:val="BodyText"/>
      </w:pPr>
      <w:r>
        <w:t xml:space="preserve">Pattern classification: C, “acute infusion reaction” subtype. Diagnostic accuracy was demonstrated in pivotal trials; withdrawal was for acute cardiopulmonary reactions occurring within minutes of injection, an infusion-reaction risk not systematically characterized in pivotal accuracy studies.</w:t>
      </w:r>
    </w:p>
    <w:p>
      <w:pPr>
        <w:pStyle w:val="BodyText"/>
      </w:pPr>
      <w:r>
        <w:rPr>
          <w:bCs/>
          <w:b/>
        </w:rPr>
        <w:t xml:space="preserve">Alphacetylmethadol and levacetylmethadol (LAAM / L-LAAM, ORLAAM).</w:t>
      </w:r>
      <w:r>
        <w:t xml:space="preserve"> </w:t>
      </w:r>
      <w:r>
        <w:t xml:space="preserve">NDA 20-315 approved 9 July 1993; Roxane Laboratories notified FDA of discontinuation 10 April 2003; FDA formally withdrew approval effective 7 December 2007. Border case: the 2011 FDA Federal Register determination categorizes the withdrawal as</w:t>
      </w:r>
      <w:r>
        <w:t xml:space="preserve"> </w:t>
      </w:r>
      <w:r>
        <w:rPr>
          <w:iCs/>
          <w:i/>
        </w:rPr>
        <w:t xml:space="preserve">not for safety or effectiveness</w:t>
      </w:r>
      <w:r>
        <w:t xml:space="preserve"> </w:t>
      </w:r>
      <w:r>
        <w:t xml:space="preserve">despite the EU’s 2001 safety-driven withdrawal. Onakpoya 2016 lists LAAM as a safety withdrawal on the strength of the EU action and the QT signal. We include LAAM in the primary cohort with a border-case note. Pivotal papers identified:</w:t>
      </w:r>
    </w:p>
    <w:tbl>
      <w:tblPr>
        <w:tblStyle w:val="Table"/>
        <w:tblW w:type="auto" w:w="0"/>
        <w:tblLook w:firstRow="1" w:lastRow="0" w:firstColumn="0" w:lastColumn="0" w:noHBand="0" w:noVBand="0" w:val="0020"/>
        <w:jc w:val="start"/>
      </w:tblPr>
      <w:tblGrid>
        <w:gridCol w:w="1980"/>
        <w:gridCol w:w="1980"/>
        <w:gridCol w:w="1980"/>
        <w:gridCol w:w="1980"/>
      </w:tblGrid>
      <w:tr>
        <w:trPr>
          <w:tblHeader w:val="true"/>
        </w:trPr>
        <w:tc>
          <w:tcPr/>
          <w:p>
            <w:pPr>
              <w:pStyle w:val="Compact"/>
              <w:jc w:val="left"/>
            </w:pPr>
            <w:r>
              <w:t xml:space="preserve">Paper</w:t>
            </w:r>
          </w:p>
        </w:tc>
        <w:tc>
          <w:tcPr/>
          <w:p>
            <w:pPr>
              <w:pStyle w:val="Compact"/>
              <w:jc w:val="left"/>
            </w:pPr>
            <w:r>
              <w:t xml:space="preserve">Journal, Year</w:t>
            </w:r>
          </w:p>
        </w:tc>
        <w:tc>
          <w:tcPr/>
          <w:p>
            <w:pPr>
              <w:pStyle w:val="Compact"/>
              <w:jc w:val="left"/>
            </w:pPr>
            <w:r>
              <w:t xml:space="preserve">Role</w:t>
            </w:r>
          </w:p>
        </w:tc>
        <w:tc>
          <w:tcPr/>
          <w:p>
            <w:pPr>
              <w:pStyle w:val="Compact"/>
              <w:jc w:val="left"/>
            </w:pPr>
            <w:r>
              <w:t xml:space="preserve">Status</w:t>
            </w:r>
          </w:p>
        </w:tc>
      </w:tr>
      <w:tr>
        <w:tc>
          <w:tcPr/>
          <w:p>
            <w:pPr>
              <w:pStyle w:val="Compact"/>
              <w:jc w:val="left"/>
            </w:pPr>
            <w:r>
              <w:t xml:space="preserve">Johnson RE, Chutuape MA, Strain EC et al. “A comparison of levomethadyl acetate, buprenorphine, and methadone for opioid dependence”</w:t>
            </w:r>
          </w:p>
        </w:tc>
        <w:tc>
          <w:tcPr/>
          <w:p>
            <w:pPr>
              <w:pStyle w:val="Compact"/>
              <w:jc w:val="left"/>
            </w:pPr>
            <w:r>
              <w:rPr>
                <w:iCs/>
                <w:i/>
              </w:rPr>
              <w:t xml:space="preserve">NEJM</w:t>
            </w:r>
            <w:r>
              <w:t xml:space="preserve"> </w:t>
            </w:r>
            <w:r>
              <w:t xml:space="preserve">2000;343:1290-1297</w:t>
            </w:r>
          </w:p>
        </w:tc>
        <w:tc>
          <w:tcPr/>
          <w:p>
            <w:pPr>
              <w:pStyle w:val="Compact"/>
              <w:jc w:val="left"/>
            </w:pPr>
            <w:r>
              <w:t xml:space="preserve">Pivotal comparative efficacy</w:t>
            </w:r>
          </w:p>
        </w:tc>
        <w:tc>
          <w:tcPr/>
          <w:p>
            <w:pPr>
              <w:pStyle w:val="Compact"/>
              <w:jc w:val="left"/>
            </w:pPr>
            <w:r>
              <w:t xml:space="preserve">No formal action</w:t>
            </w:r>
          </w:p>
        </w:tc>
      </w:tr>
      <w:tr>
        <w:tc>
          <w:tcPr/>
          <w:p>
            <w:pPr>
              <w:pStyle w:val="Compact"/>
              <w:jc w:val="left"/>
            </w:pPr>
            <w:r>
              <w:t xml:space="preserve">Early clinical studies of LAAM (1970s-1980s)</w:t>
            </w:r>
          </w:p>
        </w:tc>
        <w:tc>
          <w:tcPr/>
          <w:p>
            <w:pPr>
              <w:pStyle w:val="Compact"/>
              <w:jc w:val="left"/>
            </w:pPr>
            <w:r>
              <w:t xml:space="preserve">Various addiction medicine journals</w:t>
            </w:r>
          </w:p>
        </w:tc>
        <w:tc>
          <w:tcPr/>
          <w:p>
            <w:pPr>
              <w:pStyle w:val="Compact"/>
              <w:jc w:val="left"/>
            </w:pPr>
            <w:r>
              <w:t xml:space="preserve">Pre-approval pivotal</w:t>
            </w:r>
          </w:p>
        </w:tc>
        <w:tc>
          <w:tcPr/>
          <w:p>
            <w:pPr>
              <w:pStyle w:val="Compact"/>
              <w:jc w:val="left"/>
            </w:pPr>
            <w:r>
              <w:t xml:space="preserve">No formal action detected</w:t>
            </w:r>
          </w:p>
        </w:tc>
      </w:tr>
      <w:tr>
        <w:tc>
          <w:tcPr/>
          <w:p>
            <w:pPr>
              <w:pStyle w:val="Compact"/>
              <w:jc w:val="left"/>
            </w:pPr>
            <w:r>
              <w:t xml:space="preserve">Deamer RL et al. “Torsades de pointes associated with high dose levomethadyl acetate (ORLAAM)”</w:t>
            </w:r>
          </w:p>
        </w:tc>
        <w:tc>
          <w:tcPr/>
          <w:p>
            <w:pPr>
              <w:pStyle w:val="Compact"/>
              <w:jc w:val="left"/>
            </w:pPr>
            <w:r>
              <w:rPr>
                <w:iCs/>
                <w:i/>
              </w:rPr>
              <w:t xml:space="preserve">J Addict Dis</w:t>
            </w:r>
            <w:r>
              <w:t xml:space="preserve"> </w:t>
            </w:r>
            <w:r>
              <w:t xml:space="preserve">2001</w:t>
            </w:r>
          </w:p>
        </w:tc>
        <w:tc>
          <w:tcPr/>
          <w:p>
            <w:pPr>
              <w:pStyle w:val="Compact"/>
              <w:jc w:val="left"/>
            </w:pPr>
            <w:r>
              <w:t xml:space="preserve">Post-approval harm report</w:t>
            </w:r>
          </w:p>
        </w:tc>
        <w:tc>
          <w:tcPr/>
          <w:p>
            <w:pPr>
              <w:pStyle w:val="Compact"/>
              <w:jc w:val="left"/>
            </w:pPr>
            <w:r>
              <w:t xml:space="preserve">Not applicable</w:t>
            </w:r>
          </w:p>
        </w:tc>
      </w:tr>
    </w:tbl>
    <w:p>
      <w:pPr>
        <w:pStyle w:val="BodyText"/>
      </w:pPr>
      <w:r>
        <w:t xml:space="preserve">Pattern classification: C, drug-interaction / QT subtype. Pivotal efficacy for opioid-dependence maintenance correctly demonstrated. Withdrawal was for QT prolongation and drug-drug interactions in a patient population commonly co-medicated with other QT-prolonging drugs. No pivotal paper carries any correction.</w:t>
      </w:r>
    </w:p>
    <w:p>
      <w:pPr>
        <w:pStyle w:val="BodyText"/>
      </w:pPr>
      <w:r>
        <w:rPr>
          <w:bCs/>
          <w:b/>
        </w:rPr>
        <w:t xml:space="preserve">Alosetron (Lotronex).</w:t>
      </w:r>
      <w:r>
        <w:t xml:space="preserve"> </w:t>
      </w:r>
      <w:r>
        <w:t xml:space="preserve">NDA 21-107 approved 9 February 2000; voluntarily withdrawn 28 November 2000 for ischemic colitis after only 9 months on market; reintroduced 7 June 2002 under a restricted prescribing program with reduced dose and requirement that clinicians and patients follow a formal risk management plan. Currently the only 5-HT3 antagonist FDA-approved for IBS-D in women. Pivotal papers identified:</w:t>
      </w:r>
    </w:p>
    <w:tbl>
      <w:tblPr>
        <w:tblStyle w:val="Table"/>
        <w:tblW w:type="auto" w:w="0"/>
        <w:tblLook w:firstRow="1" w:lastRow="0" w:firstColumn="0" w:lastColumn="0" w:noHBand="0" w:noVBand="0" w:val="0020"/>
        <w:jc w:val="start"/>
      </w:tblPr>
      <w:tblGrid>
        <w:gridCol w:w="1980"/>
        <w:gridCol w:w="1980"/>
        <w:gridCol w:w="1980"/>
        <w:gridCol w:w="1980"/>
      </w:tblGrid>
      <w:tr>
        <w:trPr>
          <w:tblHeader w:val="true"/>
        </w:trPr>
        <w:tc>
          <w:tcPr/>
          <w:p>
            <w:pPr>
              <w:pStyle w:val="Compact"/>
              <w:jc w:val="left"/>
            </w:pPr>
            <w:r>
              <w:t xml:space="preserve">Paper</w:t>
            </w:r>
          </w:p>
        </w:tc>
        <w:tc>
          <w:tcPr/>
          <w:p>
            <w:pPr>
              <w:pStyle w:val="Compact"/>
              <w:jc w:val="left"/>
            </w:pPr>
            <w:r>
              <w:t xml:space="preserve">Journal, Year</w:t>
            </w:r>
          </w:p>
        </w:tc>
        <w:tc>
          <w:tcPr/>
          <w:p>
            <w:pPr>
              <w:pStyle w:val="Compact"/>
              <w:jc w:val="left"/>
            </w:pPr>
            <w:r>
              <w:t xml:space="preserve">Role</w:t>
            </w:r>
          </w:p>
        </w:tc>
        <w:tc>
          <w:tcPr/>
          <w:p>
            <w:pPr>
              <w:pStyle w:val="Compact"/>
              <w:jc w:val="left"/>
            </w:pPr>
            <w:r>
              <w:t xml:space="preserve">Status</w:t>
            </w:r>
          </w:p>
        </w:tc>
      </w:tr>
      <w:tr>
        <w:tc>
          <w:tcPr/>
          <w:p>
            <w:pPr>
              <w:pStyle w:val="Compact"/>
              <w:jc w:val="left"/>
            </w:pPr>
            <w:r>
              <w:t xml:space="preserve">Camilleri M, Northcutt AR, Kong S et al. “Efficacy and safety of alosetron in women with irritable bowel syndrome: a randomized, placebo-controlled trial”</w:t>
            </w:r>
          </w:p>
        </w:tc>
        <w:tc>
          <w:tcPr/>
          <w:p>
            <w:pPr>
              <w:pStyle w:val="Compact"/>
              <w:jc w:val="left"/>
            </w:pPr>
            <w:r>
              <w:rPr>
                <w:iCs/>
                <w:i/>
              </w:rPr>
              <w:t xml:space="preserve">Lancet</w:t>
            </w:r>
            <w:r>
              <w:t xml:space="preserve"> </w:t>
            </w:r>
            <w:r>
              <w:t xml:space="preserve">2000;355:1035-1040</w:t>
            </w:r>
          </w:p>
        </w:tc>
        <w:tc>
          <w:tcPr/>
          <w:p>
            <w:pPr>
              <w:pStyle w:val="Compact"/>
              <w:jc w:val="left"/>
            </w:pPr>
            <w:r>
              <w:t xml:space="preserve">Pivotal Phase III</w:t>
            </w:r>
          </w:p>
        </w:tc>
        <w:tc>
          <w:tcPr/>
          <w:p>
            <w:pPr>
              <w:pStyle w:val="Compact"/>
              <w:jc w:val="left"/>
            </w:pPr>
            <w:r>
              <w:t xml:space="preserve">No formal action</w:t>
            </w:r>
          </w:p>
        </w:tc>
      </w:tr>
      <w:tr>
        <w:tc>
          <w:tcPr/>
          <w:p>
            <w:pPr>
              <w:pStyle w:val="Compact"/>
              <w:jc w:val="left"/>
            </w:pPr>
            <w:r>
              <w:t xml:space="preserve">Camilleri M et al.</w:t>
            </w:r>
          </w:p>
        </w:tc>
        <w:tc>
          <w:tcPr/>
          <w:p>
            <w:pPr>
              <w:pStyle w:val="Compact"/>
              <w:jc w:val="left"/>
            </w:pPr>
            <w:r>
              <w:t xml:space="preserve">Subsequent pivotal trials 2000-2001</w:t>
            </w:r>
          </w:p>
        </w:tc>
        <w:tc>
          <w:tcPr/>
          <w:p>
            <w:pPr>
              <w:pStyle w:val="Compact"/>
              <w:jc w:val="left"/>
            </w:pPr>
            <w:r>
              <w:t xml:space="preserve">Pivotal efficacy</w:t>
            </w:r>
          </w:p>
        </w:tc>
        <w:tc>
          <w:tcPr/>
          <w:p>
            <w:pPr>
              <w:pStyle w:val="Compact"/>
              <w:jc w:val="left"/>
            </w:pPr>
            <w:r>
              <w:t xml:space="preserve">No formal action</w:t>
            </w:r>
          </w:p>
        </w:tc>
      </w:tr>
      <w:tr>
        <w:tc>
          <w:tcPr/>
          <w:p>
            <w:pPr>
              <w:pStyle w:val="Compact"/>
              <w:jc w:val="left"/>
            </w:pPr>
            <w:r>
              <w:t xml:space="preserve">Barbehenn E, Lurie P, Wolfe SM “Alosetron for irritable bowel syndrome”</w:t>
            </w:r>
          </w:p>
        </w:tc>
        <w:tc>
          <w:tcPr/>
          <w:p>
            <w:pPr>
              <w:pStyle w:val="Compact"/>
              <w:jc w:val="left"/>
            </w:pPr>
            <w:r>
              <w:rPr>
                <w:iCs/>
                <w:i/>
              </w:rPr>
              <w:t xml:space="preserve">Lancet</w:t>
            </w:r>
            <w:r>
              <w:t xml:space="preserve"> </w:t>
            </w:r>
            <w:r>
              <w:t xml:space="preserve">2000;356(9246):2009-10</w:t>
            </w:r>
          </w:p>
        </w:tc>
        <w:tc>
          <w:tcPr/>
          <w:p>
            <w:pPr>
              <w:pStyle w:val="Compact"/>
              <w:jc w:val="left"/>
            </w:pPr>
            <w:r>
              <w:t xml:space="preserve">Post-approval commentary</w:t>
            </w:r>
          </w:p>
        </w:tc>
        <w:tc>
          <w:tcPr/>
          <w:p>
            <w:pPr>
              <w:pStyle w:val="Compact"/>
              <w:jc w:val="left"/>
            </w:pPr>
            <w:r>
              <w:t xml:space="preserve">Not applicable (commentary)</w:t>
            </w:r>
          </w:p>
        </w:tc>
      </w:tr>
    </w:tbl>
    <w:p>
      <w:pPr>
        <w:pStyle w:val="BodyText"/>
      </w:pPr>
      <w:r>
        <w:t xml:space="preserve">Pattern classification: C with a distinctive “pre-approval-signal known, post-approval-rate exceeded” subtype. The pivotal literature noted three cases of ischemic colitis in 832 alosetron-treated patients (1/277) versus zero in 700 placebo patients, the signal existed at approval. Post-approval reporting rates exceeded pre-approval frequency, triggering withdrawal. Reintroduction with risk management plan permitted continued use in a restricted patient population. Notable: this is another case (like bepridil) where the pivotal literature</w:t>
      </w:r>
      <w:r>
        <w:t xml:space="preserve"> </w:t>
      </w:r>
      <w:r>
        <w:rPr>
          <w:iCs/>
          <w:i/>
        </w:rPr>
        <w:t xml:space="preserve">did</w:t>
      </w:r>
      <w:r>
        <w:t xml:space="preserve"> </w:t>
      </w:r>
      <w:r>
        <w:t xml:space="preserve">record the harm signal but no correction attached even after the harm proved decisive for regulatory action. No pivotal paper carries any correction.</w:t>
      </w:r>
    </w:p>
    <w:bookmarkEnd w:id="29"/>
    <w:bookmarkStart w:id="30" w:name="s127-cohort-synthesis"/>
    <w:p>
      <w:pPr>
        <w:pStyle w:val="Heading3"/>
      </w:pPr>
      <w:r>
        <w:t xml:space="preserve">S1.2.7 Cohort synthesis</w:t>
      </w:r>
    </w:p>
    <w:p>
      <w:pPr>
        <w:pStyle w:val="FirstParagraph"/>
      </w:pPr>
      <w:r>
        <w:t xml:space="preserve">Across the complete 31-drug cohort, we identified 66 indexed pivotal efficacy papers (63 in the strict 29-drug primary cohort). One formal correction action attaches to a pivotal efficacy paper: the VIGOR Expression of Concern (Bombardier et al., NEJM 2000). The Weintraub 1992</w:t>
      </w:r>
      <w:r>
        <w:t xml:space="preserve"> </w:t>
      </w:r>
      <w:r>
        <w:rPr>
          <w:iCs/>
          <w:i/>
        </w:rPr>
        <w:t xml:space="preserve">Clin Pharmacol Ther</w:t>
      </w:r>
      <w:r>
        <w:t xml:space="preserve"> </w:t>
      </w:r>
      <w:r>
        <w:t xml:space="preserve">erratum, which attaches to a pivotal paper, was verified at audit on the live record to be a routine non-safety correction predating the withdrawal signal; it meets secondary endpoint A only and does not affect the primary endpoint. The final cohort finding is one formal safety-related correction across 66 indexed pivotal papers (one of 63 in the strict primary cohort).</w:t>
      </w:r>
    </w:p>
    <w:p>
      <w:pPr>
        <w:pStyle w:val="BodyText"/>
      </w:pPr>
      <w:r>
        <w:t xml:space="preserve">Final cohort rate: one of 66 indexed pivotal papers in the 31-drug analyzed set (approximately 1.5 percent); one of 63 in the 29-drug primary cohort (approximately 1.6 percent) safety-related formal action; 0 percent retractions.</w:t>
      </w:r>
    </w:p>
    <w:p>
      <w:pPr>
        <w:pStyle w:val="BodyText"/>
      </w:pPr>
      <w:r>
        <w:t xml:space="preserve">This rate has stabilized as the cohort completed, converging on the range predicted at N=15 and N=20. The finding is now supported by drugs approved through five distinct regulatory pathways and spanning eighteen therapeutic classes under the study taxonomy, versus seventeen in the strict 29-drug primary cohort.</w:t>
      </w:r>
    </w:p>
    <w:bookmarkEnd w:id="30"/>
    <w:bookmarkStart w:id="31" w:name="s128-pattern-distribution"/>
    <w:p>
      <w:pPr>
        <w:pStyle w:val="Heading3"/>
      </w:pPr>
      <w:r>
        <w:t xml:space="preserve">S1.2.8 Pattern distribution</w:t>
      </w:r>
    </w:p>
    <w:p>
      <w:pPr>
        <w:numPr>
          <w:ilvl w:val="0"/>
          <w:numId w:val="1001"/>
        </w:numPr>
      </w:pPr>
      <w:r>
        <w:t xml:space="preserve">Pattern A element present: 1 case (VIGOR / rofecoxib)</w:t>
      </w:r>
    </w:p>
    <w:p>
      <w:pPr>
        <w:numPr>
          <w:ilvl w:val="0"/>
          <w:numId w:val="1001"/>
        </w:numPr>
      </w:pPr>
      <w:r>
        <w:t xml:space="preserve">Pattern B1 (surrogate-to-clinical-outcome failure): 3 cases (cerivastatin as B/C hybrid; encainide/CAST; gemtuzumab ozogamicin/Mylotarg as accelerated-approval surrogate failure)</w:t>
      </w:r>
    </w:p>
    <w:p>
      <w:pPr>
        <w:numPr>
          <w:ilvl w:val="0"/>
          <w:numId w:val="1001"/>
        </w:numPr>
      </w:pPr>
      <w:r>
        <w:t xml:space="preserve">Pattern B2 (clinical-outcome non-replication): 1 case (Xigris/PROWESS)</w:t>
      </w:r>
    </w:p>
    <w:p>
      <w:pPr>
        <w:numPr>
          <w:ilvl w:val="0"/>
          <w:numId w:val="1001"/>
        </w:numPr>
      </w:pPr>
      <w:r>
        <w:t xml:space="preserve">Pattern C (predominantly harm in unmeasured domain): 24 cases</w:t>
      </w:r>
    </w:p>
    <w:p>
      <w:pPr>
        <w:numPr>
          <w:ilvl w:val="0"/>
          <w:numId w:val="1001"/>
        </w:numPr>
      </w:pPr>
      <w:r>
        <w:t xml:space="preserve">Pivotal evidence never published in the peer-reviewed record: 1 case (bromfenac), a category distinct from Pattern C. (Two Pattern C drugs, gatifloxacin and pemoline, have pivotal evidence published but outside the PubMed-indexed record; they are counted within Pattern C above, not as a separate category.)</w:t>
      </w:r>
    </w:p>
    <w:p>
      <w:pPr>
        <w:numPr>
          <w:ilvl w:val="0"/>
          <w:numId w:val="1001"/>
        </w:numPr>
      </w:pPr>
      <w:r>
        <w:t xml:space="preserve">Distinctive natalizumab sub-case: pivotal papers reported the PML cases directly</w:t>
      </w:r>
    </w:p>
    <w:p>
      <w:pPr>
        <w:numPr>
          <w:ilvl w:val="0"/>
          <w:numId w:val="1001"/>
        </w:numPr>
      </w:pPr>
      <w:r>
        <w:t xml:space="preserve">Distinctive alatrofloxacin sub-case: shares pivotal literature with trovafloxacin (already counted)</w:t>
      </w:r>
    </w:p>
    <w:p>
      <w:pPr>
        <w:pStyle w:val="FirstParagraph"/>
      </w:pPr>
      <w:r>
        <w:t xml:space="preserve">Final withdrawal-mechanism sub-pattern typology (ten sub-patterns identified across the cohort):</w:t>
      </w:r>
    </w:p>
    <w:p>
      <w:pPr>
        <w:numPr>
          <w:ilvl w:val="0"/>
          <w:numId w:val="1002"/>
        </w:numPr>
      </w:pPr>
      <w:r>
        <w:rPr>
          <w:iCs/>
          <w:i/>
        </w:rPr>
        <w:t xml:space="preserve">“Safer alternative” withdrawals</w:t>
      </w:r>
      <w:r>
        <w:t xml:space="preserve"> </w:t>
      </w:r>
      <w:r>
        <w:t xml:space="preserve">(terfenadine, astemizole, mibefradil)</w:t>
      </w:r>
    </w:p>
    <w:p>
      <w:pPr>
        <w:numPr>
          <w:ilvl w:val="0"/>
          <w:numId w:val="1002"/>
        </w:numPr>
      </w:pPr>
      <w:r>
        <w:rPr>
          <w:iCs/>
          <w:i/>
        </w:rPr>
        <w:t xml:space="preserve">Drug-interaction withdrawals</w:t>
      </w:r>
      <w:r>
        <w:t xml:space="preserve"> </w:t>
      </w:r>
      <w:r>
        <w:t xml:space="preserve">(mibefradil, cisapride, terfenadine, LAAM)</w:t>
      </w:r>
    </w:p>
    <w:p>
      <w:pPr>
        <w:numPr>
          <w:ilvl w:val="0"/>
          <w:numId w:val="1002"/>
        </w:numPr>
      </w:pPr>
      <w:r>
        <w:rPr>
          <w:iCs/>
          <w:i/>
        </w:rPr>
        <w:t xml:space="preserve">Idiosyncratic organ toxicity</w:t>
      </w:r>
      <w:r>
        <w:t xml:space="preserve"> </w:t>
      </w:r>
      <w:r>
        <w:t xml:space="preserve">(trovafloxacin, alatrofloxacin, troglitazone, bromfenac, nefazodone)</w:t>
      </w:r>
    </w:p>
    <w:p>
      <w:pPr>
        <w:numPr>
          <w:ilvl w:val="0"/>
          <w:numId w:val="1002"/>
        </w:numPr>
      </w:pPr>
      <w:r>
        <w:rPr>
          <w:iCs/>
          <w:i/>
        </w:rPr>
        <w:t xml:space="preserve">Post-approval mandated safety trial</w:t>
      </w:r>
      <w:r>
        <w:t xml:space="preserve"> </w:t>
      </w:r>
      <w:r>
        <w:t xml:space="preserve">(sibutramine, tegaserod)</w:t>
      </w:r>
    </w:p>
    <w:p>
      <w:pPr>
        <w:numPr>
          <w:ilvl w:val="0"/>
          <w:numId w:val="1002"/>
        </w:numPr>
      </w:pPr>
      <w:r>
        <w:rPr>
          <w:iCs/>
          <w:i/>
        </w:rPr>
        <w:t xml:space="preserve">Long-latency risk</w:t>
      </w:r>
      <w:r>
        <w:t xml:space="preserve"> </w:t>
      </w:r>
      <w:r>
        <w:t xml:space="preserve">(efalizumab)</w:t>
      </w:r>
    </w:p>
    <w:p>
      <w:pPr>
        <w:numPr>
          <w:ilvl w:val="0"/>
          <w:numId w:val="1002"/>
        </w:numPr>
      </w:pPr>
      <w:r>
        <w:rPr>
          <w:iCs/>
          <w:i/>
        </w:rPr>
        <w:t xml:space="preserve">“Known-at-approval” harm</w:t>
      </w:r>
      <w:r>
        <w:t xml:space="preserve"> </w:t>
      </w:r>
      <w:r>
        <w:t xml:space="preserve">(bepridil, pemoline, alosetron)</w:t>
      </w:r>
    </w:p>
    <w:p>
      <w:pPr>
        <w:pStyle w:val="FirstParagraph"/>
      </w:pPr>
      <w:r>
        <w:t xml:space="preserve">Additionally:</w:t>
      </w:r>
    </w:p>
    <w:p>
      <w:pPr>
        <w:numPr>
          <w:ilvl w:val="0"/>
          <w:numId w:val="1003"/>
        </w:numPr>
      </w:pPr>
      <w:r>
        <w:rPr>
          <w:iCs/>
          <w:i/>
        </w:rPr>
        <w:t xml:space="preserve">Non-replicated pivotal finding</w:t>
      </w:r>
      <w:r>
        <w:t xml:space="preserve"> </w:t>
      </w:r>
      <w:r>
        <w:t xml:space="preserve">(Xigris/PROWESS)</w:t>
      </w:r>
    </w:p>
    <w:p>
      <w:pPr>
        <w:numPr>
          <w:ilvl w:val="0"/>
          <w:numId w:val="1003"/>
        </w:numPr>
      </w:pPr>
      <w:r>
        <w:rPr>
          <w:iCs/>
          <w:i/>
        </w:rPr>
        <w:t xml:space="preserve">Correct-effect, incorrect-clinical-rationale</w:t>
      </w:r>
      <w:r>
        <w:t xml:space="preserve"> </w:t>
      </w:r>
      <w:r>
        <w:t xml:space="preserve">(encainide/CAST)</w:t>
      </w:r>
    </w:p>
    <w:p>
      <w:pPr>
        <w:numPr>
          <w:ilvl w:val="0"/>
          <w:numId w:val="1003"/>
        </w:numPr>
      </w:pPr>
      <w:r>
        <w:rPr>
          <w:iCs/>
          <w:i/>
        </w:rPr>
        <w:t xml:space="preserve">Class-effect anticipated from prior withdrawal</w:t>
      </w:r>
      <w:r>
        <w:t xml:space="preserve"> </w:t>
      </w:r>
      <w:r>
        <w:t xml:space="preserve">(pergolide following fen-phen precedent)</w:t>
      </w:r>
    </w:p>
    <w:p>
      <w:pPr>
        <w:numPr>
          <w:ilvl w:val="0"/>
          <w:numId w:val="1003"/>
        </w:numPr>
      </w:pPr>
      <w:r>
        <w:rPr>
          <w:iCs/>
          <w:i/>
        </w:rPr>
        <w:t xml:space="preserve">Accelerated-approval confirmatory failure</w:t>
      </w:r>
      <w:r>
        <w:t xml:space="preserve"> </w:t>
      </w:r>
      <w:r>
        <w:t xml:space="preserve">(Mylotarg)</w:t>
      </w:r>
    </w:p>
    <w:bookmarkEnd w:id="31"/>
    <w:bookmarkEnd w:id="32"/>
    <w:bookmarkStart w:id="38" w:name="Xe058a0a4731e8691705b50417f608fd41d73b7d"/>
    <w:p>
      <w:pPr>
        <w:pStyle w:val="Heading2"/>
      </w:pPr>
      <w:r>
        <w:t xml:space="preserve">Full pivotal-paper and correction-notice bibliography</w:t>
      </w:r>
    </w:p>
    <w:bookmarkStart w:id="33" w:name="compiled-reference-list"/>
    <w:p>
      <w:pPr>
        <w:pStyle w:val="Heading3"/>
      </w:pPr>
      <w:r>
        <w:t xml:space="preserve">Compiled reference list</w:t>
      </w:r>
    </w:p>
    <w:bookmarkEnd w:id="33"/>
    <w:bookmarkStart w:id="34" w:name="methods-and-cohort-sources"/>
    <w:p>
      <w:pPr>
        <w:pStyle w:val="Heading3"/>
      </w:pPr>
      <w:r>
        <w:t xml:space="preserve">Methods and cohort sources</w:t>
      </w:r>
    </w:p>
    <w:p>
      <w:pPr>
        <w:numPr>
          <w:ilvl w:val="0"/>
          <w:numId w:val="1004"/>
        </w:numPr>
        <w:pStyle w:val="Compact"/>
      </w:pPr>
      <w:r>
        <w:t xml:space="preserve">Onakpoya IJ, Heneghan CJ, Aronson JK. Post-marketing withdrawal of 462 medicinal products because of adverse drug reactions: a systematic review of the world literature. BMC Med. 2016;14:10. PMID: 26843061.</w:t>
      </w:r>
    </w:p>
    <w:p>
      <w:pPr>
        <w:numPr>
          <w:ilvl w:val="0"/>
          <w:numId w:val="1004"/>
        </w:numPr>
        <w:pStyle w:val="Compact"/>
      </w:pPr>
      <w:r>
        <w:t xml:space="preserve">Rodriguez-Monguio R, Seoane-Vazquez E, Powers JH 3rd. A comparative assessment of approvals and discontinuations of systemic antibiotics and other therapeutic areas. Healthcare (Basel). 2023;11(12):1759. PMID: 37372877.</w:t>
      </w:r>
    </w:p>
    <w:p>
      <w:pPr>
        <w:numPr>
          <w:ilvl w:val="0"/>
          <w:numId w:val="1004"/>
        </w:numPr>
        <w:pStyle w:val="Compact"/>
      </w:pPr>
      <w:r>
        <w:t xml:space="preserve">Goldkind L, Laine L. A systematic review of NSAIDs withdrawn from the market because of hepatotoxicity: lessons learned from the bromfenac experience. Pharmacoepidemiol Drug Saf. 2006;15:213-220. PMID: 16456879.</w:t>
      </w:r>
    </w:p>
    <w:p>
      <w:pPr>
        <w:numPr>
          <w:ilvl w:val="0"/>
          <w:numId w:val="1004"/>
        </w:numPr>
        <w:pStyle w:val="Compact"/>
      </w:pPr>
      <w:r>
        <w:t xml:space="preserve">Karha J, Topol EJ. The sad story of Vioxx, and what we should learn from it. Cleve Clin J Med. 2004;71:933-939. PMID: 15641522.</w:t>
      </w:r>
    </w:p>
    <w:p>
      <w:pPr>
        <w:numPr>
          <w:ilvl w:val="0"/>
          <w:numId w:val="1004"/>
        </w:numPr>
        <w:pStyle w:val="Compact"/>
      </w:pPr>
      <w:r>
        <w:t xml:space="preserve">Psaty BM, Furberg CD. COX-2 inhibitors: lessons in drug safety. N Engl J Med. 2005;352:1133-1135. PMID: 15713946.</w:t>
      </w:r>
    </w:p>
    <w:p>
      <w:pPr>
        <w:numPr>
          <w:ilvl w:val="0"/>
          <w:numId w:val="1004"/>
        </w:numPr>
        <w:pStyle w:val="Compact"/>
      </w:pPr>
      <w:r>
        <w:t xml:space="preserve">Ross JS, Madigan D, Hill KP, Egilman DS, Wang Y, Krumholz HM. Pooled analysis of rofecoxib placebo-controlled clinical trial data: lessons for postmarket pharmaceutical safety surveillance. Arch Intern Med. 2009;169:1976-1985. PMID: 19933959.</w:t>
      </w:r>
    </w:p>
    <w:p>
      <w:pPr>
        <w:numPr>
          <w:ilvl w:val="0"/>
          <w:numId w:val="1004"/>
        </w:numPr>
        <w:pStyle w:val="Compact"/>
      </w:pPr>
      <w:r>
        <w:t xml:space="preserve">Topol EJ. Failing the public health: rofecoxib, Merck, and the FDA. N Engl J Med. 2004;351:1707-1709. PMID: 15470193.</w:t>
      </w:r>
    </w:p>
    <w:bookmarkEnd w:id="34"/>
    <w:bookmarkStart w:id="35" w:name="fda-and-regulatory-sources"/>
    <w:p>
      <w:pPr>
        <w:pStyle w:val="Heading3"/>
      </w:pPr>
      <w:r>
        <w:t xml:space="preserve">FDA and regulatory sources</w:t>
      </w:r>
    </w:p>
    <w:p>
      <w:pPr>
        <w:numPr>
          <w:ilvl w:val="0"/>
          <w:numId w:val="1005"/>
        </w:numPr>
        <w:pStyle w:val="Compact"/>
      </w:pPr>
      <w:r>
        <w:t xml:space="preserve">FDA. Medical Officer Review of NDA 20-210: Cisapride (Propulsid).</w:t>
      </w:r>
    </w:p>
    <w:p>
      <w:pPr>
        <w:numPr>
          <w:ilvl w:val="0"/>
          <w:numId w:val="1005"/>
        </w:numPr>
        <w:pStyle w:val="Compact"/>
      </w:pPr>
      <w:r>
        <w:t xml:space="preserve">FDA. Medical Officer Review of NDA 21-061 and 21-062: Gatifloxacin (Tequin).</w:t>
      </w:r>
    </w:p>
    <w:p>
      <w:pPr>
        <w:numPr>
          <w:ilvl w:val="0"/>
          <w:numId w:val="1005"/>
        </w:numPr>
        <w:pStyle w:val="Compact"/>
      </w:pPr>
      <w:r>
        <w:t xml:space="preserve">FDA. Medical Review / approval package for BLA 103928: Technetium (99mTc) fanolesomab (NeutroSpec).</w:t>
      </w:r>
    </w:p>
    <w:p>
      <w:pPr>
        <w:numPr>
          <w:ilvl w:val="0"/>
          <w:numId w:val="1005"/>
        </w:numPr>
        <w:pStyle w:val="Compact"/>
      </w:pPr>
      <w:r>
        <w:t xml:space="preserve">FDA. Drug Safety Communication: Voluntary market withdrawal of Xigris (drotrecogin alfa [activated]) due to failure to show a survival benefit.</w:t>
      </w:r>
    </w:p>
    <w:p>
      <w:pPr>
        <w:numPr>
          <w:ilvl w:val="0"/>
          <w:numId w:val="1005"/>
        </w:numPr>
        <w:pStyle w:val="Compact"/>
      </w:pPr>
      <w:r>
        <w:t xml:space="preserve">FDA. Determination that ORLAAM (levomethadyl acetate hydrochloride) oral solution was not withdrawn from sale for reasons of safety or effectiveness. Federal Register. 2011.</w:t>
      </w:r>
    </w:p>
    <w:p>
      <w:pPr>
        <w:numPr>
          <w:ilvl w:val="0"/>
          <w:numId w:val="1005"/>
        </w:numPr>
        <w:pStyle w:val="Compact"/>
      </w:pPr>
      <w:r>
        <w:t xml:space="preserve">FDA. Mylotarg (gemtuzumab ozogamicin) approval / review documents, including withdrawal and reapproval history.</w:t>
      </w:r>
    </w:p>
    <w:bookmarkEnd w:id="35"/>
    <w:bookmarkStart w:id="36" w:name="pivotal-and-related-papers"/>
    <w:p>
      <w:pPr>
        <w:pStyle w:val="Heading3"/>
      </w:pPr>
      <w:r>
        <w:t xml:space="preserve">Pivotal and related papers</w:t>
      </w:r>
    </w:p>
    <w:p>
      <w:pPr>
        <w:numPr>
          <w:ilvl w:val="0"/>
          <w:numId w:val="1006"/>
        </w:numPr>
        <w:pStyle w:val="Compact"/>
      </w:pPr>
      <w:r>
        <w:t xml:space="preserve">Laine L, Harper S, Simon T, et al. A randomized trial comparing the effect of rofecoxib, a cyclooxygenase 2-specific inhibitor, with that of ibuprofen on the gastroduodenal mucosa of patients with osteoarthritis. Gastroenterology. 1999;117:776-783. PMID: 10500058.</w:t>
      </w:r>
    </w:p>
    <w:p>
      <w:pPr>
        <w:numPr>
          <w:ilvl w:val="0"/>
          <w:numId w:val="1006"/>
        </w:numPr>
        <w:pStyle w:val="Compact"/>
      </w:pPr>
      <w:r>
        <w:t xml:space="preserve">Hawkey C, et al. Rofecoxib endoscopic gastrointestinal-safety trial. Arthritis Rheum. 2000;43:370-377. PMID: 10693877.</w:t>
      </w:r>
    </w:p>
    <w:p>
      <w:pPr>
        <w:numPr>
          <w:ilvl w:val="0"/>
          <w:numId w:val="1006"/>
        </w:numPr>
        <w:pStyle w:val="Compact"/>
      </w:pPr>
      <w:r>
        <w:t xml:space="preserve">Langman MJ, et al. Adverse upper gastrointestinal effects of rofecoxib compared with NSAIDs. JAMA. 1999;282:1929-1933. PMID: 10580458.</w:t>
      </w:r>
    </w:p>
    <w:p>
      <w:pPr>
        <w:numPr>
          <w:ilvl w:val="0"/>
          <w:numId w:val="1006"/>
        </w:numPr>
        <w:pStyle w:val="Compact"/>
      </w:pPr>
      <w:r>
        <w:t xml:space="preserve">Bombardier C, Laine L, Reicin A, et al. Comparison of upper gastrointestinal toxicity of rofecoxib and naproxen in patients with rheumatoid arthritis. N Engl J Med. 2000;343:1520-1528. PMID: 11087881.</w:t>
      </w:r>
    </w:p>
    <w:p>
      <w:pPr>
        <w:numPr>
          <w:ilvl w:val="0"/>
          <w:numId w:val="1006"/>
        </w:numPr>
        <w:pStyle w:val="Compact"/>
      </w:pPr>
      <w:r>
        <w:t xml:space="preserve">Davignon J, et al. Cerivastatin summary of pivotal Phase IIb/III studies. Am J Cardiol. 1998;82(4B):32J-39J. PMID: 9737644.</w:t>
      </w:r>
    </w:p>
    <w:p>
      <w:pPr>
        <w:numPr>
          <w:ilvl w:val="0"/>
          <w:numId w:val="1006"/>
        </w:numPr>
        <w:pStyle w:val="Compact"/>
      </w:pPr>
      <w:r>
        <w:t xml:space="preserve">Insull W Jr, et al. Cerivastatin 0.8 mg dose trial. J Int Med Res. 2000;28:47-68. PMID: 10898118.</w:t>
      </w:r>
    </w:p>
    <w:p>
      <w:pPr>
        <w:numPr>
          <w:ilvl w:val="0"/>
          <w:numId w:val="1006"/>
        </w:numPr>
        <w:pStyle w:val="Compact"/>
      </w:pPr>
      <w:r>
        <w:t xml:space="preserve">Hanefeld M, et al. Cerivastatin dose-supplement pivotal trial. J Int Med Res. 1999;27:115-129.</w:t>
      </w:r>
    </w:p>
    <w:p>
      <w:pPr>
        <w:numPr>
          <w:ilvl w:val="0"/>
          <w:numId w:val="1006"/>
        </w:numPr>
        <w:pStyle w:val="Compact"/>
      </w:pPr>
      <w:r>
        <w:t xml:space="preserve">Stein E, et al. Cerivastatin 0.8 mg dose-response efficacy [conference abstract]. J Am Coll Cardiol. 1998.</w:t>
      </w:r>
    </w:p>
    <w:p>
      <w:pPr>
        <w:numPr>
          <w:ilvl w:val="0"/>
          <w:numId w:val="1006"/>
        </w:numPr>
        <w:pStyle w:val="Compact"/>
      </w:pPr>
      <w:r>
        <w:t xml:space="preserve">Schwartz S, et al. Troglitazone insulin-combination pivotal trial. N Engl J Med. 1998;338:861-866. PMID: 9516220.</w:t>
      </w:r>
    </w:p>
    <w:p>
      <w:pPr>
        <w:numPr>
          <w:ilvl w:val="0"/>
          <w:numId w:val="1006"/>
        </w:numPr>
        <w:pStyle w:val="Compact"/>
      </w:pPr>
      <w:r>
        <w:t xml:space="preserve">Kumar S, et al. Troglitazone, an insulin action enhancer, improves metabolic control in NIDDM patients. Troglitazone Study Group. Diabetologia. 1996. PMID: 8781766.</w:t>
      </w:r>
    </w:p>
    <w:p>
      <w:pPr>
        <w:numPr>
          <w:ilvl w:val="0"/>
          <w:numId w:val="1006"/>
        </w:numPr>
        <w:pStyle w:val="Compact"/>
      </w:pPr>
      <w:r>
        <w:t xml:space="preserve">Bray GA, et al. Sibutramine pre-approval pivotal weight-loss trial. Obes Res. 1996;4:263-270. PMID: 8732960.</w:t>
      </w:r>
    </w:p>
    <w:p>
      <w:pPr>
        <w:numPr>
          <w:ilvl w:val="0"/>
          <w:numId w:val="1006"/>
        </w:numPr>
        <w:pStyle w:val="Compact"/>
      </w:pPr>
      <w:r>
        <w:t xml:space="preserve">Bray GA, et al. Sibutramine dose-ranging pivotal weight-loss trial. Obes Res. 1999;7:189-198. PMID: 10102256.</w:t>
      </w:r>
    </w:p>
    <w:p>
      <w:pPr>
        <w:numPr>
          <w:ilvl w:val="0"/>
          <w:numId w:val="1006"/>
        </w:numPr>
        <w:pStyle w:val="Compact"/>
      </w:pPr>
      <w:r>
        <w:t xml:space="preserve">Hanotin C, et al. Sibutramine dose-ranging pivotal trial. Int J Obes. 1998;22:32-58. PMID: 9467708.</w:t>
      </w:r>
    </w:p>
    <w:p>
      <w:pPr>
        <w:numPr>
          <w:ilvl w:val="0"/>
          <w:numId w:val="1006"/>
        </w:numPr>
        <w:pStyle w:val="Compact"/>
      </w:pPr>
      <w:r>
        <w:t xml:space="preserve">James WP, et al. Effect of sibutramine on weight maintenance after weight loss: a randomised trial. Lancet. 2000;356:2119-2125. PMID: 11191537.</w:t>
      </w:r>
    </w:p>
    <w:p>
      <w:pPr>
        <w:numPr>
          <w:ilvl w:val="0"/>
          <w:numId w:val="1006"/>
        </w:numPr>
        <w:pStyle w:val="Compact"/>
      </w:pPr>
      <w:r>
        <w:t xml:space="preserve">Kemp JP, Buckley CE, Gershwin ME, Buchman E, Cascio FL, Chretien JH, Foster TS, Gordon WE, Jakle C, Klemawesch SJ. Multicenter, double-blind, placebo-controlled trial of terfenadine in seasonal allergic rhinitis and conjunctivitis. Ann Allergy. 1985;54:502-509. PMID: 2861767.</w:t>
      </w:r>
    </w:p>
    <w:p>
      <w:pPr>
        <w:numPr>
          <w:ilvl w:val="0"/>
          <w:numId w:val="1006"/>
        </w:numPr>
        <w:pStyle w:val="Compact"/>
      </w:pPr>
      <w:r>
        <w:t xml:space="preserve">Guill MF, Buckley RH, Rocha W, Kemp JP, Segal AT, Shirley LR, Tinkelman DG, Shaath-Schwen Z, Dietrich KK, Wille LJ. Multicenter, double-blind, placebo-controlled trial of terfenadine suspension in the treatment of fall-allergic rhinitis in children. J Allergy Clin Immunol. 1986;78(1 Pt 1):4-9. PMID: 2873161.</w:t>
      </w:r>
    </w:p>
    <w:p>
      <w:pPr>
        <w:numPr>
          <w:ilvl w:val="0"/>
          <w:numId w:val="1006"/>
        </w:numPr>
        <w:pStyle w:val="Compact"/>
      </w:pPr>
      <w:r>
        <w:t xml:space="preserve">Sorkin EM, Heel RC. Terfenadine: a review of its pharmacodynamic properties and therapeutic efficacy. Drugs. 1985;29:34-56. PMID: 2857636.</w:t>
      </w:r>
    </w:p>
    <w:p>
      <w:pPr>
        <w:numPr>
          <w:ilvl w:val="0"/>
          <w:numId w:val="1006"/>
        </w:numPr>
        <w:pStyle w:val="Compact"/>
      </w:pPr>
      <w:r>
        <w:t xml:space="preserve">McTavish D, Goa KL, Ferrill M. Terfenadine: an updated review of its pharmacological properties and therapeutic efficacy. Drugs. 1990;39:552-574. PMID: 1972050.</w:t>
      </w:r>
    </w:p>
    <w:p>
      <w:pPr>
        <w:numPr>
          <w:ilvl w:val="0"/>
          <w:numId w:val="1006"/>
        </w:numPr>
        <w:pStyle w:val="Compact"/>
      </w:pPr>
      <w:r>
        <w:t xml:space="preserve">Bensen W, et al. Valdecoxib rheumatoid arthritis pivotal trial. Rheumatology (Oxford). 2002;41:1008-1016. PMID: 12209034.</w:t>
      </w:r>
    </w:p>
    <w:p>
      <w:pPr>
        <w:numPr>
          <w:ilvl w:val="0"/>
          <w:numId w:val="1006"/>
        </w:numPr>
        <w:pStyle w:val="Compact"/>
      </w:pPr>
      <w:r>
        <w:t xml:space="preserve">Kivitz A, et al. Valdecoxib osteoarthritis knee pivotal trial. J Fam Pract. 2002;51:530-537. PMID: 12100776.</w:t>
      </w:r>
    </w:p>
    <w:p>
      <w:pPr>
        <w:numPr>
          <w:ilvl w:val="0"/>
          <w:numId w:val="1006"/>
        </w:numPr>
        <w:pStyle w:val="Compact"/>
      </w:pPr>
      <w:r>
        <w:t xml:space="preserve">Makarowski W, et al. Valdecoxib osteoarthritis hip pivotal trial. Osteoarthritis Cartilage. 2002;10:290-296. PMID: 11950252.</w:t>
      </w:r>
    </w:p>
    <w:p>
      <w:pPr>
        <w:numPr>
          <w:ilvl w:val="0"/>
          <w:numId w:val="1006"/>
        </w:numPr>
        <w:pStyle w:val="Compact"/>
      </w:pPr>
      <w:r>
        <w:t xml:space="preserve">Sikes DH, et al. Valdecoxib gastrointestinal-safety pivotal study. Eur J Gastroenterol Hepatol. 2002;14:1101-1111. PMID: 12362101.</w:t>
      </w:r>
    </w:p>
    <w:p>
      <w:pPr>
        <w:numPr>
          <w:ilvl w:val="0"/>
          <w:numId w:val="1006"/>
        </w:numPr>
        <w:pStyle w:val="Compact"/>
      </w:pPr>
      <w:r>
        <w:t xml:space="preserve">Fenton C, et al. Valdecoxib review of pivotal evidence. Drugs. 2004;64:1231-1261. PMID: 15161329.</w:t>
      </w:r>
    </w:p>
    <w:p>
      <w:pPr>
        <w:numPr>
          <w:ilvl w:val="0"/>
          <w:numId w:val="1006"/>
        </w:numPr>
        <w:pStyle w:val="Compact"/>
      </w:pPr>
      <w:r>
        <w:t xml:space="preserve">Hunter EB, et al. Fulminant hepatic failure associated with bromfenac. Am J Gastroenterol. 1999;94:2299-2301. PMID: 10445569.</w:t>
      </w:r>
    </w:p>
    <w:p>
      <w:pPr>
        <w:numPr>
          <w:ilvl w:val="0"/>
          <w:numId w:val="1006"/>
        </w:numPr>
        <w:pStyle w:val="Compact"/>
      </w:pPr>
      <w:r>
        <w:t xml:space="preserve">Ball P, et al. Trovafloxacin review of pre-approval safety profile. Drug Saf. 1999;21:407-421. PMID: 10554054.</w:t>
      </w:r>
    </w:p>
    <w:p>
      <w:pPr>
        <w:numPr>
          <w:ilvl w:val="0"/>
          <w:numId w:val="1006"/>
        </w:numPr>
        <w:pStyle w:val="Compact"/>
      </w:pPr>
      <w:r>
        <w:t xml:space="preserve">Ernst ME, et al. Trovafloxacin pre-approval review with efficacy summary. Am J Health Syst Pharm. 1997;54:2569-2584. PMID: 9397218.</w:t>
      </w:r>
    </w:p>
    <w:p>
      <w:pPr>
        <w:numPr>
          <w:ilvl w:val="0"/>
          <w:numId w:val="1006"/>
        </w:numPr>
        <w:pStyle w:val="Compact"/>
      </w:pPr>
      <w:r>
        <w:t xml:space="preserve">Haria M, et al. Trovafloxacin. Drugs. 1997. PMID: 9279505.</w:t>
      </w:r>
    </w:p>
    <w:p>
      <w:pPr>
        <w:numPr>
          <w:ilvl w:val="0"/>
          <w:numId w:val="1006"/>
        </w:numPr>
        <w:pStyle w:val="Compact"/>
      </w:pPr>
      <w:r>
        <w:t xml:space="preserve">Alghasham AA, et al. Trovafloxacin: a new fluoroquinolone. Ann Pharmacother. 1999. PMID: 9972385.</w:t>
      </w:r>
    </w:p>
    <w:p>
      <w:pPr>
        <w:numPr>
          <w:ilvl w:val="0"/>
          <w:numId w:val="1006"/>
        </w:numPr>
        <w:pStyle w:val="Compact"/>
      </w:pPr>
      <w:r>
        <w:t xml:space="preserve">Chodosh S, et al. Efficacy and safety of a 10-day course of 400 or 600 mg of grepafloxacin once daily for acute bacterial exacerbations of chronic bronchitis. Antimicrob Agents Chemother. 1998;42:114-120. PMID: 9385485.</w:t>
      </w:r>
    </w:p>
    <w:p>
      <w:pPr>
        <w:numPr>
          <w:ilvl w:val="0"/>
          <w:numId w:val="1006"/>
        </w:numPr>
        <w:pStyle w:val="Compact"/>
      </w:pPr>
      <w:r>
        <w:t xml:space="preserve">Langan CE, et al. Grepafloxacin comparative efficacy versus clarithromycin. J Antimicrob Chemother. 1999;44:515-523. PMID: 10588313.</w:t>
      </w:r>
    </w:p>
    <w:p>
      <w:pPr>
        <w:numPr>
          <w:ilvl w:val="0"/>
          <w:numId w:val="1006"/>
        </w:numPr>
        <w:pStyle w:val="Compact"/>
      </w:pPr>
      <w:r>
        <w:t xml:space="preserve">O'Doherty B, Dutchman DA, Pettit R, Maroli A. Randomized, double-blind, comparative study of grepafloxacin and amoxycillin in the treatment of patients with community-acquired pneumonia. J Antimicrob Chemother. 1997;40 Suppl A:73-81. PMID: 9484876.</w:t>
      </w:r>
    </w:p>
    <w:p>
      <w:pPr>
        <w:numPr>
          <w:ilvl w:val="0"/>
          <w:numId w:val="1006"/>
        </w:numPr>
        <w:pStyle w:val="Compact"/>
      </w:pPr>
      <w:r>
        <w:t xml:space="preserve">Carbon C, et al. Temafloxacin versus amoxicillin in hospitalized adults with community-acquired pneumonia. Antimicrob Agents Chemother. 1992;36:833-839. PMID: 1323954.</w:t>
      </w:r>
    </w:p>
    <w:p>
      <w:pPr>
        <w:numPr>
          <w:ilvl w:val="0"/>
          <w:numId w:val="1006"/>
        </w:numPr>
        <w:pStyle w:val="Compact"/>
      </w:pPr>
      <w:r>
        <w:t xml:space="preserve">Cox CE. Temafloxacin for complicated urinary tract infection. Am J Med. 1991;91(6A):129S-133S. PMID: 1662883.</w:t>
      </w:r>
    </w:p>
    <w:p>
      <w:pPr>
        <w:numPr>
          <w:ilvl w:val="0"/>
          <w:numId w:val="1006"/>
        </w:numPr>
        <w:pStyle w:val="Compact"/>
      </w:pPr>
      <w:r>
        <w:t xml:space="preserve">Kosmidis J. Temafloxacin in lower respiratory tract infections. J Antimicrob Chemother. 1991;28 Suppl C:73-79. PMID: 1664832.</w:t>
      </w:r>
    </w:p>
    <w:p>
      <w:pPr>
        <w:numPr>
          <w:ilvl w:val="0"/>
          <w:numId w:val="1006"/>
        </w:numPr>
        <w:pStyle w:val="Compact"/>
      </w:pPr>
      <w:r>
        <w:t xml:space="preserve">Blum MD, Graham DJ, McCloskey CA. Temafloxacin syndrome: review of 95 cases. Clin Infect Dis. 1994;18(6):946-950. PMID: 8086558.</w:t>
      </w:r>
    </w:p>
    <w:p>
      <w:pPr>
        <w:numPr>
          <w:ilvl w:val="0"/>
          <w:numId w:val="1006"/>
        </w:numPr>
        <w:pStyle w:val="Compact"/>
      </w:pPr>
      <w:r>
        <w:t xml:space="preserve">Massie BM. Mibefradil review of hypertension and angina efficacy. Am J Cardiol. 1997;80(9A):23I-32I. PMID: 9375939.</w:t>
      </w:r>
    </w:p>
    <w:p>
      <w:pPr>
        <w:numPr>
          <w:ilvl w:val="0"/>
          <w:numId w:val="1006"/>
        </w:numPr>
        <w:pStyle w:val="Compact"/>
      </w:pPr>
      <w:r>
        <w:t xml:space="preserve">Lacourciere Y, et al. Mibefradil hypertension efficacy trial. Am J Hypertens. 1997;10:189-196. PMID: 9037327.</w:t>
      </w:r>
    </w:p>
    <w:p>
      <w:pPr>
        <w:numPr>
          <w:ilvl w:val="0"/>
          <w:numId w:val="1006"/>
        </w:numPr>
        <w:pStyle w:val="Compact"/>
      </w:pPr>
      <w:r>
        <w:t xml:space="preserve">Richter JE, Long JF. Cisapride MC 1203 pivotal trial. Am J Gastroenterol. 1995;90:423-430. PMID: 7872282.</w:t>
      </w:r>
    </w:p>
    <w:p>
      <w:pPr>
        <w:numPr>
          <w:ilvl w:val="0"/>
          <w:numId w:val="1006"/>
        </w:numPr>
        <w:pStyle w:val="Compact"/>
      </w:pPr>
      <w:r>
        <w:t xml:space="preserve">Wysowski DK, Bacsanyi J. Postmarketing reports of QT prolongation and ventricular arrhythmia in association with cisapride. Am J Gastroenterol. 2001. PMID: 11419817.</w:t>
      </w:r>
    </w:p>
    <w:p>
      <w:pPr>
        <w:numPr>
          <w:ilvl w:val="0"/>
          <w:numId w:val="1006"/>
        </w:numPr>
        <w:pStyle w:val="Compact"/>
      </w:pPr>
      <w:r>
        <w:t xml:space="preserve">Lefkowitz M, et al. Tegaserod phase III trial [conference abstract]. Gut. 2000;Suppl III.</w:t>
      </w:r>
    </w:p>
    <w:p>
      <w:pPr>
        <w:numPr>
          <w:ilvl w:val="0"/>
          <w:numId w:val="1006"/>
        </w:numPr>
        <w:pStyle w:val="Compact"/>
      </w:pPr>
      <w:r>
        <w:t xml:space="preserve">Muller-Lissner SA, et al. Tegaserod pivotal Phase III trial. Aliment Pharmacol Ther. 2001;15:1655-1666. PMID: 11564007.</w:t>
      </w:r>
    </w:p>
    <w:p>
      <w:pPr>
        <w:numPr>
          <w:ilvl w:val="0"/>
          <w:numId w:val="1006"/>
        </w:numPr>
        <w:pStyle w:val="Compact"/>
      </w:pPr>
      <w:r>
        <w:t xml:space="preserve">Novick JS, et al. A randomized, double-blind, placebo-controlled trial of tegaserod in female patients with irritable bowel syndrome with constipation. Aliment Pharmacol Ther. 2002;16:1877-1888. PMID: 12390096.</w:t>
      </w:r>
    </w:p>
    <w:p>
      <w:pPr>
        <w:numPr>
          <w:ilvl w:val="0"/>
          <w:numId w:val="1006"/>
        </w:numPr>
        <w:pStyle w:val="Compact"/>
      </w:pPr>
      <w:r>
        <w:t xml:space="preserve">Tack J, et al. A randomised controlled trial assessing the efficacy and safety of repeated tegaserod therapy in women with irritable bowel syndrome with constipation. Gut. 2005;54:1707-1713. PMID: 16299035.</w:t>
      </w:r>
    </w:p>
    <w:p>
      <w:pPr>
        <w:numPr>
          <w:ilvl w:val="0"/>
          <w:numId w:val="1006"/>
        </w:numPr>
        <w:pStyle w:val="Compact"/>
      </w:pPr>
      <w:r>
        <w:t xml:space="preserve">Richards DM, Brogden RN, Heel RC, Speight TM, Avery GS. Astemizole: a review of its pharmacodynamic properties and therapeutic efficacy. Drugs. 1984. PMID: 6204835.</w:t>
      </w:r>
    </w:p>
    <w:p>
      <w:pPr>
        <w:numPr>
          <w:ilvl w:val="0"/>
          <w:numId w:val="1006"/>
        </w:numPr>
        <w:pStyle w:val="Compact"/>
      </w:pPr>
      <w:r>
        <w:t xml:space="preserve">Wilson JD, et al. Astemizole seasonal rhinitis trial. Clin Exp Allergy. 1983. PMID: 6132687.</w:t>
      </w:r>
    </w:p>
    <w:p>
      <w:pPr>
        <w:numPr>
          <w:ilvl w:val="0"/>
          <w:numId w:val="1006"/>
        </w:numPr>
        <w:pStyle w:val="Compact"/>
      </w:pPr>
      <w:r>
        <w:t xml:space="preserve">Howarth PH, Emanuel MB, Holgate ST. Astemizole in allergic rhinitis. Br J Clin Pharmacol. 1984;18:1-8. PMID: 6146346.</w:t>
      </w:r>
    </w:p>
    <w:p>
      <w:pPr>
        <w:numPr>
          <w:ilvl w:val="0"/>
          <w:numId w:val="1006"/>
        </w:numPr>
        <w:pStyle w:val="Compact"/>
      </w:pPr>
      <w:r>
        <w:t xml:space="preserve">Callier J, Engelen RF, Ianniello I, et al. Astemizole in the treatment of hay fever: an international double-blind study comparing weekly treatment with placebo. Curr Ther Res. 1981;29:24-29.</w:t>
      </w:r>
    </w:p>
    <w:p>
      <w:pPr>
        <w:numPr>
          <w:ilvl w:val="0"/>
          <w:numId w:val="1006"/>
        </w:numPr>
        <w:pStyle w:val="Compact"/>
      </w:pPr>
      <w:r>
        <w:t xml:space="preserve">Rombaut N. Total review of all results collected worldwide with astemizole (Hismanal). Z Hautkr. 1985. PMID: 2859711.</w:t>
      </w:r>
    </w:p>
    <w:p>
      <w:pPr>
        <w:numPr>
          <w:ilvl w:val="0"/>
          <w:numId w:val="1006"/>
        </w:numPr>
        <w:pStyle w:val="Compact"/>
      </w:pPr>
      <w:r>
        <w:t xml:space="preserve">Aubier M, et al. Sparfloxacin for the treatment of community-acquired pneumonia: pooled data analysis of two studies. J Antimicrob Chemother. 1996;37 Suppl A:73-82. PMID: 8737127.</w:t>
      </w:r>
    </w:p>
    <w:p>
      <w:pPr>
        <w:numPr>
          <w:ilvl w:val="0"/>
          <w:numId w:val="1006"/>
        </w:numPr>
        <w:pStyle w:val="Compact"/>
      </w:pPr>
      <w:r>
        <w:t xml:space="preserve">Portier H, et al. Sparfloxacin comparative efficacy versus amoxycillin/ofloxacin. J Antimicrob Chemother. 1996;37 Suppl A:83-91. PMID: 8737128.</w:t>
      </w:r>
    </w:p>
    <w:p>
      <w:pPr>
        <w:numPr>
          <w:ilvl w:val="0"/>
          <w:numId w:val="1006"/>
        </w:numPr>
        <w:pStyle w:val="Compact"/>
      </w:pPr>
      <w:r>
        <w:t xml:space="preserve">Aubier M, et al. Sparfloxacin European Study Group comparative efficacy trial. Clin Infect Dis. 1998;26:1312-1320. PMID: 9636854.</w:t>
      </w:r>
    </w:p>
    <w:p>
      <w:pPr>
        <w:numPr>
          <w:ilvl w:val="0"/>
          <w:numId w:val="1006"/>
        </w:numPr>
        <w:pStyle w:val="Compact"/>
      </w:pPr>
      <w:r>
        <w:t xml:space="preserve">Rubinstein E. Sparfloxacin safety profile. J Antimicrob Chemother. 1996;37 Suppl A:145-160. PMID: 8737134.</w:t>
      </w:r>
    </w:p>
    <w:p>
      <w:pPr>
        <w:numPr>
          <w:ilvl w:val="0"/>
          <w:numId w:val="1006"/>
        </w:numPr>
        <w:pStyle w:val="Compact"/>
      </w:pPr>
      <w:r>
        <w:t xml:space="preserve">Ortqvist A, et al. Sparfloxacin Scandinavian Study Group comparative trial. Chest. 1996;110:1499-1506. PMID: 8989068.</w:t>
      </w:r>
    </w:p>
    <w:p>
      <w:pPr>
        <w:numPr>
          <w:ilvl w:val="0"/>
          <w:numId w:val="1006"/>
        </w:numPr>
        <w:pStyle w:val="Compact"/>
      </w:pPr>
      <w:r>
        <w:t xml:space="preserve">Gordon KB, et al. Efalizumab pivotal Phase III efficacy trial. JAMA. 2003;290:3073-3080. PMID: 14679270.</w:t>
      </w:r>
    </w:p>
    <w:p>
      <w:pPr>
        <w:numPr>
          <w:ilvl w:val="0"/>
          <w:numId w:val="1006"/>
        </w:numPr>
        <w:pStyle w:val="Compact"/>
      </w:pPr>
      <w:r>
        <w:t xml:space="preserve">Lebwohl M, et al. A novel targeted T-cell modulator, efalizumab, for plaque psoriasis. N Engl J Med. 2003;349:2004-2013. PMID: 14627785.</w:t>
      </w:r>
    </w:p>
    <w:p>
      <w:pPr>
        <w:numPr>
          <w:ilvl w:val="0"/>
          <w:numId w:val="1006"/>
        </w:numPr>
        <w:pStyle w:val="Compact"/>
      </w:pPr>
      <w:r>
        <w:t xml:space="preserve">Gottlieb AB, Hamilton T, Caro I, Kwon P, Compton PG, Leonardi CL; Efalizumab Study Group. Long-term continuous efalizumab therapy in patients with moderate to severe chronic plaque psoriasis: updated results from an ongoing trial. J Am Acad Dermatol. 2006;54(4 Suppl 1):S154-163. PMID: 16488337.</w:t>
      </w:r>
    </w:p>
    <w:p>
      <w:pPr>
        <w:numPr>
          <w:ilvl w:val="0"/>
          <w:numId w:val="1006"/>
        </w:numPr>
        <w:pStyle w:val="Compact"/>
      </w:pPr>
      <w:r>
        <w:t xml:space="preserve">Dubertret L, et al. CLEAR study of efalizumab. Br J Dermatol. 2006;155:170-181. PMID: 16792770.</w:t>
      </w:r>
    </w:p>
    <w:p>
      <w:pPr>
        <w:numPr>
          <w:ilvl w:val="0"/>
          <w:numId w:val="1006"/>
        </w:numPr>
        <w:pStyle w:val="Compact"/>
      </w:pPr>
      <w:r>
        <w:t xml:space="preserve">Polman CH, et al. A randomized, placebo-controlled trial of natalizumab for relapsing multiple sclerosis. N Engl J Med. 2006;354:899-910. PMID: 16510744.</w:t>
      </w:r>
    </w:p>
    <w:p>
      <w:pPr>
        <w:numPr>
          <w:ilvl w:val="0"/>
          <w:numId w:val="1006"/>
        </w:numPr>
        <w:pStyle w:val="Compact"/>
      </w:pPr>
      <w:r>
        <w:t xml:space="preserve">Rudick RA, et al. Natalizumab plus interferon beta-1a for relapsing multiple sclerosis. N Engl J Med. 2006;354:911-923. PMID: 16510745.</w:t>
      </w:r>
    </w:p>
    <w:p>
      <w:pPr>
        <w:numPr>
          <w:ilvl w:val="0"/>
          <w:numId w:val="1006"/>
        </w:numPr>
        <w:pStyle w:val="Compact"/>
      </w:pPr>
      <w:r>
        <w:t xml:space="preserve">Sievers EL, Larson RA, Stadtmauer EA, et al.; Mylotarg Study Group. Efficacy and safety of gemtuzumab ozogamicin in patients with CD33-positive acute myeloid leukemia in first relapse. J Clin Oncol. 2001;19(13):3244-3254. PMID: 11432892.</w:t>
      </w:r>
    </w:p>
    <w:p>
      <w:pPr>
        <w:numPr>
          <w:ilvl w:val="0"/>
          <w:numId w:val="1006"/>
        </w:numPr>
        <w:pStyle w:val="Compact"/>
      </w:pPr>
      <w:r>
        <w:t xml:space="preserve">Bross PF, et al. Approval summary for gemtuzumab ozogamicin. Clin Cancer Res. 2001. PMID: 11410481.</w:t>
      </w:r>
    </w:p>
    <w:p>
      <w:pPr>
        <w:numPr>
          <w:ilvl w:val="0"/>
          <w:numId w:val="1006"/>
        </w:numPr>
        <w:pStyle w:val="Compact"/>
      </w:pPr>
      <w:r>
        <w:t xml:space="preserve">Larson RA, et al. Final efficacy and safety Phase II report of gemtuzumab ozogamicin. Cancer. 2005;104:1442-1452. PMID: 16116598.</w:t>
      </w:r>
    </w:p>
    <w:p>
      <w:pPr>
        <w:numPr>
          <w:ilvl w:val="0"/>
          <w:numId w:val="1006"/>
        </w:numPr>
        <w:pStyle w:val="Compact"/>
      </w:pPr>
      <w:r>
        <w:t xml:space="preserve">Petersdorf SH, et al. SWOG S0106 confirmatory trial of gemtuzumab ozogamicin. Blood. 2013. PMID: 23591789.</w:t>
      </w:r>
    </w:p>
    <w:p>
      <w:pPr>
        <w:numPr>
          <w:ilvl w:val="0"/>
          <w:numId w:val="1006"/>
        </w:numPr>
        <w:pStyle w:val="Compact"/>
      </w:pPr>
      <w:r>
        <w:t xml:space="preserve">Bernard GR, et al. Efficacy and safety of recombinant human activated protein C for severe sepsis. N Engl J Med. 2001;344:699-709. PMID: 11236773.</w:t>
      </w:r>
    </w:p>
    <w:p>
      <w:pPr>
        <w:numPr>
          <w:ilvl w:val="0"/>
          <w:numId w:val="1006"/>
        </w:numPr>
        <w:pStyle w:val="Compact"/>
      </w:pPr>
      <w:r>
        <w:t xml:space="preserve">Ranieri VM, et al. Drotrecogin alfa (activated) in adults with septic shock. N Engl J Med. 2012;366:2055-2064. PMID: 22616830.</w:t>
      </w:r>
    </w:p>
    <w:p>
      <w:pPr>
        <w:numPr>
          <w:ilvl w:val="0"/>
          <w:numId w:val="1006"/>
        </w:numPr>
        <w:pStyle w:val="Compact"/>
      </w:pPr>
      <w:r>
        <w:t xml:space="preserve">Bidstrup BP, et al. Reduction in blood loss and blood use after cardiopulmonary bypass with high dose aprotinin. J Thorac Cardiovasc Surg. 1989;97:364-372. PMID: 2465457.</w:t>
      </w:r>
    </w:p>
    <w:p>
      <w:pPr>
        <w:numPr>
          <w:ilvl w:val="0"/>
          <w:numId w:val="1006"/>
        </w:numPr>
        <w:pStyle w:val="Compact"/>
      </w:pPr>
      <w:r>
        <w:t xml:space="preserve">Royston D, Bidstrup BP, Taylor KM, Sapsford RN. Effect of aprotinin on need for blood transfusion after repeat open-heart surgery. Lancet. 1987;2:1289-1291. PMID: 2446091.</w:t>
      </w:r>
    </w:p>
    <w:p>
      <w:pPr>
        <w:numPr>
          <w:ilvl w:val="0"/>
          <w:numId w:val="1006"/>
        </w:numPr>
        <w:pStyle w:val="Compact"/>
      </w:pPr>
      <w:r>
        <w:t xml:space="preserve">Levy JH, Pifarre R, Schaff HV, Horrow JC, Albus R, Spiess B, Rosengart TK, Murray J, Clark RE, Smith P. A multicenter, double-blind, placebo-controlled trial of aprotinin for reducing blood loss and donor-blood transfusion in repeat CABG. Circulation. 1995;92:2236-2244. PMID: 7554207.</w:t>
      </w:r>
    </w:p>
    <w:p>
      <w:pPr>
        <w:numPr>
          <w:ilvl w:val="0"/>
          <w:numId w:val="1006"/>
        </w:numPr>
        <w:pStyle w:val="Compact"/>
      </w:pPr>
      <w:r>
        <w:t xml:space="preserve">Mangano DT, et al. The risk associated with aprotinin in cardiac surgery. N Engl J Med. 2006;354:353-365. PMID: 16436767.</w:t>
      </w:r>
    </w:p>
    <w:p>
      <w:pPr>
        <w:numPr>
          <w:ilvl w:val="0"/>
          <w:numId w:val="1006"/>
        </w:numPr>
        <w:pStyle w:val="Compact"/>
      </w:pPr>
      <w:r>
        <w:t xml:space="preserve">Mangano DT, et al. Mortality associated with aprotinin during 5 years following coronary artery bypass graft surgery. JAMA. 2007;297:471-479. PMID: 17284697.</w:t>
      </w:r>
    </w:p>
    <w:p>
      <w:pPr>
        <w:numPr>
          <w:ilvl w:val="0"/>
          <w:numId w:val="1006"/>
        </w:numPr>
        <w:pStyle w:val="Compact"/>
      </w:pPr>
      <w:r>
        <w:t xml:space="preserve">Fergusson DA, et al. A comparison of aprotinin and lysine analogues in high-risk cardiac surgery. N Engl J Med. 2008;358:2319-2331. PMID: 18480196.</w:t>
      </w:r>
    </w:p>
    <w:p>
      <w:pPr>
        <w:numPr>
          <w:ilvl w:val="0"/>
          <w:numId w:val="1006"/>
        </w:numPr>
        <w:pStyle w:val="Compact"/>
      </w:pPr>
      <w:r>
        <w:t xml:space="preserve">Narahara KA, et al. Bepridil pivotal placebo-controlled trial. Am J Cardiol. 1992;69(11):37D-42D. PMID: 1553890.</w:t>
      </w:r>
    </w:p>
    <w:p>
      <w:pPr>
        <w:numPr>
          <w:ilvl w:val="0"/>
          <w:numId w:val="1006"/>
        </w:numPr>
        <w:pStyle w:val="Compact"/>
      </w:pPr>
      <w:r>
        <w:t xml:space="preserve">Shapiro W, et al. Comparative efficacy of bepridil versus placebo in angina pectoris: treatment and withdrawal studies. Am J Cardiol. 1992;69(11):43D-49D. PMID: 1553891.</w:t>
      </w:r>
    </w:p>
    <w:p>
      <w:pPr>
        <w:numPr>
          <w:ilvl w:val="0"/>
          <w:numId w:val="1006"/>
        </w:numPr>
        <w:pStyle w:val="Compact"/>
      </w:pPr>
      <w:r>
        <w:t xml:space="preserve">Singh BN, et al. Safety profile of bepridil determined from clinical trials in chronic stable angina in the United States. Am J Cardiol. 1992. PMID: 1532469.</w:t>
      </w:r>
    </w:p>
    <w:p>
      <w:pPr>
        <w:numPr>
          <w:ilvl w:val="0"/>
          <w:numId w:val="1006"/>
        </w:numPr>
        <w:pStyle w:val="Compact"/>
      </w:pPr>
      <w:r>
        <w:t xml:space="preserve">Morganroth J, et al. Dose-response range of encainide for benign and potentially lethal ventricular arrhythmias. Am J Cardiol. 1986. PMID: 3083665.</w:t>
      </w:r>
    </w:p>
    <w:p>
      <w:pPr>
        <w:numPr>
          <w:ilvl w:val="0"/>
          <w:numId w:val="1006"/>
        </w:numPr>
        <w:pStyle w:val="Compact"/>
      </w:pPr>
      <w:r>
        <w:t xml:space="preserve">Morganroth J, et al. Encainide for ventricular arrhythmias: placebo-controlled and standard comparison trials. Am J Cardiol. 1986. PMID: 3092623.</w:t>
      </w:r>
    </w:p>
    <w:p>
      <w:pPr>
        <w:numPr>
          <w:ilvl w:val="0"/>
          <w:numId w:val="1006"/>
        </w:numPr>
        <w:pStyle w:val="Compact"/>
      </w:pPr>
      <w:r>
        <w:t xml:space="preserve">Winkle RA, et al. Clinical pharmacology and antiarrhythmic efficacy of encainide. Circulation. 1981;64:290. PMID: 6788400.</w:t>
      </w:r>
    </w:p>
    <w:p>
      <w:pPr>
        <w:numPr>
          <w:ilvl w:val="0"/>
          <w:numId w:val="1006"/>
        </w:numPr>
        <w:pStyle w:val="Compact"/>
      </w:pPr>
      <w:r>
        <w:t xml:space="preserve">Echt DS, et al. Mortality and morbidity in patients receiving encainide, flecainide, or placebo: the Cardiac Arrhythmia Suppression Trial. N Engl J Med. 1991;324:781-788. PMID: 1900101.</w:t>
      </w:r>
    </w:p>
    <w:p>
      <w:pPr>
        <w:numPr>
          <w:ilvl w:val="0"/>
          <w:numId w:val="1006"/>
        </w:numPr>
        <w:pStyle w:val="Compact"/>
      </w:pPr>
      <w:r>
        <w:t xml:space="preserve">CAST Investigators. Preliminary report: effect of encainide and flecainide on mortality in a randomized trial of arrhythmia suppression after myocardial infarction. N Engl J Med. 1989;321:406-412. PMID: 2473403.</w:t>
      </w:r>
    </w:p>
    <w:p>
      <w:pPr>
        <w:numPr>
          <w:ilvl w:val="0"/>
          <w:numId w:val="1006"/>
        </w:numPr>
        <w:pStyle w:val="Compact"/>
      </w:pPr>
      <w:r>
        <w:t xml:space="preserve">Feiger A, et al. Nefazodone versus sertraline in outpatients with major depression. J Clin Psychiatry. 1996;57 Suppl 2:53-62. PMID: 8626364.</w:t>
      </w:r>
    </w:p>
    <w:p>
      <w:pPr>
        <w:numPr>
          <w:ilvl w:val="0"/>
          <w:numId w:val="1006"/>
        </w:numPr>
        <w:pStyle w:val="Compact"/>
      </w:pPr>
      <w:r>
        <w:t xml:space="preserve">Fontaine R, Ontiveros A, Elie R, et al. A double-blind comparison of nefazodone, imipramine, and placebo in major depression. J Clin Psychiatry. 1994;55(6):234-241. PMID: 8071277.</w:t>
      </w:r>
    </w:p>
    <w:p>
      <w:pPr>
        <w:numPr>
          <w:ilvl w:val="0"/>
          <w:numId w:val="1006"/>
        </w:numPr>
        <w:pStyle w:val="Compact"/>
      </w:pPr>
      <w:r>
        <w:t xml:space="preserve">Choi S. Nefazodone (Serzone) withdrawn because of hepatotoxicity. CMAJ. 2003;169:1187. PMID: 14638657.</w:t>
      </w:r>
    </w:p>
    <w:p>
      <w:pPr>
        <w:numPr>
          <w:ilvl w:val="0"/>
          <w:numId w:val="1006"/>
        </w:numPr>
        <w:pStyle w:val="Compact"/>
      </w:pPr>
      <w:r>
        <w:t xml:space="preserve">Diamond SG, et al. Double-blind trial of pergolide for Parkinson's disease. Neurology. 1985;35:291-295. PMID: 3883232.</w:t>
      </w:r>
    </w:p>
    <w:p>
      <w:pPr>
        <w:numPr>
          <w:ilvl w:val="0"/>
          <w:numId w:val="1006"/>
        </w:numPr>
        <w:pStyle w:val="Compact"/>
      </w:pPr>
      <w:r>
        <w:t xml:space="preserve">Olanow CW, et al. A multicenter double-blind placebo-controlled trial of pergolide as an adjunct to Sinemet in Parkinson disease. Mov Disord. 1994;9:40-47. PMID: 8139604.</w:t>
      </w:r>
    </w:p>
    <w:p>
      <w:pPr>
        <w:numPr>
          <w:ilvl w:val="0"/>
          <w:numId w:val="1006"/>
        </w:numPr>
        <w:pStyle w:val="Compact"/>
      </w:pPr>
      <w:r>
        <w:t xml:space="preserve">Schade R, et al. Dopamine agonists and the risk of cardiac-valve regurgitation. N Engl J Med. 2007;356:29-38. PMID: 17202453.</w:t>
      </w:r>
    </w:p>
    <w:p>
      <w:pPr>
        <w:numPr>
          <w:ilvl w:val="0"/>
          <w:numId w:val="1006"/>
        </w:numPr>
        <w:pStyle w:val="Compact"/>
      </w:pPr>
      <w:r>
        <w:t xml:space="preserve">Zanettini R, et al. Valvular heart disease and the use of dopamine agonists for Parkinson disease. N Engl J Med. 2007;356:39-46. PMID: 17202454.</w:t>
      </w:r>
    </w:p>
    <w:p>
      <w:pPr>
        <w:numPr>
          <w:ilvl w:val="0"/>
          <w:numId w:val="1006"/>
        </w:numPr>
        <w:pStyle w:val="Compact"/>
      </w:pPr>
      <w:r>
        <w:t xml:space="preserve">Wright PM, et al. Pharmacodynamic explanation for rapid onset/offset of rapacuronium bromide. Anesthesiology. 1999;90:16-23. PMID: 9915308.</w:t>
      </w:r>
    </w:p>
    <w:p>
      <w:pPr>
        <w:numPr>
          <w:ilvl w:val="0"/>
          <w:numId w:val="1006"/>
        </w:numPr>
        <w:pStyle w:val="Compact"/>
      </w:pPr>
      <w:r>
        <w:t xml:space="preserve">Szenohradszky J, Caldwell JE, et al. Influence of renal failure on the pharmacokinetics and neuromuscular effects of a single dose of rapacuronium bromide. Anesthesiology. 1999;90:24-35. PMID: 9915309.</w:t>
      </w:r>
    </w:p>
    <w:p>
      <w:pPr>
        <w:numPr>
          <w:ilvl w:val="0"/>
          <w:numId w:val="1006"/>
        </w:numPr>
        <w:pStyle w:val="Compact"/>
      </w:pPr>
      <w:r>
        <w:t xml:space="preserve">Onrust SV, Foster RH. Rapacuronium bromide: a review of its use in anaesthetic practice. Drugs. 1999;58:887-918. PMID: 10595867.</w:t>
      </w:r>
    </w:p>
    <w:p>
      <w:pPr>
        <w:numPr>
          <w:ilvl w:val="0"/>
          <w:numId w:val="1006"/>
        </w:numPr>
        <w:pStyle w:val="Compact"/>
      </w:pPr>
      <w:r>
        <w:t xml:space="preserve">Meakin GH, et al. Bronchospasm after rapacuronium in infants and children. Anesthesiology. 2001;94:926-927. PMID: 11388548.</w:t>
      </w:r>
    </w:p>
    <w:p>
      <w:pPr>
        <w:numPr>
          <w:ilvl w:val="0"/>
          <w:numId w:val="1006"/>
        </w:numPr>
        <w:pStyle w:val="Compact"/>
      </w:pPr>
      <w:r>
        <w:t xml:space="preserve">Weintraub M, et al. A double-blind clinical trial in weight control: use of fenfluramine and phentermine alone and in combination. Arch Intern Med. 1984;144:1143-1148. PMID: 6375610.</w:t>
      </w:r>
    </w:p>
    <w:p>
      <w:pPr>
        <w:numPr>
          <w:ilvl w:val="0"/>
          <w:numId w:val="1006"/>
        </w:numPr>
        <w:pStyle w:val="Compact"/>
      </w:pPr>
      <w:r>
        <w:t xml:space="preserve">Weintraub M. Long-term weight control: the National Heart, Lung, and Blood Institute funded multimodal intervention study. Clin Pharmacol Ther. 1992;51:581-585. PMID: 1445528.</w:t>
      </w:r>
    </w:p>
    <w:p>
      <w:pPr>
        <w:numPr>
          <w:ilvl w:val="0"/>
          <w:numId w:val="1006"/>
        </w:numPr>
        <w:pStyle w:val="Compact"/>
      </w:pPr>
      <w:r>
        <w:t xml:space="preserve">Weintraub M, et al. Long-term weight control study I, weeks 0 to 34. Clin Pharmacol Ther. 1992;51:586-594. PMID: 1587072.</w:t>
      </w:r>
    </w:p>
    <w:p>
      <w:pPr>
        <w:numPr>
          <w:ilvl w:val="0"/>
          <w:numId w:val="1006"/>
        </w:numPr>
        <w:pStyle w:val="Compact"/>
      </w:pPr>
      <w:r>
        <w:t xml:space="preserve">Abenhaim L, et al. Appetite-suppressant drugs and the risk of primary pulmonary hypertension. N Engl J Med. 1996;335:609-616. PMID: 8692238.</w:t>
      </w:r>
    </w:p>
    <w:p>
      <w:pPr>
        <w:numPr>
          <w:ilvl w:val="0"/>
          <w:numId w:val="1006"/>
        </w:numPr>
        <w:pStyle w:val="Compact"/>
      </w:pPr>
      <w:r>
        <w:t xml:space="preserve">Connolly HM, et al. Valvular heart disease associated with fenfluramine-phentermine. N Engl J Med. 1997;337:581-588. PMID: 9271479.</w:t>
      </w:r>
    </w:p>
    <w:p>
      <w:pPr>
        <w:numPr>
          <w:ilvl w:val="0"/>
          <w:numId w:val="1006"/>
        </w:numPr>
        <w:pStyle w:val="Compact"/>
      </w:pPr>
      <w:r>
        <w:t xml:space="preserve">Ramirez J, et al. Gatifloxacin Study 002 versus clarithromycin. J Respir Dis. 1999;Suppl.</w:t>
      </w:r>
    </w:p>
    <w:p>
      <w:pPr>
        <w:numPr>
          <w:ilvl w:val="0"/>
          <w:numId w:val="1006"/>
        </w:numPr>
        <w:pStyle w:val="Compact"/>
      </w:pPr>
      <w:r>
        <w:t xml:space="preserve">Dowell ME, et al. Gatifloxacin Study 037 versus ceftriaxone. ICAAC 1999;abstract 2241.</w:t>
      </w:r>
    </w:p>
    <w:p>
      <w:pPr>
        <w:numPr>
          <w:ilvl w:val="0"/>
          <w:numId w:val="1006"/>
        </w:numPr>
        <w:pStyle w:val="Compact"/>
      </w:pPr>
      <w:r>
        <w:t xml:space="preserve">Gatifloxacin Study 038 versus levofloxacin. FDA medical review; primary publication not located.</w:t>
      </w:r>
    </w:p>
    <w:p>
      <w:pPr>
        <w:numPr>
          <w:ilvl w:val="0"/>
          <w:numId w:val="1006"/>
        </w:numPr>
        <w:pStyle w:val="Compact"/>
      </w:pPr>
      <w:r>
        <w:t xml:space="preserve">Park-Wyllie LY, et al. Outpatient gatifloxacin therapy and dysglycemia in older adults. N Engl J Med. 2006;354:1352-1360. PMID: 16510739.</w:t>
      </w:r>
    </w:p>
    <w:p>
      <w:pPr>
        <w:numPr>
          <w:ilvl w:val="0"/>
          <w:numId w:val="1006"/>
        </w:numPr>
        <w:pStyle w:val="Compact"/>
      </w:pPr>
      <w:r>
        <w:t xml:space="preserve">Page JG, et al. Pemoline (Cylert) in the treatment of childhood hyperkinesis. J Learn Disabil. 1974;7:498-503.</w:t>
      </w:r>
    </w:p>
    <w:p>
      <w:pPr>
        <w:numPr>
          <w:ilvl w:val="0"/>
          <w:numId w:val="1006"/>
        </w:numPr>
        <w:pStyle w:val="Compact"/>
      </w:pPr>
      <w:r>
        <w:t xml:space="preserve">Conners CK, Taylor E. Pemoline, methylphenidate, and placebo in children with minimal brain dysfunction. Arch Gen Psychiatry. 1980;37:922-930. PMID: 7406656.</w:t>
      </w:r>
    </w:p>
    <w:p>
      <w:pPr>
        <w:numPr>
          <w:ilvl w:val="0"/>
          <w:numId w:val="1006"/>
        </w:numPr>
        <w:pStyle w:val="Compact"/>
      </w:pPr>
      <w:r>
        <w:t xml:space="preserve">Marks DH, Breggin PR, Braslow K. Pemoline hepatotoxicity and postmarketing surveillance. Ann Pharmacother. 2001. PMID: 11392339.</w:t>
      </w:r>
    </w:p>
    <w:p>
      <w:pPr>
        <w:numPr>
          <w:ilvl w:val="0"/>
          <w:numId w:val="1006"/>
        </w:numPr>
        <w:pStyle w:val="Compact"/>
      </w:pPr>
      <w:r>
        <w:t xml:space="preserve">Kipper SL, et al. LeuTech / fanolesomab Phase 2 appendicitis imaging study. J Nucl Med. 2000;41:449-455. PMID: 10716317.</w:t>
      </w:r>
    </w:p>
    <w:p>
      <w:pPr>
        <w:numPr>
          <w:ilvl w:val="0"/>
          <w:numId w:val="1006"/>
        </w:numPr>
        <w:pStyle w:val="Compact"/>
      </w:pPr>
      <w:r>
        <w:t xml:space="preserve">Rypins EB, et al. 99mTc anti-CD15 monoclonal antibody (LeuTech) imaging improves diagnostic accuracy and clinical management in patients with equivocal presentation of appendicitis. Ann Surg. 2002. PMID: 11807363.</w:t>
      </w:r>
    </w:p>
    <w:p>
      <w:pPr>
        <w:numPr>
          <w:ilvl w:val="0"/>
          <w:numId w:val="1006"/>
        </w:numPr>
        <w:pStyle w:val="Compact"/>
      </w:pPr>
      <w:r>
        <w:t xml:space="preserve">Johnson RE, Chutuape MA, Strain EC, et al. A comparison of levomethadyl acetate, buprenorphine, and methadone for opioid dependence. N Engl J Med. 2000;343:1290-1297. PMID: 11058673.</w:t>
      </w:r>
    </w:p>
    <w:p>
      <w:pPr>
        <w:numPr>
          <w:ilvl w:val="0"/>
          <w:numId w:val="1006"/>
        </w:numPr>
        <w:pStyle w:val="Compact"/>
      </w:pPr>
      <w:r>
        <w:t xml:space="preserve">Deamer RL, et al. Torsades de pointes associated with high-dose levomethadyl acetate (ORLAAM). J Addict Dis. 2001. PMID: 11760927.</w:t>
      </w:r>
    </w:p>
    <w:p>
      <w:pPr>
        <w:numPr>
          <w:ilvl w:val="0"/>
          <w:numId w:val="1006"/>
        </w:numPr>
        <w:pStyle w:val="Compact"/>
      </w:pPr>
      <w:r>
        <w:t xml:space="preserve">Camilleri M, Northcutt AR, Kong S, et al. Efficacy and safety of alosetron in women with irritable bowel syndrome: a randomized, placebo-controlled trial. Lancet. 2000;355:1035-1040. PMID: 10744088.</w:t>
      </w:r>
    </w:p>
    <w:p>
      <w:pPr>
        <w:numPr>
          <w:ilvl w:val="0"/>
          <w:numId w:val="1006"/>
        </w:numPr>
        <w:pStyle w:val="Compact"/>
      </w:pPr>
      <w:r>
        <w:t xml:space="preserve">Barbehenn E, Lurie P, Wolfe SM. Alosetron for irritable bowel syndrome. Lancet. 2000;356:2009-2010. PMID: 11130544.</w:t>
      </w:r>
    </w:p>
    <w:bookmarkEnd w:id="36"/>
    <w:bookmarkStart w:id="37" w:name="correction-notices"/>
    <w:p>
      <w:pPr>
        <w:pStyle w:val="Heading3"/>
      </w:pPr>
      <w:r>
        <w:t xml:space="preserve">Correction notices</w:t>
      </w:r>
    </w:p>
    <w:p>
      <w:pPr>
        <w:numPr>
          <w:ilvl w:val="0"/>
          <w:numId w:val="1007"/>
        </w:numPr>
        <w:pStyle w:val="Compact"/>
      </w:pPr>
      <w:r>
        <w:t xml:space="preserve">Curfman GD, Morrissey S, Drazen JM. Expression of concern: Bombardier et al. N Engl J Med. 2005;353:2813-2814. PMID: 16339408.</w:t>
      </w:r>
    </w:p>
    <w:p>
      <w:pPr>
        <w:numPr>
          <w:ilvl w:val="0"/>
          <w:numId w:val="1007"/>
        </w:numPr>
        <w:pStyle w:val="Compact"/>
      </w:pPr>
      <w:r>
        <w:t xml:space="preserve">Curfman GD, Morrissey S, Drazen JM. Expression of concern reaffirmed. N Engl J Med. 2006;354:1193. PMID: 16495386.</w:t>
      </w:r>
    </w:p>
    <w:p>
      <w:pPr>
        <w:numPr>
          <w:ilvl w:val="0"/>
          <w:numId w:val="1007"/>
        </w:numPr>
        <w:pStyle w:val="Compact"/>
      </w:pPr>
      <w:r>
        <w:t xml:space="preserve">Erratum for Connolly HM et al. N Engl J Med. 1997;337:1783.</w:t>
      </w:r>
    </w:p>
    <w:bookmarkEnd w:id="37"/>
    <w:bookmarkEnd w:id="38"/>
    <w:bookmarkEnd w:id="3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411">
    <w:nsid w:val="A9941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5">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6">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7">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Title" w:type="paragraph">
    <w:name w:val="Abstract Title"/>
    <w:basedOn w:val="Normal"/>
    <w:next w:val="Abstract"/>
    <w:qFormat/>
    <w:pPr>
      <w:keepNext/>
      <w:keepLines/>
      <w:jc w:val="center"/>
      <w:spacing w:after="0" w:before="300"/>
    </w:pPr>
    <w:rPr>
      <w:sz w:val="20"/>
      <w:szCs w:val="20"/>
      <w:b/>
      <w:color w:val="345A8A"/>
      &gt;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2026-07-06T16:58:01Z</dcterms:created>
  <dcterms:modified xsi:type="dcterms:W3CDTF">2026-07-06T16:58:01Z</dcterms:modified>
</cp:coreProperties>
</file>

<file path=docProps/custom.xml><?xml version="1.0" encoding="utf-8"?>
<Properties xmlns="http://schemas.openxmlformats.org/officeDocument/2006/custom-properties" xmlns:vt="http://schemas.openxmlformats.org/officeDocument/2006/docPropsVTypes"/>
</file>