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2C2A8" w14:textId="77777777" w:rsidR="003E5706" w:rsidRPr="00395877" w:rsidRDefault="003E5706" w:rsidP="003E5706">
      <w:pPr>
        <w:rPr>
          <w:rFonts w:ascii="Arial" w:hAnsi="Arial" w:cs="Arial"/>
          <w:b/>
          <w:sz w:val="22"/>
          <w:szCs w:val="22"/>
          <w:lang w:val="en-US"/>
        </w:rPr>
      </w:pPr>
      <w:r w:rsidRPr="00395877">
        <w:rPr>
          <w:rFonts w:ascii="Arial" w:hAnsi="Arial" w:cs="Arial"/>
          <w:b/>
          <w:sz w:val="22"/>
          <w:szCs w:val="22"/>
          <w:lang w:val="en-US"/>
        </w:rPr>
        <w:t>Supplement</w:t>
      </w:r>
    </w:p>
    <w:p w14:paraId="34428810" w14:textId="282BD5DE" w:rsidR="003E5706" w:rsidRDefault="003E5706" w:rsidP="003E5706">
      <w:pPr>
        <w:rPr>
          <w:rFonts w:ascii="Arial" w:hAnsi="Arial" w:cs="Arial"/>
          <w:sz w:val="22"/>
          <w:szCs w:val="22"/>
          <w:lang w:val="en-US"/>
        </w:rPr>
      </w:pPr>
    </w:p>
    <w:p w14:paraId="736C7C50" w14:textId="77777777" w:rsidR="003E5706" w:rsidRPr="00AB2AD2" w:rsidRDefault="003E5706" w:rsidP="003E5706">
      <w:pPr>
        <w:rPr>
          <w:rFonts w:cstheme="minorHAnsi"/>
          <w:sz w:val="20"/>
          <w:szCs w:val="20"/>
          <w:lang w:val="en-US"/>
        </w:rPr>
      </w:pPr>
    </w:p>
    <w:p w14:paraId="23EA0333" w14:textId="77777777" w:rsidR="003E5706" w:rsidRPr="00AB2AD2" w:rsidRDefault="003E5706" w:rsidP="003E5706">
      <w:pPr>
        <w:rPr>
          <w:rFonts w:cstheme="minorHAnsi"/>
          <w:sz w:val="20"/>
          <w:szCs w:val="20"/>
          <w:lang w:val="en-US"/>
        </w:rPr>
      </w:pPr>
      <w:r w:rsidRPr="00AB2AD2">
        <w:rPr>
          <w:rFonts w:cstheme="minorHAnsi"/>
          <w:b/>
          <w:bCs/>
          <w:sz w:val="20"/>
          <w:szCs w:val="20"/>
          <w:lang w:val="en-US"/>
        </w:rPr>
        <w:t>Table S1:</w:t>
      </w:r>
      <w:r w:rsidRPr="00AB2AD2">
        <w:rPr>
          <w:rFonts w:cstheme="minorHAnsi"/>
          <w:sz w:val="20"/>
          <w:szCs w:val="20"/>
          <w:lang w:val="en-US"/>
        </w:rPr>
        <w:t xml:space="preserve"> Characteristics of VEN patients undergoing alloHSCT (prior to or following VEN treatment)</w:t>
      </w:r>
    </w:p>
    <w:p w14:paraId="63897200" w14:textId="77777777" w:rsidR="003E5706" w:rsidRPr="00AB2AD2" w:rsidRDefault="003E5706" w:rsidP="003E5706">
      <w:pPr>
        <w:rPr>
          <w:rFonts w:cstheme="minorHAnsi"/>
          <w:sz w:val="20"/>
          <w:szCs w:val="20"/>
          <w:lang w:val="en-US"/>
        </w:rPr>
      </w:pPr>
    </w:p>
    <w:tbl>
      <w:tblPr>
        <w:tblStyle w:val="Gitternetztabelle1hellAkzent1"/>
        <w:tblW w:w="5382" w:type="dxa"/>
        <w:tblLook w:val="04A0" w:firstRow="1" w:lastRow="0" w:firstColumn="1" w:lastColumn="0" w:noHBand="0" w:noVBand="1"/>
      </w:tblPr>
      <w:tblGrid>
        <w:gridCol w:w="4244"/>
        <w:gridCol w:w="1138"/>
      </w:tblGrid>
      <w:tr w:rsidR="003E5706" w:rsidRPr="00AB2AD2" w14:paraId="3454B6BB" w14:textId="77777777" w:rsidTr="002160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2AE745DD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Characteristics</w:t>
            </w:r>
            <w:proofErr w:type="spellEnd"/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alloHSCT, n= 22/56</w:t>
            </w:r>
          </w:p>
        </w:tc>
        <w:tc>
          <w:tcPr>
            <w:tcW w:w="1138" w:type="dxa"/>
            <w:noWrap/>
            <w:hideMark/>
          </w:tcPr>
          <w:p w14:paraId="056FFD4A" w14:textId="77777777" w:rsidR="003E5706" w:rsidRPr="00AB2AD2" w:rsidRDefault="003E5706" w:rsidP="002160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  <w:t>n (%)</w:t>
            </w:r>
          </w:p>
        </w:tc>
      </w:tr>
      <w:tr w:rsidR="003E5706" w:rsidRPr="00AB2AD2" w14:paraId="4132B586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</w:tcPr>
          <w:p w14:paraId="30F2FC46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  <w:t>VEN prior to alloHSCT</w:t>
            </w:r>
          </w:p>
        </w:tc>
        <w:tc>
          <w:tcPr>
            <w:tcW w:w="1138" w:type="dxa"/>
            <w:noWrap/>
          </w:tcPr>
          <w:p w14:paraId="74C4E92F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  <w:t>7 (12.5)</w:t>
            </w:r>
          </w:p>
        </w:tc>
      </w:tr>
      <w:tr w:rsidR="003E5706" w:rsidRPr="00AB2AD2" w14:paraId="298B7D13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</w:tcPr>
          <w:p w14:paraId="516A9C7C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  <w:t>VEN at relapse following alloHSCT</w:t>
            </w:r>
          </w:p>
        </w:tc>
        <w:tc>
          <w:tcPr>
            <w:tcW w:w="1138" w:type="dxa"/>
            <w:noWrap/>
          </w:tcPr>
          <w:p w14:paraId="020233D7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  <w:t>15 (26.8)</w:t>
            </w:r>
          </w:p>
        </w:tc>
      </w:tr>
      <w:tr w:rsidR="003E5706" w:rsidRPr="00C515BA" w14:paraId="55683532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</w:tcPr>
          <w:p w14:paraId="6749FDB2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  <w:t>Disease status prior to alloHSCT</w:t>
            </w:r>
          </w:p>
        </w:tc>
        <w:tc>
          <w:tcPr>
            <w:tcW w:w="1138" w:type="dxa"/>
            <w:noWrap/>
          </w:tcPr>
          <w:p w14:paraId="1C96848F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</w:p>
        </w:tc>
      </w:tr>
      <w:tr w:rsidR="003E5706" w:rsidRPr="00AB2AD2" w14:paraId="0D2EA4B5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19CD9170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  <w:t>CR1</w:t>
            </w:r>
          </w:p>
        </w:tc>
        <w:tc>
          <w:tcPr>
            <w:tcW w:w="1138" w:type="dxa"/>
            <w:noWrap/>
            <w:hideMark/>
          </w:tcPr>
          <w:p w14:paraId="7E513A18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13 (59.1)</w:t>
            </w:r>
          </w:p>
        </w:tc>
      </w:tr>
      <w:tr w:rsidR="003E5706" w:rsidRPr="00AB2AD2" w14:paraId="6C64F161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51715C24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  <w:t>CR2</w:t>
            </w:r>
          </w:p>
        </w:tc>
        <w:tc>
          <w:tcPr>
            <w:tcW w:w="1138" w:type="dxa"/>
            <w:noWrap/>
            <w:hideMark/>
          </w:tcPr>
          <w:p w14:paraId="04E8A740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3 (13.6)</w:t>
            </w:r>
          </w:p>
        </w:tc>
      </w:tr>
      <w:tr w:rsidR="003E5706" w:rsidRPr="00AB2AD2" w14:paraId="55232C8C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778CF9BD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  <w:t>CR3</w:t>
            </w:r>
          </w:p>
        </w:tc>
        <w:tc>
          <w:tcPr>
            <w:tcW w:w="1138" w:type="dxa"/>
            <w:noWrap/>
            <w:hideMark/>
          </w:tcPr>
          <w:p w14:paraId="7655D040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 (4.5)</w:t>
            </w:r>
          </w:p>
        </w:tc>
      </w:tr>
      <w:tr w:rsidR="003E5706" w:rsidRPr="00AB2AD2" w14:paraId="39D7588C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4170D618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  <w:t>PR</w:t>
            </w:r>
          </w:p>
        </w:tc>
        <w:tc>
          <w:tcPr>
            <w:tcW w:w="1138" w:type="dxa"/>
            <w:noWrap/>
            <w:hideMark/>
          </w:tcPr>
          <w:p w14:paraId="20D22B64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2 (9.1)</w:t>
            </w:r>
          </w:p>
        </w:tc>
      </w:tr>
      <w:tr w:rsidR="003E5706" w:rsidRPr="00AB2AD2" w14:paraId="757D6FFB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156CB5B3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  <w:t>PD</w:t>
            </w:r>
          </w:p>
        </w:tc>
        <w:tc>
          <w:tcPr>
            <w:tcW w:w="1138" w:type="dxa"/>
            <w:noWrap/>
            <w:hideMark/>
          </w:tcPr>
          <w:p w14:paraId="06834868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2 (9.1)</w:t>
            </w:r>
          </w:p>
        </w:tc>
      </w:tr>
      <w:tr w:rsidR="003E5706" w:rsidRPr="00AB2AD2" w14:paraId="5B738E50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683DE4D8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  <w:t>SD</w:t>
            </w:r>
          </w:p>
        </w:tc>
        <w:tc>
          <w:tcPr>
            <w:tcW w:w="1138" w:type="dxa"/>
            <w:noWrap/>
            <w:hideMark/>
          </w:tcPr>
          <w:p w14:paraId="29812BA1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 (4.5)</w:t>
            </w:r>
          </w:p>
        </w:tc>
      </w:tr>
      <w:tr w:rsidR="003E5706" w:rsidRPr="00AB2AD2" w14:paraId="5AA2CC95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7B277032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38" w:type="dxa"/>
            <w:noWrap/>
            <w:hideMark/>
          </w:tcPr>
          <w:p w14:paraId="330825E7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3E5706" w:rsidRPr="00AB2AD2" w14:paraId="79038B25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328F5CC7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  <w:t>CR after alloHSCT (at day +30)</w:t>
            </w:r>
          </w:p>
        </w:tc>
        <w:tc>
          <w:tcPr>
            <w:tcW w:w="1138" w:type="dxa"/>
            <w:noWrap/>
            <w:hideMark/>
          </w:tcPr>
          <w:p w14:paraId="40E7004E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20 (91)</w:t>
            </w:r>
          </w:p>
        </w:tc>
      </w:tr>
      <w:tr w:rsidR="003E5706" w:rsidRPr="00AB2AD2" w14:paraId="212C08FD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17FE1057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val="en-US" w:eastAsia="de-DE"/>
              </w:rPr>
              <w:t>PD after alloHSCT (at day +30)</w:t>
            </w:r>
          </w:p>
        </w:tc>
        <w:tc>
          <w:tcPr>
            <w:tcW w:w="1138" w:type="dxa"/>
            <w:noWrap/>
            <w:hideMark/>
          </w:tcPr>
          <w:p w14:paraId="08C5A3DD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2 (9)</w:t>
            </w:r>
          </w:p>
        </w:tc>
      </w:tr>
      <w:tr w:rsidR="003E5706" w:rsidRPr="00AB2AD2" w14:paraId="497FB004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31619220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38" w:type="dxa"/>
            <w:noWrap/>
            <w:hideMark/>
          </w:tcPr>
          <w:p w14:paraId="072FA2A8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3E5706" w:rsidRPr="00AB2AD2" w14:paraId="12CB93C1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42907101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Conditioning</w:t>
            </w:r>
            <w:proofErr w:type="spellEnd"/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regimen</w:t>
            </w:r>
            <w:proofErr w:type="spellEnd"/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1138" w:type="dxa"/>
            <w:noWrap/>
            <w:hideMark/>
          </w:tcPr>
          <w:p w14:paraId="3A4C0E41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</w:tr>
      <w:tr w:rsidR="003E5706" w:rsidRPr="00AB2AD2" w14:paraId="4F06C951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26F0192C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RTC </w:t>
            </w:r>
          </w:p>
        </w:tc>
        <w:tc>
          <w:tcPr>
            <w:tcW w:w="1138" w:type="dxa"/>
            <w:noWrap/>
            <w:hideMark/>
          </w:tcPr>
          <w:p w14:paraId="64028074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18 (81.8)</w:t>
            </w:r>
          </w:p>
        </w:tc>
      </w:tr>
      <w:tr w:rsidR="003E5706" w:rsidRPr="00AB2AD2" w14:paraId="231BC399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526606D6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i/>
                <w:iCs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Treosulfan/</w:t>
            </w:r>
            <w:proofErr w:type="spellStart"/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Fludarabin</w:t>
            </w:r>
            <w:proofErr w:type="spellEnd"/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/ATG</w:t>
            </w:r>
          </w:p>
        </w:tc>
        <w:tc>
          <w:tcPr>
            <w:tcW w:w="1138" w:type="dxa"/>
            <w:noWrap/>
            <w:hideMark/>
          </w:tcPr>
          <w:p w14:paraId="2F21147D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12 (66.6)</w:t>
            </w:r>
          </w:p>
        </w:tc>
      </w:tr>
      <w:tr w:rsidR="003E5706" w:rsidRPr="00AB2AD2" w14:paraId="1E0BEF41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7B2B834B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i/>
                <w:iCs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Treosulfan/</w:t>
            </w:r>
            <w:proofErr w:type="spellStart"/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Busulfan</w:t>
            </w:r>
            <w:proofErr w:type="spellEnd"/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/ATG</w:t>
            </w:r>
          </w:p>
        </w:tc>
        <w:tc>
          <w:tcPr>
            <w:tcW w:w="1138" w:type="dxa"/>
            <w:noWrap/>
            <w:hideMark/>
          </w:tcPr>
          <w:p w14:paraId="4F58D5B9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 (5.5)</w:t>
            </w:r>
          </w:p>
        </w:tc>
      </w:tr>
      <w:tr w:rsidR="003E5706" w:rsidRPr="00AB2AD2" w14:paraId="25E252DC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4AE64A4F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i/>
                <w:iCs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FLAMSA</w:t>
            </w:r>
          </w:p>
        </w:tc>
        <w:tc>
          <w:tcPr>
            <w:tcW w:w="1138" w:type="dxa"/>
            <w:noWrap/>
            <w:hideMark/>
          </w:tcPr>
          <w:p w14:paraId="7FBD8D4A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 (5.5)</w:t>
            </w:r>
          </w:p>
        </w:tc>
      </w:tr>
      <w:tr w:rsidR="003E5706" w:rsidRPr="00AB2AD2" w14:paraId="665393AE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769188E0" w14:textId="77777777" w:rsidR="003E5706" w:rsidRPr="00AB2AD2" w:rsidRDefault="003E5706" w:rsidP="002160EA">
            <w:pPr>
              <w:rPr>
                <w:rFonts w:eastAsia="Times New Roman" w:cstheme="minorHAnsi"/>
                <w:b w:val="0"/>
                <w:bCs w:val="0"/>
                <w:i/>
                <w:iCs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Treosulfan/</w:t>
            </w:r>
            <w:proofErr w:type="spellStart"/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Fludarabin</w:t>
            </w:r>
            <w:proofErr w:type="spellEnd"/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/ATG/</w:t>
            </w:r>
            <w:proofErr w:type="spellStart"/>
            <w:r w:rsidRPr="00AB2AD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de-DE"/>
              </w:rPr>
              <w:t>Cytarabine</w:t>
            </w:r>
            <w:proofErr w:type="spellEnd"/>
          </w:p>
        </w:tc>
        <w:tc>
          <w:tcPr>
            <w:tcW w:w="1138" w:type="dxa"/>
            <w:noWrap/>
            <w:hideMark/>
          </w:tcPr>
          <w:p w14:paraId="483CFA1A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4 (22.2)</w:t>
            </w:r>
          </w:p>
        </w:tc>
      </w:tr>
      <w:tr w:rsidR="003E5706" w:rsidRPr="00AB2AD2" w14:paraId="34052084" w14:textId="77777777" w:rsidTr="002160E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noWrap/>
            <w:hideMark/>
          </w:tcPr>
          <w:p w14:paraId="2F556B0E" w14:textId="77777777" w:rsidR="003E5706" w:rsidRPr="00AB2AD2" w:rsidRDefault="003E5706" w:rsidP="002160EA">
            <w:pPr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MAC </w:t>
            </w:r>
          </w:p>
        </w:tc>
        <w:tc>
          <w:tcPr>
            <w:tcW w:w="1138" w:type="dxa"/>
            <w:noWrap/>
            <w:hideMark/>
          </w:tcPr>
          <w:p w14:paraId="7AF8C0B0" w14:textId="77777777" w:rsidR="003E5706" w:rsidRPr="00AB2AD2" w:rsidRDefault="003E5706" w:rsidP="00216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B2AD2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4 (18.2)</w:t>
            </w:r>
          </w:p>
        </w:tc>
      </w:tr>
    </w:tbl>
    <w:p w14:paraId="43BD361A" w14:textId="77777777" w:rsidR="003E5706" w:rsidRPr="00AB2AD2" w:rsidRDefault="003E5706" w:rsidP="003E5706">
      <w:pPr>
        <w:rPr>
          <w:rFonts w:cstheme="minorHAnsi"/>
          <w:sz w:val="20"/>
          <w:szCs w:val="20"/>
        </w:rPr>
      </w:pPr>
    </w:p>
    <w:p w14:paraId="4CD16E98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  <w:r w:rsidRPr="00AB2AD2">
        <w:rPr>
          <w:rFonts w:cstheme="minorHAnsi"/>
          <w:b/>
          <w:bCs/>
          <w:sz w:val="20"/>
          <w:szCs w:val="20"/>
          <w:lang w:val="en-US"/>
        </w:rPr>
        <w:t>Abbreviations:</w:t>
      </w:r>
      <w:r w:rsidRPr="00AB2AD2">
        <w:rPr>
          <w:rFonts w:cstheme="minorHAnsi"/>
          <w:sz w:val="20"/>
          <w:szCs w:val="20"/>
          <w:lang w:val="en-US"/>
        </w:rPr>
        <w:t xml:space="preserve"> </w:t>
      </w:r>
      <w:r w:rsidRPr="00AB2AD2">
        <w:rPr>
          <w:rFonts w:cstheme="minorHAnsi"/>
          <w:i/>
          <w:iCs/>
          <w:sz w:val="20"/>
          <w:szCs w:val="20"/>
          <w:lang w:val="en-US"/>
        </w:rPr>
        <w:t>CR</w:t>
      </w:r>
      <w:r w:rsidRPr="00AB2AD2">
        <w:rPr>
          <w:rFonts w:cstheme="minorHAnsi"/>
          <w:sz w:val="20"/>
          <w:szCs w:val="20"/>
          <w:lang w:val="en-US"/>
        </w:rPr>
        <w:t xml:space="preserve"> complete remission; </w:t>
      </w:r>
      <w:r w:rsidRPr="00AB2AD2">
        <w:rPr>
          <w:rFonts w:cstheme="minorHAnsi"/>
          <w:i/>
          <w:iCs/>
          <w:sz w:val="20"/>
          <w:szCs w:val="20"/>
          <w:lang w:val="en-US"/>
        </w:rPr>
        <w:t>PR</w:t>
      </w:r>
      <w:r w:rsidRPr="00AB2AD2">
        <w:rPr>
          <w:rFonts w:cstheme="minorHAnsi"/>
          <w:sz w:val="20"/>
          <w:szCs w:val="20"/>
          <w:lang w:val="en-US"/>
        </w:rPr>
        <w:t xml:space="preserve"> partial remission; </w:t>
      </w:r>
      <w:r w:rsidRPr="00AB2AD2">
        <w:rPr>
          <w:rFonts w:cstheme="minorHAnsi"/>
          <w:i/>
          <w:iCs/>
          <w:sz w:val="20"/>
          <w:szCs w:val="20"/>
          <w:lang w:val="en-US"/>
        </w:rPr>
        <w:t>PD</w:t>
      </w:r>
      <w:r w:rsidRPr="00AB2AD2">
        <w:rPr>
          <w:rFonts w:cstheme="minorHAnsi"/>
          <w:sz w:val="20"/>
          <w:szCs w:val="20"/>
          <w:lang w:val="en-US"/>
        </w:rPr>
        <w:t xml:space="preserve"> progressive disease; </w:t>
      </w:r>
      <w:r w:rsidRPr="00AB2AD2">
        <w:rPr>
          <w:rFonts w:cstheme="minorHAnsi"/>
          <w:i/>
          <w:iCs/>
          <w:sz w:val="20"/>
          <w:szCs w:val="20"/>
          <w:lang w:val="en-US"/>
        </w:rPr>
        <w:t>SD</w:t>
      </w:r>
      <w:r w:rsidRPr="00AB2AD2">
        <w:rPr>
          <w:rFonts w:cstheme="minorHAnsi"/>
          <w:sz w:val="20"/>
          <w:szCs w:val="20"/>
          <w:lang w:val="en-US"/>
        </w:rPr>
        <w:t xml:space="preserve"> stable disease, </w:t>
      </w:r>
      <w:r w:rsidRPr="00AB2AD2">
        <w:rPr>
          <w:rFonts w:cstheme="minorHAnsi"/>
          <w:i/>
          <w:iCs/>
          <w:sz w:val="20"/>
          <w:szCs w:val="20"/>
          <w:lang w:val="en-US"/>
        </w:rPr>
        <w:t>alloHSCT</w:t>
      </w:r>
      <w:r w:rsidRPr="00AB2AD2">
        <w:rPr>
          <w:rFonts w:cstheme="minorHAnsi"/>
          <w:sz w:val="20"/>
          <w:szCs w:val="20"/>
          <w:lang w:val="en-US"/>
        </w:rPr>
        <w:t xml:space="preserve"> allogeneic hematopoietic stem cell transplantation; </w:t>
      </w:r>
      <w:r w:rsidRPr="00AB2AD2">
        <w:rPr>
          <w:rFonts w:cstheme="minorHAnsi"/>
          <w:i/>
          <w:iCs/>
          <w:sz w:val="20"/>
          <w:szCs w:val="20"/>
          <w:lang w:val="en-US"/>
        </w:rPr>
        <w:t>RTC</w:t>
      </w:r>
      <w:r w:rsidRPr="00AB2AD2">
        <w:rPr>
          <w:rFonts w:cstheme="minorHAnsi"/>
          <w:sz w:val="20"/>
          <w:szCs w:val="20"/>
          <w:lang w:val="en-US"/>
        </w:rPr>
        <w:t xml:space="preserve"> reduced toxicity conditioning; </w:t>
      </w:r>
      <w:r w:rsidRPr="00AB2AD2">
        <w:rPr>
          <w:rFonts w:cstheme="minorHAnsi"/>
          <w:i/>
          <w:iCs/>
          <w:sz w:val="20"/>
          <w:szCs w:val="20"/>
          <w:lang w:val="en-US"/>
        </w:rPr>
        <w:t>ATG</w:t>
      </w:r>
      <w:r w:rsidRPr="00AB2AD2">
        <w:rPr>
          <w:rFonts w:cstheme="minorHAnsi"/>
          <w:sz w:val="20"/>
          <w:szCs w:val="20"/>
          <w:lang w:val="en-US"/>
        </w:rPr>
        <w:t xml:space="preserve"> anti-thymocyte globulin; </w:t>
      </w:r>
      <w:r w:rsidRPr="00AB2AD2">
        <w:rPr>
          <w:rFonts w:cstheme="minorHAnsi"/>
          <w:i/>
          <w:iCs/>
          <w:sz w:val="20"/>
          <w:szCs w:val="20"/>
          <w:lang w:val="en-US"/>
        </w:rPr>
        <w:t>MAC</w:t>
      </w:r>
      <w:r w:rsidRPr="00AB2AD2">
        <w:rPr>
          <w:rFonts w:cstheme="minorHAnsi"/>
          <w:sz w:val="20"/>
          <w:szCs w:val="20"/>
          <w:lang w:val="en-US"/>
        </w:rPr>
        <w:t xml:space="preserve"> myeloablative conditioning; </w:t>
      </w:r>
      <w:r w:rsidRPr="00AB2AD2">
        <w:rPr>
          <w:rFonts w:cstheme="minorHAnsi"/>
          <w:i/>
          <w:iCs/>
          <w:sz w:val="20"/>
          <w:szCs w:val="20"/>
          <w:lang w:val="en-US"/>
        </w:rPr>
        <w:t>NMAC</w:t>
      </w:r>
      <w:r w:rsidRPr="00AB2AD2">
        <w:rPr>
          <w:rFonts w:cstheme="minorHAnsi"/>
          <w:sz w:val="20"/>
          <w:szCs w:val="20"/>
          <w:lang w:val="en-US"/>
        </w:rPr>
        <w:t xml:space="preserve"> non-myeloablative conditioning</w:t>
      </w:r>
    </w:p>
    <w:p w14:paraId="198C8D52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40163CEF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302C74DE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348C2C89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00954CFB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7AB6D80D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538B64A2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25A06E40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16B24719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505E4640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4BB9D99E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33DE7078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778D7EE9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0A4AB040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6E58479C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4BC02CFF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268B2042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426153DA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2ADA9DCD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1FE47F84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1BFCADB7" w14:textId="77777777" w:rsidR="003E5706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47A11940" w14:textId="77777777" w:rsidR="003E5706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0A5288F1" w14:textId="77777777" w:rsidR="003E5706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1B5C2D1E" w14:textId="77777777" w:rsidR="003E5706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3A3B87C7" w14:textId="77777777" w:rsidR="003E5706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18D4B9C2" w14:textId="77777777" w:rsidR="003E5706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400AEABE" w14:textId="77777777" w:rsidR="003E5706" w:rsidRPr="00AB2AD2" w:rsidRDefault="003E5706" w:rsidP="003E5706">
      <w:pPr>
        <w:jc w:val="both"/>
        <w:rPr>
          <w:rFonts w:cstheme="minorHAnsi"/>
          <w:b/>
          <w:sz w:val="20"/>
          <w:szCs w:val="20"/>
          <w:lang w:val="en-US"/>
        </w:rPr>
      </w:pPr>
      <w:r w:rsidRPr="00AB2AD2">
        <w:rPr>
          <w:rFonts w:cstheme="minorHAnsi"/>
          <w:b/>
          <w:sz w:val="20"/>
          <w:szCs w:val="20"/>
          <w:lang w:val="en-US"/>
        </w:rPr>
        <w:lastRenderedPageBreak/>
        <w:t>Figure S1</w:t>
      </w:r>
    </w:p>
    <w:p w14:paraId="7DDC565C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08E9F160" w14:textId="77777777" w:rsidR="003E5706" w:rsidRPr="00AB2AD2" w:rsidRDefault="003E5706" w:rsidP="003E5706">
      <w:pPr>
        <w:jc w:val="both"/>
        <w:rPr>
          <w:rFonts w:cstheme="minorHAnsi"/>
          <w:sz w:val="20"/>
          <w:szCs w:val="20"/>
          <w:lang w:val="en-US"/>
        </w:rPr>
      </w:pPr>
    </w:p>
    <w:p w14:paraId="11DD9D5C" w14:textId="77777777" w:rsidR="003E5706" w:rsidRPr="00AB2AD2" w:rsidRDefault="003E5706" w:rsidP="003E5706">
      <w:pPr>
        <w:rPr>
          <w:rFonts w:cstheme="minorHAnsi"/>
          <w:b/>
          <w:bCs/>
          <w:sz w:val="20"/>
          <w:szCs w:val="20"/>
          <w:lang w:val="en-US"/>
        </w:rPr>
      </w:pPr>
      <w:r w:rsidRPr="00D266B1">
        <w:rPr>
          <w:rFonts w:cstheme="minorHAnsi"/>
          <w:b/>
          <w:bCs/>
          <w:noProof/>
          <w:sz w:val="20"/>
          <w:szCs w:val="20"/>
          <w:lang w:val="en-US"/>
        </w:rPr>
        <w:drawing>
          <wp:inline distT="0" distB="0" distL="0" distR="0" wp14:anchorId="58FF7386" wp14:editId="03E9B9FC">
            <wp:extent cx="6222453" cy="4614334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31057" cy="462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A8FB6" w14:textId="77777777" w:rsidR="003E5706" w:rsidRPr="00AB2AD2" w:rsidRDefault="003E5706" w:rsidP="003E5706">
      <w:pPr>
        <w:rPr>
          <w:rFonts w:cstheme="minorHAnsi"/>
          <w:sz w:val="20"/>
          <w:szCs w:val="20"/>
          <w:lang w:val="en-US"/>
        </w:rPr>
      </w:pPr>
    </w:p>
    <w:p w14:paraId="2A982949" w14:textId="77777777" w:rsidR="003E5706" w:rsidRPr="00AB2AD2" w:rsidRDefault="003E5706" w:rsidP="003E5706">
      <w:pPr>
        <w:rPr>
          <w:rFonts w:cstheme="minorHAnsi"/>
          <w:sz w:val="20"/>
          <w:szCs w:val="20"/>
          <w:lang w:val="en-US"/>
        </w:rPr>
      </w:pPr>
    </w:p>
    <w:p w14:paraId="776AB044" w14:textId="281EE6F0" w:rsidR="003E5706" w:rsidRDefault="003E5706" w:rsidP="003E5706">
      <w:pPr>
        <w:rPr>
          <w:rFonts w:ascii="Arial" w:hAnsi="Arial" w:cs="Arial"/>
          <w:sz w:val="22"/>
          <w:szCs w:val="22"/>
          <w:lang w:val="en-US"/>
        </w:rPr>
      </w:pPr>
      <w:r w:rsidRPr="00395877">
        <w:rPr>
          <w:rFonts w:ascii="Arial" w:hAnsi="Arial" w:cs="Arial"/>
          <w:b/>
          <w:bCs/>
          <w:sz w:val="22"/>
          <w:szCs w:val="22"/>
          <w:lang w:val="en-US"/>
        </w:rPr>
        <w:t>Figure S1:</w:t>
      </w:r>
      <w:r w:rsidRPr="00395877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52F91477" w14:textId="77777777" w:rsidR="003E5706" w:rsidRPr="00395877" w:rsidRDefault="003E5706" w:rsidP="003E5706">
      <w:pPr>
        <w:rPr>
          <w:rFonts w:ascii="Arial" w:hAnsi="Arial" w:cs="Arial"/>
          <w:sz w:val="22"/>
          <w:szCs w:val="22"/>
          <w:lang w:val="en-US"/>
        </w:rPr>
      </w:pPr>
      <w:r w:rsidRPr="00395877">
        <w:rPr>
          <w:rFonts w:ascii="Arial" w:hAnsi="Arial" w:cs="Arial"/>
          <w:sz w:val="22"/>
          <w:szCs w:val="22"/>
          <w:lang w:val="en-US"/>
        </w:rPr>
        <w:t>OS illustrated since initial diagnosis for whole population and for CRc patients (A and B respectively); survival since start of VEN treatment for pts who received VEN as salvage regimen prior to alloHSCT (C).</w:t>
      </w:r>
    </w:p>
    <w:p w14:paraId="38930B7F" w14:textId="77777777" w:rsidR="003E5706" w:rsidRDefault="003E5706" w:rsidP="003E5706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C2CE10C" w14:textId="77777777" w:rsidR="003E5706" w:rsidRPr="00395877" w:rsidRDefault="003E5706" w:rsidP="003E5706">
      <w:pPr>
        <w:rPr>
          <w:rFonts w:ascii="Arial" w:hAnsi="Arial" w:cs="Arial"/>
          <w:sz w:val="22"/>
          <w:szCs w:val="22"/>
          <w:lang w:val="en-US"/>
        </w:rPr>
      </w:pPr>
      <w:r w:rsidRPr="00395877">
        <w:rPr>
          <w:rFonts w:ascii="Arial" w:hAnsi="Arial" w:cs="Arial"/>
          <w:b/>
          <w:bCs/>
          <w:sz w:val="22"/>
          <w:szCs w:val="22"/>
          <w:lang w:val="en-US"/>
        </w:rPr>
        <w:t>Abbreviations:</w:t>
      </w:r>
      <w:r w:rsidRPr="00395877">
        <w:rPr>
          <w:rFonts w:ascii="Arial" w:hAnsi="Arial" w:cs="Arial"/>
          <w:sz w:val="22"/>
          <w:szCs w:val="22"/>
          <w:lang w:val="en-US"/>
        </w:rPr>
        <w:t xml:space="preserve"> </w:t>
      </w:r>
      <w:r w:rsidRPr="00395877">
        <w:rPr>
          <w:rFonts w:ascii="Arial" w:hAnsi="Arial" w:cs="Arial"/>
          <w:i/>
          <w:iCs/>
          <w:sz w:val="22"/>
          <w:szCs w:val="22"/>
          <w:lang w:val="en-US"/>
        </w:rPr>
        <w:t>OS</w:t>
      </w:r>
      <w:r w:rsidRPr="00395877">
        <w:rPr>
          <w:rFonts w:ascii="Arial" w:hAnsi="Arial" w:cs="Arial"/>
          <w:sz w:val="22"/>
          <w:szCs w:val="22"/>
          <w:lang w:val="en-US"/>
        </w:rPr>
        <w:t xml:space="preserve"> overall survival; </w:t>
      </w:r>
      <w:r w:rsidRPr="00395877">
        <w:rPr>
          <w:rFonts w:ascii="Arial" w:hAnsi="Arial" w:cs="Arial"/>
          <w:i/>
          <w:iCs/>
          <w:sz w:val="22"/>
          <w:szCs w:val="22"/>
          <w:lang w:val="en-US"/>
        </w:rPr>
        <w:t>VEN</w:t>
      </w:r>
      <w:r w:rsidRPr="00395877">
        <w:rPr>
          <w:rFonts w:ascii="Arial" w:hAnsi="Arial" w:cs="Arial"/>
          <w:sz w:val="22"/>
          <w:szCs w:val="22"/>
          <w:lang w:val="en-US"/>
        </w:rPr>
        <w:t xml:space="preserve"> Venetoclax; CRc composite complete remission (CR+CRi+CRp); </w:t>
      </w:r>
      <w:r w:rsidRPr="00395877">
        <w:rPr>
          <w:rFonts w:ascii="Arial" w:hAnsi="Arial" w:cs="Arial"/>
          <w:i/>
          <w:iCs/>
          <w:sz w:val="22"/>
          <w:szCs w:val="22"/>
          <w:lang w:val="en-US"/>
        </w:rPr>
        <w:t>allo</w:t>
      </w:r>
      <w:r>
        <w:rPr>
          <w:rFonts w:ascii="Arial" w:hAnsi="Arial" w:cs="Arial"/>
          <w:i/>
          <w:iCs/>
          <w:sz w:val="22"/>
          <w:szCs w:val="22"/>
          <w:lang w:val="en-US"/>
        </w:rPr>
        <w:t>H</w:t>
      </w:r>
      <w:r w:rsidRPr="00395877">
        <w:rPr>
          <w:rFonts w:ascii="Arial" w:hAnsi="Arial" w:cs="Arial"/>
          <w:i/>
          <w:iCs/>
          <w:sz w:val="22"/>
          <w:szCs w:val="22"/>
          <w:lang w:val="en-US"/>
        </w:rPr>
        <w:t>SCT</w:t>
      </w:r>
      <w:r w:rsidRPr="00395877">
        <w:rPr>
          <w:rFonts w:ascii="Arial" w:hAnsi="Arial" w:cs="Arial"/>
          <w:sz w:val="22"/>
          <w:szCs w:val="22"/>
          <w:lang w:val="en-US"/>
        </w:rPr>
        <w:t xml:space="preserve"> allogeneic hematopoietic stem cell transplantation</w:t>
      </w:r>
    </w:p>
    <w:p w14:paraId="588D4B63" w14:textId="77777777" w:rsidR="00626C6A" w:rsidRPr="003E5706" w:rsidRDefault="00626C6A">
      <w:pPr>
        <w:rPr>
          <w:lang w:val="en-US"/>
        </w:rPr>
      </w:pPr>
    </w:p>
    <w:sectPr w:rsidR="00626C6A" w:rsidRPr="003E570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0000000000000000000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706"/>
    <w:rsid w:val="003E5706"/>
    <w:rsid w:val="00626C6A"/>
    <w:rsid w:val="006F2A15"/>
    <w:rsid w:val="007C4051"/>
    <w:rsid w:val="00864CEB"/>
    <w:rsid w:val="00A10182"/>
    <w:rsid w:val="00A12577"/>
    <w:rsid w:val="00AA1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6E595F"/>
  <w15:chartTrackingRefBased/>
  <w15:docId w15:val="{93A2845D-8002-1249-9772-E6377A0A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E570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Gitternetztabelle1hellAkzent1">
    <w:name w:val="Grid Table 1 Light Accent 1"/>
    <w:basedOn w:val="NormaleTabelle"/>
    <w:uiPriority w:val="46"/>
    <w:rsid w:val="003E570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Ulf Schnetzke</dc:creator>
  <cp:keywords/>
  <dc:description/>
  <cp:lastModifiedBy>Ulf Schnetzke</cp:lastModifiedBy>
  <cp:revision>1</cp:revision>
  <dcterms:created xsi:type="dcterms:W3CDTF">2021-10-28T08:49:00Z</dcterms:created>
  <dcterms:modified xsi:type="dcterms:W3CDTF">2021-10-28T08:52:00Z</dcterms:modified>
</cp:coreProperties>
</file>