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2610"/>
        <w:gridCol w:w="5295"/>
        <w:gridCol w:w="1110"/>
      </w:tblGrid>
      <w:tr w:rsidR="004915DE" w:rsidRPr="0098017C" w14:paraId="548E5FB0" w14:textId="77777777" w:rsidTr="00CD3675">
        <w:trPr>
          <w:trHeight w:val="300"/>
        </w:trPr>
        <w:tc>
          <w:tcPr>
            <w:tcW w:w="9015" w:type="dxa"/>
            <w:gridSpan w:val="3"/>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797C5DC" w14:textId="77777777" w:rsidR="004915DE" w:rsidRPr="0098017C" w:rsidRDefault="004915DE" w:rsidP="00CD3675">
            <w:pPr>
              <w:widowControl w:val="0"/>
              <w:spacing w:line="276" w:lineRule="auto"/>
              <w:rPr>
                <w:rFonts w:ascii="Times New Roman" w:eastAsia="Times New Roman" w:hAnsi="Times New Roman"/>
                <w:b/>
                <w:sz w:val="20"/>
                <w:szCs w:val="20"/>
              </w:rPr>
            </w:pPr>
            <w:r w:rsidRPr="0098017C">
              <w:rPr>
                <w:rFonts w:ascii="Times New Roman" w:eastAsia="Times New Roman" w:hAnsi="Times New Roman"/>
                <w:b/>
                <w:bCs/>
                <w:sz w:val="20"/>
                <w:szCs w:val="20"/>
              </w:rPr>
              <w:t xml:space="preserve">Table 1. Components of the </w:t>
            </w:r>
            <w:r w:rsidRPr="0098017C">
              <w:rPr>
                <w:rFonts w:ascii="Times New Roman" w:hAnsi="Times New Roman"/>
                <w:b/>
                <w:sz w:val="20"/>
              </w:rPr>
              <w:t xml:space="preserve">pharmacotherapeutic inadequacy index </w:t>
            </w:r>
            <w:r w:rsidRPr="0098017C">
              <w:rPr>
                <w:rFonts w:ascii="Times New Roman" w:eastAsia="Times New Roman" w:hAnsi="Times New Roman"/>
                <w:b/>
                <w:bCs/>
                <w:sz w:val="20"/>
                <w:szCs w:val="20"/>
              </w:rPr>
              <w:t>implemented in VIGIA</w:t>
            </w:r>
          </w:p>
        </w:tc>
      </w:tr>
      <w:tr w:rsidR="004915DE" w:rsidRPr="0098017C" w14:paraId="646CE6C4" w14:textId="77777777" w:rsidTr="00CD3675">
        <w:trPr>
          <w:trHeight w:val="300"/>
        </w:trPr>
        <w:tc>
          <w:tcPr>
            <w:tcW w:w="2610"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74F9C9D0"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5295"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2DC01977"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110"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3D9DA919"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7FB59665" w14:textId="77777777" w:rsidTr="00CD3675">
        <w:trPr>
          <w:trHeight w:val="555"/>
        </w:trPr>
        <w:tc>
          <w:tcPr>
            <w:tcW w:w="2610" w:type="dxa"/>
            <w:tcBorders>
              <w:top w:val="single" w:sz="6" w:space="0" w:color="CCCCCC"/>
              <w:left w:val="single" w:sz="6" w:space="0" w:color="BBBBBB"/>
              <w:bottom w:val="single" w:sz="6" w:space="0" w:color="BBBBBB"/>
              <w:right w:val="single" w:sz="6" w:space="0" w:color="BBBBBB"/>
            </w:tcBorders>
            <w:shd w:val="clear" w:color="auto" w:fill="1F4E79"/>
            <w:tcMar>
              <w:top w:w="0" w:type="dxa"/>
              <w:left w:w="40" w:type="dxa"/>
              <w:bottom w:w="0" w:type="dxa"/>
              <w:right w:w="40" w:type="dxa"/>
            </w:tcMar>
            <w:vAlign w:val="bottom"/>
          </w:tcPr>
          <w:p w14:paraId="40DDE05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Category</w:t>
            </w:r>
          </w:p>
        </w:tc>
        <w:tc>
          <w:tcPr>
            <w:tcW w:w="5295" w:type="dxa"/>
            <w:tcBorders>
              <w:top w:val="single" w:sz="6" w:space="0" w:color="CCCCCC"/>
              <w:left w:val="single" w:sz="6" w:space="0" w:color="CCCCCC"/>
              <w:bottom w:val="single" w:sz="6" w:space="0" w:color="BBBBBB"/>
              <w:right w:val="single" w:sz="6" w:space="0" w:color="BBBBBB"/>
            </w:tcBorders>
            <w:shd w:val="clear" w:color="auto" w:fill="1F4E79"/>
            <w:tcMar>
              <w:top w:w="0" w:type="dxa"/>
              <w:left w:w="40" w:type="dxa"/>
              <w:bottom w:w="0" w:type="dxa"/>
              <w:right w:w="40" w:type="dxa"/>
            </w:tcMar>
            <w:vAlign w:val="bottom"/>
          </w:tcPr>
          <w:p w14:paraId="1AF556F5"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Operational criterion implemented in VIGIA</w:t>
            </w:r>
          </w:p>
        </w:tc>
        <w:tc>
          <w:tcPr>
            <w:tcW w:w="1110" w:type="dxa"/>
            <w:tcBorders>
              <w:top w:val="single" w:sz="6" w:space="0" w:color="CCCCCC"/>
              <w:left w:val="single" w:sz="6" w:space="0" w:color="CCCCCC"/>
              <w:bottom w:val="single" w:sz="6" w:space="0" w:color="BBBBBB"/>
              <w:right w:val="single" w:sz="6" w:space="0" w:color="BBBBBB"/>
            </w:tcBorders>
            <w:shd w:val="clear" w:color="auto" w:fill="1F4E79"/>
            <w:tcMar>
              <w:top w:w="0" w:type="dxa"/>
              <w:left w:w="40" w:type="dxa"/>
              <w:bottom w:w="0" w:type="dxa"/>
              <w:right w:w="40" w:type="dxa"/>
            </w:tcMar>
            <w:vAlign w:val="bottom"/>
          </w:tcPr>
          <w:p w14:paraId="5115C28E"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Clinical</w:t>
            </w:r>
          </w:p>
          <w:p w14:paraId="4AD59B5A"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coefficient</w:t>
            </w:r>
          </w:p>
        </w:tc>
      </w:tr>
      <w:tr w:rsidR="004915DE" w:rsidRPr="0098017C" w14:paraId="0BF381E2" w14:textId="77777777" w:rsidTr="00CD3675">
        <w:trPr>
          <w:trHeight w:val="825"/>
        </w:trPr>
        <w:tc>
          <w:tcPr>
            <w:tcW w:w="261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7457A490"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Therapeutic duplications</w:t>
            </w:r>
          </w:p>
        </w:tc>
        <w:tc>
          <w:tcPr>
            <w:tcW w:w="529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61511C86"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Concurrent prescription of two or more medicines from the same therapeutic group or with overlapping therapeutic purpose, according to the predefined review rules.</w:t>
            </w:r>
          </w:p>
        </w:tc>
        <w:tc>
          <w:tcPr>
            <w:tcW w:w="111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7FC03663"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w:t>
            </w:r>
          </w:p>
        </w:tc>
      </w:tr>
      <w:tr w:rsidR="004915DE" w:rsidRPr="0098017C" w14:paraId="3C4607BC" w14:textId="77777777" w:rsidTr="00CD3675">
        <w:trPr>
          <w:trHeight w:val="825"/>
        </w:trPr>
        <w:tc>
          <w:tcPr>
            <w:tcW w:w="2610" w:type="dxa"/>
            <w:tcBorders>
              <w:top w:val="single" w:sz="6" w:space="0" w:color="CCCCCC"/>
              <w:left w:val="single" w:sz="6" w:space="0" w:color="BBBBBB"/>
              <w:bottom w:val="single" w:sz="6" w:space="0" w:color="BBBBBB"/>
              <w:right w:val="single" w:sz="6" w:space="0" w:color="BBBBBB"/>
            </w:tcBorders>
            <w:shd w:val="clear" w:color="auto" w:fill="D6E4F0"/>
            <w:tcMar>
              <w:top w:w="0" w:type="dxa"/>
              <w:left w:w="40" w:type="dxa"/>
              <w:bottom w:w="0" w:type="dxa"/>
              <w:right w:w="40" w:type="dxa"/>
            </w:tcMar>
            <w:vAlign w:val="bottom"/>
          </w:tcPr>
          <w:p w14:paraId="17CA6FC7"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Low therapeutic value medicines</w:t>
            </w:r>
          </w:p>
        </w:tc>
        <w:tc>
          <w:tcPr>
            <w:tcW w:w="529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4C2EF35E"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Presence of medicines classified as having low therapeutic value according to the predefined list used in the medication review programme.</w:t>
            </w:r>
          </w:p>
        </w:tc>
        <w:tc>
          <w:tcPr>
            <w:tcW w:w="1110"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403B4154"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w:t>
            </w:r>
          </w:p>
        </w:tc>
      </w:tr>
      <w:tr w:rsidR="004915DE" w:rsidRPr="0098017C" w14:paraId="74A5BA50" w14:textId="77777777" w:rsidTr="00CD3675">
        <w:trPr>
          <w:trHeight w:val="555"/>
        </w:trPr>
        <w:tc>
          <w:tcPr>
            <w:tcW w:w="261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65A3976E"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Prescribing cascades</w:t>
            </w:r>
          </w:p>
        </w:tc>
        <w:tc>
          <w:tcPr>
            <w:tcW w:w="529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4FF53286"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Detection of medicines potentially prescribed to treat an adverse effect or consequence associated with another medicine.</w:t>
            </w:r>
          </w:p>
        </w:tc>
        <w:tc>
          <w:tcPr>
            <w:tcW w:w="111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0CA0172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0.5</w:t>
            </w:r>
          </w:p>
        </w:tc>
      </w:tr>
      <w:tr w:rsidR="004915DE" w:rsidRPr="0098017C" w14:paraId="661009B5" w14:textId="77777777" w:rsidTr="00CD3675">
        <w:trPr>
          <w:trHeight w:val="555"/>
        </w:trPr>
        <w:tc>
          <w:tcPr>
            <w:tcW w:w="2610" w:type="dxa"/>
            <w:tcBorders>
              <w:top w:val="single" w:sz="6" w:space="0" w:color="CCCCCC"/>
              <w:left w:val="single" w:sz="6" w:space="0" w:color="BBBBBB"/>
              <w:bottom w:val="single" w:sz="6" w:space="0" w:color="BBBBBB"/>
              <w:right w:val="single" w:sz="6" w:space="0" w:color="BBBBBB"/>
            </w:tcBorders>
            <w:shd w:val="clear" w:color="auto" w:fill="D6E4F0"/>
            <w:tcMar>
              <w:top w:w="0" w:type="dxa"/>
              <w:left w:w="40" w:type="dxa"/>
              <w:bottom w:w="0" w:type="dxa"/>
              <w:right w:w="40" w:type="dxa"/>
            </w:tcMar>
            <w:vAlign w:val="bottom"/>
          </w:tcPr>
          <w:p w14:paraId="14E98C45"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QT-prolonging medicines</w:t>
            </w:r>
          </w:p>
        </w:tc>
        <w:tc>
          <w:tcPr>
            <w:tcW w:w="529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5EB6FA9F"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Presence of medicines associated with QT interval prolongation and potential arrhythmic risk.</w:t>
            </w:r>
          </w:p>
        </w:tc>
        <w:tc>
          <w:tcPr>
            <w:tcW w:w="1110"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2CB99183"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0.5</w:t>
            </w:r>
          </w:p>
        </w:tc>
      </w:tr>
      <w:tr w:rsidR="004915DE" w:rsidRPr="0098017C" w14:paraId="6AF0A536" w14:textId="77777777" w:rsidTr="00CD3675">
        <w:trPr>
          <w:trHeight w:val="555"/>
        </w:trPr>
        <w:tc>
          <w:tcPr>
            <w:tcW w:w="261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10514AA9"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Medicines with high anticholinergic burden</w:t>
            </w:r>
          </w:p>
        </w:tc>
        <w:tc>
          <w:tcPr>
            <w:tcW w:w="529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19A9EA12"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Presence of medicines with clinically relevant anticholinergic load in patients with polypharmacy.</w:t>
            </w:r>
          </w:p>
        </w:tc>
        <w:tc>
          <w:tcPr>
            <w:tcW w:w="111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2685829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0.5</w:t>
            </w:r>
          </w:p>
        </w:tc>
      </w:tr>
      <w:tr w:rsidR="004915DE" w:rsidRPr="0098017C" w14:paraId="1BC6F87F" w14:textId="77777777" w:rsidTr="00CD3675">
        <w:trPr>
          <w:trHeight w:val="300"/>
        </w:trPr>
        <w:tc>
          <w:tcPr>
            <w:tcW w:w="26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CFF0334"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52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E2A9BA9"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3A27DF5"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6AB7BD6F" w14:textId="77777777" w:rsidTr="00CD3675">
        <w:trPr>
          <w:trHeight w:val="690"/>
        </w:trPr>
        <w:tc>
          <w:tcPr>
            <w:tcW w:w="9015" w:type="dxa"/>
            <w:gridSpan w:val="3"/>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14:paraId="3B37E778" w14:textId="77777777" w:rsidR="004915DE" w:rsidRPr="0098017C" w:rsidRDefault="004915DE" w:rsidP="00CD3675">
            <w:pPr>
              <w:widowControl w:val="0"/>
              <w:spacing w:line="276" w:lineRule="auto"/>
              <w:rPr>
                <w:rFonts w:ascii="Times New Roman" w:eastAsia="Times New Roman" w:hAnsi="Times New Roman"/>
                <w:i/>
                <w:sz w:val="20"/>
                <w:szCs w:val="20"/>
              </w:rPr>
            </w:pPr>
            <w:r w:rsidRPr="0098017C">
              <w:rPr>
                <w:rFonts w:ascii="Times New Roman" w:eastAsia="Times New Roman" w:hAnsi="Times New Roman"/>
                <w:i/>
                <w:iCs/>
                <w:sz w:val="20"/>
                <w:szCs w:val="20"/>
              </w:rPr>
              <w:t xml:space="preserve">The global </w:t>
            </w:r>
            <w:r w:rsidRPr="0098017C">
              <w:rPr>
                <w:rFonts w:ascii="Times New Roman" w:hAnsi="Times New Roman"/>
                <w:i/>
                <w:sz w:val="20"/>
              </w:rPr>
              <w:t xml:space="preserve">index of pharmacotherapeutic inadequacy index </w:t>
            </w:r>
            <w:r w:rsidRPr="0098017C">
              <w:rPr>
                <w:rFonts w:ascii="Times New Roman" w:eastAsia="Times New Roman" w:hAnsi="Times New Roman"/>
                <w:i/>
                <w:iCs/>
                <w:sz w:val="20"/>
                <w:szCs w:val="20"/>
              </w:rPr>
              <w:t>was calculated as the sum of the products of the number of detected</w:t>
            </w:r>
            <w:r w:rsidRPr="0098017C">
              <w:rPr>
                <w:rFonts w:ascii="Times New Roman" w:hAnsi="Times New Roman"/>
                <w:i/>
                <w:sz w:val="20"/>
              </w:rPr>
              <w:t xml:space="preserve"> inappropriate medication</w:t>
            </w:r>
            <w:r w:rsidRPr="0098017C">
              <w:rPr>
                <w:rFonts w:ascii="Times New Roman" w:eastAsia="Times New Roman" w:hAnsi="Times New Roman"/>
                <w:i/>
                <w:iCs/>
                <w:sz w:val="20"/>
                <w:szCs w:val="20"/>
              </w:rPr>
              <w:t xml:space="preserve"> in each category and its predefined clinical coefficient. The index was automatically recalculated daily by VIGIA and used together with the hospital admission risk index to prioritise patients for medication review.</w:t>
            </w:r>
          </w:p>
        </w:tc>
      </w:tr>
    </w:tbl>
    <w:p w14:paraId="25EB392C" w14:textId="77777777" w:rsidR="004915DE" w:rsidRPr="0098017C" w:rsidRDefault="004915DE" w:rsidP="004915DE">
      <w:pPr>
        <w:spacing w:after="200" w:line="276" w:lineRule="auto"/>
        <w:rPr>
          <w:rFonts w:ascii="Times New Roman" w:eastAsia="Times New Roman" w:hAnsi="Times New Roman"/>
          <w:b/>
          <w:bCs/>
          <w:sz w:val="20"/>
          <w:szCs w:val="20"/>
        </w:rPr>
      </w:pPr>
    </w:p>
    <w:p w14:paraId="4BFD0B66" w14:textId="77777777" w:rsidR="004915DE" w:rsidRPr="0098017C" w:rsidRDefault="004915DE" w:rsidP="004915DE">
      <w:pPr>
        <w:spacing w:after="200" w:line="276" w:lineRule="auto"/>
        <w:rPr>
          <w:rFonts w:ascii="Times New Roman" w:eastAsia="Times New Roman" w:hAnsi="Times New Roman"/>
          <w:b/>
          <w:bCs/>
          <w:sz w:val="20"/>
          <w:szCs w:val="20"/>
        </w:rPr>
      </w:pPr>
    </w:p>
    <w:p w14:paraId="45AB2DA8" w14:textId="77777777" w:rsidR="004915DE" w:rsidRPr="0098017C" w:rsidRDefault="004915DE" w:rsidP="004915DE">
      <w:pPr>
        <w:spacing w:after="200" w:line="276" w:lineRule="auto"/>
        <w:rPr>
          <w:rFonts w:ascii="Times New Roman" w:eastAsia="Times New Roman" w:hAnsi="Times New Roman"/>
          <w:b/>
          <w:bCs/>
          <w:sz w:val="20"/>
          <w:szCs w:val="20"/>
        </w:rPr>
      </w:pPr>
    </w:p>
    <w:p w14:paraId="53036B8F" w14:textId="77777777" w:rsidR="004915DE" w:rsidRPr="0098017C" w:rsidRDefault="004915DE" w:rsidP="004915DE">
      <w:pPr>
        <w:spacing w:after="200" w:line="276" w:lineRule="auto"/>
        <w:rPr>
          <w:rFonts w:ascii="Times New Roman" w:eastAsia="Times New Roman" w:hAnsi="Times New Roman"/>
          <w:b/>
          <w:bCs/>
          <w:sz w:val="20"/>
          <w:szCs w:val="20"/>
        </w:rPr>
      </w:pPr>
    </w:p>
    <w:p w14:paraId="45422B82" w14:textId="77777777" w:rsidR="004915DE" w:rsidRPr="0098017C" w:rsidRDefault="004915DE" w:rsidP="004915DE">
      <w:pPr>
        <w:spacing w:after="200" w:line="276" w:lineRule="auto"/>
        <w:rPr>
          <w:rFonts w:ascii="Times New Roman" w:eastAsia="Times New Roman" w:hAnsi="Times New Roman"/>
          <w:b/>
          <w:bCs/>
          <w:sz w:val="20"/>
          <w:szCs w:val="20"/>
        </w:rPr>
      </w:pPr>
    </w:p>
    <w:p w14:paraId="168BFCE9" w14:textId="77777777" w:rsidR="004915DE" w:rsidRPr="0098017C" w:rsidRDefault="004915DE" w:rsidP="004915DE">
      <w:pPr>
        <w:spacing w:after="200" w:line="276" w:lineRule="auto"/>
        <w:rPr>
          <w:rFonts w:ascii="Times New Roman" w:eastAsia="Times New Roman" w:hAnsi="Times New Roman"/>
          <w:b/>
          <w:bCs/>
          <w:sz w:val="20"/>
          <w:szCs w:val="20"/>
        </w:rPr>
      </w:pPr>
    </w:p>
    <w:p w14:paraId="13723297" w14:textId="77777777" w:rsidR="004915DE" w:rsidRPr="0098017C" w:rsidRDefault="004915DE" w:rsidP="004915DE">
      <w:pPr>
        <w:spacing w:after="200" w:line="276" w:lineRule="auto"/>
        <w:rPr>
          <w:rFonts w:ascii="Times New Roman" w:eastAsia="Times New Roman" w:hAnsi="Times New Roman"/>
          <w:b/>
          <w:bCs/>
          <w:sz w:val="20"/>
          <w:szCs w:val="20"/>
        </w:rPr>
      </w:pPr>
    </w:p>
    <w:p w14:paraId="1F0B8A52" w14:textId="77777777" w:rsidR="004915DE" w:rsidRPr="0098017C" w:rsidRDefault="004915DE" w:rsidP="004915DE">
      <w:pPr>
        <w:spacing w:after="200" w:line="276" w:lineRule="auto"/>
        <w:rPr>
          <w:rFonts w:ascii="Times New Roman" w:eastAsia="Times New Roman" w:hAnsi="Times New Roman"/>
          <w:b/>
          <w:bCs/>
          <w:sz w:val="20"/>
          <w:szCs w:val="20"/>
        </w:rPr>
      </w:pPr>
    </w:p>
    <w:p w14:paraId="18C63FDC" w14:textId="77777777" w:rsidR="004915DE" w:rsidRPr="0098017C" w:rsidRDefault="004915DE" w:rsidP="004915DE">
      <w:pPr>
        <w:spacing w:after="200" w:line="276" w:lineRule="auto"/>
        <w:rPr>
          <w:rFonts w:ascii="Times New Roman" w:eastAsia="Times New Roman" w:hAnsi="Times New Roman"/>
          <w:b/>
          <w:bCs/>
          <w:sz w:val="20"/>
          <w:szCs w:val="20"/>
        </w:rPr>
      </w:pPr>
    </w:p>
    <w:p w14:paraId="088CAD1F" w14:textId="77777777" w:rsidR="004915DE" w:rsidRPr="0098017C" w:rsidRDefault="004915DE" w:rsidP="004915DE">
      <w:pPr>
        <w:spacing w:after="200" w:line="276" w:lineRule="auto"/>
        <w:rPr>
          <w:rFonts w:ascii="Times New Roman" w:eastAsia="Times New Roman" w:hAnsi="Times New Roman"/>
          <w:b/>
          <w:bCs/>
          <w:sz w:val="20"/>
          <w:szCs w:val="20"/>
        </w:rPr>
      </w:pPr>
    </w:p>
    <w:p w14:paraId="17DA3BB5" w14:textId="77777777" w:rsidR="004915DE" w:rsidRPr="0098017C" w:rsidRDefault="004915DE" w:rsidP="004915DE">
      <w:pPr>
        <w:spacing w:after="200" w:line="276" w:lineRule="auto"/>
        <w:rPr>
          <w:rFonts w:ascii="Times New Roman" w:eastAsia="Times New Roman" w:hAnsi="Times New Roman"/>
          <w:b/>
          <w:bCs/>
          <w:sz w:val="20"/>
          <w:szCs w:val="20"/>
        </w:rPr>
      </w:pPr>
    </w:p>
    <w:p w14:paraId="2A314022" w14:textId="77777777" w:rsidR="004915DE" w:rsidRPr="0098017C" w:rsidRDefault="004915DE" w:rsidP="004915DE">
      <w:pPr>
        <w:spacing w:after="200" w:line="276" w:lineRule="auto"/>
        <w:rPr>
          <w:rFonts w:ascii="Times New Roman" w:eastAsia="Times New Roman" w:hAnsi="Times New Roman"/>
          <w:b/>
          <w:bCs/>
          <w:sz w:val="20"/>
          <w:szCs w:val="20"/>
        </w:rPr>
      </w:pPr>
    </w:p>
    <w:tbl>
      <w:tblPr>
        <w:tblW w:w="8325" w:type="dxa"/>
        <w:tblBorders>
          <w:top w:val="nil"/>
          <w:left w:val="nil"/>
          <w:bottom w:val="nil"/>
          <w:right w:val="nil"/>
          <w:insideH w:val="nil"/>
          <w:insideV w:val="nil"/>
        </w:tblBorders>
        <w:tblLayout w:type="fixed"/>
        <w:tblLook w:val="0600" w:firstRow="0" w:lastRow="0" w:firstColumn="0" w:lastColumn="0" w:noHBand="1" w:noVBand="1"/>
      </w:tblPr>
      <w:tblGrid>
        <w:gridCol w:w="2100"/>
        <w:gridCol w:w="1335"/>
        <w:gridCol w:w="1485"/>
        <w:gridCol w:w="1755"/>
        <w:gridCol w:w="1650"/>
      </w:tblGrid>
      <w:tr w:rsidR="004915DE" w:rsidRPr="0098017C" w14:paraId="46D46BAF" w14:textId="77777777" w:rsidTr="00CD3675">
        <w:trPr>
          <w:trHeight w:val="300"/>
        </w:trPr>
        <w:tc>
          <w:tcPr>
            <w:tcW w:w="21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E7626BA"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33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5B88742"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329D914"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75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7798F89"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5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D84483F"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08411132" w14:textId="77777777" w:rsidTr="00CD3675">
        <w:trPr>
          <w:trHeight w:val="300"/>
        </w:trPr>
        <w:tc>
          <w:tcPr>
            <w:tcW w:w="8325" w:type="dxa"/>
            <w:gridSpan w:val="5"/>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E33E766" w14:textId="77777777" w:rsidR="004915DE" w:rsidRPr="0098017C" w:rsidRDefault="004915DE" w:rsidP="00CD3675">
            <w:pPr>
              <w:spacing w:line="276" w:lineRule="auto"/>
              <w:rPr>
                <w:rFonts w:ascii="Times New Roman" w:eastAsia="Times New Roman" w:hAnsi="Times New Roman"/>
                <w:b/>
                <w:sz w:val="20"/>
                <w:szCs w:val="20"/>
              </w:rPr>
            </w:pPr>
            <w:r w:rsidRPr="0098017C">
              <w:rPr>
                <w:rFonts w:ascii="Times New Roman" w:eastAsia="Times New Roman" w:hAnsi="Times New Roman"/>
                <w:b/>
                <w:bCs/>
                <w:sz w:val="20"/>
                <w:szCs w:val="20"/>
              </w:rPr>
              <w:t xml:space="preserve">Table 2. </w:t>
            </w:r>
            <w:r w:rsidRPr="0098017C">
              <w:rPr>
                <w:rFonts w:ascii="Times New Roman" w:eastAsia="Times New Roman" w:hAnsi="Times New Roman"/>
                <w:b/>
                <w:sz w:val="20"/>
                <w:szCs w:val="20"/>
              </w:rPr>
              <w:t>Internal performance of prediction models for unplanned hospital admission</w:t>
            </w:r>
          </w:p>
        </w:tc>
      </w:tr>
      <w:tr w:rsidR="004915DE" w:rsidRPr="0098017C" w14:paraId="31017A68" w14:textId="77777777" w:rsidTr="00CD3675">
        <w:trPr>
          <w:trHeight w:val="300"/>
        </w:trPr>
        <w:tc>
          <w:tcPr>
            <w:tcW w:w="2100"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433D562C"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335"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231FB9DE"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485"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132A31FF"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755"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54CCCDE4"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i/>
                <w:iCs/>
                <w:sz w:val="20"/>
                <w:szCs w:val="20"/>
              </w:rPr>
              <w:t>▼ Selected model</w:t>
            </w:r>
          </w:p>
        </w:tc>
        <w:tc>
          <w:tcPr>
            <w:tcW w:w="1650" w:type="dxa"/>
            <w:tcBorders>
              <w:top w:val="single" w:sz="6" w:space="0" w:color="CCCCCC"/>
              <w:left w:val="single" w:sz="6" w:space="0" w:color="CCCCCC"/>
              <w:bottom w:val="single" w:sz="6" w:space="0" w:color="BBBBBB"/>
              <w:right w:val="single" w:sz="6" w:space="0" w:color="CCCCCC"/>
            </w:tcBorders>
            <w:tcMar>
              <w:top w:w="0" w:type="dxa"/>
              <w:left w:w="40" w:type="dxa"/>
              <w:bottom w:w="0" w:type="dxa"/>
              <w:right w:w="40" w:type="dxa"/>
            </w:tcMar>
            <w:vAlign w:val="bottom"/>
          </w:tcPr>
          <w:p w14:paraId="50037DE4"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6F0AFD42" w14:textId="77777777" w:rsidTr="00CD3675">
        <w:trPr>
          <w:trHeight w:val="825"/>
        </w:trPr>
        <w:tc>
          <w:tcPr>
            <w:tcW w:w="2100" w:type="dxa"/>
            <w:tcBorders>
              <w:top w:val="single" w:sz="6" w:space="0" w:color="CCCCCC"/>
              <w:left w:val="single" w:sz="6" w:space="0" w:color="BBBBBB"/>
              <w:bottom w:val="single" w:sz="6" w:space="0" w:color="BBBBBB"/>
              <w:right w:val="single" w:sz="6" w:space="0" w:color="BBBBBB"/>
            </w:tcBorders>
            <w:shd w:val="clear" w:color="auto" w:fill="1F4E79"/>
            <w:tcMar>
              <w:top w:w="0" w:type="dxa"/>
              <w:left w:w="40" w:type="dxa"/>
              <w:bottom w:w="0" w:type="dxa"/>
              <w:right w:w="40" w:type="dxa"/>
            </w:tcMar>
            <w:vAlign w:val="bottom"/>
          </w:tcPr>
          <w:p w14:paraId="20C1B4CF"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Performance metric</w:t>
            </w:r>
          </w:p>
        </w:tc>
        <w:tc>
          <w:tcPr>
            <w:tcW w:w="1335" w:type="dxa"/>
            <w:tcBorders>
              <w:top w:val="single" w:sz="6" w:space="0" w:color="CCCCCC"/>
              <w:left w:val="single" w:sz="6" w:space="0" w:color="CCCCCC"/>
              <w:bottom w:val="single" w:sz="6" w:space="0" w:color="BBBBBB"/>
              <w:right w:val="single" w:sz="6" w:space="0" w:color="BBBBBB"/>
            </w:tcBorders>
            <w:shd w:val="clear" w:color="auto" w:fill="1F4E79"/>
            <w:tcMar>
              <w:top w:w="0" w:type="dxa"/>
              <w:left w:w="40" w:type="dxa"/>
              <w:bottom w:w="0" w:type="dxa"/>
              <w:right w:w="40" w:type="dxa"/>
            </w:tcMar>
            <w:vAlign w:val="bottom"/>
          </w:tcPr>
          <w:p w14:paraId="4242388C"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Logistic</w:t>
            </w:r>
          </w:p>
          <w:p w14:paraId="01803A6A"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regression</w:t>
            </w:r>
          </w:p>
        </w:tc>
        <w:tc>
          <w:tcPr>
            <w:tcW w:w="1485" w:type="dxa"/>
            <w:tcBorders>
              <w:top w:val="single" w:sz="6" w:space="0" w:color="CCCCCC"/>
              <w:left w:val="single" w:sz="6" w:space="0" w:color="CCCCCC"/>
              <w:bottom w:val="single" w:sz="6" w:space="0" w:color="BBBBBB"/>
              <w:right w:val="single" w:sz="6" w:space="0" w:color="BBBBBB"/>
            </w:tcBorders>
            <w:shd w:val="clear" w:color="auto" w:fill="1F4E79"/>
            <w:tcMar>
              <w:top w:w="0" w:type="dxa"/>
              <w:left w:w="40" w:type="dxa"/>
              <w:bottom w:w="0" w:type="dxa"/>
              <w:right w:w="40" w:type="dxa"/>
            </w:tcMar>
            <w:vAlign w:val="bottom"/>
          </w:tcPr>
          <w:p w14:paraId="2F4DA909"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Random</w:t>
            </w:r>
          </w:p>
          <w:p w14:paraId="515A7E69"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forest</w:t>
            </w:r>
          </w:p>
        </w:tc>
        <w:tc>
          <w:tcPr>
            <w:tcW w:w="1755" w:type="dxa"/>
            <w:tcBorders>
              <w:top w:val="single" w:sz="6" w:space="0" w:color="CCCCCC"/>
              <w:left w:val="single" w:sz="6" w:space="0" w:color="CCCCCC"/>
              <w:bottom w:val="single" w:sz="6" w:space="0" w:color="BBBBBB"/>
              <w:right w:val="single" w:sz="6" w:space="0" w:color="BBBBBB"/>
            </w:tcBorders>
            <w:shd w:val="clear" w:color="auto" w:fill="1F4E79"/>
            <w:tcMar>
              <w:top w:w="0" w:type="dxa"/>
              <w:left w:w="40" w:type="dxa"/>
              <w:bottom w:w="0" w:type="dxa"/>
              <w:right w:w="40" w:type="dxa"/>
            </w:tcMar>
            <w:vAlign w:val="bottom"/>
          </w:tcPr>
          <w:p w14:paraId="17B053B5"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RF downsampling</w:t>
            </w:r>
          </w:p>
          <w:p w14:paraId="6288028B"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mean ± SD</w:t>
            </w:r>
          </w:p>
        </w:tc>
        <w:tc>
          <w:tcPr>
            <w:tcW w:w="1650" w:type="dxa"/>
            <w:tcBorders>
              <w:top w:val="single" w:sz="6" w:space="0" w:color="CCCCCC"/>
              <w:left w:val="single" w:sz="6" w:space="0" w:color="CCCCCC"/>
              <w:bottom w:val="single" w:sz="6" w:space="0" w:color="BBBBBB"/>
              <w:right w:val="single" w:sz="6" w:space="0" w:color="BBBBBB"/>
            </w:tcBorders>
            <w:shd w:val="clear" w:color="auto" w:fill="1F4E79"/>
            <w:tcMar>
              <w:top w:w="0" w:type="dxa"/>
              <w:left w:w="40" w:type="dxa"/>
              <w:bottom w:w="0" w:type="dxa"/>
              <w:right w:w="40" w:type="dxa"/>
            </w:tcMar>
            <w:vAlign w:val="bottom"/>
          </w:tcPr>
          <w:p w14:paraId="16D68CC1"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RF</w:t>
            </w:r>
          </w:p>
          <w:p w14:paraId="3FE27E10"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upsampling</w:t>
            </w:r>
          </w:p>
        </w:tc>
      </w:tr>
      <w:tr w:rsidR="004915DE" w:rsidRPr="0098017C" w14:paraId="306EE2FF" w14:textId="77777777" w:rsidTr="00CD3675">
        <w:trPr>
          <w:trHeight w:val="300"/>
        </w:trPr>
        <w:tc>
          <w:tcPr>
            <w:tcW w:w="210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13A2B7D4"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Accuracy</w:t>
            </w:r>
          </w:p>
        </w:tc>
        <w:tc>
          <w:tcPr>
            <w:tcW w:w="133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6472F463"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0.91</w:t>
            </w:r>
          </w:p>
        </w:tc>
        <w:tc>
          <w:tcPr>
            <w:tcW w:w="148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291678E5"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0.99</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5E28B77D"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0.980 ± 0.007</w:t>
            </w:r>
          </w:p>
        </w:tc>
        <w:tc>
          <w:tcPr>
            <w:tcW w:w="165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5B142F7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r>
      <w:tr w:rsidR="004915DE" w:rsidRPr="0098017C" w14:paraId="28220698" w14:textId="77777777" w:rsidTr="00CD3675">
        <w:trPr>
          <w:trHeight w:val="300"/>
        </w:trPr>
        <w:tc>
          <w:tcPr>
            <w:tcW w:w="2100" w:type="dxa"/>
            <w:tcBorders>
              <w:top w:val="single" w:sz="6" w:space="0" w:color="CCCCCC"/>
              <w:left w:val="single" w:sz="6" w:space="0" w:color="BBBBBB"/>
              <w:bottom w:val="single" w:sz="6" w:space="0" w:color="BBBBBB"/>
              <w:right w:val="single" w:sz="6" w:space="0" w:color="BBBBBB"/>
            </w:tcBorders>
            <w:shd w:val="clear" w:color="auto" w:fill="D6E4F0"/>
            <w:tcMar>
              <w:top w:w="0" w:type="dxa"/>
              <w:left w:w="40" w:type="dxa"/>
              <w:bottom w:w="0" w:type="dxa"/>
              <w:right w:w="40" w:type="dxa"/>
            </w:tcMar>
            <w:vAlign w:val="bottom"/>
          </w:tcPr>
          <w:p w14:paraId="29070B88"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ROC AUC</w:t>
            </w:r>
          </w:p>
        </w:tc>
        <w:tc>
          <w:tcPr>
            <w:tcW w:w="133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0E523168"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0.75</w:t>
            </w:r>
          </w:p>
        </w:tc>
        <w:tc>
          <w:tcPr>
            <w:tcW w:w="148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023E23D3"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0.99</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24F0FC3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0.998 ± 0.001</w:t>
            </w:r>
          </w:p>
        </w:tc>
        <w:tc>
          <w:tcPr>
            <w:tcW w:w="1650"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4C099EE8"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0.99</w:t>
            </w:r>
          </w:p>
        </w:tc>
      </w:tr>
      <w:tr w:rsidR="004915DE" w:rsidRPr="0098017C" w14:paraId="7046645E" w14:textId="77777777" w:rsidTr="00CD3675">
        <w:trPr>
          <w:trHeight w:val="300"/>
        </w:trPr>
        <w:tc>
          <w:tcPr>
            <w:tcW w:w="210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3C63C6AB"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Sensitivity</w:t>
            </w:r>
          </w:p>
        </w:tc>
        <w:tc>
          <w:tcPr>
            <w:tcW w:w="133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5AC9529B"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0.03</w:t>
            </w:r>
          </w:p>
        </w:tc>
        <w:tc>
          <w:tcPr>
            <w:tcW w:w="148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7872DEE5"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0.86</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69DDE82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0.969 ± 0.014</w:t>
            </w:r>
          </w:p>
        </w:tc>
        <w:tc>
          <w:tcPr>
            <w:tcW w:w="165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0121299F"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r>
      <w:tr w:rsidR="004915DE" w:rsidRPr="0098017C" w14:paraId="3A35C02E" w14:textId="77777777" w:rsidTr="00CD3675">
        <w:trPr>
          <w:trHeight w:val="300"/>
        </w:trPr>
        <w:tc>
          <w:tcPr>
            <w:tcW w:w="2100" w:type="dxa"/>
            <w:tcBorders>
              <w:top w:val="single" w:sz="6" w:space="0" w:color="CCCCCC"/>
              <w:left w:val="single" w:sz="6" w:space="0" w:color="BBBBBB"/>
              <w:bottom w:val="single" w:sz="6" w:space="0" w:color="BBBBBB"/>
              <w:right w:val="single" w:sz="6" w:space="0" w:color="BBBBBB"/>
            </w:tcBorders>
            <w:shd w:val="clear" w:color="auto" w:fill="D6E4F0"/>
            <w:tcMar>
              <w:top w:w="0" w:type="dxa"/>
              <w:left w:w="40" w:type="dxa"/>
              <w:bottom w:w="0" w:type="dxa"/>
              <w:right w:w="40" w:type="dxa"/>
            </w:tcMar>
            <w:vAlign w:val="bottom"/>
          </w:tcPr>
          <w:p w14:paraId="57855F69"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Specificity</w:t>
            </w:r>
          </w:p>
        </w:tc>
        <w:tc>
          <w:tcPr>
            <w:tcW w:w="133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32AA2EDD"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c>
          <w:tcPr>
            <w:tcW w:w="148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45D4A775"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0A28FECF"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0.990 ± 0.008</w:t>
            </w:r>
          </w:p>
        </w:tc>
        <w:tc>
          <w:tcPr>
            <w:tcW w:w="1650"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61C413BA"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r>
      <w:tr w:rsidR="004915DE" w:rsidRPr="0098017C" w14:paraId="4C0DCFF1" w14:textId="77777777" w:rsidTr="00CD3675">
        <w:trPr>
          <w:trHeight w:val="360"/>
        </w:trPr>
        <w:tc>
          <w:tcPr>
            <w:tcW w:w="210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3B1A76FC"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Positive predictive value</w:t>
            </w:r>
          </w:p>
        </w:tc>
        <w:tc>
          <w:tcPr>
            <w:tcW w:w="133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015365F6"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0.67</w:t>
            </w:r>
          </w:p>
        </w:tc>
        <w:tc>
          <w:tcPr>
            <w:tcW w:w="148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777B3B9F"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4DAB37E0"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0.990 ± 0.008</w:t>
            </w:r>
          </w:p>
        </w:tc>
        <w:tc>
          <w:tcPr>
            <w:tcW w:w="165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3C8B6E28"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r>
      <w:tr w:rsidR="004915DE" w:rsidRPr="0098017C" w14:paraId="54E822C4" w14:textId="77777777" w:rsidTr="00CD3675">
        <w:trPr>
          <w:trHeight w:val="221"/>
        </w:trPr>
        <w:tc>
          <w:tcPr>
            <w:tcW w:w="2100" w:type="dxa"/>
            <w:tcBorders>
              <w:top w:val="single" w:sz="6" w:space="0" w:color="CCCCCC"/>
              <w:left w:val="single" w:sz="6" w:space="0" w:color="BBBBBB"/>
              <w:bottom w:val="single" w:sz="6" w:space="0" w:color="BBBBBB"/>
              <w:right w:val="single" w:sz="6" w:space="0" w:color="BBBBBB"/>
            </w:tcBorders>
            <w:shd w:val="clear" w:color="auto" w:fill="D6E4F0"/>
            <w:tcMar>
              <w:top w:w="0" w:type="dxa"/>
              <w:left w:w="40" w:type="dxa"/>
              <w:bottom w:w="0" w:type="dxa"/>
              <w:right w:w="40" w:type="dxa"/>
            </w:tcMar>
            <w:vAlign w:val="bottom"/>
          </w:tcPr>
          <w:p w14:paraId="48EF4178"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Negative predictive value</w:t>
            </w:r>
          </w:p>
        </w:tc>
        <w:tc>
          <w:tcPr>
            <w:tcW w:w="133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1DAF682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0.91</w:t>
            </w:r>
          </w:p>
        </w:tc>
        <w:tc>
          <w:tcPr>
            <w:tcW w:w="148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6D3C0FB6"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0.99</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3433AE02"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0.970 ± 0.013</w:t>
            </w:r>
          </w:p>
        </w:tc>
        <w:tc>
          <w:tcPr>
            <w:tcW w:w="1650"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3DA743FD"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1.00</w:t>
            </w:r>
          </w:p>
        </w:tc>
      </w:tr>
      <w:tr w:rsidR="004915DE" w:rsidRPr="0098017C" w14:paraId="63A5F585" w14:textId="77777777" w:rsidTr="00CD3675">
        <w:trPr>
          <w:trHeight w:val="90"/>
        </w:trPr>
        <w:tc>
          <w:tcPr>
            <w:tcW w:w="210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688A9B95"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False positive rate</w:t>
            </w:r>
          </w:p>
        </w:tc>
        <w:tc>
          <w:tcPr>
            <w:tcW w:w="133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287F8FED"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0.00</w:t>
            </w:r>
          </w:p>
        </w:tc>
        <w:tc>
          <w:tcPr>
            <w:tcW w:w="148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40C1470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0.00</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51CF69E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0.010 ± 0.008</w:t>
            </w:r>
          </w:p>
        </w:tc>
        <w:tc>
          <w:tcPr>
            <w:tcW w:w="165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1D1FAFBF"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0.00</w:t>
            </w:r>
          </w:p>
        </w:tc>
      </w:tr>
      <w:tr w:rsidR="004915DE" w:rsidRPr="0098017C" w14:paraId="3C248B84" w14:textId="77777777" w:rsidTr="00CD3675">
        <w:trPr>
          <w:trHeight w:val="270"/>
        </w:trPr>
        <w:tc>
          <w:tcPr>
            <w:tcW w:w="2100" w:type="dxa"/>
            <w:tcBorders>
              <w:top w:val="single" w:sz="6" w:space="0" w:color="CCCCCC"/>
              <w:left w:val="single" w:sz="6" w:space="0" w:color="BBBBBB"/>
              <w:bottom w:val="single" w:sz="6" w:space="0" w:color="BBBBBB"/>
              <w:right w:val="single" w:sz="6" w:space="0" w:color="BBBBBB"/>
            </w:tcBorders>
            <w:shd w:val="clear" w:color="auto" w:fill="D6E4F0"/>
            <w:tcMar>
              <w:top w:w="0" w:type="dxa"/>
              <w:left w:w="40" w:type="dxa"/>
              <w:bottom w:w="0" w:type="dxa"/>
              <w:right w:w="40" w:type="dxa"/>
            </w:tcMar>
            <w:vAlign w:val="bottom"/>
          </w:tcPr>
          <w:p w14:paraId="70C8E5ED"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False negative rate</w:t>
            </w:r>
          </w:p>
        </w:tc>
        <w:tc>
          <w:tcPr>
            <w:tcW w:w="133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6629A38A"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0.97</w:t>
            </w:r>
          </w:p>
        </w:tc>
        <w:tc>
          <w:tcPr>
            <w:tcW w:w="1485"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6673DB71"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0.14</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05B676FD"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0.031 ± 0.014</w:t>
            </w:r>
          </w:p>
        </w:tc>
        <w:tc>
          <w:tcPr>
            <w:tcW w:w="1650" w:type="dxa"/>
            <w:tcBorders>
              <w:top w:val="single" w:sz="6" w:space="0" w:color="CCCCCC"/>
              <w:left w:val="single" w:sz="6" w:space="0" w:color="CCCCCC"/>
              <w:bottom w:val="single" w:sz="6" w:space="0" w:color="BBBBBB"/>
              <w:right w:val="single" w:sz="6" w:space="0" w:color="BBBBBB"/>
            </w:tcBorders>
            <w:shd w:val="clear" w:color="auto" w:fill="D6E4F0"/>
            <w:tcMar>
              <w:top w:w="0" w:type="dxa"/>
              <w:left w:w="40" w:type="dxa"/>
              <w:bottom w:w="0" w:type="dxa"/>
              <w:right w:w="40" w:type="dxa"/>
            </w:tcMar>
            <w:vAlign w:val="bottom"/>
          </w:tcPr>
          <w:p w14:paraId="43FF81D4"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0.00</w:t>
            </w:r>
          </w:p>
        </w:tc>
      </w:tr>
      <w:tr w:rsidR="004915DE" w:rsidRPr="0098017C" w14:paraId="08BCF0EB" w14:textId="77777777" w:rsidTr="00CD3675">
        <w:trPr>
          <w:trHeight w:val="90"/>
        </w:trPr>
        <w:tc>
          <w:tcPr>
            <w:tcW w:w="2100" w:type="dxa"/>
            <w:tcBorders>
              <w:top w:val="single" w:sz="6" w:space="0" w:color="CCCCCC"/>
              <w:left w:val="single" w:sz="6" w:space="0" w:color="BBBBBB"/>
              <w:bottom w:val="single" w:sz="6" w:space="0" w:color="BBBBBB"/>
              <w:right w:val="single" w:sz="6" w:space="0" w:color="BBBBBB"/>
            </w:tcBorders>
            <w:tcMar>
              <w:top w:w="0" w:type="dxa"/>
              <w:left w:w="40" w:type="dxa"/>
              <w:bottom w:w="0" w:type="dxa"/>
              <w:right w:w="40" w:type="dxa"/>
            </w:tcMar>
            <w:vAlign w:val="bottom"/>
          </w:tcPr>
          <w:p w14:paraId="61091733"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False discovery rate</w:t>
            </w:r>
          </w:p>
        </w:tc>
        <w:tc>
          <w:tcPr>
            <w:tcW w:w="133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34CBEDF9"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0.33</w:t>
            </w:r>
          </w:p>
        </w:tc>
        <w:tc>
          <w:tcPr>
            <w:tcW w:w="1485"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0E753942"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0.00</w:t>
            </w:r>
          </w:p>
        </w:tc>
        <w:tc>
          <w:tcPr>
            <w:tcW w:w="1755" w:type="dxa"/>
            <w:tcBorders>
              <w:top w:val="single" w:sz="6" w:space="0" w:color="CCCCCC"/>
              <w:left w:val="single" w:sz="6" w:space="0" w:color="CCCCCC"/>
              <w:bottom w:val="single" w:sz="6" w:space="0" w:color="BBBBBB"/>
              <w:right w:val="single" w:sz="6" w:space="0" w:color="BBBBBB"/>
            </w:tcBorders>
            <w:shd w:val="clear" w:color="auto" w:fill="E2EFDA"/>
            <w:tcMar>
              <w:top w:w="0" w:type="dxa"/>
              <w:left w:w="40" w:type="dxa"/>
              <w:bottom w:w="0" w:type="dxa"/>
              <w:right w:w="40" w:type="dxa"/>
            </w:tcMar>
            <w:vAlign w:val="bottom"/>
          </w:tcPr>
          <w:p w14:paraId="42225D9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0.010 ± 0.008</w:t>
            </w:r>
          </w:p>
        </w:tc>
        <w:tc>
          <w:tcPr>
            <w:tcW w:w="1650" w:type="dxa"/>
            <w:tcBorders>
              <w:top w:val="single" w:sz="6" w:space="0" w:color="CCCCCC"/>
              <w:left w:val="single" w:sz="6" w:space="0" w:color="CCCCCC"/>
              <w:bottom w:val="single" w:sz="6" w:space="0" w:color="BBBBBB"/>
              <w:right w:val="single" w:sz="6" w:space="0" w:color="BBBBBB"/>
            </w:tcBorders>
            <w:tcMar>
              <w:top w:w="0" w:type="dxa"/>
              <w:left w:w="40" w:type="dxa"/>
              <w:bottom w:w="0" w:type="dxa"/>
              <w:right w:w="40" w:type="dxa"/>
            </w:tcMar>
            <w:vAlign w:val="bottom"/>
          </w:tcPr>
          <w:p w14:paraId="3B6E1233"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0.00</w:t>
            </w:r>
          </w:p>
        </w:tc>
      </w:tr>
      <w:tr w:rsidR="004915DE" w:rsidRPr="0098017C" w14:paraId="6346F52A" w14:textId="77777777" w:rsidTr="00CD3675">
        <w:trPr>
          <w:trHeight w:val="300"/>
        </w:trPr>
        <w:tc>
          <w:tcPr>
            <w:tcW w:w="210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373184C"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33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1780CE8"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48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593C5F8"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75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11EA2F2"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5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F5DF9DA"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64F1C898" w14:textId="77777777" w:rsidTr="00CD3675">
        <w:trPr>
          <w:trHeight w:val="1590"/>
        </w:trPr>
        <w:tc>
          <w:tcPr>
            <w:tcW w:w="8325" w:type="dxa"/>
            <w:gridSpan w:val="5"/>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14:paraId="34382559" w14:textId="77777777" w:rsidR="004915DE" w:rsidRPr="0098017C" w:rsidRDefault="004915DE" w:rsidP="00CD3675">
            <w:pPr>
              <w:widowControl w:val="0"/>
              <w:spacing w:line="276" w:lineRule="auto"/>
              <w:rPr>
                <w:rFonts w:ascii="Times New Roman" w:eastAsia="Times New Roman" w:hAnsi="Times New Roman"/>
                <w:i/>
                <w:iCs/>
                <w:sz w:val="20"/>
                <w:szCs w:val="20"/>
              </w:rPr>
            </w:pPr>
            <w:r w:rsidRPr="0098017C">
              <w:rPr>
                <w:rFonts w:ascii="Times New Roman" w:eastAsia="Times New Roman" w:hAnsi="Times New Roman"/>
                <w:i/>
                <w:iCs/>
                <w:sz w:val="20"/>
                <w:szCs w:val="20"/>
              </w:rPr>
              <w:t>Abbreviations: RF, random forest; ROC AUC, area under the receiver operating characteristic curve; SD, standard deviation.</w:t>
            </w:r>
          </w:p>
          <w:p w14:paraId="68FDA00C" w14:textId="77777777" w:rsidR="004915DE" w:rsidRPr="0098017C" w:rsidRDefault="004915DE" w:rsidP="00CD3675">
            <w:pPr>
              <w:widowControl w:val="0"/>
              <w:spacing w:line="276" w:lineRule="auto"/>
              <w:rPr>
                <w:rFonts w:ascii="Times New Roman" w:eastAsia="Times New Roman" w:hAnsi="Times New Roman"/>
                <w:i/>
                <w:iCs/>
                <w:sz w:val="20"/>
                <w:szCs w:val="20"/>
              </w:rPr>
            </w:pPr>
            <w:r w:rsidRPr="0098017C">
              <w:rPr>
                <w:rFonts w:ascii="Times New Roman" w:eastAsia="Times New Roman" w:hAnsi="Times New Roman"/>
                <w:i/>
                <w:iCs/>
                <w:sz w:val="20"/>
                <w:szCs w:val="20"/>
              </w:rPr>
              <w:t>Values for the RF downsampling model are presented as mean ± SD across 100 simulations. In each simulation, the majority class was randomly reduced to match the number of hospitalised patients (cases). The RF downsampling model was selected as the hospital admission risk component because it provided the most appropriate balance between sensitivity and specificity in the presence of class imbalance.</w:t>
            </w:r>
          </w:p>
        </w:tc>
      </w:tr>
    </w:tbl>
    <w:p w14:paraId="2AA96010" w14:textId="77777777" w:rsidR="004915DE" w:rsidRPr="0098017C" w:rsidRDefault="004915DE" w:rsidP="004915DE">
      <w:pPr>
        <w:spacing w:after="200" w:line="276" w:lineRule="auto"/>
        <w:rPr>
          <w:rFonts w:ascii="Times New Roman" w:eastAsia="Times New Roman" w:hAnsi="Times New Roman"/>
          <w:b/>
          <w:bCs/>
          <w:sz w:val="20"/>
          <w:szCs w:val="20"/>
        </w:rPr>
      </w:pPr>
    </w:p>
    <w:p w14:paraId="3ED70E6B" w14:textId="77777777" w:rsidR="004915DE" w:rsidRPr="0098017C" w:rsidRDefault="004915DE" w:rsidP="004915DE">
      <w:pPr>
        <w:spacing w:after="200" w:line="276" w:lineRule="auto"/>
        <w:rPr>
          <w:rFonts w:ascii="Times New Roman" w:eastAsia="Times New Roman" w:hAnsi="Times New Roman"/>
          <w:b/>
          <w:bCs/>
          <w:sz w:val="20"/>
          <w:szCs w:val="20"/>
        </w:rPr>
      </w:pPr>
    </w:p>
    <w:p w14:paraId="5B50F915" w14:textId="77777777" w:rsidR="004915DE" w:rsidRPr="0098017C" w:rsidRDefault="004915DE" w:rsidP="004915DE">
      <w:pPr>
        <w:spacing w:after="200" w:line="276" w:lineRule="auto"/>
        <w:rPr>
          <w:rFonts w:ascii="Times New Roman" w:eastAsia="Times New Roman" w:hAnsi="Times New Roman"/>
          <w:b/>
          <w:bCs/>
          <w:sz w:val="20"/>
          <w:szCs w:val="20"/>
        </w:rPr>
      </w:pPr>
    </w:p>
    <w:p w14:paraId="4C708F24" w14:textId="77777777" w:rsidR="004915DE" w:rsidRPr="0098017C" w:rsidRDefault="004915DE" w:rsidP="004915DE">
      <w:pPr>
        <w:spacing w:after="200" w:line="276" w:lineRule="auto"/>
        <w:rPr>
          <w:rFonts w:ascii="Times New Roman" w:eastAsia="Times New Roman" w:hAnsi="Times New Roman"/>
          <w:b/>
          <w:bCs/>
          <w:sz w:val="20"/>
          <w:szCs w:val="20"/>
        </w:rPr>
      </w:pPr>
    </w:p>
    <w:p w14:paraId="1530433B" w14:textId="77777777" w:rsidR="004915DE" w:rsidRPr="0098017C" w:rsidRDefault="004915DE" w:rsidP="004915DE">
      <w:pPr>
        <w:spacing w:after="200" w:line="276" w:lineRule="auto"/>
        <w:rPr>
          <w:rFonts w:ascii="Times New Roman" w:eastAsia="Times New Roman" w:hAnsi="Times New Roman"/>
          <w:b/>
          <w:bCs/>
          <w:sz w:val="20"/>
          <w:szCs w:val="20"/>
        </w:rPr>
      </w:pPr>
    </w:p>
    <w:p w14:paraId="778FD82A" w14:textId="77777777" w:rsidR="004915DE" w:rsidRPr="0098017C" w:rsidRDefault="004915DE" w:rsidP="004915DE">
      <w:pPr>
        <w:spacing w:after="200" w:line="276" w:lineRule="auto"/>
        <w:rPr>
          <w:rFonts w:ascii="Times New Roman" w:eastAsia="Times New Roman" w:hAnsi="Times New Roman"/>
          <w:b/>
          <w:bCs/>
          <w:sz w:val="20"/>
          <w:szCs w:val="20"/>
        </w:rPr>
      </w:pPr>
    </w:p>
    <w:p w14:paraId="6464CA20" w14:textId="77777777" w:rsidR="004915DE" w:rsidRPr="0098017C" w:rsidRDefault="004915DE" w:rsidP="004915DE">
      <w:pPr>
        <w:spacing w:after="200" w:line="276" w:lineRule="auto"/>
        <w:rPr>
          <w:rFonts w:ascii="Times New Roman" w:eastAsia="Times New Roman" w:hAnsi="Times New Roman"/>
          <w:b/>
          <w:bCs/>
          <w:sz w:val="20"/>
          <w:szCs w:val="20"/>
        </w:rPr>
      </w:pPr>
    </w:p>
    <w:p w14:paraId="09AB2C08" w14:textId="77777777" w:rsidR="004915DE" w:rsidRPr="0098017C" w:rsidRDefault="004915DE" w:rsidP="004915DE">
      <w:pPr>
        <w:spacing w:after="200" w:line="276" w:lineRule="auto"/>
        <w:rPr>
          <w:rFonts w:ascii="Times New Roman" w:eastAsia="Times New Roman" w:hAnsi="Times New Roman"/>
          <w:b/>
          <w:bCs/>
          <w:sz w:val="20"/>
          <w:szCs w:val="20"/>
        </w:rPr>
      </w:pPr>
    </w:p>
    <w:p w14:paraId="06C4F2CC" w14:textId="77777777" w:rsidR="004915DE" w:rsidRPr="0098017C" w:rsidRDefault="004915DE" w:rsidP="004915DE">
      <w:pPr>
        <w:spacing w:after="200" w:line="276" w:lineRule="auto"/>
        <w:rPr>
          <w:rFonts w:ascii="Times New Roman" w:eastAsia="Times New Roman" w:hAnsi="Times New Roman"/>
          <w:b/>
          <w:bCs/>
          <w:sz w:val="20"/>
          <w:szCs w:val="20"/>
        </w:rPr>
      </w:pPr>
    </w:p>
    <w:p w14:paraId="4CA31EF3" w14:textId="77777777" w:rsidR="004915DE" w:rsidRPr="0098017C" w:rsidRDefault="004915DE" w:rsidP="004915DE">
      <w:pPr>
        <w:spacing w:after="200" w:line="276" w:lineRule="auto"/>
        <w:rPr>
          <w:rFonts w:ascii="Times New Roman" w:eastAsia="Times New Roman" w:hAnsi="Times New Roman"/>
          <w:sz w:val="20"/>
          <w:szCs w:val="20"/>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4201"/>
        <w:gridCol w:w="1608"/>
        <w:gridCol w:w="1608"/>
        <w:gridCol w:w="1608"/>
      </w:tblGrid>
      <w:tr w:rsidR="004915DE" w:rsidRPr="0098017C" w14:paraId="49F0D3EB" w14:textId="77777777" w:rsidTr="00CD3675">
        <w:trPr>
          <w:trHeight w:val="390"/>
        </w:trPr>
        <w:tc>
          <w:tcPr>
            <w:tcW w:w="9025" w:type="dxa"/>
            <w:gridSpan w:val="4"/>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center"/>
          </w:tcPr>
          <w:p w14:paraId="28E73BE0"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b/>
                <w:bCs/>
                <w:sz w:val="20"/>
                <w:szCs w:val="20"/>
              </w:rPr>
              <w:t>Table 3. Professional evaluation of the perceived usefulness of VIGIA</w:t>
            </w:r>
          </w:p>
        </w:tc>
      </w:tr>
      <w:tr w:rsidR="004915DE" w:rsidRPr="0098017C" w14:paraId="386A69C8" w14:textId="77777777" w:rsidTr="00CD3675">
        <w:trPr>
          <w:trHeight w:val="300"/>
        </w:trPr>
        <w:tc>
          <w:tcPr>
            <w:tcW w:w="4201" w:type="dxa"/>
            <w:tcBorders>
              <w:top w:val="single" w:sz="6" w:space="0" w:color="CCCCCC"/>
              <w:left w:val="single" w:sz="6" w:space="0" w:color="CCCCCC"/>
              <w:bottom w:val="single" w:sz="6" w:space="0" w:color="AAAAAA"/>
              <w:right w:val="single" w:sz="6" w:space="0" w:color="CCCCCC"/>
            </w:tcBorders>
            <w:tcMar>
              <w:top w:w="0" w:type="dxa"/>
              <w:left w:w="40" w:type="dxa"/>
              <w:bottom w:w="0" w:type="dxa"/>
              <w:right w:w="40" w:type="dxa"/>
            </w:tcMar>
            <w:vAlign w:val="bottom"/>
          </w:tcPr>
          <w:p w14:paraId="36FECC84"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08" w:type="dxa"/>
            <w:tcBorders>
              <w:top w:val="single" w:sz="6" w:space="0" w:color="CCCCCC"/>
              <w:left w:val="single" w:sz="6" w:space="0" w:color="CCCCCC"/>
              <w:bottom w:val="single" w:sz="6" w:space="0" w:color="AAAAAA"/>
              <w:right w:val="single" w:sz="6" w:space="0" w:color="CCCCCC"/>
            </w:tcBorders>
            <w:tcMar>
              <w:top w:w="0" w:type="dxa"/>
              <w:left w:w="40" w:type="dxa"/>
              <w:bottom w:w="0" w:type="dxa"/>
              <w:right w:w="40" w:type="dxa"/>
            </w:tcMar>
            <w:vAlign w:val="bottom"/>
          </w:tcPr>
          <w:p w14:paraId="67F8BE3D"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08" w:type="dxa"/>
            <w:tcBorders>
              <w:top w:val="single" w:sz="6" w:space="0" w:color="CCCCCC"/>
              <w:left w:val="single" w:sz="6" w:space="0" w:color="CCCCCC"/>
              <w:bottom w:val="single" w:sz="6" w:space="0" w:color="AAAAAA"/>
              <w:right w:val="single" w:sz="6" w:space="0" w:color="CCCCCC"/>
            </w:tcBorders>
            <w:tcMar>
              <w:top w:w="0" w:type="dxa"/>
              <w:left w:w="40" w:type="dxa"/>
              <w:bottom w:w="0" w:type="dxa"/>
              <w:right w:w="40" w:type="dxa"/>
            </w:tcMar>
            <w:vAlign w:val="bottom"/>
          </w:tcPr>
          <w:p w14:paraId="4CA725A4"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08" w:type="dxa"/>
            <w:tcBorders>
              <w:top w:val="single" w:sz="6" w:space="0" w:color="CCCCCC"/>
              <w:left w:val="single" w:sz="6" w:space="0" w:color="CCCCCC"/>
              <w:bottom w:val="single" w:sz="6" w:space="0" w:color="AAAAAA"/>
              <w:right w:val="single" w:sz="6" w:space="0" w:color="CCCCCC"/>
            </w:tcBorders>
            <w:tcMar>
              <w:top w:w="0" w:type="dxa"/>
              <w:left w:w="40" w:type="dxa"/>
              <w:bottom w:w="0" w:type="dxa"/>
              <w:right w:w="40" w:type="dxa"/>
            </w:tcMar>
            <w:vAlign w:val="bottom"/>
          </w:tcPr>
          <w:p w14:paraId="435BEB9B"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4275D50E" w14:textId="77777777" w:rsidTr="00CD3675">
        <w:trPr>
          <w:trHeight w:val="825"/>
        </w:trPr>
        <w:tc>
          <w:tcPr>
            <w:tcW w:w="4201" w:type="dxa"/>
            <w:tcBorders>
              <w:top w:val="single" w:sz="6" w:space="0" w:color="CCCCCC"/>
              <w:left w:val="single" w:sz="6" w:space="0" w:color="AAAAAA"/>
              <w:bottom w:val="single" w:sz="6" w:space="0" w:color="AAAAAA"/>
              <w:right w:val="single" w:sz="6" w:space="0" w:color="AAAAAA"/>
            </w:tcBorders>
            <w:shd w:val="clear" w:color="auto" w:fill="1F4E79"/>
            <w:tcMar>
              <w:top w:w="0" w:type="dxa"/>
              <w:left w:w="40" w:type="dxa"/>
              <w:bottom w:w="0" w:type="dxa"/>
              <w:right w:w="40" w:type="dxa"/>
            </w:tcMar>
            <w:vAlign w:val="center"/>
          </w:tcPr>
          <w:p w14:paraId="6568FAA4"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lastRenderedPageBreak/>
              <w:t>Evaluation item</w:t>
            </w:r>
          </w:p>
        </w:tc>
        <w:tc>
          <w:tcPr>
            <w:tcW w:w="1608" w:type="dxa"/>
            <w:tcBorders>
              <w:top w:val="single" w:sz="6" w:space="0" w:color="CCCCCC"/>
              <w:left w:val="single" w:sz="6" w:space="0" w:color="CCCCCC"/>
              <w:bottom w:val="single" w:sz="6" w:space="0" w:color="AAAAAA"/>
              <w:right w:val="single" w:sz="6" w:space="0" w:color="AAAAAA"/>
            </w:tcBorders>
            <w:shd w:val="clear" w:color="auto" w:fill="1F4E79"/>
            <w:tcMar>
              <w:top w:w="0" w:type="dxa"/>
              <w:left w:w="40" w:type="dxa"/>
              <w:bottom w:w="0" w:type="dxa"/>
              <w:right w:w="40" w:type="dxa"/>
            </w:tcMar>
            <w:vAlign w:val="center"/>
          </w:tcPr>
          <w:p w14:paraId="07644F61"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Pharmacists</w:t>
            </w:r>
          </w:p>
          <w:p w14:paraId="2E4601FF"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(n = 7)</w:t>
            </w:r>
          </w:p>
          <w:p w14:paraId="4EC77199"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n (%)</w:t>
            </w:r>
          </w:p>
        </w:tc>
        <w:tc>
          <w:tcPr>
            <w:tcW w:w="1608" w:type="dxa"/>
            <w:tcBorders>
              <w:top w:val="single" w:sz="6" w:space="0" w:color="CCCCCC"/>
              <w:left w:val="single" w:sz="6" w:space="0" w:color="CCCCCC"/>
              <w:bottom w:val="single" w:sz="6" w:space="0" w:color="AAAAAA"/>
              <w:right w:val="single" w:sz="6" w:space="0" w:color="AAAAAA"/>
            </w:tcBorders>
            <w:shd w:val="clear" w:color="auto" w:fill="1F4E79"/>
            <w:tcMar>
              <w:top w:w="0" w:type="dxa"/>
              <w:left w:w="40" w:type="dxa"/>
              <w:bottom w:w="0" w:type="dxa"/>
              <w:right w:w="40" w:type="dxa"/>
            </w:tcMar>
            <w:vAlign w:val="center"/>
          </w:tcPr>
          <w:p w14:paraId="545DCBE1"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Physicians</w:t>
            </w:r>
          </w:p>
          <w:p w14:paraId="2D6353A7"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(n = 6)</w:t>
            </w:r>
          </w:p>
          <w:p w14:paraId="568CEA22"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n (%)</w:t>
            </w:r>
          </w:p>
        </w:tc>
        <w:tc>
          <w:tcPr>
            <w:tcW w:w="1608" w:type="dxa"/>
            <w:tcBorders>
              <w:top w:val="single" w:sz="6" w:space="0" w:color="CCCCCC"/>
              <w:left w:val="single" w:sz="6" w:space="0" w:color="CCCCCC"/>
              <w:bottom w:val="single" w:sz="6" w:space="0" w:color="AAAAAA"/>
              <w:right w:val="single" w:sz="6" w:space="0" w:color="AAAAAA"/>
            </w:tcBorders>
            <w:shd w:val="clear" w:color="auto" w:fill="1F4E79"/>
            <w:tcMar>
              <w:top w:w="0" w:type="dxa"/>
              <w:left w:w="40" w:type="dxa"/>
              <w:bottom w:w="0" w:type="dxa"/>
              <w:right w:w="40" w:type="dxa"/>
            </w:tcMar>
            <w:vAlign w:val="center"/>
          </w:tcPr>
          <w:p w14:paraId="76FF0A97"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Total</w:t>
            </w:r>
          </w:p>
          <w:p w14:paraId="314646CE" w14:textId="77777777" w:rsidR="004915DE" w:rsidRPr="0098017C" w:rsidRDefault="004915DE" w:rsidP="00CD3675">
            <w:pPr>
              <w:widowControl w:val="0"/>
              <w:spacing w:line="276" w:lineRule="auto"/>
              <w:jc w:val="center"/>
              <w:rPr>
                <w:rFonts w:ascii="Times New Roman" w:eastAsia="Times New Roman" w:hAnsi="Times New Roman"/>
                <w:b/>
                <w:bCs/>
                <w:sz w:val="20"/>
                <w:szCs w:val="20"/>
              </w:rPr>
            </w:pPr>
            <w:r w:rsidRPr="0098017C">
              <w:rPr>
                <w:rFonts w:ascii="Times New Roman" w:eastAsia="Times New Roman" w:hAnsi="Times New Roman"/>
                <w:b/>
                <w:bCs/>
                <w:sz w:val="20"/>
                <w:szCs w:val="20"/>
              </w:rPr>
              <w:t>(n = 13)</w:t>
            </w:r>
          </w:p>
          <w:p w14:paraId="701721BA"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b/>
                <w:bCs/>
                <w:sz w:val="20"/>
                <w:szCs w:val="20"/>
              </w:rPr>
              <w:t>n (%)</w:t>
            </w:r>
          </w:p>
        </w:tc>
      </w:tr>
      <w:tr w:rsidR="004915DE" w:rsidRPr="0098017C" w14:paraId="2609D4F3"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tcMar>
              <w:top w:w="0" w:type="dxa"/>
              <w:left w:w="40" w:type="dxa"/>
              <w:bottom w:w="0" w:type="dxa"/>
              <w:right w:w="40" w:type="dxa"/>
            </w:tcMar>
            <w:vAlign w:val="center"/>
          </w:tcPr>
          <w:p w14:paraId="3D7B56EC"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Simplified clinical decision-making</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3FC27799"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7 (100.0)</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2272F696"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6 (100.0)</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2F6A8F57"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13 (100.0)</w:t>
            </w:r>
          </w:p>
        </w:tc>
      </w:tr>
      <w:tr w:rsidR="004915DE" w:rsidRPr="0098017C" w14:paraId="5971FA6A"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shd w:val="clear" w:color="auto" w:fill="D6E4F0"/>
            <w:tcMar>
              <w:top w:w="0" w:type="dxa"/>
              <w:left w:w="40" w:type="dxa"/>
              <w:bottom w:w="0" w:type="dxa"/>
              <w:right w:w="40" w:type="dxa"/>
            </w:tcMar>
            <w:vAlign w:val="center"/>
          </w:tcPr>
          <w:p w14:paraId="623B27AC"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Would use the tool again</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126DD092"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7 (100.0)</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19E737C6"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6 (100.0)</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56536C63"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13 (100.0)</w:t>
            </w:r>
          </w:p>
        </w:tc>
      </w:tr>
      <w:tr w:rsidR="004915DE" w:rsidRPr="0098017C" w14:paraId="0EE7817A"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tcMar>
              <w:top w:w="0" w:type="dxa"/>
              <w:left w:w="40" w:type="dxa"/>
              <w:bottom w:w="0" w:type="dxa"/>
              <w:right w:w="40" w:type="dxa"/>
            </w:tcMar>
            <w:vAlign w:val="center"/>
          </w:tcPr>
          <w:p w14:paraId="04A0964B"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Saved time in the review process</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1FB2704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7 (100.0)</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1B8ADE2A"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5 (83.3)</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3979C0D5"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12 (92.3)</w:t>
            </w:r>
          </w:p>
        </w:tc>
      </w:tr>
      <w:tr w:rsidR="004915DE" w:rsidRPr="0098017C" w14:paraId="4F9E5887"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shd w:val="clear" w:color="auto" w:fill="D6E4F0"/>
            <w:tcMar>
              <w:top w:w="0" w:type="dxa"/>
              <w:left w:w="40" w:type="dxa"/>
              <w:bottom w:w="0" w:type="dxa"/>
              <w:right w:w="40" w:type="dxa"/>
            </w:tcMar>
            <w:vAlign w:val="center"/>
          </w:tcPr>
          <w:p w14:paraId="625ECD7B"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Improved confidence in clinical decision-making</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69FDCF4F"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7 (100.0)</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4906EB8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5 (83.3)</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298788F8"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12 (92.3)</w:t>
            </w:r>
          </w:p>
        </w:tc>
      </w:tr>
      <w:tr w:rsidR="004915DE" w:rsidRPr="0098017C" w14:paraId="36489472"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tcMar>
              <w:top w:w="0" w:type="dxa"/>
              <w:left w:w="40" w:type="dxa"/>
              <w:bottom w:w="0" w:type="dxa"/>
              <w:right w:w="40" w:type="dxa"/>
            </w:tcMar>
            <w:vAlign w:val="center"/>
          </w:tcPr>
          <w:p w14:paraId="08B702FF"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Facilitated agile interprofessional communication</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6FFA9CD8"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5 (71.4)</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7C5FEAC0"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6 (100.0)</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06BDB154"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11 (84.6)</w:t>
            </w:r>
          </w:p>
        </w:tc>
      </w:tr>
      <w:tr w:rsidR="004915DE" w:rsidRPr="0098017C" w14:paraId="6E816355"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shd w:val="clear" w:color="auto" w:fill="D6E4F0"/>
            <w:tcMar>
              <w:top w:w="0" w:type="dxa"/>
              <w:left w:w="40" w:type="dxa"/>
              <w:bottom w:w="0" w:type="dxa"/>
              <w:right w:w="40" w:type="dxa"/>
            </w:tcMar>
            <w:vAlign w:val="center"/>
          </w:tcPr>
          <w:p w14:paraId="1973A458"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Easy to learn and visually interpretable</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04749006"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7 (100.0)</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06C5F7A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3 (50.0)</w:t>
            </w:r>
          </w:p>
        </w:tc>
        <w:tc>
          <w:tcPr>
            <w:tcW w:w="1608" w:type="dxa"/>
            <w:tcBorders>
              <w:top w:val="single" w:sz="6" w:space="0" w:color="CCCCCC"/>
              <w:left w:val="single" w:sz="6" w:space="0" w:color="CCCCCC"/>
              <w:bottom w:val="single" w:sz="6" w:space="0" w:color="AAAAAA"/>
              <w:right w:val="single" w:sz="6" w:space="0" w:color="AAAAAA"/>
            </w:tcBorders>
            <w:shd w:val="clear" w:color="auto" w:fill="D6E4F0"/>
            <w:tcMar>
              <w:top w:w="0" w:type="dxa"/>
              <w:left w:w="40" w:type="dxa"/>
              <w:bottom w:w="0" w:type="dxa"/>
              <w:right w:w="40" w:type="dxa"/>
            </w:tcMar>
            <w:vAlign w:val="center"/>
          </w:tcPr>
          <w:p w14:paraId="73BB2B84"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10 (76.9)</w:t>
            </w:r>
          </w:p>
        </w:tc>
      </w:tr>
      <w:tr w:rsidR="004915DE" w:rsidRPr="0098017C" w14:paraId="7D4D3AE6" w14:textId="77777777" w:rsidTr="00CD3675">
        <w:trPr>
          <w:trHeight w:val="435"/>
        </w:trPr>
        <w:tc>
          <w:tcPr>
            <w:tcW w:w="4201" w:type="dxa"/>
            <w:tcBorders>
              <w:top w:val="single" w:sz="6" w:space="0" w:color="CCCCCC"/>
              <w:left w:val="single" w:sz="6" w:space="0" w:color="AAAAAA"/>
              <w:bottom w:val="single" w:sz="6" w:space="0" w:color="AAAAAA"/>
              <w:right w:val="single" w:sz="6" w:space="0" w:color="AAAAAA"/>
            </w:tcBorders>
            <w:tcMar>
              <w:top w:w="0" w:type="dxa"/>
              <w:left w:w="40" w:type="dxa"/>
              <w:bottom w:w="0" w:type="dxa"/>
              <w:right w:w="40" w:type="dxa"/>
            </w:tcMar>
            <w:vAlign w:val="center"/>
          </w:tcPr>
          <w:p w14:paraId="74CCA1CC" w14:textId="77777777" w:rsidR="004915DE" w:rsidRPr="0098017C" w:rsidRDefault="004915DE" w:rsidP="00CD3675">
            <w:pPr>
              <w:widowControl w:val="0"/>
              <w:spacing w:line="276" w:lineRule="auto"/>
              <w:rPr>
                <w:rFonts w:ascii="Times New Roman" w:eastAsia="Times New Roman" w:hAnsi="Times New Roman"/>
                <w:sz w:val="20"/>
                <w:szCs w:val="20"/>
              </w:rPr>
            </w:pPr>
            <w:r w:rsidRPr="0098017C">
              <w:rPr>
                <w:rFonts w:ascii="Times New Roman" w:eastAsia="Times New Roman" w:hAnsi="Times New Roman"/>
                <w:sz w:val="20"/>
                <w:szCs w:val="20"/>
              </w:rPr>
              <w:t>Helpful for resolving clinical doubts</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6967FAEE"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3 (42.9)</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551264F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5 (83.3)</w:t>
            </w:r>
          </w:p>
        </w:tc>
        <w:tc>
          <w:tcPr>
            <w:tcW w:w="1608" w:type="dxa"/>
            <w:tcBorders>
              <w:top w:val="single" w:sz="6" w:space="0" w:color="CCCCCC"/>
              <w:left w:val="single" w:sz="6" w:space="0" w:color="CCCCCC"/>
              <w:bottom w:val="single" w:sz="6" w:space="0" w:color="AAAAAA"/>
              <w:right w:val="single" w:sz="6" w:space="0" w:color="AAAAAA"/>
            </w:tcBorders>
            <w:tcMar>
              <w:top w:w="0" w:type="dxa"/>
              <w:left w:w="40" w:type="dxa"/>
              <w:bottom w:w="0" w:type="dxa"/>
              <w:right w:w="40" w:type="dxa"/>
            </w:tcMar>
            <w:vAlign w:val="center"/>
          </w:tcPr>
          <w:p w14:paraId="3DB9004C" w14:textId="77777777" w:rsidR="004915DE" w:rsidRPr="0098017C" w:rsidRDefault="004915DE" w:rsidP="00CD3675">
            <w:pPr>
              <w:widowControl w:val="0"/>
              <w:spacing w:line="276" w:lineRule="auto"/>
              <w:jc w:val="center"/>
              <w:rPr>
                <w:rFonts w:ascii="Times New Roman" w:eastAsia="Times New Roman" w:hAnsi="Times New Roman"/>
                <w:sz w:val="20"/>
                <w:szCs w:val="20"/>
              </w:rPr>
            </w:pPr>
            <w:r w:rsidRPr="0098017C">
              <w:rPr>
                <w:rFonts w:ascii="Times New Roman" w:eastAsia="Times New Roman" w:hAnsi="Times New Roman"/>
                <w:sz w:val="20"/>
                <w:szCs w:val="20"/>
              </w:rPr>
              <w:t>8 (61.5)</w:t>
            </w:r>
          </w:p>
        </w:tc>
      </w:tr>
      <w:tr w:rsidR="004915DE" w:rsidRPr="0098017C" w14:paraId="709369A6" w14:textId="77777777" w:rsidTr="00CD3675">
        <w:trPr>
          <w:trHeight w:val="300"/>
        </w:trPr>
        <w:tc>
          <w:tcPr>
            <w:tcW w:w="4201"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6D97AD9"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04AA2E3"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A579FF4" w14:textId="77777777" w:rsidR="004915DE" w:rsidRPr="0098017C" w:rsidRDefault="004915DE" w:rsidP="00CD3675">
            <w:pPr>
              <w:widowControl w:val="0"/>
              <w:spacing w:line="276" w:lineRule="auto"/>
              <w:rPr>
                <w:rFonts w:ascii="Times New Roman" w:eastAsia="Times New Roman" w:hAnsi="Times New Roman"/>
                <w:sz w:val="20"/>
                <w:szCs w:val="20"/>
              </w:rPr>
            </w:pPr>
          </w:p>
        </w:tc>
        <w:tc>
          <w:tcPr>
            <w:tcW w:w="16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EA0240A" w14:textId="77777777" w:rsidR="004915DE" w:rsidRPr="0098017C" w:rsidRDefault="004915DE" w:rsidP="00CD3675">
            <w:pPr>
              <w:widowControl w:val="0"/>
              <w:spacing w:line="276" w:lineRule="auto"/>
              <w:rPr>
                <w:rFonts w:ascii="Times New Roman" w:eastAsia="Times New Roman" w:hAnsi="Times New Roman"/>
                <w:sz w:val="20"/>
                <w:szCs w:val="20"/>
              </w:rPr>
            </w:pPr>
          </w:p>
        </w:tc>
      </w:tr>
      <w:tr w:rsidR="004915DE" w:rsidRPr="0098017C" w14:paraId="23A7BD88" w14:textId="77777777" w:rsidTr="00CD3675">
        <w:trPr>
          <w:trHeight w:val="990"/>
        </w:trPr>
        <w:tc>
          <w:tcPr>
            <w:tcW w:w="9025" w:type="dxa"/>
            <w:gridSpan w:val="4"/>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tcPr>
          <w:p w14:paraId="6248F339" w14:textId="77777777" w:rsidR="004915DE" w:rsidRPr="0098017C" w:rsidRDefault="004915DE" w:rsidP="00CD3675">
            <w:pPr>
              <w:widowControl w:val="0"/>
              <w:spacing w:line="276" w:lineRule="auto"/>
              <w:rPr>
                <w:rFonts w:ascii="Times New Roman" w:eastAsia="Times New Roman" w:hAnsi="Times New Roman"/>
                <w:sz w:val="20"/>
                <w:szCs w:val="20"/>
              </w:rPr>
            </w:pPr>
            <w:r w:rsidRPr="007A3CCF">
              <w:rPr>
                <w:rFonts w:ascii="Times New Roman" w:eastAsia="Times New Roman" w:hAnsi="Times New Roman"/>
                <w:i/>
                <w:iCs/>
                <w:sz w:val="20"/>
                <w:szCs w:val="20"/>
              </w:rPr>
              <w:t>Results are expressed as the number and percentage of affirmative responses. Seven conceptually equivalent items were pooled across the profession-specific questionnaires; wording was adapted to the respective clinical role. Accessibility and the physician-specific prescribing-quality item are reported separately in Table S2.</w:t>
            </w:r>
          </w:p>
        </w:tc>
      </w:tr>
    </w:tbl>
    <w:p w14:paraId="751ECC7D" w14:textId="77777777" w:rsidR="004915DE" w:rsidRPr="0098017C" w:rsidRDefault="004915DE" w:rsidP="004915DE">
      <w:pPr>
        <w:spacing w:line="276" w:lineRule="auto"/>
        <w:jc w:val="both"/>
        <w:rPr>
          <w:rFonts w:ascii="Times New Roman" w:hAnsi="Times New Roman"/>
          <w:sz w:val="20"/>
          <w:szCs w:val="20"/>
        </w:rPr>
      </w:pPr>
    </w:p>
    <w:p w14:paraId="3997DF8E"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12682614"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4089786D"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74DDB90C"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7910FE30"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1BF468F5"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0A6B39AD"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4E905DF1"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1370B3F4"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65B46377"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5458C58A" w14:textId="77777777" w:rsidR="004915DE" w:rsidRPr="0098017C" w:rsidRDefault="004915DE" w:rsidP="004915DE">
      <w:pPr>
        <w:spacing w:before="280" w:after="280" w:line="276" w:lineRule="auto"/>
        <w:rPr>
          <w:rFonts w:ascii="Times New Roman" w:eastAsia="Times New Roman" w:hAnsi="Times New Roman"/>
          <w:b/>
          <w:bCs/>
          <w:sz w:val="20"/>
          <w:szCs w:val="20"/>
        </w:rPr>
      </w:pPr>
    </w:p>
    <w:p w14:paraId="105D1EBF" w14:textId="77777777" w:rsidR="00DE6AE2" w:rsidRDefault="00DE6AE2"/>
    <w:sectPr w:rsidR="00DE6AE2" w:rsidSect="004915DE">
      <w:pgSz w:w="11906" w:h="16838"/>
      <w:pgMar w:top="1440" w:right="1440" w:bottom="1440" w:left="1440" w:header="720" w:footer="720" w:gutter="0"/>
      <w:lnNumType w:countBy="1" w:distance="180"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5DE"/>
    <w:rsid w:val="00195413"/>
    <w:rsid w:val="003A03A7"/>
    <w:rsid w:val="003D0186"/>
    <w:rsid w:val="004915DE"/>
    <w:rsid w:val="00513490"/>
    <w:rsid w:val="007278E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70E8D"/>
  <w15:chartTrackingRefBased/>
  <w15:docId w15:val="{7FE914B0-CD84-4A3A-98FC-13A07DA6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5DE"/>
    <w:pPr>
      <w:suppressAutoHyphens/>
      <w:autoSpaceDN w:val="0"/>
      <w:spacing w:line="240" w:lineRule="auto"/>
    </w:pPr>
    <w:rPr>
      <w:rFonts w:ascii="Calibri" w:eastAsia="Calibri" w:hAnsi="Calibri" w:cs="Times New Roman"/>
      <w:kern w:val="0"/>
      <w:sz w:val="22"/>
      <w:szCs w:val="22"/>
      <w:lang w:val="es-ES"/>
      <w14:ligatures w14:val="none"/>
    </w:rPr>
  </w:style>
  <w:style w:type="paragraph" w:styleId="Heading1">
    <w:name w:val="heading 1"/>
    <w:basedOn w:val="Normal"/>
    <w:next w:val="Normal"/>
    <w:link w:val="Heading1Char"/>
    <w:uiPriority w:val="9"/>
    <w:qFormat/>
    <w:rsid w:val="004915DE"/>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915DE"/>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915DE"/>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915DE"/>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4915DE"/>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4915DE"/>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4915DE"/>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4915DE"/>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4915DE"/>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5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5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5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5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5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5DE"/>
    <w:rPr>
      <w:rFonts w:eastAsiaTheme="majorEastAsia" w:cstheme="majorBidi"/>
      <w:color w:val="272727" w:themeColor="text1" w:themeTint="D8"/>
    </w:rPr>
  </w:style>
  <w:style w:type="paragraph" w:styleId="Title">
    <w:name w:val="Title"/>
    <w:basedOn w:val="Normal"/>
    <w:next w:val="Normal"/>
    <w:link w:val="TitleChar"/>
    <w:uiPriority w:val="10"/>
    <w:qFormat/>
    <w:rsid w:val="004915DE"/>
    <w:pPr>
      <w:suppressAutoHyphens w:val="0"/>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91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5DE"/>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91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5DE"/>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4915DE"/>
    <w:rPr>
      <w:i/>
      <w:iCs/>
      <w:color w:val="404040" w:themeColor="text1" w:themeTint="BF"/>
    </w:rPr>
  </w:style>
  <w:style w:type="paragraph" w:styleId="ListParagraph">
    <w:name w:val="List Paragraph"/>
    <w:basedOn w:val="Normal"/>
    <w:uiPriority w:val="34"/>
    <w:qFormat/>
    <w:rsid w:val="004915DE"/>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4915DE"/>
    <w:rPr>
      <w:i/>
      <w:iCs/>
      <w:color w:val="0F4761" w:themeColor="accent1" w:themeShade="BF"/>
    </w:rPr>
  </w:style>
  <w:style w:type="paragraph" w:styleId="IntenseQuote">
    <w:name w:val="Intense Quote"/>
    <w:basedOn w:val="Normal"/>
    <w:next w:val="Normal"/>
    <w:link w:val="IntenseQuoteChar"/>
    <w:uiPriority w:val="30"/>
    <w:qFormat/>
    <w:rsid w:val="004915DE"/>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915DE"/>
    <w:rPr>
      <w:i/>
      <w:iCs/>
      <w:color w:val="0F4761" w:themeColor="accent1" w:themeShade="BF"/>
    </w:rPr>
  </w:style>
  <w:style w:type="character" w:styleId="IntenseReference">
    <w:name w:val="Intense Reference"/>
    <w:basedOn w:val="DefaultParagraphFont"/>
    <w:uiPriority w:val="32"/>
    <w:qFormat/>
    <w:rsid w:val="004915DE"/>
    <w:rPr>
      <w:b/>
      <w:bCs/>
      <w:smallCaps/>
      <w:color w:val="0F4761" w:themeColor="accent1" w:themeShade="BF"/>
      <w:spacing w:val="5"/>
    </w:rPr>
  </w:style>
  <w:style w:type="character" w:styleId="LineNumber">
    <w:name w:val="line number"/>
    <w:basedOn w:val="DefaultParagraphFont"/>
    <w:uiPriority w:val="99"/>
    <w:semiHidden/>
    <w:unhideWhenUsed/>
    <w:rsid w:val="00491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2982</Characters>
  <Application>Microsoft Office Word</Application>
  <DocSecurity>0</DocSecurity>
  <Lines>24</Lines>
  <Paragraphs>6</Paragraphs>
  <ScaleCrop>false</ScaleCrop>
  <Company>Springer Nature</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2026-07-10T05:56:00Z</dcterms:created>
  <dcterms:modified xsi:type="dcterms:W3CDTF">2026-07-10T05:56:00Z</dcterms:modified>
</cp:coreProperties>
</file>