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C299FD" w14:textId="77777777" w:rsidR="00E52AA3" w:rsidRPr="006F7BB4" w:rsidRDefault="00E52AA3" w:rsidP="00E52AA3">
      <w:pPr>
        <w:spacing w:line="360" w:lineRule="auto"/>
        <w:rPr>
          <w:rFonts w:ascii="Nirmala UI" w:hAnsi="Nirmala UI" w:cs="Nirmala UI"/>
          <w:b/>
          <w:lang w:val="en-US"/>
        </w:rPr>
      </w:pPr>
      <w:bookmarkStart w:id="0" w:name="_Hlk85013331"/>
      <w:r w:rsidRPr="006F7BB4">
        <w:rPr>
          <w:rFonts w:ascii="Nirmala UI" w:hAnsi="Nirmala UI" w:cs="Nirmala UI"/>
          <w:b/>
          <w:lang w:val="en-US"/>
        </w:rPr>
        <w:t>SUPPLEMENTARY MATERIALS</w:t>
      </w:r>
    </w:p>
    <w:p w14:paraId="1BD0A307" w14:textId="5FF6720E" w:rsidR="00E52AA3" w:rsidRDefault="00E52AA3" w:rsidP="00A146BB">
      <w:pPr>
        <w:spacing w:line="480" w:lineRule="auto"/>
        <w:rPr>
          <w:rFonts w:ascii="Nirmala UI" w:hAnsi="Nirmala UI" w:cs="Nirmala UI"/>
          <w:b/>
          <w:bCs/>
          <w:sz w:val="24"/>
          <w:szCs w:val="24"/>
          <w:lang w:val="en-US"/>
        </w:rPr>
      </w:pPr>
    </w:p>
    <w:p w14:paraId="0C8269BE" w14:textId="34752360" w:rsidR="00E52AA3" w:rsidRPr="00E52AA3" w:rsidRDefault="00E52AA3" w:rsidP="00A146BB">
      <w:pPr>
        <w:spacing w:line="480" w:lineRule="auto"/>
        <w:rPr>
          <w:rFonts w:ascii="Nirmala UI" w:hAnsi="Nirmala UI" w:cs="Nirmala UI"/>
          <w:i/>
          <w:iCs/>
          <w:sz w:val="24"/>
          <w:szCs w:val="24"/>
          <w:lang w:val="en-US"/>
        </w:rPr>
      </w:pPr>
      <w:r w:rsidRPr="00E52AA3">
        <w:rPr>
          <w:rFonts w:ascii="Nirmala UI" w:hAnsi="Nirmala UI" w:cs="Nirmala UI"/>
          <w:i/>
          <w:iCs/>
          <w:sz w:val="24"/>
          <w:szCs w:val="24"/>
          <w:lang w:val="en-US"/>
        </w:rPr>
        <w:t>To accompany the manuscript:</w:t>
      </w:r>
    </w:p>
    <w:p w14:paraId="34FD0201" w14:textId="349A3ADB" w:rsidR="00174C97" w:rsidRPr="002610F4" w:rsidRDefault="00D4343A" w:rsidP="00E52AA3">
      <w:pPr>
        <w:spacing w:line="360" w:lineRule="auto"/>
        <w:rPr>
          <w:rFonts w:ascii="Nirmala UI" w:hAnsi="Nirmala UI" w:cs="Nirmala UI"/>
          <w:lang w:val="en-US"/>
        </w:rPr>
      </w:pPr>
      <w:r w:rsidRPr="002610F4">
        <w:rPr>
          <w:rFonts w:ascii="Nirmala UI" w:hAnsi="Nirmala UI" w:cs="Nirmala UI"/>
          <w:lang w:val="en-US"/>
        </w:rPr>
        <w:t xml:space="preserve">The estimated disease burden of </w:t>
      </w:r>
      <w:r w:rsidR="00233063" w:rsidRPr="002610F4">
        <w:rPr>
          <w:rFonts w:ascii="Nirmala UI" w:hAnsi="Nirmala UI" w:cs="Nirmala UI"/>
          <w:lang w:val="en-US"/>
        </w:rPr>
        <w:t xml:space="preserve">acute </w:t>
      </w:r>
      <w:r w:rsidRPr="002610F4">
        <w:rPr>
          <w:rFonts w:ascii="Nirmala UI" w:hAnsi="Nirmala UI" w:cs="Nirmala UI"/>
          <w:lang w:val="en-US"/>
        </w:rPr>
        <w:t xml:space="preserve">COVID-19 in the Netherlands in 2020, in </w:t>
      </w:r>
      <w:r w:rsidR="00A146BB" w:rsidRPr="002610F4">
        <w:rPr>
          <w:rFonts w:ascii="Nirmala UI" w:hAnsi="Nirmala UI" w:cs="Nirmala UI"/>
          <w:lang w:val="en-US"/>
        </w:rPr>
        <w:br/>
      </w:r>
      <w:r w:rsidRPr="002610F4">
        <w:rPr>
          <w:rFonts w:ascii="Nirmala UI" w:hAnsi="Nirmala UI" w:cs="Nirmala UI"/>
          <w:lang w:val="en-US"/>
        </w:rPr>
        <w:t>disability-adjusted life-years</w:t>
      </w:r>
    </w:p>
    <w:bookmarkEnd w:id="0"/>
    <w:p w14:paraId="1F0DEE48" w14:textId="0B88E1F0" w:rsidR="00560F0D" w:rsidRPr="00E52AA3" w:rsidRDefault="00560F0D" w:rsidP="00560F0D">
      <w:pPr>
        <w:rPr>
          <w:rFonts w:ascii="Nirmala UI" w:hAnsi="Nirmala UI" w:cs="Nirmala UI"/>
          <w:lang w:val="en-US"/>
        </w:rPr>
      </w:pPr>
      <w:r w:rsidRPr="00E52AA3">
        <w:rPr>
          <w:rFonts w:ascii="Nirmala UI" w:hAnsi="Nirmala UI" w:cs="Nirmala UI"/>
          <w:lang w:val="en-US"/>
        </w:rPr>
        <w:t>Scott A. McDonald, Giske R. Lagerweij, Pieter de Boer, Hester</w:t>
      </w:r>
      <w:r w:rsidR="000025B7">
        <w:rPr>
          <w:rFonts w:ascii="Nirmala UI" w:hAnsi="Nirmala UI" w:cs="Nirmala UI"/>
          <w:lang w:val="en-US"/>
        </w:rPr>
        <w:t xml:space="preserve"> E.</w:t>
      </w:r>
      <w:r w:rsidRPr="00E52AA3">
        <w:rPr>
          <w:rFonts w:ascii="Nirmala UI" w:hAnsi="Nirmala UI" w:cs="Nirmala UI"/>
          <w:lang w:val="en-US"/>
        </w:rPr>
        <w:t xml:space="preserve"> de Melker, Roan Pijnacker,</w:t>
      </w:r>
      <w:r w:rsidR="00832A11" w:rsidRPr="00E52AA3">
        <w:rPr>
          <w:rFonts w:ascii="Nirmala UI" w:hAnsi="Nirmala UI" w:cs="Nirmala UI"/>
          <w:lang w:val="en-US"/>
        </w:rPr>
        <w:t xml:space="preserve"> </w:t>
      </w:r>
      <w:r w:rsidRPr="00E52AA3">
        <w:rPr>
          <w:rFonts w:ascii="Nirmala UI" w:hAnsi="Nirmala UI" w:cs="Nirmala UI"/>
          <w:lang w:val="en-US"/>
        </w:rPr>
        <w:t>Lapo Mughini Gras, Mirjam</w:t>
      </w:r>
      <w:r w:rsidR="00832A11" w:rsidRPr="00E52AA3">
        <w:rPr>
          <w:rFonts w:ascii="Nirmala UI" w:hAnsi="Nirmala UI" w:cs="Nirmala UI"/>
          <w:lang w:val="en-US"/>
        </w:rPr>
        <w:t xml:space="preserve"> E.</w:t>
      </w:r>
      <w:r w:rsidRPr="00E52AA3">
        <w:rPr>
          <w:rFonts w:ascii="Nirmala UI" w:hAnsi="Nirmala UI" w:cs="Nirmala UI"/>
          <w:lang w:val="en-US"/>
        </w:rPr>
        <w:t xml:space="preserve"> Kret</w:t>
      </w:r>
      <w:r w:rsidR="00931B42">
        <w:rPr>
          <w:rFonts w:ascii="Nirmala UI" w:hAnsi="Nirmala UI" w:cs="Nirmala UI"/>
          <w:lang w:val="en-US"/>
        </w:rPr>
        <w:t>z</w:t>
      </w:r>
      <w:r w:rsidRPr="00E52AA3">
        <w:rPr>
          <w:rFonts w:ascii="Nirmala UI" w:hAnsi="Nirmala UI" w:cs="Nirmala UI"/>
          <w:lang w:val="en-US"/>
        </w:rPr>
        <w:t>schmar</w:t>
      </w:r>
      <w:r w:rsidR="000D0F77" w:rsidRPr="000D0F77">
        <w:rPr>
          <w:rFonts w:ascii="Nirmala UI" w:hAnsi="Nirmala UI" w:cs="Nirmala UI"/>
          <w:lang w:val="en-US"/>
        </w:rPr>
        <w:t>, Gerco den Hartog</w:t>
      </w:r>
      <w:r w:rsidRPr="00E52AA3">
        <w:rPr>
          <w:rFonts w:ascii="Nirmala UI" w:hAnsi="Nirmala UI" w:cs="Nirmala UI"/>
          <w:lang w:val="en-US"/>
        </w:rPr>
        <w:t xml:space="preserve">, </w:t>
      </w:r>
      <w:r w:rsidR="003453EB">
        <w:rPr>
          <w:rFonts w:ascii="Nirmala UI" w:hAnsi="Nirmala UI" w:cs="Nirmala UI"/>
          <w:lang w:val="en-US"/>
        </w:rPr>
        <w:t>Ar</w:t>
      </w:r>
      <w:r w:rsidRPr="00E52AA3">
        <w:rPr>
          <w:rFonts w:ascii="Nirmala UI" w:hAnsi="Nirmala UI" w:cs="Nirmala UI"/>
          <w:lang w:val="en-US"/>
        </w:rPr>
        <w:t>ianne</w:t>
      </w:r>
      <w:r w:rsidR="003739AD" w:rsidRPr="00E52AA3">
        <w:rPr>
          <w:rFonts w:ascii="Nirmala UI" w:hAnsi="Nirmala UI" w:cs="Nirmala UI"/>
          <w:lang w:val="en-US"/>
        </w:rPr>
        <w:t xml:space="preserve"> </w:t>
      </w:r>
      <w:r w:rsidR="003453EB">
        <w:rPr>
          <w:rFonts w:ascii="Nirmala UI" w:hAnsi="Nirmala UI" w:cs="Nirmala UI"/>
          <w:lang w:val="en-US"/>
        </w:rPr>
        <w:t xml:space="preserve">B. </w:t>
      </w:r>
      <w:r w:rsidR="003739AD" w:rsidRPr="00E52AA3">
        <w:rPr>
          <w:rFonts w:ascii="Nirmala UI" w:hAnsi="Nirmala UI" w:cs="Nirmala UI"/>
          <w:lang w:val="en-US"/>
        </w:rPr>
        <w:t>van Gageldonk</w:t>
      </w:r>
      <w:r w:rsidR="003453EB">
        <w:rPr>
          <w:rFonts w:ascii="Nirmala UI" w:hAnsi="Nirmala UI" w:cs="Nirmala UI"/>
          <w:lang w:val="en-US"/>
        </w:rPr>
        <w:t>-Lafeber</w:t>
      </w:r>
      <w:r w:rsidR="003739AD" w:rsidRPr="00E52AA3">
        <w:rPr>
          <w:rFonts w:ascii="Nirmala UI" w:hAnsi="Nirmala UI" w:cs="Nirmala UI"/>
          <w:lang w:val="en-US"/>
        </w:rPr>
        <w:t xml:space="preserve">, </w:t>
      </w:r>
      <w:r w:rsidRPr="00E52AA3">
        <w:rPr>
          <w:rFonts w:ascii="Nirmala UI" w:hAnsi="Nirmala UI" w:cs="Nirmala UI"/>
          <w:lang w:val="en-US"/>
        </w:rPr>
        <w:t>RIVM COVID-19 surveillance and epidemiology team, Susan van den Hof, Jacco Wallinga</w:t>
      </w:r>
    </w:p>
    <w:p w14:paraId="747B0C81" w14:textId="77777777" w:rsidR="00560F0D" w:rsidRPr="00832A11" w:rsidRDefault="00560F0D" w:rsidP="00560F0D">
      <w:pPr>
        <w:rPr>
          <w:lang w:val="en-US"/>
        </w:rPr>
      </w:pPr>
    </w:p>
    <w:p w14:paraId="77AB15CE" w14:textId="6ABC1F16" w:rsidR="008169B7" w:rsidRPr="008169B7" w:rsidRDefault="008169B7" w:rsidP="008169B7">
      <w:pPr>
        <w:spacing w:line="360" w:lineRule="auto"/>
        <w:rPr>
          <w:rFonts w:ascii="Nirmala UI" w:hAnsi="Nirmala UI" w:cs="Nirmala UI"/>
          <w:bCs/>
          <w:lang w:val="en-US"/>
        </w:rPr>
      </w:pPr>
      <w:r w:rsidRPr="008169B7">
        <w:rPr>
          <w:rFonts w:ascii="Nirmala UI" w:hAnsi="Nirmala UI" w:cs="Nirmala UI"/>
          <w:bCs/>
          <w:lang w:val="en-US"/>
        </w:rPr>
        <w:t>Corresponding author</w:t>
      </w:r>
      <w:r>
        <w:rPr>
          <w:rFonts w:ascii="Nirmala UI" w:hAnsi="Nirmala UI" w:cs="Nirmala UI"/>
          <w:bCs/>
          <w:lang w:val="en-US"/>
        </w:rPr>
        <w:t>:</w:t>
      </w:r>
    </w:p>
    <w:p w14:paraId="5F43DB66" w14:textId="40E2B39F" w:rsidR="00077A08" w:rsidRPr="008169B7" w:rsidRDefault="008169B7" w:rsidP="008169B7">
      <w:pPr>
        <w:spacing w:after="0" w:line="360" w:lineRule="auto"/>
        <w:rPr>
          <w:rFonts w:ascii="Nirmala UI" w:hAnsi="Nirmala UI" w:cs="Nirmala UI"/>
          <w:bCs/>
          <w:lang w:val="en-US"/>
        </w:rPr>
      </w:pPr>
      <w:r w:rsidRPr="008169B7">
        <w:rPr>
          <w:rFonts w:ascii="Nirmala UI" w:hAnsi="Nirmala UI" w:cs="Nirmala UI"/>
          <w:bCs/>
          <w:lang w:val="en-US"/>
        </w:rPr>
        <w:t>Scott A. McDonald</w:t>
      </w:r>
    </w:p>
    <w:p w14:paraId="455BB45A" w14:textId="77777777" w:rsidR="008169B7" w:rsidRDefault="008169B7">
      <w:pPr>
        <w:rPr>
          <w:rFonts w:ascii="Nirmala UI" w:hAnsi="Nirmala UI" w:cs="Nirmala UI"/>
          <w:bCs/>
          <w:lang w:val="en-US"/>
        </w:rPr>
      </w:pPr>
      <w:r w:rsidRPr="008169B7">
        <w:rPr>
          <w:rFonts w:ascii="Nirmala UI" w:hAnsi="Nirmala UI" w:cs="Nirmala UI"/>
          <w:bCs/>
          <w:lang w:val="en-US"/>
        </w:rPr>
        <w:t>Center for Infectious Disease Control, National Institute for Public Health and the Environment (RIVM), Bilthoven, the Netherlands</w:t>
      </w:r>
    </w:p>
    <w:p w14:paraId="3EDCD8AF" w14:textId="0C8CE2CD" w:rsidR="00E52AA3" w:rsidRPr="008169B7" w:rsidRDefault="008169B7">
      <w:pPr>
        <w:rPr>
          <w:rFonts w:ascii="Nirmala UI" w:hAnsi="Nirmala UI" w:cs="Nirmala UI"/>
          <w:bCs/>
          <w:lang w:val="en-US"/>
        </w:rPr>
      </w:pPr>
      <w:r>
        <w:rPr>
          <w:rFonts w:ascii="Nirmala UI" w:hAnsi="Nirmala UI" w:cs="Nirmala UI"/>
          <w:bCs/>
          <w:lang w:val="en-US"/>
        </w:rPr>
        <w:t>E</w:t>
      </w:r>
      <w:r w:rsidRPr="008169B7">
        <w:rPr>
          <w:rFonts w:ascii="Nirmala UI" w:hAnsi="Nirmala UI" w:cs="Nirmala UI"/>
          <w:bCs/>
          <w:lang w:val="en-US"/>
        </w:rPr>
        <w:t>-mail: scott.mcdonald@rivm.nl</w:t>
      </w:r>
      <w:r w:rsidR="00E52AA3" w:rsidRPr="008169B7">
        <w:rPr>
          <w:rFonts w:ascii="Nirmala UI" w:hAnsi="Nirmala UI" w:cs="Nirmala UI"/>
          <w:bCs/>
          <w:lang w:val="en-US"/>
        </w:rPr>
        <w:br w:type="page"/>
      </w:r>
    </w:p>
    <w:p w14:paraId="45590232" w14:textId="1E7E7ACC" w:rsidR="005F57CC" w:rsidRDefault="005F57CC" w:rsidP="005F57CC">
      <w:pPr>
        <w:spacing w:line="360" w:lineRule="auto"/>
        <w:rPr>
          <w:rFonts w:ascii="Nirmala UI" w:hAnsi="Nirmala UI" w:cs="Nirmala UI"/>
          <w:b/>
          <w:lang w:val="en-US"/>
        </w:rPr>
      </w:pPr>
      <w:r>
        <w:rPr>
          <w:rFonts w:ascii="Nirmala UI" w:hAnsi="Nirmala UI" w:cs="Nirmala UI"/>
          <w:b/>
          <w:lang w:val="en-US"/>
        </w:rPr>
        <w:lastRenderedPageBreak/>
        <w:t>Computation of YLD, YLL and DALY</w:t>
      </w:r>
    </w:p>
    <w:p w14:paraId="63BDD276" w14:textId="002184B4" w:rsidR="00D82AB5" w:rsidRPr="009B70FE" w:rsidRDefault="00D82AB5" w:rsidP="005F57CC">
      <w:pPr>
        <w:pStyle w:val="BodyText1"/>
        <w:shd w:val="clear" w:color="auto" w:fill="FFFFFF" w:themeFill="background1"/>
        <w:spacing w:before="0" w:after="0" w:line="240" w:lineRule="auto"/>
        <w:rPr>
          <w:rFonts w:ascii="Nirmala UI" w:hAnsi="Nirmala UI" w:cs="Nirmala UI"/>
          <w:sz w:val="20"/>
          <w:szCs w:val="20"/>
        </w:rPr>
      </w:pPr>
      <w:r w:rsidRPr="009B70FE">
        <w:rPr>
          <w:rFonts w:ascii="Nirmala UI" w:hAnsi="Nirmala UI" w:cs="Nirmala UI"/>
          <w:sz w:val="20"/>
          <w:szCs w:val="20"/>
        </w:rPr>
        <w:t xml:space="preserve">There a several good sources describing </w:t>
      </w:r>
      <w:r w:rsidR="006D431D">
        <w:rPr>
          <w:rFonts w:ascii="Nirmala UI" w:hAnsi="Nirmala UI" w:cs="Nirmala UI"/>
          <w:sz w:val="20"/>
          <w:szCs w:val="20"/>
        </w:rPr>
        <w:t xml:space="preserve">the </w:t>
      </w:r>
      <w:r w:rsidR="006D431D" w:rsidRPr="009B70FE">
        <w:rPr>
          <w:rFonts w:ascii="Nirmala UI" w:hAnsi="Nirmala UI" w:cs="Nirmala UI"/>
          <w:sz w:val="20"/>
          <w:szCs w:val="20"/>
        </w:rPr>
        <w:t>calculation</w:t>
      </w:r>
      <w:r w:rsidR="006D431D">
        <w:rPr>
          <w:rFonts w:ascii="Nirmala UI" w:hAnsi="Nirmala UI" w:cs="Nirmala UI"/>
          <w:sz w:val="20"/>
          <w:szCs w:val="20"/>
        </w:rPr>
        <w:t xml:space="preserve"> of disability-adjusted life years (</w:t>
      </w:r>
      <w:r w:rsidRPr="009B70FE">
        <w:rPr>
          <w:rFonts w:ascii="Nirmala UI" w:hAnsi="Nirmala UI" w:cs="Nirmala UI"/>
          <w:sz w:val="20"/>
          <w:szCs w:val="20"/>
        </w:rPr>
        <w:t>DALY</w:t>
      </w:r>
      <w:r w:rsidR="006D431D">
        <w:rPr>
          <w:rFonts w:ascii="Nirmala UI" w:hAnsi="Nirmala UI" w:cs="Nirmala UI"/>
          <w:sz w:val="20"/>
          <w:szCs w:val="20"/>
        </w:rPr>
        <w:t>)</w:t>
      </w:r>
      <w:r w:rsidRPr="009B70FE">
        <w:rPr>
          <w:rFonts w:ascii="Nirmala UI" w:hAnsi="Nirmala UI" w:cs="Nirmala UI"/>
          <w:sz w:val="20"/>
          <w:szCs w:val="20"/>
        </w:rPr>
        <w:t xml:space="preserve"> (see references, below), and at least one freely available R package for calculation (</w:t>
      </w:r>
      <w:r w:rsidR="009B70FE" w:rsidRPr="009B70FE">
        <w:rPr>
          <w:rFonts w:ascii="Nirmala UI" w:hAnsi="Nirmala UI" w:cs="Nirmala UI"/>
          <w:sz w:val="20"/>
          <w:szCs w:val="20"/>
        </w:rPr>
        <w:t xml:space="preserve">the </w:t>
      </w:r>
      <w:r w:rsidR="00505A26" w:rsidRPr="006D431D">
        <w:rPr>
          <w:rFonts w:ascii="Nirmala UI" w:hAnsi="Nirmala UI" w:cs="Nirmala UI"/>
          <w:i/>
          <w:iCs/>
          <w:sz w:val="20"/>
          <w:szCs w:val="20"/>
        </w:rPr>
        <w:t xml:space="preserve">DALY </w:t>
      </w:r>
      <w:r w:rsidR="006D431D">
        <w:rPr>
          <w:rFonts w:ascii="Nirmala UI" w:hAnsi="Nirmala UI" w:cs="Nirmala UI"/>
          <w:i/>
          <w:iCs/>
          <w:sz w:val="20"/>
          <w:szCs w:val="20"/>
        </w:rPr>
        <w:t>C</w:t>
      </w:r>
      <w:r w:rsidR="00505A26" w:rsidRPr="006D431D">
        <w:rPr>
          <w:rFonts w:ascii="Nirmala UI" w:hAnsi="Nirmala UI" w:cs="Nirmala UI"/>
          <w:i/>
          <w:iCs/>
          <w:sz w:val="20"/>
          <w:szCs w:val="20"/>
        </w:rPr>
        <w:t>alculato</w:t>
      </w:r>
      <w:r w:rsidR="009B70FE" w:rsidRPr="006D431D">
        <w:rPr>
          <w:rFonts w:ascii="Nirmala UI" w:hAnsi="Nirmala UI" w:cs="Nirmala UI"/>
          <w:i/>
          <w:iCs/>
          <w:sz w:val="20"/>
          <w:szCs w:val="20"/>
        </w:rPr>
        <w:t>r</w:t>
      </w:r>
      <w:r w:rsidR="009B70FE" w:rsidRPr="009B70FE">
        <w:rPr>
          <w:rFonts w:ascii="Nirmala UI" w:hAnsi="Nirmala UI" w:cs="Nirmala UI"/>
          <w:sz w:val="20"/>
          <w:szCs w:val="20"/>
        </w:rPr>
        <w:t>; see reference below</w:t>
      </w:r>
      <w:r w:rsidRPr="009B70FE">
        <w:rPr>
          <w:rFonts w:ascii="Nirmala UI" w:hAnsi="Nirmala UI" w:cs="Nirmala UI"/>
          <w:sz w:val="20"/>
          <w:szCs w:val="20"/>
        </w:rPr>
        <w:t>).</w:t>
      </w:r>
    </w:p>
    <w:p w14:paraId="026650FF" w14:textId="77777777" w:rsidR="00D82AB5" w:rsidRPr="009B70FE" w:rsidRDefault="00D82AB5" w:rsidP="005F57CC">
      <w:pPr>
        <w:pStyle w:val="BodyText1"/>
        <w:shd w:val="clear" w:color="auto" w:fill="FFFFFF" w:themeFill="background1"/>
        <w:spacing w:before="0" w:after="0" w:line="240" w:lineRule="auto"/>
        <w:rPr>
          <w:rFonts w:ascii="Nirmala UI" w:hAnsi="Nirmala UI" w:cs="Nirmala UI"/>
          <w:b/>
          <w:bCs/>
          <w:sz w:val="20"/>
          <w:szCs w:val="20"/>
        </w:rPr>
      </w:pPr>
    </w:p>
    <w:p w14:paraId="3FC97DB3" w14:textId="219B3E43" w:rsidR="005F57CC" w:rsidRPr="00D82AB5" w:rsidRDefault="005F57CC" w:rsidP="005F57CC">
      <w:pPr>
        <w:pStyle w:val="BodyText1"/>
        <w:shd w:val="clear" w:color="auto" w:fill="FFFFFF" w:themeFill="background1"/>
        <w:spacing w:before="0" w:after="0" w:line="240" w:lineRule="auto"/>
        <w:rPr>
          <w:rFonts w:ascii="Nirmala UI" w:hAnsi="Nirmala UI" w:cs="Nirmala UI"/>
          <w:b/>
          <w:bCs/>
          <w:sz w:val="20"/>
          <w:szCs w:val="20"/>
        </w:rPr>
      </w:pPr>
      <w:r w:rsidRPr="00D82AB5">
        <w:rPr>
          <w:rFonts w:ascii="Nirmala UI" w:hAnsi="Nirmala UI" w:cs="Nirmala UI"/>
          <w:b/>
          <w:bCs/>
          <w:sz w:val="20"/>
          <w:szCs w:val="20"/>
        </w:rPr>
        <w:t>Estimation of years lived with disability (YLD)</w:t>
      </w:r>
    </w:p>
    <w:p w14:paraId="30F8F041" w14:textId="77777777" w:rsidR="005F57CC" w:rsidRPr="00D82AB5" w:rsidRDefault="005F57CC" w:rsidP="005F57CC">
      <w:pPr>
        <w:pStyle w:val="BodyText1"/>
        <w:shd w:val="clear" w:color="auto" w:fill="FFFFFF" w:themeFill="background1"/>
        <w:spacing w:before="0" w:after="0" w:line="240" w:lineRule="auto"/>
        <w:rPr>
          <w:rFonts w:ascii="Nirmala UI" w:hAnsi="Nirmala UI" w:cs="Nirmala UI"/>
          <w:b/>
          <w:bCs/>
          <w:sz w:val="12"/>
          <w:szCs w:val="12"/>
        </w:rPr>
      </w:pPr>
    </w:p>
    <w:p w14:paraId="58B75E8F" w14:textId="579FA077" w:rsidR="005F57CC" w:rsidRPr="00D82AB5" w:rsidRDefault="005F57CC" w:rsidP="006D431D">
      <w:pPr>
        <w:pStyle w:val="BodyText1"/>
        <w:shd w:val="clear" w:color="auto" w:fill="FFFFFF" w:themeFill="background1"/>
        <w:spacing w:before="0" w:line="240" w:lineRule="auto"/>
        <w:rPr>
          <w:rFonts w:ascii="Nirmala UI" w:hAnsi="Nirmala UI" w:cs="Nirmala UI"/>
          <w:sz w:val="20"/>
          <w:szCs w:val="20"/>
        </w:rPr>
      </w:pPr>
      <w:r w:rsidRPr="00D82AB5">
        <w:rPr>
          <w:rFonts w:ascii="Nirmala UI" w:hAnsi="Nirmala UI" w:cs="Nirmala UI"/>
          <w:sz w:val="20"/>
          <w:szCs w:val="20"/>
        </w:rPr>
        <w:t xml:space="preserve">For each of </w:t>
      </w:r>
      <w:r w:rsidRPr="00D82AB5">
        <w:rPr>
          <w:rFonts w:ascii="Nirmala UI" w:hAnsi="Nirmala UI" w:cs="Nirmala UI"/>
          <w:i/>
          <w:iCs/>
          <w:sz w:val="20"/>
          <w:szCs w:val="20"/>
        </w:rPr>
        <w:t>N</w:t>
      </w:r>
      <w:r w:rsidRPr="00D82AB5">
        <w:rPr>
          <w:rFonts w:ascii="Nirmala UI" w:hAnsi="Nirmala UI" w:cs="Nirmala UI"/>
          <w:sz w:val="20"/>
          <w:szCs w:val="20"/>
        </w:rPr>
        <w:t xml:space="preserve"> health states in the clinical pathway progression diagram (Fig. S2), there are three parameters which require data: incidence, duration, and disability</w:t>
      </w:r>
      <w:r w:rsidR="006D431D">
        <w:rPr>
          <w:rFonts w:ascii="Nirmala UI" w:hAnsi="Nirmala UI" w:cs="Nirmala UI"/>
          <w:sz w:val="20"/>
          <w:szCs w:val="20"/>
        </w:rPr>
        <w:t xml:space="preserve"> (or </w:t>
      </w:r>
      <w:r w:rsidRPr="00D82AB5">
        <w:rPr>
          <w:rFonts w:ascii="Nirmala UI" w:hAnsi="Nirmala UI" w:cs="Nirmala UI"/>
          <w:sz w:val="20"/>
          <w:szCs w:val="20"/>
        </w:rPr>
        <w:t>severity</w:t>
      </w:r>
      <w:r w:rsidR="006D431D">
        <w:rPr>
          <w:rFonts w:ascii="Nirmala UI" w:hAnsi="Nirmala UI" w:cs="Nirmala UI"/>
          <w:sz w:val="20"/>
          <w:szCs w:val="20"/>
        </w:rPr>
        <w:t>)</w:t>
      </w:r>
      <w:r w:rsidRPr="00D82AB5">
        <w:rPr>
          <w:rFonts w:ascii="Nirmala UI" w:hAnsi="Nirmala UI" w:cs="Nirmala UI"/>
          <w:sz w:val="20"/>
          <w:szCs w:val="20"/>
        </w:rPr>
        <w:t>. YLD are calculated by summing the product of the inciden</w:t>
      </w:r>
      <w:r w:rsidR="00505A26">
        <w:rPr>
          <w:rFonts w:ascii="Nirmala UI" w:hAnsi="Nirmala UI" w:cs="Nirmala UI"/>
          <w:sz w:val="20"/>
          <w:szCs w:val="20"/>
        </w:rPr>
        <w:t>t</w:t>
      </w:r>
      <w:r w:rsidRPr="00D82AB5">
        <w:rPr>
          <w:rFonts w:ascii="Nirmala UI" w:hAnsi="Nirmala UI" w:cs="Nirmala UI"/>
          <w:sz w:val="20"/>
          <w:szCs w:val="20"/>
        </w:rPr>
        <w:t xml:space="preserve"> </w:t>
      </w:r>
      <w:r w:rsidR="00505A26">
        <w:rPr>
          <w:rFonts w:ascii="Nirmala UI" w:hAnsi="Nirmala UI" w:cs="Nirmala UI"/>
          <w:sz w:val="20"/>
          <w:szCs w:val="20"/>
        </w:rPr>
        <w:t>number of</w:t>
      </w:r>
      <w:r w:rsidRPr="00D82AB5">
        <w:rPr>
          <w:rFonts w:ascii="Nirmala UI" w:hAnsi="Nirmala UI" w:cs="Nirmala UI"/>
          <w:sz w:val="20"/>
          <w:szCs w:val="20"/>
        </w:rPr>
        <w:t xml:space="preserve"> persons </w:t>
      </w:r>
      <w:r w:rsidR="00505A26">
        <w:rPr>
          <w:rFonts w:ascii="Nirmala UI" w:hAnsi="Nirmala UI" w:cs="Nirmala UI"/>
          <w:sz w:val="20"/>
          <w:szCs w:val="20"/>
        </w:rPr>
        <w:t>with</w:t>
      </w:r>
      <w:r w:rsidRPr="00D82AB5">
        <w:rPr>
          <w:rFonts w:ascii="Nirmala UI" w:hAnsi="Nirmala UI" w:cs="Nirmala UI"/>
          <w:sz w:val="20"/>
          <w:szCs w:val="20"/>
        </w:rPr>
        <w:t>in the health state, duration in the health state, and the disability weight, across all health states:</w:t>
      </w:r>
    </w:p>
    <w:p w14:paraId="76D76075" w14:textId="12B3A2BA" w:rsidR="005F57CC" w:rsidRPr="00D82AB5" w:rsidRDefault="005F57CC" w:rsidP="005F57CC">
      <w:pPr>
        <w:pStyle w:val="BodyText1"/>
        <w:spacing w:before="0" w:after="0" w:line="240" w:lineRule="auto"/>
        <w:jc w:val="center"/>
        <w:rPr>
          <w:rFonts w:ascii="Nirmala UI" w:eastAsiaTheme="minorEastAsia" w:hAnsi="Nirmala UI" w:cs="Nirmala UI"/>
          <w:sz w:val="20"/>
          <w:szCs w:val="20"/>
        </w:rPr>
      </w:pPr>
      <w:r w:rsidRPr="00D82AB5">
        <w:rPr>
          <w:rFonts w:ascii="Nirmala UI" w:eastAsiaTheme="minorEastAsia" w:hAnsi="Nirmala UI" w:cs="Nirmala UI"/>
          <w:sz w:val="20"/>
          <w:szCs w:val="20"/>
        </w:rPr>
        <w:t xml:space="preserve">YLD </w:t>
      </w:r>
      <m:oMath>
        <m:r>
          <w:rPr>
            <w:rFonts w:ascii="Cambria Math" w:hAnsi="Cambria Math" w:cs="Nirmala UI"/>
            <w:sz w:val="20"/>
            <w:szCs w:val="20"/>
          </w:rPr>
          <m:t>= Incidence × Duration × Disability weight</m:t>
        </m:r>
      </m:oMath>
    </w:p>
    <w:p w14:paraId="162027AF" w14:textId="6A9F283B" w:rsidR="005F57CC" w:rsidRPr="00D82AB5" w:rsidRDefault="005F57CC" w:rsidP="005F57CC">
      <w:pPr>
        <w:pStyle w:val="BodyText1"/>
        <w:spacing w:before="0" w:after="0" w:line="240" w:lineRule="auto"/>
        <w:jc w:val="center"/>
        <w:rPr>
          <w:rFonts w:ascii="Nirmala UI" w:eastAsiaTheme="minorEastAsia" w:hAnsi="Nirmala UI" w:cs="Nirmala UI"/>
          <w:sz w:val="20"/>
          <w:szCs w:val="20"/>
        </w:rPr>
      </w:pPr>
    </w:p>
    <w:p w14:paraId="3FB0775C" w14:textId="708E1748" w:rsidR="005F57CC" w:rsidRPr="00D82AB5" w:rsidRDefault="005F57CC" w:rsidP="005F57CC">
      <w:pPr>
        <w:pStyle w:val="BodyText1"/>
        <w:spacing w:before="0" w:after="0" w:line="240" w:lineRule="auto"/>
        <w:jc w:val="center"/>
        <w:rPr>
          <w:rFonts w:ascii="Nirmala UI" w:eastAsiaTheme="minorEastAsia" w:hAnsi="Nirmala UI" w:cs="Nirmala UI"/>
          <w:sz w:val="20"/>
          <w:szCs w:val="20"/>
        </w:rPr>
      </w:pPr>
      <m:oMathPara>
        <m:oMath>
          <m:r>
            <w:rPr>
              <w:rFonts w:ascii="Cambria Math" w:hAnsi="Cambria Math" w:cs="Nirmala UI"/>
              <w:sz w:val="20"/>
              <w:szCs w:val="20"/>
            </w:rPr>
            <m:t xml:space="preserve">Total YLD= </m:t>
          </m:r>
          <m:nary>
            <m:naryPr>
              <m:chr m:val="∑"/>
              <m:limLoc m:val="undOvr"/>
              <m:ctrlPr>
                <w:rPr>
                  <w:rFonts w:ascii="Cambria Math" w:hAnsi="Cambria Math" w:cs="Nirmala UI"/>
                  <w:i/>
                  <w:sz w:val="20"/>
                  <w:szCs w:val="20"/>
                </w:rPr>
              </m:ctrlPr>
            </m:naryPr>
            <m:sub>
              <m:r>
                <w:rPr>
                  <w:rFonts w:ascii="Cambria Math" w:hAnsi="Cambria Math" w:cs="Nirmala UI"/>
                  <w:sz w:val="20"/>
                  <w:szCs w:val="20"/>
                </w:rPr>
                <m:t>H=1</m:t>
              </m:r>
            </m:sub>
            <m:sup>
              <m:r>
                <w:rPr>
                  <w:rFonts w:ascii="Cambria Math" w:hAnsi="Cambria Math" w:cs="Nirmala UI"/>
                  <w:sz w:val="20"/>
                  <w:szCs w:val="20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 w:cs="Nirmala U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Nirmala UI"/>
                      <w:sz w:val="20"/>
                      <w:szCs w:val="20"/>
                    </w:rPr>
                    <m:t>YLD</m:t>
                  </m:r>
                </m:e>
                <m:sub>
                  <m:r>
                    <w:rPr>
                      <w:rFonts w:ascii="Cambria Math" w:hAnsi="Cambria Math" w:cs="Nirmala UI"/>
                      <w:sz w:val="20"/>
                      <w:szCs w:val="20"/>
                    </w:rPr>
                    <m:t>H</m:t>
                  </m:r>
                </m:sub>
              </m:sSub>
            </m:e>
          </m:nary>
          <m:r>
            <w:rPr>
              <w:rFonts w:ascii="Cambria Math" w:hAnsi="Cambria Math" w:cs="Nirmala UI"/>
              <w:sz w:val="20"/>
              <w:szCs w:val="20"/>
            </w:rPr>
            <m:t xml:space="preserve">= </m:t>
          </m:r>
          <m:nary>
            <m:naryPr>
              <m:chr m:val="∑"/>
              <m:limLoc m:val="undOvr"/>
              <m:ctrlPr>
                <w:rPr>
                  <w:rFonts w:ascii="Cambria Math" w:hAnsi="Cambria Math" w:cs="Nirmala UI"/>
                  <w:i/>
                  <w:sz w:val="20"/>
                  <w:szCs w:val="20"/>
                </w:rPr>
              </m:ctrlPr>
            </m:naryPr>
            <m:sub>
              <m:r>
                <w:rPr>
                  <w:rFonts w:ascii="Cambria Math" w:hAnsi="Cambria Math" w:cs="Nirmala UI"/>
                  <w:sz w:val="20"/>
                  <w:szCs w:val="20"/>
                </w:rPr>
                <m:t>H=1</m:t>
              </m:r>
            </m:sub>
            <m:sup>
              <m:r>
                <w:rPr>
                  <w:rFonts w:ascii="Cambria Math" w:hAnsi="Cambria Math" w:cs="Nirmala UI"/>
                  <w:sz w:val="20"/>
                  <w:szCs w:val="20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 w:cs="Nirmala U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Nirmala UI"/>
                      <w:sz w:val="20"/>
                      <w:szCs w:val="20"/>
                    </w:rPr>
                    <m:t>Incidence</m:t>
                  </m:r>
                </m:e>
                <m:sub>
                  <m:r>
                    <w:rPr>
                      <w:rFonts w:ascii="Cambria Math" w:hAnsi="Cambria Math" w:cs="Nirmala UI"/>
                      <w:sz w:val="20"/>
                      <w:szCs w:val="20"/>
                    </w:rPr>
                    <m:t>H</m:t>
                  </m:r>
                </m:sub>
              </m:sSub>
            </m:e>
          </m:nary>
          <m:r>
            <w:rPr>
              <w:rFonts w:ascii="Cambria Math" w:hAnsi="Cambria Math" w:cs="Nirmala UI"/>
              <w:sz w:val="20"/>
              <w:szCs w:val="20"/>
            </w:rPr>
            <m:t xml:space="preserve">× </m:t>
          </m:r>
          <m:sSub>
            <m:sSubPr>
              <m:ctrlPr>
                <w:rPr>
                  <w:rFonts w:ascii="Cambria Math" w:hAnsi="Cambria Math" w:cs="Nirmala UI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Nirmala UI"/>
                  <w:sz w:val="20"/>
                  <w:szCs w:val="20"/>
                </w:rPr>
                <m:t>Duration</m:t>
              </m:r>
            </m:e>
            <m:sub>
              <m:r>
                <w:rPr>
                  <w:rFonts w:ascii="Cambria Math" w:hAnsi="Cambria Math" w:cs="Nirmala UI"/>
                  <w:sz w:val="20"/>
                  <w:szCs w:val="20"/>
                </w:rPr>
                <m:t>H</m:t>
              </m:r>
            </m:sub>
          </m:sSub>
          <m:r>
            <w:rPr>
              <w:rFonts w:ascii="Cambria Math" w:hAnsi="Cambria Math" w:cs="Nirmala UI"/>
              <w:sz w:val="20"/>
              <w:szCs w:val="20"/>
            </w:rPr>
            <m:t>×</m:t>
          </m:r>
          <m:sSub>
            <m:sSubPr>
              <m:ctrlPr>
                <w:rPr>
                  <w:rFonts w:ascii="Cambria Math" w:hAnsi="Cambria Math" w:cs="Nirmala UI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Nirmala UI"/>
                  <w:sz w:val="20"/>
                  <w:szCs w:val="20"/>
                </w:rPr>
                <m:t>Disability weight</m:t>
              </m:r>
            </m:e>
            <m:sub>
              <m:r>
                <w:rPr>
                  <w:rFonts w:ascii="Cambria Math" w:hAnsi="Cambria Math" w:cs="Nirmala UI"/>
                  <w:sz w:val="20"/>
                  <w:szCs w:val="20"/>
                </w:rPr>
                <m:t>H</m:t>
              </m:r>
            </m:sub>
          </m:sSub>
        </m:oMath>
      </m:oMathPara>
    </w:p>
    <w:p w14:paraId="7B0DDA1F" w14:textId="77777777" w:rsidR="005F57CC" w:rsidRPr="00D82AB5" w:rsidRDefault="005F57CC" w:rsidP="005F57CC">
      <w:pPr>
        <w:pStyle w:val="BodyText1"/>
        <w:spacing w:before="0" w:after="0" w:line="240" w:lineRule="auto"/>
        <w:rPr>
          <w:rFonts w:ascii="Nirmala UI" w:eastAsiaTheme="minorEastAsia" w:hAnsi="Nirmala UI" w:cs="Nirmala UI"/>
          <w:sz w:val="20"/>
          <w:szCs w:val="20"/>
        </w:rPr>
      </w:pPr>
    </w:p>
    <w:p w14:paraId="099BE73A" w14:textId="4128A95A" w:rsidR="005F57CC" w:rsidRPr="00D82AB5" w:rsidRDefault="005F57CC" w:rsidP="000B60F9">
      <w:pPr>
        <w:spacing w:after="0"/>
        <w:rPr>
          <w:rFonts w:ascii="Nirmala UI" w:eastAsiaTheme="minorEastAsia" w:hAnsi="Nirmala UI" w:cs="Nirmala UI"/>
          <w:sz w:val="20"/>
          <w:szCs w:val="20"/>
          <w:lang w:val="en-US"/>
        </w:rPr>
      </w:pPr>
      <w:r w:rsidRPr="00D82AB5">
        <w:rPr>
          <w:rFonts w:ascii="Nirmala UI" w:eastAsiaTheme="minorEastAsia" w:hAnsi="Nirmala UI" w:cs="Nirmala UI"/>
          <w:sz w:val="20"/>
          <w:szCs w:val="20"/>
          <w:lang w:val="en-US"/>
        </w:rPr>
        <w:t xml:space="preserve">where </w:t>
      </w:r>
      <w:r w:rsidRPr="00D82AB5">
        <w:rPr>
          <w:rFonts w:ascii="Nirmala UI" w:eastAsiaTheme="minorEastAsia" w:hAnsi="Nirmala UI" w:cs="Nirmala UI"/>
          <w:i/>
          <w:iCs/>
          <w:sz w:val="20"/>
          <w:szCs w:val="20"/>
          <w:lang w:val="en-US"/>
        </w:rPr>
        <w:t>H</w:t>
      </w:r>
      <w:r w:rsidRPr="00D82AB5">
        <w:rPr>
          <w:rFonts w:ascii="Nirmala UI" w:eastAsiaTheme="minorEastAsia" w:hAnsi="Nirmala UI" w:cs="Nirmala UI"/>
          <w:sz w:val="20"/>
          <w:szCs w:val="20"/>
          <w:lang w:val="en-US"/>
        </w:rPr>
        <w:t xml:space="preserve"> = health state and </w:t>
      </w:r>
      <w:r w:rsidRPr="00D82AB5">
        <w:rPr>
          <w:rFonts w:ascii="Nirmala UI" w:eastAsiaTheme="minorEastAsia" w:hAnsi="Nirmala UI" w:cs="Nirmala UI"/>
          <w:i/>
          <w:iCs/>
          <w:sz w:val="20"/>
          <w:szCs w:val="20"/>
          <w:lang w:val="en-US"/>
        </w:rPr>
        <w:t>N</w:t>
      </w:r>
      <w:r w:rsidRPr="00D82AB5">
        <w:rPr>
          <w:rFonts w:ascii="Nirmala UI" w:eastAsiaTheme="minorEastAsia" w:hAnsi="Nirmala UI" w:cs="Nirmala UI"/>
          <w:sz w:val="20"/>
          <w:szCs w:val="20"/>
          <w:lang w:val="en-US"/>
        </w:rPr>
        <w:t xml:space="preserve"> = </w:t>
      </w:r>
      <w:r w:rsidR="00D82AB5" w:rsidRPr="00D82AB5">
        <w:rPr>
          <w:rFonts w:ascii="Nirmala UI" w:eastAsiaTheme="minorEastAsia" w:hAnsi="Nirmala UI" w:cs="Nirmala UI"/>
          <w:sz w:val="20"/>
          <w:szCs w:val="20"/>
          <w:lang w:val="en-US"/>
        </w:rPr>
        <w:t xml:space="preserve">total </w:t>
      </w:r>
      <w:r w:rsidRPr="00D82AB5">
        <w:rPr>
          <w:rFonts w:ascii="Nirmala UI" w:eastAsiaTheme="minorEastAsia" w:hAnsi="Nirmala UI" w:cs="Nirmala UI"/>
          <w:sz w:val="20"/>
          <w:szCs w:val="20"/>
          <w:lang w:val="en-US"/>
        </w:rPr>
        <w:t>number of health states.</w:t>
      </w:r>
    </w:p>
    <w:p w14:paraId="2B27647D" w14:textId="77777777" w:rsidR="005F57CC" w:rsidRPr="00D82AB5" w:rsidRDefault="005F57CC" w:rsidP="006D431D">
      <w:pPr>
        <w:spacing w:after="0"/>
        <w:rPr>
          <w:rFonts w:ascii="Nirmala UI" w:eastAsiaTheme="minorEastAsia" w:hAnsi="Nirmala UI" w:cs="Nirmala UI"/>
          <w:sz w:val="20"/>
          <w:szCs w:val="20"/>
          <w:lang w:val="en-US"/>
        </w:rPr>
      </w:pPr>
    </w:p>
    <w:p w14:paraId="5321C50B" w14:textId="33DB5E40" w:rsidR="005F57CC" w:rsidRPr="00D82AB5" w:rsidRDefault="005F57CC" w:rsidP="005F57CC">
      <w:pPr>
        <w:pStyle w:val="BodyText1"/>
        <w:shd w:val="clear" w:color="auto" w:fill="FFFFFF" w:themeFill="background1"/>
        <w:spacing w:before="0" w:after="0" w:line="240" w:lineRule="auto"/>
        <w:rPr>
          <w:rFonts w:ascii="Nirmala UI" w:hAnsi="Nirmala UI" w:cs="Nirmala UI"/>
          <w:b/>
          <w:bCs/>
          <w:sz w:val="20"/>
          <w:szCs w:val="20"/>
        </w:rPr>
      </w:pPr>
      <w:r w:rsidRPr="00D82AB5">
        <w:rPr>
          <w:rFonts w:ascii="Nirmala UI" w:eastAsiaTheme="minorEastAsia" w:hAnsi="Nirmala UI" w:cs="Nirmala UI"/>
          <w:b/>
          <w:bCs/>
          <w:sz w:val="20"/>
          <w:szCs w:val="20"/>
          <w:lang w:val="en-US"/>
        </w:rPr>
        <w:t xml:space="preserve">Estimation of </w:t>
      </w:r>
      <w:r w:rsidRPr="00D82AB5">
        <w:rPr>
          <w:rFonts w:ascii="Nirmala UI" w:hAnsi="Nirmala UI" w:cs="Nirmala UI"/>
          <w:b/>
          <w:bCs/>
          <w:sz w:val="20"/>
          <w:szCs w:val="20"/>
          <w:lang w:val="en-US"/>
        </w:rPr>
        <w:t>years lost to premature mortality (YLL)</w:t>
      </w:r>
    </w:p>
    <w:p w14:paraId="519124B1" w14:textId="77777777" w:rsidR="005F57CC" w:rsidRPr="00D82AB5" w:rsidRDefault="005F57CC" w:rsidP="005F57CC">
      <w:pPr>
        <w:pStyle w:val="BodyText1"/>
        <w:shd w:val="clear" w:color="auto" w:fill="FFFFFF" w:themeFill="background1"/>
        <w:spacing w:before="0" w:after="0" w:line="240" w:lineRule="auto"/>
        <w:rPr>
          <w:rFonts w:ascii="Nirmala UI" w:hAnsi="Nirmala UI" w:cs="Nirmala UI"/>
          <w:b/>
          <w:bCs/>
          <w:sz w:val="12"/>
          <w:szCs w:val="12"/>
        </w:rPr>
      </w:pPr>
    </w:p>
    <w:p w14:paraId="360AC978" w14:textId="4884BEB3" w:rsidR="005F57CC" w:rsidRPr="00D82AB5" w:rsidRDefault="005F57CC" w:rsidP="005F57CC">
      <w:pPr>
        <w:pStyle w:val="BodyText1"/>
        <w:shd w:val="clear" w:color="auto" w:fill="FFFFFF" w:themeFill="background1"/>
        <w:spacing w:before="0" w:after="0" w:line="240" w:lineRule="auto"/>
        <w:rPr>
          <w:rFonts w:ascii="Nirmala UI" w:hAnsi="Nirmala UI" w:cs="Nirmala UI"/>
          <w:sz w:val="20"/>
          <w:szCs w:val="20"/>
        </w:rPr>
      </w:pPr>
      <w:r w:rsidRPr="00D82AB5">
        <w:rPr>
          <w:rFonts w:ascii="Nirmala UI" w:hAnsi="Nirmala UI" w:cs="Nirmala UI"/>
          <w:sz w:val="20"/>
          <w:szCs w:val="20"/>
        </w:rPr>
        <w:t xml:space="preserve">When estimating YLL, two </w:t>
      </w:r>
      <w:r w:rsidR="00AF3EA5">
        <w:rPr>
          <w:rFonts w:ascii="Nirmala UI" w:hAnsi="Nirmala UI" w:cs="Nirmala UI"/>
          <w:sz w:val="20"/>
          <w:szCs w:val="20"/>
        </w:rPr>
        <w:t>parameters</w:t>
      </w:r>
      <w:r w:rsidRPr="00D82AB5">
        <w:rPr>
          <w:rFonts w:ascii="Nirmala UI" w:hAnsi="Nirmala UI" w:cs="Nirmala UI"/>
          <w:sz w:val="20"/>
          <w:szCs w:val="20"/>
        </w:rPr>
        <w:t xml:space="preserve"> are required: </w:t>
      </w:r>
      <w:r w:rsidR="00D82AB5" w:rsidRPr="00D82AB5">
        <w:rPr>
          <w:rFonts w:ascii="Nirmala UI" w:hAnsi="Nirmala UI" w:cs="Nirmala UI"/>
          <w:sz w:val="20"/>
          <w:szCs w:val="20"/>
        </w:rPr>
        <w:t xml:space="preserve">the </w:t>
      </w:r>
      <w:r w:rsidRPr="00D82AB5">
        <w:rPr>
          <w:rFonts w:ascii="Nirmala UI" w:hAnsi="Nirmala UI" w:cs="Nirmala UI"/>
          <w:sz w:val="20"/>
          <w:szCs w:val="20"/>
        </w:rPr>
        <w:t xml:space="preserve">number of deaths and </w:t>
      </w:r>
      <w:r w:rsidR="00D82AB5" w:rsidRPr="00D82AB5">
        <w:rPr>
          <w:rFonts w:ascii="Nirmala UI" w:hAnsi="Nirmala UI" w:cs="Nirmala UI"/>
          <w:sz w:val="20"/>
          <w:szCs w:val="20"/>
        </w:rPr>
        <w:t xml:space="preserve">the </w:t>
      </w:r>
      <w:r w:rsidRPr="00D82AB5">
        <w:rPr>
          <w:rFonts w:ascii="Nirmala UI" w:hAnsi="Nirmala UI" w:cs="Nirmala UI"/>
          <w:sz w:val="20"/>
          <w:szCs w:val="20"/>
        </w:rPr>
        <w:t xml:space="preserve">conditional life expectancy, both of which </w:t>
      </w:r>
      <w:r w:rsidR="00D82AB5" w:rsidRPr="00D82AB5">
        <w:rPr>
          <w:rFonts w:ascii="Nirmala UI" w:hAnsi="Nirmala UI" w:cs="Nirmala UI"/>
          <w:sz w:val="20"/>
          <w:szCs w:val="20"/>
        </w:rPr>
        <w:t>are typically</w:t>
      </w:r>
      <w:r w:rsidRPr="00D82AB5">
        <w:rPr>
          <w:rFonts w:ascii="Nirmala UI" w:hAnsi="Nirmala UI" w:cs="Nirmala UI"/>
          <w:sz w:val="20"/>
          <w:szCs w:val="20"/>
        </w:rPr>
        <w:t xml:space="preserve"> defined </w:t>
      </w:r>
      <w:r w:rsidR="006D431D">
        <w:rPr>
          <w:rFonts w:ascii="Nirmala UI" w:hAnsi="Nirmala UI" w:cs="Nirmala UI"/>
          <w:sz w:val="20"/>
          <w:szCs w:val="20"/>
        </w:rPr>
        <w:t>per (multi-year)</w:t>
      </w:r>
      <w:r w:rsidRPr="00D82AB5">
        <w:rPr>
          <w:rFonts w:ascii="Nirmala UI" w:hAnsi="Nirmala UI" w:cs="Nirmala UI"/>
          <w:sz w:val="20"/>
          <w:szCs w:val="20"/>
        </w:rPr>
        <w:t xml:space="preserve"> age-group. YLL is estimated as:</w:t>
      </w:r>
    </w:p>
    <w:p w14:paraId="57EBB576" w14:textId="1D89D7D2" w:rsidR="00D82AB5" w:rsidRPr="00D82AB5" w:rsidRDefault="00D82AB5" w:rsidP="005F57CC">
      <w:pPr>
        <w:pStyle w:val="BodyText1"/>
        <w:spacing w:after="0" w:line="240" w:lineRule="auto"/>
        <w:rPr>
          <w:rFonts w:ascii="Nirmala UI" w:eastAsiaTheme="minorEastAsia" w:hAnsi="Nirmala UI" w:cs="Nirmala UI"/>
          <w:color w:val="000000" w:themeColor="text1"/>
          <w:sz w:val="20"/>
          <w:szCs w:val="20"/>
        </w:rPr>
      </w:pPr>
      <m:oMathPara>
        <m:oMath>
          <m:r>
            <w:rPr>
              <w:rFonts w:ascii="Cambria Math" w:hAnsi="Cambria Math" w:cs="Nirmala UI"/>
              <w:color w:val="000000" w:themeColor="text1"/>
              <w:sz w:val="20"/>
              <w:szCs w:val="20"/>
            </w:rPr>
            <m:t>YLL= Number of deaths × Life expectancy</m:t>
          </m:r>
        </m:oMath>
      </m:oMathPara>
    </w:p>
    <w:p w14:paraId="173E4A5B" w14:textId="02A6E5DC" w:rsidR="005F57CC" w:rsidRPr="00D82AB5" w:rsidRDefault="00AF3EA5" w:rsidP="005F57CC">
      <w:pPr>
        <w:pStyle w:val="BodyText1"/>
        <w:spacing w:after="0" w:line="240" w:lineRule="auto"/>
        <w:rPr>
          <w:rFonts w:ascii="Nirmala UI" w:eastAsiaTheme="minorEastAsia" w:hAnsi="Nirmala UI" w:cs="Nirmala UI"/>
          <w:color w:val="000000" w:themeColor="text1"/>
          <w:sz w:val="20"/>
          <w:szCs w:val="20"/>
        </w:rPr>
      </w:pPr>
      <m:oMathPara>
        <m:oMath>
          <m:r>
            <w:rPr>
              <w:rFonts w:ascii="Cambria Math" w:eastAsiaTheme="minorEastAsia" w:hAnsi="Cambria Math" w:cs="Nirmala UI"/>
              <w:color w:val="000000" w:themeColor="text1"/>
              <w:sz w:val="20"/>
              <w:szCs w:val="20"/>
            </w:rPr>
            <m:t>Total YLL</m:t>
          </m:r>
          <m:r>
            <w:rPr>
              <w:rFonts w:ascii="Cambria Math" w:hAnsi="Cambria Math" w:cs="Nirmala UI"/>
              <w:color w:val="000000" w:themeColor="text1"/>
              <w:sz w:val="20"/>
              <w:szCs w:val="20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 w:cs="Nirmala UI"/>
                  <w:i/>
                  <w:color w:val="000000" w:themeColor="text1"/>
                  <w:sz w:val="20"/>
                  <w:szCs w:val="20"/>
                </w:rPr>
              </m:ctrlPr>
            </m:naryPr>
            <m:sub>
              <m:r>
                <w:rPr>
                  <w:rFonts w:ascii="Cambria Math" w:hAnsi="Cambria Math" w:cs="Nirmala UI"/>
                  <w:color w:val="000000" w:themeColor="text1"/>
                  <w:sz w:val="20"/>
                  <w:szCs w:val="20"/>
                </w:rPr>
                <m:t>A=1</m:t>
              </m:r>
            </m:sub>
            <m:sup>
              <m:r>
                <w:rPr>
                  <w:rFonts w:ascii="Cambria Math" w:hAnsi="Cambria Math" w:cs="Nirmala UI"/>
                  <w:color w:val="000000" w:themeColor="text1"/>
                  <w:sz w:val="20"/>
                  <w:szCs w:val="20"/>
                </w:rPr>
                <m:t>M</m:t>
              </m:r>
            </m:sup>
            <m:e>
              <m:sSub>
                <m:sSubPr>
                  <m:ctrlPr>
                    <w:rPr>
                      <w:rFonts w:ascii="Cambria Math" w:hAnsi="Cambria Math" w:cs="Nirmala UI"/>
                      <w:i/>
                      <w:color w:val="000000" w:themeColor="text1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Nirmala UI"/>
                      <w:color w:val="000000" w:themeColor="text1"/>
                      <w:sz w:val="20"/>
                      <w:szCs w:val="20"/>
                    </w:rPr>
                    <m:t>YLL</m:t>
                  </m:r>
                </m:e>
                <m:sub>
                  <m:r>
                    <w:rPr>
                      <w:rFonts w:ascii="Cambria Math" w:hAnsi="Cambria Math" w:cs="Nirmala UI"/>
                      <w:color w:val="000000" w:themeColor="text1"/>
                      <w:sz w:val="20"/>
                      <w:szCs w:val="20"/>
                    </w:rPr>
                    <m:t>A</m:t>
                  </m:r>
                </m:sub>
              </m:sSub>
              <m:r>
                <w:rPr>
                  <w:rFonts w:ascii="Cambria Math" w:hAnsi="Cambria Math" w:cs="Nirmala UI"/>
                  <w:color w:val="000000" w:themeColor="text1"/>
                  <w:sz w:val="20"/>
                  <w:szCs w:val="20"/>
                </w:rPr>
                <m:t>=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 w:cs="Nirmala UI"/>
                      <w:i/>
                      <w:color w:val="000000" w:themeColor="text1"/>
                      <w:sz w:val="20"/>
                      <w:szCs w:val="20"/>
                    </w:rPr>
                  </m:ctrlPr>
                </m:naryPr>
                <m:sub>
                  <m:r>
                    <w:rPr>
                      <w:rFonts w:ascii="Cambria Math" w:hAnsi="Cambria Math" w:cs="Nirmala UI"/>
                      <w:color w:val="000000" w:themeColor="text1"/>
                      <w:sz w:val="20"/>
                      <w:szCs w:val="20"/>
                    </w:rPr>
                    <m:t>A=1</m:t>
                  </m:r>
                </m:sub>
                <m:sup>
                  <m:r>
                    <w:rPr>
                      <w:rFonts w:ascii="Cambria Math" w:hAnsi="Cambria Math" w:cs="Nirmala UI"/>
                      <w:color w:val="000000" w:themeColor="text1"/>
                      <w:sz w:val="20"/>
                      <w:szCs w:val="20"/>
                    </w:rPr>
                    <m:t>M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Nirmala UI"/>
                          <w:i/>
                          <w:color w:val="000000" w:themeColor="text1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Nirmala UI"/>
                          <w:color w:val="000000" w:themeColor="text1"/>
                          <w:sz w:val="20"/>
                          <w:szCs w:val="20"/>
                        </w:rPr>
                        <m:t>Number of deaths</m:t>
                      </m:r>
                    </m:e>
                    <m:sub>
                      <m:r>
                        <w:rPr>
                          <w:rFonts w:ascii="Cambria Math" w:hAnsi="Cambria Math" w:cs="Nirmala UI"/>
                          <w:color w:val="000000" w:themeColor="text1"/>
                          <w:sz w:val="20"/>
                          <w:szCs w:val="20"/>
                        </w:rPr>
                        <m:t>A</m:t>
                      </m:r>
                    </m:sub>
                  </m:sSub>
                  <m:r>
                    <w:rPr>
                      <w:rFonts w:ascii="Cambria Math" w:hAnsi="Cambria Math" w:cs="Nirmala UI"/>
                      <w:sz w:val="20"/>
                      <w:szCs w:val="20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 w:cs="Nirmala UI"/>
                          <w:i/>
                          <w:color w:val="000000" w:themeColor="text1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Nirmala UI"/>
                          <w:color w:val="000000" w:themeColor="text1"/>
                          <w:sz w:val="20"/>
                          <w:szCs w:val="20"/>
                        </w:rPr>
                        <m:t>Life expectancy</m:t>
                      </m:r>
                    </m:e>
                    <m:sub>
                      <m:r>
                        <w:rPr>
                          <w:rFonts w:ascii="Cambria Math" w:hAnsi="Cambria Math" w:cs="Nirmala UI"/>
                          <w:color w:val="000000" w:themeColor="text1"/>
                          <w:sz w:val="20"/>
                          <w:szCs w:val="20"/>
                        </w:rPr>
                        <m:t>A</m:t>
                      </m:r>
                    </m:sub>
                  </m:sSub>
                </m:e>
              </m:nary>
            </m:e>
          </m:nary>
        </m:oMath>
      </m:oMathPara>
    </w:p>
    <w:p w14:paraId="4BB73A2F" w14:textId="77777777" w:rsidR="005F57CC" w:rsidRPr="00D82AB5" w:rsidRDefault="005F57CC" w:rsidP="005F57CC">
      <w:pPr>
        <w:pStyle w:val="BodyText1"/>
        <w:spacing w:before="0" w:after="0" w:line="240" w:lineRule="auto"/>
        <w:rPr>
          <w:rFonts w:ascii="Nirmala UI" w:eastAsiaTheme="minorEastAsia" w:hAnsi="Nirmala UI" w:cs="Nirmala UI"/>
          <w:sz w:val="20"/>
          <w:szCs w:val="20"/>
        </w:rPr>
      </w:pPr>
    </w:p>
    <w:p w14:paraId="4F3FEE98" w14:textId="50554D20" w:rsidR="005F57CC" w:rsidRDefault="005F57CC" w:rsidP="000B60F9">
      <w:pPr>
        <w:spacing w:after="0"/>
        <w:rPr>
          <w:rFonts w:ascii="Nirmala UI" w:eastAsiaTheme="minorEastAsia" w:hAnsi="Nirmala UI" w:cs="Nirmala UI"/>
          <w:sz w:val="20"/>
          <w:szCs w:val="20"/>
          <w:lang w:val="en-US"/>
        </w:rPr>
      </w:pPr>
      <w:r w:rsidRPr="00D82AB5">
        <w:rPr>
          <w:rFonts w:ascii="Nirmala UI" w:eastAsiaTheme="minorEastAsia" w:hAnsi="Nirmala UI" w:cs="Nirmala UI"/>
          <w:sz w:val="20"/>
          <w:szCs w:val="20"/>
          <w:lang w:val="en-US"/>
        </w:rPr>
        <w:t>where A</w:t>
      </w:r>
      <w:r w:rsidR="00D82AB5" w:rsidRPr="00D82AB5">
        <w:rPr>
          <w:rFonts w:ascii="Nirmala UI" w:eastAsiaTheme="minorEastAsia" w:hAnsi="Nirmala UI" w:cs="Nirmala UI"/>
          <w:sz w:val="20"/>
          <w:szCs w:val="20"/>
          <w:lang w:val="en-US"/>
        </w:rPr>
        <w:t xml:space="preserve"> </w:t>
      </w:r>
      <w:r w:rsidRPr="00D82AB5">
        <w:rPr>
          <w:rFonts w:ascii="Nirmala UI" w:eastAsiaTheme="minorEastAsia" w:hAnsi="Nirmala UI" w:cs="Nirmala UI"/>
          <w:sz w:val="20"/>
          <w:szCs w:val="20"/>
          <w:lang w:val="en-US"/>
        </w:rPr>
        <w:t>=</w:t>
      </w:r>
      <w:r w:rsidR="00D82AB5" w:rsidRPr="00D82AB5">
        <w:rPr>
          <w:rFonts w:ascii="Nirmala UI" w:eastAsiaTheme="minorEastAsia" w:hAnsi="Nirmala UI" w:cs="Nirmala UI"/>
          <w:sz w:val="20"/>
          <w:szCs w:val="20"/>
          <w:lang w:val="en-US"/>
        </w:rPr>
        <w:t xml:space="preserve"> </w:t>
      </w:r>
      <w:r w:rsidRPr="00D82AB5">
        <w:rPr>
          <w:rFonts w:ascii="Nirmala UI" w:eastAsiaTheme="minorEastAsia" w:hAnsi="Nirmala UI" w:cs="Nirmala UI"/>
          <w:sz w:val="20"/>
          <w:szCs w:val="20"/>
          <w:lang w:val="en-US"/>
        </w:rPr>
        <w:t xml:space="preserve">age-group, e.g. 1-year or 5-year groups, </w:t>
      </w:r>
      <w:r w:rsidR="00D82AB5" w:rsidRPr="00D82AB5">
        <w:rPr>
          <w:rFonts w:ascii="Nirmala UI" w:eastAsiaTheme="minorEastAsia" w:hAnsi="Nirmala UI" w:cs="Nirmala UI"/>
          <w:sz w:val="20"/>
          <w:szCs w:val="20"/>
          <w:lang w:val="en-US"/>
        </w:rPr>
        <w:t xml:space="preserve">M </w:t>
      </w:r>
      <w:r w:rsidRPr="00D82AB5">
        <w:rPr>
          <w:rFonts w:ascii="Nirmala UI" w:eastAsiaTheme="minorEastAsia" w:hAnsi="Nirmala UI" w:cs="Nirmala UI"/>
          <w:sz w:val="20"/>
          <w:szCs w:val="20"/>
          <w:lang w:val="en-US"/>
        </w:rPr>
        <w:t>=</w:t>
      </w:r>
      <w:r w:rsidR="00D82AB5" w:rsidRPr="00D82AB5">
        <w:rPr>
          <w:rFonts w:ascii="Nirmala UI" w:eastAsiaTheme="minorEastAsia" w:hAnsi="Nirmala UI" w:cs="Nirmala UI"/>
          <w:sz w:val="20"/>
          <w:szCs w:val="20"/>
          <w:lang w:val="en-US"/>
        </w:rPr>
        <w:t xml:space="preserve"> total </w:t>
      </w:r>
      <w:r w:rsidRPr="00D82AB5">
        <w:rPr>
          <w:rFonts w:ascii="Nirmala UI" w:eastAsiaTheme="minorEastAsia" w:hAnsi="Nirmala UI" w:cs="Nirmala UI"/>
          <w:sz w:val="20"/>
          <w:szCs w:val="20"/>
          <w:lang w:val="en-US"/>
        </w:rPr>
        <w:t>number of age-groups. Age-</w:t>
      </w:r>
      <w:r w:rsidR="00D82AB5" w:rsidRPr="00D82AB5">
        <w:rPr>
          <w:rFonts w:ascii="Nirmala UI" w:eastAsiaTheme="minorEastAsia" w:hAnsi="Nirmala UI" w:cs="Nirmala UI"/>
          <w:sz w:val="20"/>
          <w:szCs w:val="20"/>
          <w:lang w:val="en-US"/>
        </w:rPr>
        <w:t xml:space="preserve">group </w:t>
      </w:r>
      <w:r w:rsidRPr="00D82AB5">
        <w:rPr>
          <w:rFonts w:ascii="Nirmala UI" w:eastAsiaTheme="minorEastAsia" w:hAnsi="Nirmala UI" w:cs="Nirmala UI"/>
          <w:sz w:val="20"/>
          <w:szCs w:val="20"/>
          <w:lang w:val="en-US"/>
        </w:rPr>
        <w:t>conditional life expectancy can be defined from life tables (e.g. national, regional, or aspirational)</w:t>
      </w:r>
      <w:r w:rsidR="00D82AB5" w:rsidRPr="00D82AB5">
        <w:rPr>
          <w:rFonts w:ascii="Nirmala UI" w:eastAsiaTheme="minorEastAsia" w:hAnsi="Nirmala UI" w:cs="Nirmala UI"/>
          <w:sz w:val="20"/>
          <w:szCs w:val="20"/>
          <w:lang w:val="en-US"/>
        </w:rPr>
        <w:t>.</w:t>
      </w:r>
    </w:p>
    <w:p w14:paraId="737CA222" w14:textId="77777777" w:rsidR="000B60F9" w:rsidRPr="00D82AB5" w:rsidRDefault="000B60F9" w:rsidP="000B60F9">
      <w:pPr>
        <w:spacing w:after="0"/>
        <w:rPr>
          <w:rFonts w:ascii="Nirmala UI" w:eastAsiaTheme="minorEastAsia" w:hAnsi="Nirmala UI" w:cs="Nirmala UI"/>
          <w:sz w:val="20"/>
          <w:szCs w:val="20"/>
          <w:lang w:val="en-US"/>
        </w:rPr>
      </w:pPr>
    </w:p>
    <w:p w14:paraId="565496A1" w14:textId="34EEC7A9" w:rsidR="006D431D" w:rsidRPr="000B60F9" w:rsidRDefault="006D431D" w:rsidP="006D431D">
      <w:pPr>
        <w:spacing w:after="0" w:line="360" w:lineRule="auto"/>
        <w:rPr>
          <w:rFonts w:ascii="Nirmala UI" w:hAnsi="Nirmala UI" w:cs="Nirmala UI"/>
          <w:b/>
          <w:sz w:val="20"/>
          <w:szCs w:val="20"/>
          <w:lang w:val="en-US"/>
        </w:rPr>
      </w:pPr>
      <w:r w:rsidRPr="000B60F9">
        <w:rPr>
          <w:rFonts w:ascii="Nirmala UI" w:hAnsi="Nirmala UI" w:cs="Nirmala UI"/>
          <w:b/>
          <w:sz w:val="20"/>
          <w:szCs w:val="20"/>
          <w:lang w:val="en-US"/>
        </w:rPr>
        <w:t>Estimation of DALY</w:t>
      </w:r>
    </w:p>
    <w:p w14:paraId="0623819F" w14:textId="4CDEC6C5" w:rsidR="006D431D" w:rsidRPr="00D82AB5" w:rsidRDefault="006D431D" w:rsidP="006D431D">
      <w:pPr>
        <w:pStyle w:val="BodyText1"/>
        <w:spacing w:after="0" w:line="240" w:lineRule="auto"/>
        <w:rPr>
          <w:rFonts w:ascii="Nirmala UI" w:eastAsiaTheme="minorEastAsia" w:hAnsi="Nirmala UI" w:cs="Nirmala UI"/>
          <w:color w:val="000000" w:themeColor="text1"/>
          <w:sz w:val="20"/>
          <w:szCs w:val="20"/>
        </w:rPr>
      </w:pPr>
      <m:oMathPara>
        <m:oMath>
          <m:r>
            <w:rPr>
              <w:rFonts w:ascii="Cambria Math" w:hAnsi="Cambria Math" w:cs="Nirmala UI"/>
              <w:color w:val="000000" w:themeColor="text1"/>
              <w:sz w:val="20"/>
              <w:szCs w:val="20"/>
            </w:rPr>
            <m:t>DALY= YLD+ YLL</m:t>
          </m:r>
        </m:oMath>
      </m:oMathPara>
    </w:p>
    <w:p w14:paraId="1B307027" w14:textId="4B4F6FD7" w:rsidR="006D431D" w:rsidRPr="00D82AB5" w:rsidRDefault="00AF3EA5" w:rsidP="006D431D">
      <w:pPr>
        <w:pStyle w:val="BodyText1"/>
        <w:spacing w:after="0" w:line="240" w:lineRule="auto"/>
        <w:rPr>
          <w:rFonts w:ascii="Nirmala UI" w:eastAsiaTheme="minorEastAsia" w:hAnsi="Nirmala UI" w:cs="Nirmala UI"/>
          <w:color w:val="000000" w:themeColor="text1"/>
          <w:sz w:val="20"/>
          <w:szCs w:val="20"/>
        </w:rPr>
      </w:pPr>
      <m:oMathPara>
        <m:oMath>
          <m:r>
            <w:rPr>
              <w:rFonts w:ascii="Cambria Math" w:eastAsiaTheme="minorEastAsia" w:hAnsi="Cambria Math" w:cs="Nirmala UI"/>
              <w:color w:val="000000" w:themeColor="text1"/>
              <w:sz w:val="20"/>
              <w:szCs w:val="20"/>
            </w:rPr>
            <m:t>Total DALY</m:t>
          </m:r>
          <m:r>
            <w:rPr>
              <w:rFonts w:ascii="Cambria Math" w:hAnsi="Cambria Math" w:cs="Nirmala UI"/>
              <w:color w:val="000000" w:themeColor="text1"/>
              <w:sz w:val="20"/>
              <w:szCs w:val="20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 w:cs="Nirmala UI"/>
                  <w:i/>
                  <w:color w:val="000000" w:themeColor="text1"/>
                  <w:sz w:val="20"/>
                  <w:szCs w:val="20"/>
                </w:rPr>
              </m:ctrlPr>
            </m:naryPr>
            <m:sub>
              <m:r>
                <w:rPr>
                  <w:rFonts w:ascii="Cambria Math" w:hAnsi="Cambria Math" w:cs="Nirmala UI"/>
                  <w:color w:val="000000" w:themeColor="text1"/>
                  <w:sz w:val="20"/>
                  <w:szCs w:val="20"/>
                </w:rPr>
                <m:t>A=1</m:t>
              </m:r>
            </m:sub>
            <m:sup>
              <m:r>
                <w:rPr>
                  <w:rFonts w:ascii="Cambria Math" w:hAnsi="Cambria Math" w:cs="Nirmala UI"/>
                  <w:color w:val="000000" w:themeColor="text1"/>
                  <w:sz w:val="20"/>
                  <w:szCs w:val="20"/>
                </w:rPr>
                <m:t>M</m:t>
              </m:r>
            </m:sup>
            <m:e>
              <m:sSub>
                <m:sSubPr>
                  <m:ctrlPr>
                    <w:rPr>
                      <w:rFonts w:ascii="Cambria Math" w:hAnsi="Cambria Math" w:cs="Nirmala UI"/>
                      <w:i/>
                      <w:color w:val="000000" w:themeColor="text1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Nirmala UI"/>
                      <w:color w:val="000000" w:themeColor="text1"/>
                      <w:sz w:val="20"/>
                      <w:szCs w:val="20"/>
                    </w:rPr>
                    <m:t>DALY</m:t>
                  </m:r>
                </m:e>
                <m:sub>
                  <m:r>
                    <w:rPr>
                      <w:rFonts w:ascii="Cambria Math" w:hAnsi="Cambria Math" w:cs="Nirmala UI"/>
                      <w:color w:val="000000" w:themeColor="text1"/>
                      <w:sz w:val="20"/>
                      <w:szCs w:val="20"/>
                    </w:rPr>
                    <m:t>A</m:t>
                  </m:r>
                </m:sub>
              </m:sSub>
            </m:e>
          </m:nary>
          <m:r>
            <w:rPr>
              <w:rFonts w:ascii="Cambria Math" w:hAnsi="Cambria Math" w:cs="Nirmala UI"/>
              <w:color w:val="000000" w:themeColor="text1"/>
              <w:sz w:val="20"/>
              <w:szCs w:val="20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 w:cs="Nirmala UI"/>
                  <w:i/>
                  <w:color w:val="000000" w:themeColor="text1"/>
                  <w:sz w:val="20"/>
                  <w:szCs w:val="20"/>
                </w:rPr>
              </m:ctrlPr>
            </m:naryPr>
            <m:sub>
              <m:r>
                <w:rPr>
                  <w:rFonts w:ascii="Cambria Math" w:hAnsi="Cambria Math" w:cs="Nirmala UI"/>
                  <w:color w:val="000000" w:themeColor="text1"/>
                  <w:sz w:val="20"/>
                  <w:szCs w:val="20"/>
                </w:rPr>
                <m:t>A=1</m:t>
              </m:r>
            </m:sub>
            <m:sup>
              <m:r>
                <w:rPr>
                  <w:rFonts w:ascii="Cambria Math" w:hAnsi="Cambria Math" w:cs="Nirmala UI"/>
                  <w:color w:val="000000" w:themeColor="text1"/>
                  <w:sz w:val="20"/>
                  <w:szCs w:val="20"/>
                </w:rPr>
                <m:t>M</m:t>
              </m:r>
            </m:sup>
            <m:e>
              <m:sSub>
                <m:sSubPr>
                  <m:ctrlPr>
                    <w:rPr>
                      <w:rFonts w:ascii="Cambria Math" w:hAnsi="Cambria Math" w:cs="Nirmala UI"/>
                      <w:i/>
                      <w:color w:val="000000" w:themeColor="text1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Nirmala UI"/>
                      <w:color w:val="000000" w:themeColor="text1"/>
                      <w:sz w:val="20"/>
                      <w:szCs w:val="20"/>
                    </w:rPr>
                    <m:t>YLD</m:t>
                  </m:r>
                </m:e>
                <m:sub>
                  <m:r>
                    <w:rPr>
                      <w:rFonts w:ascii="Cambria Math" w:hAnsi="Cambria Math" w:cs="Nirmala UI"/>
                      <w:color w:val="000000" w:themeColor="text1"/>
                      <w:sz w:val="20"/>
                      <w:szCs w:val="20"/>
                    </w:rPr>
                    <m:t>A</m:t>
                  </m:r>
                </m:sub>
              </m:sSub>
              <m:r>
                <w:rPr>
                  <w:rFonts w:ascii="Cambria Math" w:hAnsi="Cambria Math" w:cs="Nirmala UI"/>
                  <w:color w:val="000000" w:themeColor="text1"/>
                  <w:sz w:val="20"/>
                  <w:szCs w:val="20"/>
                </w:rPr>
                <m:t xml:space="preserve">+ </m:t>
              </m:r>
              <m:sSub>
                <m:sSubPr>
                  <m:ctrlPr>
                    <w:rPr>
                      <w:rFonts w:ascii="Cambria Math" w:hAnsi="Cambria Math" w:cs="Nirmala UI"/>
                      <w:i/>
                      <w:color w:val="000000" w:themeColor="text1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Nirmala UI"/>
                      <w:color w:val="000000" w:themeColor="text1"/>
                      <w:sz w:val="20"/>
                      <w:szCs w:val="20"/>
                    </w:rPr>
                    <m:t>YLL</m:t>
                  </m:r>
                </m:e>
                <m:sub>
                  <m:r>
                    <w:rPr>
                      <w:rFonts w:ascii="Cambria Math" w:hAnsi="Cambria Math" w:cs="Nirmala UI"/>
                      <w:color w:val="000000" w:themeColor="text1"/>
                      <w:sz w:val="20"/>
                      <w:szCs w:val="20"/>
                    </w:rPr>
                    <m:t>A</m:t>
                  </m:r>
                </m:sub>
              </m:sSub>
            </m:e>
          </m:nary>
        </m:oMath>
      </m:oMathPara>
    </w:p>
    <w:p w14:paraId="2098F114" w14:textId="77777777" w:rsidR="00505A26" w:rsidRDefault="00505A26" w:rsidP="00D82AB5">
      <w:pPr>
        <w:pStyle w:val="BodyText1"/>
        <w:shd w:val="clear" w:color="auto" w:fill="FFFFFF" w:themeFill="background1"/>
        <w:spacing w:before="0" w:after="0" w:line="240" w:lineRule="auto"/>
        <w:rPr>
          <w:rFonts w:ascii="Nirmala UI" w:hAnsi="Nirmala UI" w:cs="Nirmala UI"/>
          <w:b/>
          <w:sz w:val="20"/>
          <w:szCs w:val="20"/>
          <w:lang w:val="en-US"/>
        </w:rPr>
      </w:pPr>
    </w:p>
    <w:p w14:paraId="30E75B6E" w14:textId="77777777" w:rsidR="009B70FE" w:rsidRDefault="00D82AB5" w:rsidP="009B70FE">
      <w:pPr>
        <w:pStyle w:val="BodyText1"/>
        <w:shd w:val="clear" w:color="auto" w:fill="FFFFFF" w:themeFill="background1"/>
        <w:spacing w:before="0" w:after="0" w:line="240" w:lineRule="auto"/>
        <w:rPr>
          <w:rFonts w:ascii="Nirmala UI" w:hAnsi="Nirmala UI" w:cs="Nirmala UI"/>
          <w:b/>
          <w:sz w:val="20"/>
          <w:szCs w:val="20"/>
          <w:lang w:val="en-US"/>
        </w:rPr>
      </w:pPr>
      <w:r w:rsidRPr="00D82AB5">
        <w:rPr>
          <w:rFonts w:ascii="Nirmala UI" w:hAnsi="Nirmala UI" w:cs="Nirmala UI"/>
          <w:b/>
          <w:sz w:val="20"/>
          <w:szCs w:val="20"/>
          <w:lang w:val="en-US"/>
        </w:rPr>
        <w:t>References</w:t>
      </w:r>
    </w:p>
    <w:p w14:paraId="1D5AE91A" w14:textId="41E43B5C" w:rsidR="00505A26" w:rsidRPr="009B70FE" w:rsidRDefault="00505A26" w:rsidP="009B70FE">
      <w:pPr>
        <w:pStyle w:val="BodyText1"/>
        <w:shd w:val="clear" w:color="auto" w:fill="FFFFFF" w:themeFill="background1"/>
        <w:spacing w:before="120" w:after="0" w:line="240" w:lineRule="auto"/>
        <w:rPr>
          <w:rFonts w:ascii="Nirmala UI" w:hAnsi="Nirmala UI" w:cs="Nirmala UI"/>
          <w:b/>
          <w:sz w:val="20"/>
          <w:szCs w:val="20"/>
          <w:lang w:val="en-US"/>
        </w:rPr>
      </w:pPr>
      <w:r w:rsidRPr="009B70FE">
        <w:rPr>
          <w:rFonts w:ascii="Nirmala UI" w:hAnsi="Nirmala UI" w:cs="Nirmala UI"/>
          <w:bCs/>
          <w:sz w:val="20"/>
          <w:szCs w:val="20"/>
          <w:lang w:val="en-US" w:eastAsia="en-US"/>
        </w:rPr>
        <w:t>Devleesschauwer</w:t>
      </w:r>
      <w:r w:rsidR="009B70FE">
        <w:rPr>
          <w:rFonts w:ascii="Nirmala UI" w:hAnsi="Nirmala UI" w:cs="Nirmala UI"/>
          <w:bCs/>
          <w:sz w:val="20"/>
          <w:szCs w:val="20"/>
          <w:lang w:val="en-US" w:eastAsia="en-US"/>
        </w:rPr>
        <w:t xml:space="preserve"> B,</w:t>
      </w:r>
      <w:r w:rsidRPr="009B70FE">
        <w:rPr>
          <w:rFonts w:ascii="Nirmala UI" w:hAnsi="Nirmala UI" w:cs="Nirmala UI"/>
          <w:bCs/>
          <w:sz w:val="20"/>
          <w:szCs w:val="20"/>
          <w:lang w:val="en-US" w:eastAsia="en-US"/>
        </w:rPr>
        <w:t xml:space="preserve"> McDonald</w:t>
      </w:r>
      <w:r w:rsidR="009B70FE">
        <w:rPr>
          <w:rFonts w:ascii="Nirmala UI" w:hAnsi="Nirmala UI" w:cs="Nirmala UI"/>
          <w:bCs/>
          <w:sz w:val="20"/>
          <w:szCs w:val="20"/>
          <w:lang w:val="en-US" w:eastAsia="en-US"/>
        </w:rPr>
        <w:t xml:space="preserve"> S</w:t>
      </w:r>
      <w:r w:rsidRPr="009B70FE">
        <w:rPr>
          <w:rFonts w:ascii="Nirmala UI" w:hAnsi="Nirmala UI" w:cs="Nirmala UI"/>
          <w:bCs/>
          <w:sz w:val="20"/>
          <w:szCs w:val="20"/>
          <w:lang w:val="en-US" w:eastAsia="en-US"/>
        </w:rPr>
        <w:t xml:space="preserve">, Haagsma J, Praet N, Havelaar A, Speybroeck N. DALY: The DALY Calculator - Graphical User Interface for probabilistic DALY calculation in R. 2016. </w:t>
      </w:r>
      <w:hyperlink r:id="rId7" w:history="1">
        <w:r w:rsidR="009B70FE" w:rsidRPr="009B70FE">
          <w:rPr>
            <w:rStyle w:val="Hyperlink"/>
            <w:rFonts w:ascii="Nirmala UI" w:hAnsi="Nirmala UI" w:cs="Nirmala UI"/>
            <w:bCs/>
            <w:sz w:val="20"/>
            <w:szCs w:val="20"/>
            <w:lang w:val="en-US"/>
          </w:rPr>
          <w:t>http://daly.cbra.be/</w:t>
        </w:r>
      </w:hyperlink>
    </w:p>
    <w:p w14:paraId="08E960F7" w14:textId="1315ECF5" w:rsidR="00505A26" w:rsidRPr="006D431D" w:rsidRDefault="00505A26" w:rsidP="009B70FE">
      <w:pPr>
        <w:spacing w:before="120" w:line="240" w:lineRule="auto"/>
        <w:rPr>
          <w:rFonts w:ascii="Nirmala UI" w:hAnsi="Nirmala UI" w:cs="Nirmala UI"/>
          <w:sz w:val="20"/>
          <w:szCs w:val="20"/>
          <w:lang w:val="en-US"/>
        </w:rPr>
      </w:pPr>
      <w:r w:rsidRPr="009B70FE">
        <w:rPr>
          <w:rFonts w:ascii="Nirmala UI" w:hAnsi="Nirmala UI" w:cs="Nirmala UI"/>
          <w:sz w:val="20"/>
          <w:szCs w:val="20"/>
          <w:lang w:val="en-US"/>
        </w:rPr>
        <w:t xml:space="preserve">Devleesschauwer B, Havelaar AH, Maertens de Noordhout C, Haagsma JA, Praet N, Dorny P, Duchateau L, Torgerson PR, Van Oyen H, Speybroeck N. DALY calculation in practice: a stepwise approach. </w:t>
      </w:r>
      <w:r w:rsidRPr="009B70FE">
        <w:rPr>
          <w:rFonts w:ascii="Nirmala UI" w:hAnsi="Nirmala UI" w:cs="Nirmala UI"/>
          <w:i/>
          <w:iCs/>
          <w:sz w:val="20"/>
          <w:szCs w:val="20"/>
          <w:lang w:val="en-US"/>
        </w:rPr>
        <w:t>Int J Public Health.</w:t>
      </w:r>
      <w:r w:rsidRPr="009B70FE">
        <w:rPr>
          <w:rFonts w:ascii="Nirmala UI" w:hAnsi="Nirmala UI" w:cs="Nirmala UI"/>
          <w:sz w:val="20"/>
          <w:szCs w:val="20"/>
          <w:lang w:val="en-US"/>
        </w:rPr>
        <w:t xml:space="preserve"> </w:t>
      </w:r>
      <w:r w:rsidRPr="006D431D">
        <w:rPr>
          <w:rFonts w:ascii="Nirmala UI" w:hAnsi="Nirmala UI" w:cs="Nirmala UI"/>
          <w:sz w:val="20"/>
          <w:szCs w:val="20"/>
          <w:lang w:val="en-US"/>
        </w:rPr>
        <w:t>2014; 59:571-574.</w:t>
      </w:r>
    </w:p>
    <w:p w14:paraId="46EFFFA8" w14:textId="7C96B440" w:rsidR="005F57CC" w:rsidRPr="009B70FE" w:rsidRDefault="009B70FE" w:rsidP="009B70FE">
      <w:pPr>
        <w:spacing w:before="120" w:line="240" w:lineRule="auto"/>
        <w:rPr>
          <w:rFonts w:ascii="Nirmala UI" w:hAnsi="Nirmala UI" w:cs="Nirmala UI"/>
          <w:sz w:val="20"/>
          <w:szCs w:val="20"/>
          <w:lang w:val="en-US"/>
        </w:rPr>
      </w:pPr>
      <w:r w:rsidRPr="009B70FE">
        <w:rPr>
          <w:rFonts w:ascii="Nirmala UI" w:hAnsi="Nirmala UI" w:cs="Nirmala UI"/>
          <w:sz w:val="20"/>
          <w:szCs w:val="20"/>
          <w:lang w:val="en-US"/>
        </w:rPr>
        <w:t>Mathers CD, Vos T, Lope</w:t>
      </w:r>
      <w:r>
        <w:rPr>
          <w:rFonts w:ascii="Nirmala UI" w:hAnsi="Nirmala UI" w:cs="Nirmala UI"/>
          <w:sz w:val="20"/>
          <w:szCs w:val="20"/>
          <w:lang w:val="en-US"/>
        </w:rPr>
        <w:t>z</w:t>
      </w:r>
      <w:r w:rsidRPr="009B70FE">
        <w:rPr>
          <w:rFonts w:ascii="Nirmala UI" w:hAnsi="Nirmala UI" w:cs="Nirmala UI"/>
          <w:sz w:val="20"/>
          <w:szCs w:val="20"/>
          <w:lang w:val="en-US"/>
        </w:rPr>
        <w:t xml:space="preserve"> AD, Salomon J, Ezzati M. National burden of disease studies: a practical guide. </w:t>
      </w:r>
      <w:r>
        <w:rPr>
          <w:rFonts w:ascii="Nirmala UI" w:hAnsi="Nirmala UI" w:cs="Nirmala UI"/>
          <w:sz w:val="20"/>
          <w:szCs w:val="20"/>
          <w:lang w:val="en-US"/>
        </w:rPr>
        <w:t xml:space="preserve">2001. </w:t>
      </w:r>
      <w:r w:rsidRPr="009B70FE">
        <w:rPr>
          <w:rFonts w:ascii="Nirmala UI" w:hAnsi="Nirmala UI" w:cs="Nirmala UI"/>
          <w:sz w:val="20"/>
          <w:szCs w:val="20"/>
          <w:lang w:val="en-US"/>
        </w:rPr>
        <w:t>Geneva: World Health Organization.</w:t>
      </w:r>
      <w:r w:rsidR="005F57CC">
        <w:rPr>
          <w:rFonts w:ascii="Nirmala UI" w:hAnsi="Nirmala UI" w:cs="Nirmala UI"/>
          <w:b/>
          <w:lang w:val="en-US"/>
        </w:rPr>
        <w:br w:type="page"/>
      </w:r>
    </w:p>
    <w:p w14:paraId="4944C9F2" w14:textId="7A2A619F" w:rsidR="00D13E2E" w:rsidRPr="006F7BB4" w:rsidRDefault="00D13E2E" w:rsidP="0049781E">
      <w:pPr>
        <w:spacing w:line="360" w:lineRule="auto"/>
        <w:rPr>
          <w:rFonts w:ascii="Nirmala UI" w:hAnsi="Nirmala UI" w:cs="Nirmala UI"/>
          <w:b/>
          <w:lang w:val="en-US"/>
        </w:rPr>
      </w:pPr>
      <w:r w:rsidRPr="006F7BB4">
        <w:rPr>
          <w:rFonts w:ascii="Nirmala UI" w:hAnsi="Nirmala UI" w:cs="Nirmala UI"/>
          <w:b/>
          <w:lang w:val="en-US"/>
        </w:rPr>
        <w:lastRenderedPageBreak/>
        <w:t xml:space="preserve">Table S1. </w:t>
      </w:r>
      <w:r w:rsidRPr="006F7BB4">
        <w:rPr>
          <w:rFonts w:ascii="Nirmala UI" w:hAnsi="Nirmala UI" w:cs="Nirmala UI"/>
          <w:lang w:val="en-US"/>
        </w:rPr>
        <w:t xml:space="preserve">Definition of occupation categories and proposed set of denominator occupations from </w:t>
      </w:r>
      <w:r w:rsidR="00077A08" w:rsidRPr="006F7BB4">
        <w:rPr>
          <w:rFonts w:ascii="Nirmala UI" w:hAnsi="Nirmala UI" w:cs="Nirmala UI"/>
          <w:lang w:val="en-US"/>
        </w:rPr>
        <w:t>Statistics Netherlands (CBS)</w:t>
      </w:r>
      <w:r w:rsidRPr="006F7BB4">
        <w:rPr>
          <w:rFonts w:ascii="Nirmala UI" w:hAnsi="Nirmala UI" w:cs="Nirmala UI"/>
          <w:lang w:val="en-US"/>
        </w:rPr>
        <w:t>.</w:t>
      </w:r>
    </w:p>
    <w:p w14:paraId="6F042659" w14:textId="77777777" w:rsidR="00D13E2E" w:rsidRPr="006F7BB4" w:rsidRDefault="00D13E2E" w:rsidP="00D13E2E">
      <w:pPr>
        <w:rPr>
          <w:rFonts w:ascii="Nirmala UI" w:hAnsi="Nirmala UI" w:cs="Nirmala UI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835"/>
        <w:gridCol w:w="4201"/>
      </w:tblGrid>
      <w:tr w:rsidR="00D13E2E" w:rsidRPr="002D59F1" w14:paraId="58058AE8" w14:textId="77777777" w:rsidTr="00623E41">
        <w:tc>
          <w:tcPr>
            <w:tcW w:w="1980" w:type="dxa"/>
            <w:shd w:val="clear" w:color="auto" w:fill="D9D9D9" w:themeFill="background1" w:themeFillShade="D9"/>
          </w:tcPr>
          <w:p w14:paraId="0D401195" w14:textId="77777777" w:rsidR="00D13E2E" w:rsidRPr="006F7BB4" w:rsidRDefault="00D13E2E" w:rsidP="00623E41">
            <w:pPr>
              <w:rPr>
                <w:rFonts w:ascii="Nirmala UI" w:hAnsi="Nirmala UI" w:cs="Nirmala UI"/>
                <w:b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b/>
                <w:sz w:val="18"/>
                <w:szCs w:val="18"/>
                <w:lang w:val="en-US"/>
              </w:rPr>
              <w:t>Occupation category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6DEF2E4F" w14:textId="74C5FFAD" w:rsidR="00D13E2E" w:rsidRPr="006F7BB4" w:rsidRDefault="00D13E2E" w:rsidP="00623E41">
            <w:pPr>
              <w:rPr>
                <w:rFonts w:ascii="Nirmala UI" w:hAnsi="Nirmala UI" w:cs="Nirmala UI"/>
                <w:b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b/>
                <w:sz w:val="18"/>
                <w:szCs w:val="18"/>
                <w:lang w:val="en-US"/>
              </w:rPr>
              <w:t xml:space="preserve">Occupation label(s) in </w:t>
            </w:r>
            <w:r w:rsidR="00806F09">
              <w:rPr>
                <w:rFonts w:ascii="Nirmala UI" w:hAnsi="Nirmala UI" w:cs="Nirmala UI"/>
                <w:b/>
                <w:sz w:val="18"/>
                <w:szCs w:val="18"/>
                <w:lang w:val="en-US"/>
              </w:rPr>
              <w:t>Osiris</w:t>
            </w:r>
            <w:r w:rsidR="00640895" w:rsidRPr="006F7BB4">
              <w:rPr>
                <w:rFonts w:ascii="Nirmala UI" w:hAnsi="Nirmala UI" w:cs="Nirmala UI"/>
                <w:b/>
                <w:sz w:val="18"/>
                <w:szCs w:val="18"/>
                <w:lang w:val="en-US"/>
              </w:rPr>
              <w:t xml:space="preserve"> (</w:t>
            </w:r>
            <w:r w:rsidR="00183784" w:rsidRPr="006F7BB4">
              <w:rPr>
                <w:rFonts w:ascii="Nirmala UI" w:hAnsi="Nirmala UI" w:cs="Nirmala UI"/>
                <w:b/>
                <w:sz w:val="18"/>
                <w:szCs w:val="18"/>
                <w:lang w:val="en-US"/>
              </w:rPr>
              <w:t>translated from</w:t>
            </w:r>
            <w:r w:rsidR="00640895" w:rsidRPr="006F7BB4">
              <w:rPr>
                <w:rFonts w:ascii="Nirmala UI" w:hAnsi="Nirmala UI" w:cs="Nirmala UI"/>
                <w:b/>
                <w:sz w:val="18"/>
                <w:szCs w:val="18"/>
                <w:lang w:val="en-US"/>
              </w:rPr>
              <w:t xml:space="preserve"> Dutch)</w:t>
            </w:r>
          </w:p>
        </w:tc>
        <w:tc>
          <w:tcPr>
            <w:tcW w:w="4201" w:type="dxa"/>
            <w:shd w:val="clear" w:color="auto" w:fill="D9D9D9" w:themeFill="background1" w:themeFillShade="D9"/>
          </w:tcPr>
          <w:p w14:paraId="0BD07AD9" w14:textId="77777777" w:rsidR="00D13E2E" w:rsidRPr="006F7BB4" w:rsidRDefault="00D13E2E" w:rsidP="00623E41">
            <w:pPr>
              <w:rPr>
                <w:rFonts w:ascii="Nirmala UI" w:hAnsi="Nirmala UI" w:cs="Nirmala UI"/>
                <w:b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b/>
                <w:sz w:val="18"/>
                <w:szCs w:val="18"/>
                <w:lang w:val="en-US"/>
              </w:rPr>
              <w:t>CBS occupation category(s) for population denominator</w:t>
            </w:r>
            <w:r w:rsidR="00640895" w:rsidRPr="006F7BB4">
              <w:rPr>
                <w:rFonts w:ascii="Nirmala UI" w:hAnsi="Nirmala UI" w:cs="Nirmala UI"/>
                <w:b/>
                <w:sz w:val="18"/>
                <w:szCs w:val="18"/>
                <w:lang w:val="en-US"/>
              </w:rPr>
              <w:t xml:space="preserve"> </w:t>
            </w:r>
            <w:r w:rsidR="00183784" w:rsidRPr="006F7BB4">
              <w:rPr>
                <w:rFonts w:ascii="Nirmala UI" w:hAnsi="Nirmala UI" w:cs="Nirmala UI"/>
                <w:b/>
                <w:sz w:val="18"/>
                <w:szCs w:val="18"/>
                <w:lang w:val="en-US"/>
              </w:rPr>
              <w:t>(translated from Dutch)</w:t>
            </w:r>
          </w:p>
        </w:tc>
      </w:tr>
      <w:tr w:rsidR="00D13E2E" w:rsidRPr="006F7BB4" w14:paraId="5F97967D" w14:textId="77777777" w:rsidTr="00623E41">
        <w:tc>
          <w:tcPr>
            <w:tcW w:w="1980" w:type="dxa"/>
          </w:tcPr>
          <w:p w14:paraId="67AEC956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Healthcare</w:t>
            </w:r>
          </w:p>
        </w:tc>
        <w:tc>
          <w:tcPr>
            <w:tcW w:w="2835" w:type="dxa"/>
          </w:tcPr>
          <w:p w14:paraId="376EC707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(</w:t>
            </w:r>
            <w:r w:rsidR="00EF46A9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Health)care</w:t>
            </w:r>
          </w:p>
        </w:tc>
        <w:tc>
          <w:tcPr>
            <w:tcW w:w="4201" w:type="dxa"/>
          </w:tcPr>
          <w:p w14:paraId="2FD628C4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1011 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Doctors</w:t>
            </w:r>
          </w:p>
          <w:p w14:paraId="45E6BD25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1012 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Specialised nurses</w:t>
            </w:r>
          </w:p>
          <w:p w14:paraId="3FF31B65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1033 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Nurses</w:t>
            </w:r>
          </w:p>
          <w:p w14:paraId="6C6EBB32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1034 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Medical practice assist</w:t>
            </w:r>
            <w:r w:rsidR="008C3D1A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a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nts</w:t>
            </w:r>
          </w:p>
          <w:p w14:paraId="6F104E45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1051 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Carers</w:t>
            </w:r>
          </w:p>
        </w:tc>
      </w:tr>
      <w:tr w:rsidR="00D13E2E" w:rsidRPr="002D59F1" w14:paraId="562BF5D2" w14:textId="77777777" w:rsidTr="00623E41">
        <w:tc>
          <w:tcPr>
            <w:tcW w:w="1980" w:type="dxa"/>
          </w:tcPr>
          <w:p w14:paraId="55752921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Education</w:t>
            </w:r>
          </w:p>
        </w:tc>
        <w:tc>
          <w:tcPr>
            <w:tcW w:w="2835" w:type="dxa"/>
          </w:tcPr>
          <w:p w14:paraId="0AB7AA2A" w14:textId="77777777" w:rsidR="00D13E2E" w:rsidRPr="006F7BB4" w:rsidRDefault="00EF46A9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Education and daycare</w:t>
            </w:r>
          </w:p>
        </w:tc>
        <w:tc>
          <w:tcPr>
            <w:tcW w:w="4201" w:type="dxa"/>
          </w:tcPr>
          <w:p w14:paraId="4307B233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0111 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Higher education lecturers and professors</w:t>
            </w:r>
          </w:p>
          <w:p w14:paraId="194C1710" w14:textId="77777777" w:rsidR="004054B8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0112 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Teachers (vocational training)</w:t>
            </w:r>
          </w:p>
          <w:p w14:paraId="171D6DB3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0113 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Teachers (secondary school, general</w:t>
            </w:r>
            <w:r w:rsidR="008C3D1A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br/>
              <w:t xml:space="preserve"> 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 subjects)</w:t>
            </w:r>
          </w:p>
          <w:p w14:paraId="5F0617EF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0114 </w:t>
            </w:r>
            <w:r w:rsidR="008C3D1A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T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eachers</w:t>
            </w:r>
            <w:r w:rsidR="008C3D1A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 (primary school)</w:t>
            </w:r>
          </w:p>
          <w:p w14:paraId="07D1169A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0115 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Education specialists and other teachers</w:t>
            </w:r>
          </w:p>
          <w:p w14:paraId="7B5CBF33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0121 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Sports instructors</w:t>
            </w:r>
          </w:p>
          <w:p w14:paraId="301FFCA4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0131 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Daycare staff and education assistants</w:t>
            </w:r>
          </w:p>
        </w:tc>
      </w:tr>
      <w:tr w:rsidR="00D13E2E" w:rsidRPr="006F7BB4" w14:paraId="070B0661" w14:textId="77777777" w:rsidTr="00623E41">
        <w:tc>
          <w:tcPr>
            <w:tcW w:w="1980" w:type="dxa"/>
          </w:tcPr>
          <w:p w14:paraId="6F8255BF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Catering</w:t>
            </w:r>
          </w:p>
        </w:tc>
        <w:tc>
          <w:tcPr>
            <w:tcW w:w="2835" w:type="dxa"/>
          </w:tcPr>
          <w:p w14:paraId="76208621" w14:textId="77777777" w:rsidR="00D13E2E" w:rsidRPr="006F7BB4" w:rsidRDefault="00EF46A9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Catering sector employee</w:t>
            </w:r>
          </w:p>
        </w:tc>
        <w:tc>
          <w:tcPr>
            <w:tcW w:w="4201" w:type="dxa"/>
          </w:tcPr>
          <w:p w14:paraId="58C6A908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1112 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Cooks</w:t>
            </w:r>
          </w:p>
          <w:p w14:paraId="584F7A49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1113 </w:t>
            </w:r>
            <w:r w:rsidR="002F68C6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Waiting staff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 and bar personnel</w:t>
            </w:r>
          </w:p>
          <w:p w14:paraId="7C132F50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1122 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Kitchen </w:t>
            </w:r>
            <w:r w:rsidR="002F68C6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porters</w:t>
            </w:r>
          </w:p>
        </w:tc>
      </w:tr>
      <w:tr w:rsidR="00D13E2E" w:rsidRPr="002D59F1" w14:paraId="24DFF529" w14:textId="77777777" w:rsidTr="00623E41">
        <w:tc>
          <w:tcPr>
            <w:tcW w:w="1980" w:type="dxa"/>
          </w:tcPr>
          <w:p w14:paraId="4D006385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Transportation</w:t>
            </w:r>
          </w:p>
        </w:tc>
        <w:tc>
          <w:tcPr>
            <w:tcW w:w="2835" w:type="dxa"/>
          </w:tcPr>
          <w:p w14:paraId="22F6CC92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Transport</w:t>
            </w:r>
            <w:r w:rsidR="00EF46A9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ation</w:t>
            </w:r>
          </w:p>
        </w:tc>
        <w:tc>
          <w:tcPr>
            <w:tcW w:w="4201" w:type="dxa"/>
          </w:tcPr>
          <w:p w14:paraId="7112BC0D" w14:textId="77777777" w:rsidR="00D13E2E" w:rsidRPr="006F7BB4" w:rsidRDefault="00D13E2E" w:rsidP="00623E41">
            <w:pPr>
              <w:tabs>
                <w:tab w:val="left" w:pos="975"/>
              </w:tabs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1211 </w:t>
            </w:r>
            <w:r w:rsidR="00EF46A9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Seaman and pilots</w:t>
            </w:r>
          </w:p>
          <w:p w14:paraId="76C535B5" w14:textId="77777777" w:rsidR="00D13E2E" w:rsidRPr="006F7BB4" w:rsidRDefault="00D13E2E" w:rsidP="00623E41">
            <w:pPr>
              <w:tabs>
                <w:tab w:val="left" w:pos="975"/>
              </w:tabs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1212 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Chauffeurs, </w:t>
            </w:r>
            <w:r w:rsidR="00EF46A9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tax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i, and delivery drivers</w:t>
            </w:r>
          </w:p>
          <w:p w14:paraId="06AA4BAE" w14:textId="77777777" w:rsidR="00D13E2E" w:rsidRPr="006F7BB4" w:rsidRDefault="00D13E2E" w:rsidP="00623E41">
            <w:pPr>
              <w:tabs>
                <w:tab w:val="left" w:pos="975"/>
              </w:tabs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1213 Bus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 and tram drivers</w:t>
            </w:r>
          </w:p>
          <w:p w14:paraId="4E260D7B" w14:textId="77777777" w:rsidR="00D13E2E" w:rsidRPr="006F7BB4" w:rsidRDefault="00D13E2E" w:rsidP="00623E41">
            <w:pPr>
              <w:tabs>
                <w:tab w:val="left" w:pos="975"/>
              </w:tabs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1214 </w:t>
            </w:r>
            <w:r w:rsidR="004054B8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Lorry drivers</w:t>
            </w:r>
          </w:p>
        </w:tc>
      </w:tr>
      <w:tr w:rsidR="00D13E2E" w:rsidRPr="002D59F1" w14:paraId="34834D76" w14:textId="77777777" w:rsidTr="00623E41">
        <w:tc>
          <w:tcPr>
            <w:tcW w:w="1980" w:type="dxa"/>
          </w:tcPr>
          <w:p w14:paraId="3ECCF8B1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Other contact professions</w:t>
            </w:r>
          </w:p>
        </w:tc>
        <w:tc>
          <w:tcPr>
            <w:tcW w:w="2835" w:type="dxa"/>
          </w:tcPr>
          <w:p w14:paraId="586D6D20" w14:textId="77777777" w:rsidR="00D13E2E" w:rsidRPr="006F7BB4" w:rsidRDefault="00EF46A9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Other contact professions</w:t>
            </w:r>
          </w:p>
          <w:p w14:paraId="790041C2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Se</w:t>
            </w:r>
            <w:r w:rsidR="00EF46A9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x</w:t>
            </w:r>
            <w:r w:rsidR="008C3D1A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 </w:t>
            </w:r>
            <w:r w:rsidR="00EF46A9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work</w:t>
            </w:r>
          </w:p>
        </w:tc>
        <w:tc>
          <w:tcPr>
            <w:tcW w:w="4201" w:type="dxa"/>
          </w:tcPr>
          <w:p w14:paraId="19E7A737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1013 </w:t>
            </w:r>
            <w:r w:rsidR="00EF46A9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Physiotherapists</w:t>
            </w:r>
          </w:p>
          <w:p w14:paraId="6706A6A5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1035 </w:t>
            </w:r>
            <w:r w:rsidR="00EF46A9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Medical specialists</w:t>
            </w:r>
          </w:p>
          <w:p w14:paraId="0533F497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1114 </w:t>
            </w:r>
            <w:r w:rsidR="00EF46A9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Barbers</w:t>
            </w:r>
            <w:r w:rsidR="002F68C6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, </w:t>
            </w:r>
            <w:r w:rsidR="00EF46A9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hairdressers and estheticians</w:t>
            </w:r>
          </w:p>
          <w:p w14:paraId="353B06DE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1116 </w:t>
            </w:r>
            <w:r w:rsidR="00EF46A9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Providers of other personal services</w:t>
            </w:r>
            <w:r w:rsidR="008C3D1A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br/>
              <w:t xml:space="preserve">  </w:t>
            </w: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(</w:t>
            </w:r>
            <w:r w:rsidR="00EF46A9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including</w:t>
            </w: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 </w:t>
            </w:r>
            <w:r w:rsidR="00EF46A9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driving instructors, sex workers</w:t>
            </w: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)</w:t>
            </w:r>
          </w:p>
        </w:tc>
      </w:tr>
      <w:tr w:rsidR="00D13E2E" w:rsidRPr="002D59F1" w14:paraId="272CB590" w14:textId="77777777" w:rsidTr="00623E41">
        <w:tc>
          <w:tcPr>
            <w:tcW w:w="1980" w:type="dxa"/>
          </w:tcPr>
          <w:p w14:paraId="2C3F8767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Other</w:t>
            </w:r>
          </w:p>
        </w:tc>
        <w:tc>
          <w:tcPr>
            <w:tcW w:w="2835" w:type="dxa"/>
          </w:tcPr>
          <w:p w14:paraId="1C3A4499" w14:textId="77777777" w:rsidR="00D13E2E" w:rsidRPr="006F7BB4" w:rsidRDefault="00EF46A9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Clinical laboratory</w:t>
            </w:r>
          </w:p>
          <w:p w14:paraId="026674AE" w14:textId="77777777" w:rsidR="00D13E2E" w:rsidRPr="006F7BB4" w:rsidRDefault="00EF46A9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Agriculture</w:t>
            </w:r>
          </w:p>
          <w:p w14:paraId="2F96FB8C" w14:textId="77777777" w:rsidR="00D13E2E" w:rsidRPr="006F7BB4" w:rsidRDefault="00EF46A9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Other sector</w:t>
            </w:r>
          </w:p>
          <w:p w14:paraId="4E3CF683" w14:textId="77777777" w:rsidR="00D13E2E" w:rsidRPr="006F7BB4" w:rsidRDefault="00EF46A9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Work with animals or animal</w:t>
            </w: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br/>
              <w:t xml:space="preserve"> </w:t>
            </w:r>
            <w:r w:rsidR="008C3D1A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 </w:t>
            </w: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products</w:t>
            </w:r>
          </w:p>
          <w:p w14:paraId="13C9E977" w14:textId="77777777" w:rsidR="00D13E2E" w:rsidRPr="006F7BB4" w:rsidRDefault="00EF46A9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Landscape gardening</w:t>
            </w:r>
          </w:p>
          <w:p w14:paraId="440E46F5" w14:textId="77777777" w:rsidR="00D13E2E" w:rsidRPr="006F7BB4" w:rsidRDefault="002F68C6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Waste</w:t>
            </w:r>
            <w:r w:rsidR="00EF46A9"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 xml:space="preserve"> processing</w:t>
            </w:r>
          </w:p>
          <w:p w14:paraId="72C4FED7" w14:textId="77777777" w:rsidR="00D13E2E" w:rsidRPr="006F7BB4" w:rsidRDefault="00EF46A9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Cleaning sector</w:t>
            </w:r>
          </w:p>
          <w:p w14:paraId="0A717625" w14:textId="77777777" w:rsidR="00D13E2E" w:rsidRPr="006F7BB4" w:rsidRDefault="00EF46A9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Outside of the Netherlands</w:t>
            </w:r>
          </w:p>
        </w:tc>
        <w:tc>
          <w:tcPr>
            <w:tcW w:w="4201" w:type="dxa"/>
          </w:tcPr>
          <w:p w14:paraId="3DCE1C9E" w14:textId="77777777" w:rsidR="00D13E2E" w:rsidRPr="006F7BB4" w:rsidRDefault="00D13E2E" w:rsidP="00623E41">
            <w:pPr>
              <w:rPr>
                <w:rFonts w:ascii="Nirmala UI" w:hAnsi="Nirmala UI" w:cs="Nirmala UI"/>
                <w:i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i/>
                <w:sz w:val="18"/>
                <w:szCs w:val="18"/>
                <w:lang w:val="en-US"/>
              </w:rPr>
              <w:t xml:space="preserve">Denominator calculated as [age-group-specific] </w:t>
            </w:r>
            <w:r w:rsidR="004054B8" w:rsidRPr="006F7BB4">
              <w:rPr>
                <w:rFonts w:ascii="Nirmala UI" w:hAnsi="Nirmala UI" w:cs="Nirmala UI"/>
                <w:i/>
                <w:sz w:val="18"/>
                <w:szCs w:val="18"/>
                <w:lang w:val="en-US"/>
              </w:rPr>
              <w:t>'total working population</w:t>
            </w:r>
            <w:r w:rsidR="008C3D1A" w:rsidRPr="006F7BB4">
              <w:rPr>
                <w:rFonts w:ascii="Nirmala UI" w:hAnsi="Nirmala UI" w:cs="Nirmala UI"/>
                <w:i/>
                <w:sz w:val="18"/>
                <w:szCs w:val="18"/>
                <w:lang w:val="en-US"/>
              </w:rPr>
              <w:t xml:space="preserve"> size</w:t>
            </w:r>
            <w:r w:rsidR="004054B8" w:rsidRPr="006F7BB4">
              <w:rPr>
                <w:rFonts w:ascii="Nirmala UI" w:hAnsi="Nirmala UI" w:cs="Nirmala UI"/>
                <w:i/>
                <w:sz w:val="18"/>
                <w:szCs w:val="18"/>
                <w:lang w:val="en-US"/>
              </w:rPr>
              <w:t>'</w:t>
            </w:r>
            <w:r w:rsidRPr="006F7BB4">
              <w:rPr>
                <w:rFonts w:ascii="Nirmala UI" w:hAnsi="Nirmala UI" w:cs="Nirmala UI"/>
                <w:i/>
                <w:sz w:val="18"/>
                <w:szCs w:val="18"/>
                <w:lang w:val="en-US"/>
              </w:rPr>
              <w:t xml:space="preserve"> minus sum of above categories</w:t>
            </w:r>
          </w:p>
        </w:tc>
      </w:tr>
      <w:tr w:rsidR="00D13E2E" w:rsidRPr="002D59F1" w14:paraId="238A42F1" w14:textId="77777777" w:rsidTr="00623E41">
        <w:tc>
          <w:tcPr>
            <w:tcW w:w="1980" w:type="dxa"/>
          </w:tcPr>
          <w:p w14:paraId="793E18D2" w14:textId="77777777" w:rsidR="00D13E2E" w:rsidRPr="006F7BB4" w:rsidRDefault="00D13E2E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Not applicable</w:t>
            </w:r>
          </w:p>
        </w:tc>
        <w:tc>
          <w:tcPr>
            <w:tcW w:w="2835" w:type="dxa"/>
          </w:tcPr>
          <w:p w14:paraId="5E4B2361" w14:textId="77777777" w:rsidR="00D13E2E" w:rsidRPr="006F7BB4" w:rsidRDefault="00EF46A9" w:rsidP="00623E41">
            <w:pPr>
              <w:rPr>
                <w:rFonts w:ascii="Nirmala UI" w:hAnsi="Nirmala UI" w:cs="Nirmala UI"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sz w:val="18"/>
                <w:szCs w:val="18"/>
                <w:lang w:val="en-US"/>
              </w:rPr>
              <w:t>Not applicable (children, pensioners, job-seekers)</w:t>
            </w:r>
          </w:p>
        </w:tc>
        <w:tc>
          <w:tcPr>
            <w:tcW w:w="4201" w:type="dxa"/>
          </w:tcPr>
          <w:p w14:paraId="03991A15" w14:textId="77777777" w:rsidR="00D13E2E" w:rsidRPr="006F7BB4" w:rsidRDefault="00D13E2E" w:rsidP="00623E41">
            <w:pPr>
              <w:rPr>
                <w:rFonts w:ascii="Nirmala UI" w:hAnsi="Nirmala UI" w:cs="Nirmala UI"/>
                <w:i/>
                <w:sz w:val="18"/>
                <w:szCs w:val="18"/>
                <w:lang w:val="en-US"/>
              </w:rPr>
            </w:pPr>
            <w:r w:rsidRPr="006F7BB4">
              <w:rPr>
                <w:rFonts w:ascii="Nirmala UI" w:hAnsi="Nirmala UI" w:cs="Nirmala UI"/>
                <w:i/>
                <w:sz w:val="18"/>
                <w:szCs w:val="18"/>
                <w:lang w:val="en-US"/>
              </w:rPr>
              <w:t>Denominator calculated as [age-group-specific] national population size minus sum of all above categories</w:t>
            </w:r>
          </w:p>
        </w:tc>
      </w:tr>
    </w:tbl>
    <w:p w14:paraId="0A36CA95" w14:textId="6ADDD908" w:rsidR="007A5A0D" w:rsidRPr="006F7BB4" w:rsidRDefault="00D13E2E" w:rsidP="007A5A0D">
      <w:pPr>
        <w:spacing w:line="360" w:lineRule="auto"/>
        <w:rPr>
          <w:rFonts w:ascii="Nirmala UI" w:hAnsi="Nirmala UI" w:cs="Nirmala UI"/>
          <w:bCs/>
          <w:lang w:val="en-US"/>
        </w:rPr>
      </w:pPr>
      <w:r w:rsidRPr="006F7BB4">
        <w:rPr>
          <w:rFonts w:ascii="Nirmala UI" w:hAnsi="Nirmala UI" w:cs="Nirmala UI"/>
          <w:b/>
          <w:lang w:val="en-US"/>
        </w:rPr>
        <w:br w:type="page"/>
      </w:r>
      <w:r w:rsidR="007A5A0D" w:rsidRPr="006F7BB4">
        <w:rPr>
          <w:rFonts w:ascii="Nirmala UI" w:hAnsi="Nirmala UI" w:cs="Nirmala UI"/>
          <w:b/>
          <w:lang w:val="en-US"/>
        </w:rPr>
        <w:lastRenderedPageBreak/>
        <w:t xml:space="preserve">Table S2. </w:t>
      </w:r>
      <w:r w:rsidR="007A5A0D" w:rsidRPr="006F7BB4">
        <w:rPr>
          <w:rFonts w:ascii="Nirmala UI" w:hAnsi="Nirmala UI" w:cs="Nirmala UI"/>
          <w:bCs/>
          <w:lang w:val="en-US"/>
        </w:rPr>
        <w:t>Estimated DALY, YLD and YLL due to COVID-19 (</w:t>
      </w:r>
      <w:r w:rsidR="007A5A0D" w:rsidRPr="006F7BB4">
        <w:rPr>
          <w:rFonts w:ascii="Nirmala UI" w:hAnsi="Nirmala UI" w:cs="Nirmala UI"/>
          <w:lang w:val="en-US"/>
        </w:rPr>
        <w:t xml:space="preserve">analysis period 27 </w:t>
      </w:r>
      <w:r w:rsidR="00792E0E" w:rsidRPr="006F7BB4">
        <w:rPr>
          <w:rFonts w:ascii="Nirmala UI" w:hAnsi="Nirmala UI" w:cs="Nirmala UI"/>
          <w:lang w:val="en-US"/>
        </w:rPr>
        <w:t xml:space="preserve">February </w:t>
      </w:r>
      <w:r w:rsidR="007A5A0D" w:rsidRPr="006F7BB4">
        <w:rPr>
          <w:rFonts w:ascii="Nirmala UI" w:hAnsi="Nirmala UI" w:cs="Nirmala UI"/>
          <w:lang w:val="en-US"/>
        </w:rPr>
        <w:t xml:space="preserve">through 31 </w:t>
      </w:r>
      <w:r w:rsidR="00792E0E" w:rsidRPr="006F7BB4">
        <w:rPr>
          <w:rFonts w:ascii="Nirmala UI" w:hAnsi="Nirmala UI" w:cs="Nirmala UI"/>
          <w:lang w:val="en-US"/>
        </w:rPr>
        <w:t xml:space="preserve">December </w:t>
      </w:r>
      <w:r w:rsidR="007A5A0D" w:rsidRPr="006F7BB4">
        <w:rPr>
          <w:rFonts w:ascii="Nirmala UI" w:hAnsi="Nirmala UI" w:cs="Nirmala UI"/>
          <w:lang w:val="en-US"/>
        </w:rPr>
        <w:t>2020)</w:t>
      </w:r>
      <w:r w:rsidR="002D5B27" w:rsidRPr="006F7BB4">
        <w:rPr>
          <w:rFonts w:ascii="Nirmala UI" w:hAnsi="Nirmala UI" w:cs="Nirmala UI"/>
          <w:lang w:val="en-US"/>
        </w:rPr>
        <w:t>,</w:t>
      </w:r>
      <w:r w:rsidR="007A5A0D" w:rsidRPr="006F7BB4">
        <w:rPr>
          <w:rFonts w:ascii="Nirmala UI" w:hAnsi="Nirmala UI" w:cs="Nirmala UI"/>
          <w:lang w:val="en-US"/>
        </w:rPr>
        <w:t xml:space="preserve"> comparing estimates derived using GBD-2019</w:t>
      </w:r>
      <w:r w:rsidR="003A0BB8">
        <w:rPr>
          <w:rFonts w:ascii="Nirmala UI" w:hAnsi="Nirmala UI" w:cs="Nirmala UI"/>
          <w:lang w:val="en-US"/>
        </w:rPr>
        <w:t xml:space="preserve">, </w:t>
      </w:r>
      <w:r w:rsidR="003A0BB8" w:rsidRPr="006F7BB4">
        <w:rPr>
          <w:rFonts w:ascii="Nirmala UI" w:hAnsi="Nirmala UI" w:cs="Nirmala UI"/>
          <w:lang w:val="en-US"/>
        </w:rPr>
        <w:t>GBD-2010</w:t>
      </w:r>
      <w:r w:rsidR="003A0BB8">
        <w:rPr>
          <w:rFonts w:ascii="Nirmala UI" w:hAnsi="Nirmala UI" w:cs="Nirmala UI"/>
          <w:lang w:val="en-US"/>
        </w:rPr>
        <w:t>,</w:t>
      </w:r>
      <w:r w:rsidR="003A0BB8" w:rsidRPr="006F7BB4">
        <w:rPr>
          <w:rFonts w:ascii="Nirmala UI" w:hAnsi="Nirmala UI" w:cs="Nirmala UI"/>
          <w:lang w:val="en-US"/>
        </w:rPr>
        <w:t xml:space="preserve"> </w:t>
      </w:r>
      <w:r w:rsidR="003A0BB8">
        <w:rPr>
          <w:rFonts w:ascii="Nirmala UI" w:hAnsi="Nirmala UI" w:cs="Nirmala UI"/>
          <w:lang w:val="en-US"/>
        </w:rPr>
        <w:t>and Dutch (for the year 2015)</w:t>
      </w:r>
      <w:r w:rsidR="007A5A0D" w:rsidRPr="006F7BB4">
        <w:rPr>
          <w:rFonts w:ascii="Nirmala UI" w:hAnsi="Nirmala UI" w:cs="Nirmala UI"/>
          <w:lang w:val="en-US"/>
        </w:rPr>
        <w:t xml:space="preserve"> conditional life expectancy values.</w:t>
      </w:r>
    </w:p>
    <w:p w14:paraId="73065DFD" w14:textId="77777777" w:rsidR="007A5A0D" w:rsidRPr="006F7BB4" w:rsidRDefault="007A5A0D" w:rsidP="007A5A0D">
      <w:pPr>
        <w:rPr>
          <w:rFonts w:ascii="Nirmala UI" w:hAnsi="Nirmala UI" w:cs="Nirmala UI"/>
          <w:bCs/>
          <w:i/>
          <w:iCs/>
          <w:lang w:val="en-US"/>
        </w:rPr>
      </w:pPr>
    </w:p>
    <w:tbl>
      <w:tblPr>
        <w:tblW w:w="1232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03"/>
        <w:gridCol w:w="1431"/>
        <w:gridCol w:w="1418"/>
        <w:gridCol w:w="1842"/>
        <w:gridCol w:w="1843"/>
        <w:gridCol w:w="1843"/>
        <w:gridCol w:w="1843"/>
      </w:tblGrid>
      <w:tr w:rsidR="007A5A0D" w:rsidRPr="006F7BB4" w14:paraId="72284322" w14:textId="77777777" w:rsidTr="002D5B27">
        <w:trPr>
          <w:trHeight w:val="1037"/>
        </w:trPr>
        <w:tc>
          <w:tcPr>
            <w:tcW w:w="210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ABEA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50A506" w14:textId="77777777" w:rsidR="007A5A0D" w:rsidRPr="006F7BB4" w:rsidRDefault="007A5A0D" w:rsidP="007A5A0D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 w:rsidRPr="006F7BB4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Normative life expectancy values</w:t>
            </w:r>
          </w:p>
        </w:tc>
        <w:tc>
          <w:tcPr>
            <w:tcW w:w="143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ABEA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D7C998" w14:textId="77777777" w:rsidR="007A5A0D" w:rsidRPr="006F7BB4" w:rsidRDefault="007A5A0D" w:rsidP="007A5A0D">
            <w:pPr>
              <w:rPr>
                <w:rFonts w:ascii="Nirmala UI" w:hAnsi="Nirmala UI" w:cs="Nirmala UI"/>
                <w:bCs/>
                <w:sz w:val="20"/>
                <w:szCs w:val="20"/>
              </w:rPr>
            </w:pPr>
            <w:r w:rsidRPr="006F7BB4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YLD</w:t>
            </w:r>
            <w:r w:rsidRPr="006F7BB4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br/>
            </w:r>
            <w:r w:rsidRPr="006F7BB4">
              <w:rPr>
                <w:rFonts w:ascii="Nirmala UI" w:hAnsi="Nirmala UI" w:cs="Nirmala UI"/>
                <w:bCs/>
                <w:sz w:val="20"/>
                <w:szCs w:val="20"/>
              </w:rPr>
              <w:t>(95% CI)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ABEA5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5DB411" w14:textId="77777777" w:rsidR="007A5A0D" w:rsidRPr="006F7BB4" w:rsidRDefault="007A5A0D" w:rsidP="007A5A0D">
            <w:pPr>
              <w:rPr>
                <w:rFonts w:ascii="Nirmala UI" w:hAnsi="Nirmala UI" w:cs="Nirmala UI"/>
                <w:bCs/>
                <w:sz w:val="20"/>
                <w:szCs w:val="20"/>
              </w:rPr>
            </w:pPr>
            <w:r w:rsidRPr="006F7BB4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YLL</w:t>
            </w:r>
            <w:r w:rsidRPr="006F7BB4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br/>
              <w:t>(95% CI)</w:t>
            </w:r>
          </w:p>
        </w:tc>
        <w:tc>
          <w:tcPr>
            <w:tcW w:w="184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ABEA5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D1E717" w14:textId="77777777" w:rsidR="007A5A0D" w:rsidRPr="006F7BB4" w:rsidRDefault="007A5A0D" w:rsidP="007A5A0D">
            <w:pPr>
              <w:rPr>
                <w:rFonts w:ascii="Nirmala UI" w:hAnsi="Nirmala UI" w:cs="Nirmala UI"/>
                <w:bCs/>
                <w:sz w:val="20"/>
                <w:szCs w:val="20"/>
              </w:rPr>
            </w:pPr>
            <w:r w:rsidRPr="006F7BB4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DALY</w:t>
            </w:r>
            <w:r w:rsidRPr="006F7BB4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br/>
              <w:t>(95% CI)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ABEA5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9B1AF2" w14:textId="77777777" w:rsidR="007A5A0D" w:rsidRPr="006F7BB4" w:rsidRDefault="002D5B27" w:rsidP="007A5A0D">
            <w:pPr>
              <w:rPr>
                <w:rFonts w:ascii="Nirmala UI" w:hAnsi="Nirmala UI" w:cs="Nirmala UI"/>
                <w:bCs/>
                <w:sz w:val="20"/>
                <w:szCs w:val="20"/>
              </w:rPr>
            </w:pPr>
            <w:r w:rsidRPr="006F7BB4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DALY per 100,000</w:t>
            </w:r>
            <w:r w:rsidR="007A5A0D" w:rsidRPr="006F7BB4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br/>
            </w:r>
            <w:r w:rsidR="007A5A0D" w:rsidRPr="006F7BB4">
              <w:rPr>
                <w:rFonts w:ascii="Nirmala UI" w:hAnsi="Nirmala UI" w:cs="Nirmala UI"/>
                <w:bCs/>
                <w:sz w:val="20"/>
                <w:szCs w:val="20"/>
              </w:rPr>
              <w:t>(95% CI)</w:t>
            </w:r>
          </w:p>
        </w:tc>
        <w:tc>
          <w:tcPr>
            <w:tcW w:w="1843" w:type="dxa"/>
          </w:tcPr>
          <w:p w14:paraId="5C659B97" w14:textId="77777777" w:rsidR="007A5A0D" w:rsidRPr="006F7BB4" w:rsidRDefault="007A5A0D" w:rsidP="007A5A0D">
            <w:pPr>
              <w:rPr>
                <w:rFonts w:ascii="Nirmala UI" w:hAnsi="Nirmala UI" w:cs="Nirmala UI"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14:paraId="410EDC5A" w14:textId="77777777" w:rsidR="007A5A0D" w:rsidRPr="006F7BB4" w:rsidRDefault="007A5A0D" w:rsidP="007A5A0D">
            <w:pPr>
              <w:rPr>
                <w:rFonts w:ascii="Nirmala UI" w:hAnsi="Nirmala UI" w:cs="Nirmala UI"/>
                <w:bCs/>
                <w:sz w:val="20"/>
                <w:szCs w:val="20"/>
              </w:rPr>
            </w:pPr>
            <w:r w:rsidRPr="006F7BB4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DALY</w:t>
            </w:r>
            <w:r w:rsidRPr="006F7BB4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br/>
              <w:t>(95% CI)</w:t>
            </w:r>
          </w:p>
        </w:tc>
      </w:tr>
      <w:tr w:rsidR="007A5A0D" w:rsidRPr="006F7BB4" w14:paraId="07725B62" w14:textId="77777777" w:rsidTr="002D5B27">
        <w:trPr>
          <w:gridAfter w:val="2"/>
          <w:wAfter w:w="3686" w:type="dxa"/>
          <w:trHeight w:val="966"/>
        </w:trPr>
        <w:tc>
          <w:tcPr>
            <w:tcW w:w="2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A45269" w14:textId="450ED931" w:rsidR="007A5A0D" w:rsidRPr="006F7BB4" w:rsidRDefault="007A5A0D" w:rsidP="007A5A0D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 w:rsidRPr="006F7BB4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 xml:space="preserve">GBD-2019 </w:t>
            </w:r>
            <w:r w:rsidR="002D5B27" w:rsidRPr="006F7BB4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br/>
            </w:r>
            <w:r w:rsidRPr="006F7BB4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(main analysis)</w:t>
            </w:r>
          </w:p>
        </w:tc>
        <w:tc>
          <w:tcPr>
            <w:tcW w:w="1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FA3EB6" w14:textId="6DC700ED" w:rsidR="007A5A0D" w:rsidRPr="009139D8" w:rsidRDefault="007A5A0D" w:rsidP="007A5A0D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 xml:space="preserve">1600 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br/>
              <w:t>(1</w:t>
            </w:r>
            <w:r w:rsidR="003A0BB8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5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00-1700)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44D1A3" w14:textId="574748DD" w:rsidR="007A5A0D" w:rsidRPr="009139D8" w:rsidRDefault="007A5A0D" w:rsidP="007A5A0D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2</w:t>
            </w:r>
            <w:r w:rsidR="008D7C1C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84,50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 xml:space="preserve">0 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br/>
              <w:t>(2</w:t>
            </w:r>
            <w:r w:rsidR="008D7C1C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80,1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00-</w:t>
            </w:r>
            <w:r w:rsidR="008D7C1C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288,9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00)</w:t>
            </w:r>
          </w:p>
        </w:tc>
        <w:tc>
          <w:tcPr>
            <w:tcW w:w="18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2B4E6F" w14:textId="48513B7A" w:rsidR="007A5A0D" w:rsidRPr="009139D8" w:rsidRDefault="008D7C1C" w:rsidP="008D7C1C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286,100 (281,700-290,500)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6CA13C" w14:textId="52C438AA" w:rsidR="007A5A0D" w:rsidRPr="009139D8" w:rsidRDefault="002D5B27" w:rsidP="007A5A0D">
            <w:pPr>
              <w:rPr>
                <w:rFonts w:ascii="Nirmala UI" w:hAnsi="Nirmala UI" w:cs="Nirmala UI"/>
                <w:bCs/>
                <w:sz w:val="20"/>
                <w:szCs w:val="20"/>
              </w:rPr>
            </w:pPr>
            <w:r w:rsidRPr="009139D8">
              <w:rPr>
                <w:rFonts w:ascii="Nirmala UI" w:hAnsi="Nirmala UI" w:cs="Nirmala UI"/>
                <w:bCs/>
                <w:sz w:val="20"/>
                <w:szCs w:val="20"/>
              </w:rPr>
              <w:t>1</w:t>
            </w:r>
            <w:r w:rsidR="008D7C1C" w:rsidRPr="009139D8">
              <w:rPr>
                <w:rFonts w:ascii="Nirmala UI" w:hAnsi="Nirmala UI" w:cs="Nirmala UI"/>
                <w:bCs/>
                <w:sz w:val="20"/>
                <w:szCs w:val="20"/>
              </w:rPr>
              <w:t>640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</w:rPr>
              <w:t xml:space="preserve"> (</w:t>
            </w:r>
            <w:r w:rsidR="008D7C1C" w:rsidRPr="009139D8">
              <w:rPr>
                <w:rFonts w:ascii="Nirmala UI" w:hAnsi="Nirmala UI" w:cs="Nirmala UI"/>
                <w:bCs/>
                <w:sz w:val="20"/>
                <w:szCs w:val="20"/>
              </w:rPr>
              <w:t>1620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</w:rPr>
              <w:t>-16</w:t>
            </w:r>
            <w:r w:rsidR="008D7C1C" w:rsidRPr="009139D8">
              <w:rPr>
                <w:rFonts w:ascii="Nirmala UI" w:hAnsi="Nirmala UI" w:cs="Nirmala UI"/>
                <w:bCs/>
                <w:sz w:val="20"/>
                <w:szCs w:val="20"/>
              </w:rPr>
              <w:t>7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</w:rPr>
              <w:t>0)</w:t>
            </w:r>
          </w:p>
        </w:tc>
      </w:tr>
      <w:tr w:rsidR="007A5A0D" w:rsidRPr="006F7BB4" w14:paraId="6CBC4A10" w14:textId="77777777" w:rsidTr="002D5B27">
        <w:trPr>
          <w:gridAfter w:val="2"/>
          <w:wAfter w:w="3686" w:type="dxa"/>
          <w:trHeight w:val="1037"/>
        </w:trPr>
        <w:tc>
          <w:tcPr>
            <w:tcW w:w="2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4E8E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928773F" w14:textId="08B23C74" w:rsidR="007A5A0D" w:rsidRPr="006F7BB4" w:rsidRDefault="007A5A0D" w:rsidP="007A5A0D">
            <w:pPr>
              <w:rPr>
                <w:rFonts w:ascii="Nirmala UI" w:hAnsi="Nirmala UI" w:cs="Nirmala UI"/>
                <w:bCs/>
                <w:i/>
                <w:iCs/>
                <w:sz w:val="20"/>
                <w:szCs w:val="20"/>
                <w:lang w:val="en-US"/>
              </w:rPr>
            </w:pPr>
            <w:r w:rsidRPr="006F7BB4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GBD-2010</w:t>
            </w:r>
          </w:p>
        </w:tc>
        <w:tc>
          <w:tcPr>
            <w:tcW w:w="1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4E8E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739204" w14:textId="70F1D92C" w:rsidR="007A5A0D" w:rsidRPr="009139D8" w:rsidRDefault="007A5A0D" w:rsidP="007A5A0D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 xml:space="preserve">1600 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br/>
              <w:t>(1</w:t>
            </w:r>
            <w:r w:rsidR="003A0BB8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5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00-1700)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4E8E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B56D08" w14:textId="694A1657" w:rsidR="007A5A0D" w:rsidRPr="009139D8" w:rsidRDefault="00FA491E" w:rsidP="007A5A0D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205.4</w:t>
            </w:r>
            <w:r w:rsidR="002D5B27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00</w:t>
            </w:r>
            <w:r w:rsidR="007A5A0D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br/>
              <w:t>(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202,0</w:t>
            </w:r>
            <w:r w:rsidR="002D5B27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00</w:t>
            </w:r>
            <w:r w:rsidR="007A5A0D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-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208,8</w:t>
            </w:r>
            <w:r w:rsidR="002D5B27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00</w:t>
            </w:r>
            <w:r w:rsidR="007A5A0D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8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4E8E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24B3FC" w14:textId="05163A5D" w:rsidR="007A5A0D" w:rsidRPr="009139D8" w:rsidRDefault="00FA491E" w:rsidP="007A5A0D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207,000</w:t>
            </w:r>
            <w:r w:rsidR="007A5A0D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 xml:space="preserve"> </w:t>
            </w:r>
            <w:r w:rsidR="007A5A0D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br/>
              <w:t>(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203,600</w:t>
            </w:r>
            <w:r w:rsidR="007A5A0D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-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210,4</w:t>
            </w:r>
            <w:r w:rsidR="002D5B27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00</w:t>
            </w:r>
            <w:r w:rsidR="007A5A0D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4E8E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19897D" w14:textId="737CDE8F" w:rsidR="007A5A0D" w:rsidRPr="009139D8" w:rsidRDefault="002D5B27" w:rsidP="007A5A0D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11</w:t>
            </w:r>
            <w:r w:rsidR="00FA491E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90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 xml:space="preserve"> (11</w:t>
            </w:r>
            <w:r w:rsidR="00FA491E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7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0-1</w:t>
            </w:r>
            <w:r w:rsidR="00FA491E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21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0)</w:t>
            </w:r>
          </w:p>
        </w:tc>
      </w:tr>
      <w:tr w:rsidR="003A0BB8" w:rsidRPr="006F7BB4" w14:paraId="70DEA514" w14:textId="77777777" w:rsidTr="002D5B27">
        <w:trPr>
          <w:gridAfter w:val="2"/>
          <w:wAfter w:w="3686" w:type="dxa"/>
          <w:trHeight w:val="1037"/>
        </w:trPr>
        <w:tc>
          <w:tcPr>
            <w:tcW w:w="2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4E8E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6819A0" w14:textId="03283A65" w:rsidR="003A0BB8" w:rsidRPr="006F7BB4" w:rsidRDefault="003A0BB8" w:rsidP="007A5A0D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Netherlands 2015</w:t>
            </w:r>
          </w:p>
        </w:tc>
        <w:tc>
          <w:tcPr>
            <w:tcW w:w="1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4E8E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ABE78A" w14:textId="7FD8683B" w:rsidR="003A0BB8" w:rsidRPr="009139D8" w:rsidRDefault="003A0BB8" w:rsidP="007A5A0D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1600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br/>
              <w:t>(1500-1700)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4E8E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DE7FDB" w14:textId="3F82DF6C" w:rsidR="003A0BB8" w:rsidRPr="009139D8" w:rsidRDefault="003A0BB8" w:rsidP="007A5A0D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1</w:t>
            </w:r>
            <w:r w:rsidR="00056724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7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3</w:t>
            </w:r>
            <w:r w:rsidR="00056724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,5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00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br/>
              <w:t>(1</w:t>
            </w:r>
            <w:r w:rsidR="00056724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70.5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00-17</w:t>
            </w:r>
            <w:r w:rsidR="00056724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6,4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00)</w:t>
            </w:r>
          </w:p>
        </w:tc>
        <w:tc>
          <w:tcPr>
            <w:tcW w:w="18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4E8E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DBF5E2" w14:textId="7E4ECA87" w:rsidR="003A0BB8" w:rsidRPr="009139D8" w:rsidRDefault="003A0BB8" w:rsidP="007A5A0D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1</w:t>
            </w:r>
            <w:r w:rsidR="00056724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7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5</w:t>
            </w:r>
            <w:r w:rsidR="00056724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,1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 xml:space="preserve">00 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br/>
              <w:t>(1</w:t>
            </w:r>
            <w:r w:rsidR="00056724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7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2</w:t>
            </w:r>
            <w:r w:rsidR="00056724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,1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00-1</w:t>
            </w:r>
            <w:r w:rsidR="00056724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7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8</w:t>
            </w:r>
            <w:r w:rsidR="00056724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,0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00)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4E8E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74CCB8" w14:textId="485200BB" w:rsidR="003A0BB8" w:rsidRPr="009139D8" w:rsidRDefault="00056724" w:rsidP="007A5A0D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1010</w:t>
            </w:r>
            <w:r w:rsidR="003A0BB8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 xml:space="preserve"> (9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90</w:t>
            </w:r>
            <w:r w:rsidR="003A0BB8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-</w:t>
            </w:r>
            <w:r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1020</w:t>
            </w:r>
            <w:r w:rsidR="003A0BB8" w:rsidRPr="009139D8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)</w:t>
            </w:r>
          </w:p>
        </w:tc>
      </w:tr>
    </w:tbl>
    <w:p w14:paraId="0E7236DC" w14:textId="77777777" w:rsidR="007A5A0D" w:rsidRPr="006F7BB4" w:rsidRDefault="007A5A0D" w:rsidP="007A5A0D">
      <w:pPr>
        <w:rPr>
          <w:rFonts w:ascii="Nirmala UI" w:hAnsi="Nirmala UI" w:cs="Nirmala UI"/>
          <w:bCs/>
          <w:sz w:val="18"/>
          <w:szCs w:val="18"/>
          <w:lang w:val="en-US"/>
        </w:rPr>
      </w:pPr>
    </w:p>
    <w:p w14:paraId="4EAF50E4" w14:textId="77777777" w:rsidR="007A5A0D" w:rsidRPr="006F7BB4" w:rsidRDefault="007A5A0D">
      <w:pPr>
        <w:rPr>
          <w:rFonts w:ascii="Nirmala UI" w:hAnsi="Nirmala UI" w:cs="Nirmala UI"/>
          <w:b/>
          <w:lang w:val="en-US"/>
        </w:rPr>
      </w:pPr>
      <w:r w:rsidRPr="006F7BB4">
        <w:rPr>
          <w:rFonts w:ascii="Nirmala UI" w:hAnsi="Nirmala UI" w:cs="Nirmala UI"/>
          <w:b/>
          <w:lang w:val="en-US"/>
        </w:rPr>
        <w:br w:type="page"/>
      </w:r>
    </w:p>
    <w:p w14:paraId="6D80D2C5" w14:textId="77777777" w:rsidR="00B438A7" w:rsidRDefault="00B438A7">
      <w:pPr>
        <w:rPr>
          <w:rFonts w:ascii="Nirmala UI" w:hAnsi="Nirmala UI" w:cs="Nirmala UI"/>
          <w:bCs/>
          <w:lang w:val="en-US"/>
        </w:rPr>
      </w:pPr>
      <w:r w:rsidRPr="006F7BB4">
        <w:rPr>
          <w:rFonts w:ascii="Nirmala UI" w:hAnsi="Nirmala UI" w:cs="Nirmala UI"/>
          <w:b/>
          <w:lang w:val="en-US"/>
        </w:rPr>
        <w:lastRenderedPageBreak/>
        <w:t>Table S</w:t>
      </w:r>
      <w:r>
        <w:rPr>
          <w:rFonts w:ascii="Nirmala UI" w:hAnsi="Nirmala UI" w:cs="Nirmala UI"/>
          <w:b/>
          <w:lang w:val="en-US"/>
        </w:rPr>
        <w:t xml:space="preserve">3. </w:t>
      </w:r>
      <w:r>
        <w:rPr>
          <w:rFonts w:ascii="Nirmala UI" w:hAnsi="Nirmala UI" w:cs="Nirmala UI"/>
          <w:bCs/>
          <w:lang w:val="en-US"/>
        </w:rPr>
        <w:t>Derivation of mortality burden among elderly persons receiving institutional care.</w:t>
      </w:r>
    </w:p>
    <w:p w14:paraId="64D24040" w14:textId="77777777" w:rsidR="00B438A7" w:rsidRDefault="00B438A7">
      <w:pPr>
        <w:rPr>
          <w:rFonts w:ascii="Nirmala UI" w:hAnsi="Nirmala UI" w:cs="Nirmala UI"/>
          <w:b/>
          <w:lang w:val="en-US"/>
        </w:rPr>
      </w:pPr>
    </w:p>
    <w:tbl>
      <w:tblPr>
        <w:tblW w:w="8212" w:type="dxa"/>
        <w:tblCellMar>
          <w:left w:w="85" w:type="dxa"/>
          <w:right w:w="85" w:type="dxa"/>
        </w:tblCellMar>
        <w:tblLook w:val="0420" w:firstRow="1" w:lastRow="0" w:firstColumn="0" w:lastColumn="0" w:noHBand="0" w:noVBand="1"/>
      </w:tblPr>
      <w:tblGrid>
        <w:gridCol w:w="1364"/>
        <w:gridCol w:w="1745"/>
        <w:gridCol w:w="1276"/>
        <w:gridCol w:w="1417"/>
        <w:gridCol w:w="1134"/>
        <w:gridCol w:w="1276"/>
      </w:tblGrid>
      <w:tr w:rsidR="00B438A7" w:rsidRPr="006F7BB4" w14:paraId="00ADE5A8" w14:textId="77777777" w:rsidTr="0044127C">
        <w:trPr>
          <w:trHeight w:val="817"/>
        </w:trPr>
        <w:tc>
          <w:tcPr>
            <w:tcW w:w="136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ABEA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98BFC0" w14:textId="77777777" w:rsidR="00B438A7" w:rsidRPr="006F7BB4" w:rsidRDefault="00B438A7" w:rsidP="002D17CA">
            <w:pPr>
              <w:spacing w:after="0"/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</w:p>
        </w:tc>
        <w:tc>
          <w:tcPr>
            <w:tcW w:w="174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ABEA5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012B5A" w14:textId="77777777" w:rsidR="00B438A7" w:rsidRPr="00386249" w:rsidRDefault="00B438A7" w:rsidP="002D17CA">
            <w:pPr>
              <w:spacing w:after="0"/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</w:p>
        </w:tc>
        <w:tc>
          <w:tcPr>
            <w:tcW w:w="2693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ABEA5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E8E63F" w14:textId="7FAB30F0" w:rsidR="00B438A7" w:rsidRDefault="00B438A7" w:rsidP="002D17CA">
            <w:pPr>
              <w:spacing w:after="0"/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Institutional care re</w:t>
            </w:r>
            <w:r w:rsidR="00CF086F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cipients</w:t>
            </w:r>
          </w:p>
          <w:p w14:paraId="24D5F4D3" w14:textId="77777777" w:rsidR="00B438A7" w:rsidRPr="00386249" w:rsidRDefault="00B438A7" w:rsidP="002D17CA">
            <w:pPr>
              <w:spacing w:after="0"/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in the Netherlands</w:t>
            </w:r>
          </w:p>
        </w:tc>
        <w:tc>
          <w:tcPr>
            <w:tcW w:w="2410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ABEA5"/>
          </w:tcPr>
          <w:p w14:paraId="3F1E18E5" w14:textId="64626AD3" w:rsidR="00B438A7" w:rsidRPr="00386249" w:rsidRDefault="00B438A7" w:rsidP="002D17CA">
            <w:pPr>
              <w:spacing w:after="0"/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 xml:space="preserve">  Not institutional care</w:t>
            </w:r>
            <w: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br/>
              <w:t xml:space="preserve">  </w:t>
            </w:r>
            <w:r w:rsidR="00CF086F"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recipients</w:t>
            </w:r>
          </w:p>
        </w:tc>
      </w:tr>
      <w:tr w:rsidR="00B438A7" w:rsidRPr="002D59F1" w14:paraId="5B7F349D" w14:textId="77777777" w:rsidTr="0044127C">
        <w:trPr>
          <w:trHeight w:val="534"/>
        </w:trPr>
        <w:tc>
          <w:tcPr>
            <w:tcW w:w="136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ABEA5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50170E" w14:textId="77777777" w:rsidR="00B438A7" w:rsidRDefault="00B438A7" w:rsidP="002D17CA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5-year age-group</w:t>
            </w:r>
          </w:p>
        </w:tc>
        <w:tc>
          <w:tcPr>
            <w:tcW w:w="174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ABEA5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D913054" w14:textId="7ED3069D" w:rsidR="00B438A7" w:rsidRDefault="00B438A7" w:rsidP="002D17CA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Life expectancy  from GBD-2019 (years)</w:t>
            </w:r>
            <w:r w:rsidR="000700D9">
              <w:rPr>
                <w:rFonts w:ascii="Nirmala UI" w:hAnsi="Nirmala UI" w:cs="Nirmala UI"/>
                <w:bCs/>
                <w:sz w:val="20"/>
                <w:szCs w:val="20"/>
                <w:vertAlign w:val="superscript"/>
                <w:lang w:val="en-US"/>
              </w:rPr>
              <w:t>[1]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ABEA5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F7ED5B" w14:textId="5E39CB11" w:rsidR="00B438A7" w:rsidRDefault="00B438A7" w:rsidP="002D17CA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COVID-19 deaths</w:t>
            </w:r>
            <w:r w:rsidR="000700D9">
              <w:rPr>
                <w:rFonts w:ascii="Nirmala UI" w:hAnsi="Nirmala UI" w:cs="Nirmala UI"/>
                <w:bCs/>
                <w:sz w:val="20"/>
                <w:szCs w:val="20"/>
                <w:vertAlign w:val="superscript"/>
                <w:lang w:val="en-US"/>
              </w:rPr>
              <w:t>[2]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ABEA5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598E55" w14:textId="77777777" w:rsidR="00B438A7" w:rsidRPr="00386249" w:rsidRDefault="00B438A7" w:rsidP="002D17CA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Years of life lost (YLL)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ABEA5"/>
          </w:tcPr>
          <w:p w14:paraId="0DB6174B" w14:textId="0488FC19" w:rsidR="00B438A7" w:rsidRPr="006F7BB4" w:rsidRDefault="00B438A7" w:rsidP="002D17CA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COVID-19 deaths</w:t>
            </w:r>
            <w:r w:rsidR="000700D9">
              <w:rPr>
                <w:rFonts w:ascii="Nirmala UI" w:hAnsi="Nirmala UI" w:cs="Nirmala UI"/>
                <w:bCs/>
                <w:sz w:val="20"/>
                <w:szCs w:val="20"/>
                <w:vertAlign w:val="superscript"/>
                <w:lang w:val="en-US"/>
              </w:rPr>
              <w:t>[</w:t>
            </w:r>
            <w:r w:rsidR="00F5132A">
              <w:rPr>
                <w:rFonts w:ascii="Nirmala UI" w:hAnsi="Nirmala UI" w:cs="Nirmala UI"/>
                <w:bCs/>
                <w:sz w:val="20"/>
                <w:szCs w:val="20"/>
                <w:vertAlign w:val="superscript"/>
                <w:lang w:val="en-US"/>
              </w:rPr>
              <w:t>2</w:t>
            </w:r>
            <w:r w:rsidR="000700D9">
              <w:rPr>
                <w:rFonts w:ascii="Nirmala UI" w:hAnsi="Nirmala UI" w:cs="Nirmala UI"/>
                <w:bCs/>
                <w:sz w:val="20"/>
                <w:szCs w:val="20"/>
                <w:vertAlign w:val="superscript"/>
                <w:lang w:val="en-US"/>
              </w:rPr>
              <w:t>]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6ABEA5"/>
          </w:tcPr>
          <w:p w14:paraId="1DA84581" w14:textId="77777777" w:rsidR="00B438A7" w:rsidRPr="006F7BB4" w:rsidRDefault="00B438A7" w:rsidP="002D17CA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Years of life lost (YLL)</w:t>
            </w:r>
          </w:p>
        </w:tc>
      </w:tr>
      <w:tr w:rsidR="00B438A7" w:rsidRPr="006F7BB4" w14:paraId="68F8FA8D" w14:textId="77777777" w:rsidTr="0044127C">
        <w:trPr>
          <w:trHeight w:val="966"/>
        </w:trPr>
        <w:tc>
          <w:tcPr>
            <w:tcW w:w="13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124134" w14:textId="77777777" w:rsidR="00B438A7" w:rsidRPr="006F7BB4" w:rsidRDefault="00B438A7" w:rsidP="002D17CA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80-84</w:t>
            </w:r>
          </w:p>
        </w:tc>
        <w:tc>
          <w:tcPr>
            <w:tcW w:w="1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5C3D62" w14:textId="77777777" w:rsidR="00B438A7" w:rsidRPr="00A26F3C" w:rsidRDefault="00B438A7" w:rsidP="002D17CA">
            <w:pPr>
              <w:jc w:val="right"/>
              <w:rPr>
                <w:rFonts w:ascii="Nirmala UI" w:hAnsi="Nirmala UI" w:cs="Nirmala UI"/>
                <w:sz w:val="20"/>
                <w:szCs w:val="20"/>
                <w:lang w:val="en-US"/>
              </w:rPr>
            </w:pPr>
            <w:r w:rsidRPr="00A26F3C">
              <w:rPr>
                <w:rFonts w:ascii="Calibri" w:hAnsi="Calibri" w:cs="Calibri"/>
                <w:color w:val="000000"/>
              </w:rPr>
              <w:t>13.24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ABBC1C" w14:textId="5BAEC7B5" w:rsidR="00B438A7" w:rsidRPr="00A26F3C" w:rsidRDefault="00B438A7" w:rsidP="002D17CA">
            <w:pPr>
              <w:jc w:val="right"/>
              <w:rPr>
                <w:rFonts w:ascii="Nirmala UI" w:hAnsi="Nirmala UI" w:cs="Nirmala UI"/>
                <w:sz w:val="20"/>
                <w:szCs w:val="20"/>
                <w:lang w:val="en-US"/>
              </w:rPr>
            </w:pPr>
            <w:r w:rsidRPr="00A26F3C">
              <w:rPr>
                <w:rFonts w:ascii="Calibri" w:hAnsi="Calibri" w:cs="Calibri"/>
                <w:color w:val="000000"/>
              </w:rPr>
              <w:t>2</w:t>
            </w:r>
            <w:r w:rsidR="00484FAF">
              <w:rPr>
                <w:rFonts w:ascii="Calibri" w:hAnsi="Calibri" w:cs="Calibri"/>
                <w:color w:val="000000"/>
              </w:rPr>
              <w:t>235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5C3A0A" w14:textId="58ADB50F" w:rsidR="00B438A7" w:rsidRPr="00A26F3C" w:rsidRDefault="00484FAF" w:rsidP="002D17CA">
            <w:pPr>
              <w:jc w:val="right"/>
              <w:rPr>
                <w:rFonts w:ascii="Nirmala UI" w:hAnsi="Nirmala UI" w:cs="Nirmala U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29590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vAlign w:val="center"/>
          </w:tcPr>
          <w:p w14:paraId="2A2B707E" w14:textId="61DADB49" w:rsidR="00B438A7" w:rsidRPr="00A26F3C" w:rsidRDefault="00B438A7" w:rsidP="002D17CA">
            <w:pPr>
              <w:jc w:val="right"/>
              <w:rPr>
                <w:rFonts w:ascii="Nirmala UI" w:hAnsi="Nirmala UI" w:cs="Nirmala UI"/>
                <w:sz w:val="20"/>
                <w:szCs w:val="20"/>
              </w:rPr>
            </w:pPr>
            <w:r w:rsidRPr="00A26F3C">
              <w:rPr>
                <w:rFonts w:ascii="Calibri" w:hAnsi="Calibri" w:cs="Calibri"/>
                <w:color w:val="000000"/>
              </w:rPr>
              <w:t>1</w:t>
            </w:r>
            <w:r w:rsidR="00CF086F">
              <w:rPr>
                <w:rFonts w:ascii="Calibri" w:hAnsi="Calibri" w:cs="Calibri"/>
                <w:color w:val="000000"/>
              </w:rPr>
              <w:t>780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vAlign w:val="center"/>
          </w:tcPr>
          <w:p w14:paraId="5F8769F6" w14:textId="63E9AF96" w:rsidR="00B438A7" w:rsidRPr="00A26F3C" w:rsidRDefault="00B438A7" w:rsidP="002D17CA">
            <w:pPr>
              <w:jc w:val="right"/>
              <w:rPr>
                <w:rFonts w:ascii="Nirmala UI" w:hAnsi="Nirmala UI" w:cs="Nirmala UI"/>
                <w:sz w:val="20"/>
                <w:szCs w:val="20"/>
              </w:rPr>
            </w:pPr>
            <w:r w:rsidRPr="00A26F3C">
              <w:rPr>
                <w:rFonts w:ascii="Calibri" w:hAnsi="Calibri" w:cs="Calibri"/>
                <w:color w:val="000000"/>
              </w:rPr>
              <w:t>2</w:t>
            </w:r>
            <w:r w:rsidR="00CF086F">
              <w:rPr>
                <w:rFonts w:ascii="Calibri" w:hAnsi="Calibri" w:cs="Calibri"/>
                <w:color w:val="000000"/>
              </w:rPr>
              <w:t>3570</w:t>
            </w:r>
          </w:p>
        </w:tc>
      </w:tr>
      <w:tr w:rsidR="00B438A7" w:rsidRPr="006F7BB4" w14:paraId="1D0D46F9" w14:textId="77777777" w:rsidTr="0044127C">
        <w:trPr>
          <w:trHeight w:val="966"/>
        </w:trPr>
        <w:tc>
          <w:tcPr>
            <w:tcW w:w="13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B0DA8D" w14:textId="77777777" w:rsidR="00B438A7" w:rsidRPr="006F7BB4" w:rsidRDefault="00B438A7" w:rsidP="002D17CA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85-89</w:t>
            </w:r>
          </w:p>
        </w:tc>
        <w:tc>
          <w:tcPr>
            <w:tcW w:w="1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BD1935" w14:textId="77777777" w:rsidR="00B438A7" w:rsidRPr="00A26F3C" w:rsidRDefault="00B438A7" w:rsidP="002D17CA">
            <w:pPr>
              <w:jc w:val="right"/>
              <w:rPr>
                <w:rFonts w:ascii="Nirmala UI" w:hAnsi="Nirmala UI" w:cs="Nirmala UI"/>
                <w:sz w:val="20"/>
                <w:szCs w:val="20"/>
                <w:lang w:val="en-US"/>
              </w:rPr>
            </w:pPr>
            <w:r w:rsidRPr="00A26F3C">
              <w:rPr>
                <w:rFonts w:ascii="Calibri" w:hAnsi="Calibri" w:cs="Calibri"/>
                <w:color w:val="000000"/>
              </w:rPr>
              <w:t>9.99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7CD2C3" w14:textId="71D08929" w:rsidR="00B438A7" w:rsidRPr="00A26F3C" w:rsidRDefault="00484FAF" w:rsidP="002D17CA">
            <w:pPr>
              <w:jc w:val="right"/>
              <w:rPr>
                <w:rFonts w:ascii="Nirmala UI" w:hAnsi="Nirmala UI" w:cs="Nirmala UI"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sz w:val="20"/>
                <w:szCs w:val="20"/>
                <w:lang w:val="en-US"/>
              </w:rPr>
              <w:t>3180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AE216A" w14:textId="7FCCCEFD" w:rsidR="00B438A7" w:rsidRPr="00A26F3C" w:rsidRDefault="00484FAF" w:rsidP="002D17CA">
            <w:pPr>
              <w:jc w:val="right"/>
              <w:rPr>
                <w:rFonts w:ascii="Nirmala UI" w:hAnsi="Nirmala UI" w:cs="Nirmala UI"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sz w:val="20"/>
                <w:szCs w:val="20"/>
                <w:lang w:val="en-US"/>
              </w:rPr>
              <w:t>31770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vAlign w:val="center"/>
          </w:tcPr>
          <w:p w14:paraId="7844972E" w14:textId="29292EAD" w:rsidR="00B438A7" w:rsidRPr="00A26F3C" w:rsidRDefault="00B438A7" w:rsidP="002D17CA">
            <w:pPr>
              <w:jc w:val="right"/>
              <w:rPr>
                <w:rFonts w:ascii="Nirmala UI" w:hAnsi="Nirmala UI" w:cs="Nirmala UI"/>
                <w:sz w:val="20"/>
                <w:szCs w:val="20"/>
              </w:rPr>
            </w:pPr>
            <w:r w:rsidRPr="00A26F3C">
              <w:rPr>
                <w:rFonts w:ascii="Calibri" w:hAnsi="Calibri" w:cs="Calibri"/>
                <w:color w:val="000000"/>
              </w:rPr>
              <w:t>1</w:t>
            </w:r>
            <w:r w:rsidR="00484FAF">
              <w:rPr>
                <w:rFonts w:ascii="Calibri" w:hAnsi="Calibri" w:cs="Calibri"/>
                <w:color w:val="000000"/>
              </w:rPr>
              <w:t>5</w:t>
            </w:r>
            <w:r w:rsidR="00CF086F"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vAlign w:val="center"/>
          </w:tcPr>
          <w:p w14:paraId="7A68AEF8" w14:textId="00236923" w:rsidR="00B438A7" w:rsidRPr="00A26F3C" w:rsidRDefault="00CF086F" w:rsidP="002D17CA">
            <w:pPr>
              <w:jc w:val="right"/>
              <w:rPr>
                <w:rFonts w:ascii="Nirmala UI" w:hAnsi="Nirmala UI" w:cs="Nirmala UI"/>
                <w:sz w:val="20"/>
                <w:szCs w:val="20"/>
              </w:rPr>
            </w:pPr>
            <w:r>
              <w:rPr>
                <w:rFonts w:ascii="Nirmala UI" w:hAnsi="Nirmala UI" w:cs="Nirmala UI"/>
                <w:sz w:val="20"/>
                <w:szCs w:val="20"/>
              </w:rPr>
              <w:t>15830</w:t>
            </w:r>
          </w:p>
        </w:tc>
      </w:tr>
      <w:tr w:rsidR="00B438A7" w:rsidRPr="006F7BB4" w14:paraId="0F22F7CA" w14:textId="77777777" w:rsidTr="0044127C">
        <w:trPr>
          <w:trHeight w:val="966"/>
        </w:trPr>
        <w:tc>
          <w:tcPr>
            <w:tcW w:w="13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1688112" w14:textId="77777777" w:rsidR="00B438A7" w:rsidRPr="006F7BB4" w:rsidRDefault="00B438A7" w:rsidP="002D17CA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90-94</w:t>
            </w:r>
          </w:p>
        </w:tc>
        <w:tc>
          <w:tcPr>
            <w:tcW w:w="1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2C555F" w14:textId="77777777" w:rsidR="00B438A7" w:rsidRPr="00A26F3C" w:rsidRDefault="00B438A7" w:rsidP="002D17CA">
            <w:pPr>
              <w:jc w:val="right"/>
              <w:rPr>
                <w:rFonts w:ascii="Nirmala UI" w:hAnsi="Nirmala UI" w:cs="Nirmala UI"/>
                <w:sz w:val="20"/>
                <w:szCs w:val="20"/>
                <w:lang w:val="en-US"/>
              </w:rPr>
            </w:pPr>
            <w:r w:rsidRPr="00A26F3C">
              <w:rPr>
                <w:rFonts w:ascii="Calibri" w:hAnsi="Calibri" w:cs="Calibri"/>
                <w:color w:val="000000"/>
              </w:rPr>
              <w:t>7.62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D40270" w14:textId="03D201D1" w:rsidR="00B438A7" w:rsidRPr="00A26F3C" w:rsidRDefault="00484FAF" w:rsidP="002D17CA">
            <w:pPr>
              <w:jc w:val="right"/>
              <w:rPr>
                <w:rFonts w:ascii="Nirmala UI" w:hAnsi="Nirmala UI" w:cs="Nirmala UI"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sz w:val="20"/>
                <w:szCs w:val="20"/>
                <w:lang w:val="en-US"/>
              </w:rPr>
              <w:t>2630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6E763A" w14:textId="601BFE71" w:rsidR="00B438A7" w:rsidRPr="00A26F3C" w:rsidRDefault="00484FAF" w:rsidP="002D17CA">
            <w:pPr>
              <w:jc w:val="right"/>
              <w:rPr>
                <w:rFonts w:ascii="Nirmala UI" w:hAnsi="Nirmala UI" w:cs="Nirmala UI"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sz w:val="20"/>
                <w:szCs w:val="20"/>
                <w:lang w:val="en-US"/>
              </w:rPr>
              <w:t>20040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vAlign w:val="center"/>
          </w:tcPr>
          <w:p w14:paraId="44BA6C5B" w14:textId="66577636" w:rsidR="00B438A7" w:rsidRPr="00A26F3C" w:rsidRDefault="00CF086F" w:rsidP="002D17CA">
            <w:pPr>
              <w:jc w:val="right"/>
              <w:rPr>
                <w:rFonts w:ascii="Nirmala UI" w:hAnsi="Nirmala UI" w:cs="Nirmala UI"/>
                <w:sz w:val="20"/>
                <w:szCs w:val="20"/>
              </w:rPr>
            </w:pPr>
            <w:r>
              <w:rPr>
                <w:rFonts w:ascii="Nirmala UI" w:hAnsi="Nirmala UI" w:cs="Nirmala UI"/>
                <w:sz w:val="20"/>
                <w:szCs w:val="20"/>
              </w:rPr>
              <w:t>800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vAlign w:val="center"/>
          </w:tcPr>
          <w:p w14:paraId="3EDBBE5E" w14:textId="76DA877D" w:rsidR="00B438A7" w:rsidRPr="00A26F3C" w:rsidRDefault="00CF086F" w:rsidP="002D17CA">
            <w:pPr>
              <w:jc w:val="right"/>
              <w:rPr>
                <w:rFonts w:ascii="Nirmala UI" w:hAnsi="Nirmala UI" w:cs="Nirmala UI"/>
                <w:sz w:val="20"/>
                <w:szCs w:val="20"/>
              </w:rPr>
            </w:pPr>
            <w:r>
              <w:rPr>
                <w:rFonts w:ascii="Nirmala UI" w:hAnsi="Nirmala UI" w:cs="Nirmala UI"/>
                <w:sz w:val="20"/>
                <w:szCs w:val="20"/>
              </w:rPr>
              <w:t>6090</w:t>
            </w:r>
          </w:p>
        </w:tc>
      </w:tr>
      <w:tr w:rsidR="00B438A7" w:rsidRPr="006F7BB4" w14:paraId="6EAFA450" w14:textId="77777777" w:rsidTr="0044127C">
        <w:trPr>
          <w:trHeight w:val="966"/>
        </w:trPr>
        <w:tc>
          <w:tcPr>
            <w:tcW w:w="13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88B97A" w14:textId="77777777" w:rsidR="00B438A7" w:rsidRPr="006F7BB4" w:rsidRDefault="00B438A7" w:rsidP="002D17CA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  <w:t>95+</w:t>
            </w:r>
          </w:p>
        </w:tc>
        <w:tc>
          <w:tcPr>
            <w:tcW w:w="1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4066E5" w14:textId="77777777" w:rsidR="00B438A7" w:rsidRPr="00A26F3C" w:rsidRDefault="00B438A7" w:rsidP="002D17CA">
            <w:pPr>
              <w:jc w:val="right"/>
              <w:rPr>
                <w:rFonts w:ascii="Nirmala UI" w:hAnsi="Nirmala UI" w:cs="Nirmala UI"/>
                <w:sz w:val="20"/>
                <w:szCs w:val="20"/>
                <w:lang w:val="en-US"/>
              </w:rPr>
            </w:pPr>
            <w:r w:rsidRPr="00A26F3C">
              <w:rPr>
                <w:rFonts w:ascii="Calibri" w:hAnsi="Calibri" w:cs="Calibri"/>
                <w:color w:val="000000"/>
              </w:rPr>
              <w:t>5.92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B83668" w14:textId="15BA045C" w:rsidR="00B438A7" w:rsidRPr="00A26F3C" w:rsidRDefault="00484FAF" w:rsidP="002D17CA">
            <w:pPr>
              <w:jc w:val="right"/>
              <w:rPr>
                <w:rFonts w:ascii="Nirmala UI" w:hAnsi="Nirmala UI" w:cs="Nirmala UI"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sz w:val="20"/>
                <w:szCs w:val="20"/>
                <w:lang w:val="en-US"/>
              </w:rPr>
              <w:t>1280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0C1E1B" w14:textId="1D6B985C" w:rsidR="00B438A7" w:rsidRPr="00A26F3C" w:rsidRDefault="00484FAF" w:rsidP="002D17CA">
            <w:pPr>
              <w:jc w:val="right"/>
              <w:rPr>
                <w:rFonts w:ascii="Nirmala UI" w:hAnsi="Nirmala UI" w:cs="Nirmala UI"/>
                <w:sz w:val="20"/>
                <w:szCs w:val="20"/>
                <w:lang w:val="en-US"/>
              </w:rPr>
            </w:pPr>
            <w:r>
              <w:rPr>
                <w:rFonts w:ascii="Nirmala UI" w:hAnsi="Nirmala UI" w:cs="Nirmala UI"/>
                <w:sz w:val="20"/>
                <w:szCs w:val="20"/>
                <w:lang w:val="en-US"/>
              </w:rPr>
              <w:t>7580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vAlign w:val="center"/>
          </w:tcPr>
          <w:p w14:paraId="45EBC1FB" w14:textId="6FFF3F94" w:rsidR="00B438A7" w:rsidRPr="00A26F3C" w:rsidRDefault="00CF086F" w:rsidP="002D17CA">
            <w:pPr>
              <w:jc w:val="right"/>
              <w:rPr>
                <w:rFonts w:ascii="Nirmala UI" w:hAnsi="Nirmala UI" w:cs="Nirmala UI"/>
                <w:sz w:val="20"/>
                <w:szCs w:val="20"/>
              </w:rPr>
            </w:pPr>
            <w:r>
              <w:rPr>
                <w:rFonts w:ascii="Nirmala UI" w:hAnsi="Nirmala UI" w:cs="Nirmala UI"/>
                <w:sz w:val="20"/>
                <w:szCs w:val="20"/>
              </w:rPr>
              <w:t>205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4F0"/>
            <w:vAlign w:val="center"/>
          </w:tcPr>
          <w:p w14:paraId="007DA1AA" w14:textId="09C38433" w:rsidR="00B438A7" w:rsidRPr="00A26F3C" w:rsidRDefault="00CF086F" w:rsidP="002D17CA">
            <w:pPr>
              <w:jc w:val="right"/>
              <w:rPr>
                <w:rFonts w:ascii="Nirmala UI" w:hAnsi="Nirmala UI" w:cs="Nirmala UI"/>
                <w:sz w:val="20"/>
                <w:szCs w:val="20"/>
              </w:rPr>
            </w:pPr>
            <w:r>
              <w:rPr>
                <w:rFonts w:ascii="Nirmala UI" w:hAnsi="Nirmala UI" w:cs="Nirmala UI"/>
                <w:sz w:val="20"/>
                <w:szCs w:val="20"/>
              </w:rPr>
              <w:t>1210</w:t>
            </w:r>
          </w:p>
        </w:tc>
      </w:tr>
      <w:tr w:rsidR="00B438A7" w:rsidRPr="006F7BB4" w14:paraId="6B373F37" w14:textId="77777777" w:rsidTr="00210061">
        <w:trPr>
          <w:trHeight w:val="640"/>
        </w:trPr>
        <w:tc>
          <w:tcPr>
            <w:tcW w:w="13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4E8E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3F7BAF" w14:textId="77777777" w:rsidR="00B438A7" w:rsidRPr="00210061" w:rsidRDefault="00B438A7" w:rsidP="002D17CA">
            <w:pPr>
              <w:rPr>
                <w:rFonts w:ascii="Nirmala UI" w:hAnsi="Nirmala UI" w:cs="Nirmala UI"/>
                <w:bCs/>
                <w:sz w:val="20"/>
                <w:szCs w:val="20"/>
                <w:lang w:val="en-US"/>
              </w:rPr>
            </w:pPr>
            <w:r w:rsidRPr="00210061">
              <w:rPr>
                <w:rFonts w:ascii="Nirmala UI" w:hAnsi="Nirmala UI" w:cs="Nirmala UI"/>
                <w:b/>
                <w:sz w:val="20"/>
                <w:szCs w:val="20"/>
                <w:lang w:val="en-US"/>
              </w:rPr>
              <w:t>80+</w:t>
            </w:r>
          </w:p>
        </w:tc>
        <w:tc>
          <w:tcPr>
            <w:tcW w:w="1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4E8E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78E03D" w14:textId="77777777" w:rsidR="00B438A7" w:rsidRPr="00A26F3C" w:rsidRDefault="00B438A7" w:rsidP="002D17CA">
            <w:pPr>
              <w:jc w:val="right"/>
              <w:rPr>
                <w:rFonts w:ascii="Nirmala UI" w:hAnsi="Nirmala UI" w:cs="Nirmala UI"/>
                <w:sz w:val="20"/>
                <w:szCs w:val="20"/>
                <w:lang w:val="en-US"/>
              </w:rPr>
            </w:pPr>
            <w:r w:rsidRPr="00A26F3C">
              <w:rPr>
                <w:rFonts w:ascii="Nirmala UI" w:hAnsi="Nirmala UI" w:cs="Nirmala UI"/>
                <w:sz w:val="20"/>
                <w:szCs w:val="20"/>
                <w:lang w:val="en-US"/>
              </w:rPr>
              <w:t>--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4E8E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3F3AB5" w14:textId="35B79E07" w:rsidR="00B438A7" w:rsidRPr="003A323C" w:rsidRDefault="003A323C" w:rsidP="002D17CA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3A323C">
              <w:rPr>
                <w:rFonts w:ascii="Calibri" w:hAnsi="Calibri" w:cs="Calibri"/>
                <w:b/>
                <w:bCs/>
                <w:color w:val="000000"/>
              </w:rPr>
              <w:t>9</w:t>
            </w:r>
            <w:r w:rsidR="00484FAF">
              <w:rPr>
                <w:rFonts w:ascii="Calibri" w:hAnsi="Calibri" w:cs="Calibri"/>
                <w:b/>
                <w:bCs/>
                <w:color w:val="000000"/>
              </w:rPr>
              <w:t>32</w:t>
            </w:r>
            <w:r w:rsidRPr="003A323C">
              <w:rPr>
                <w:rFonts w:ascii="Calibri" w:hAnsi="Calibri" w:cs="Calibri"/>
                <w:b/>
                <w:bCs/>
                <w:color w:val="000000"/>
              </w:rPr>
              <w:t>5</w:t>
            </w:r>
          </w:p>
          <w:p w14:paraId="69BC1495" w14:textId="77777777" w:rsidR="00B438A7" w:rsidRPr="00A26F3C" w:rsidRDefault="00B438A7" w:rsidP="002D17CA">
            <w:pPr>
              <w:jc w:val="right"/>
              <w:rPr>
                <w:rFonts w:ascii="Nirmala UI" w:hAnsi="Nirmala UI" w:cs="Nirmala UI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4E8E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6E885E" w14:textId="31177D20" w:rsidR="00B438A7" w:rsidRPr="00210061" w:rsidRDefault="00484FAF" w:rsidP="002D17CA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210061">
              <w:rPr>
                <w:rFonts w:ascii="Calibri" w:hAnsi="Calibri" w:cs="Calibri"/>
                <w:b/>
                <w:bCs/>
                <w:color w:val="000000"/>
              </w:rPr>
              <w:t>88970</w:t>
            </w:r>
          </w:p>
          <w:p w14:paraId="7E728218" w14:textId="77777777" w:rsidR="00B438A7" w:rsidRPr="00A26F3C" w:rsidRDefault="00B438A7" w:rsidP="002D17CA">
            <w:pPr>
              <w:jc w:val="right"/>
              <w:rPr>
                <w:rFonts w:ascii="Nirmala UI" w:hAnsi="Nirmala UI" w:cs="Nirmala U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4E8E1"/>
            <w:vAlign w:val="center"/>
          </w:tcPr>
          <w:p w14:paraId="09F5CDFB" w14:textId="27346080" w:rsidR="00B438A7" w:rsidRPr="003A323C" w:rsidRDefault="003A323C" w:rsidP="002D17CA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3A323C">
              <w:rPr>
                <w:rFonts w:ascii="Calibri" w:hAnsi="Calibri" w:cs="Calibri"/>
                <w:b/>
                <w:bCs/>
                <w:color w:val="000000"/>
              </w:rPr>
              <w:t>4370</w:t>
            </w:r>
          </w:p>
          <w:p w14:paraId="35EBC205" w14:textId="77777777" w:rsidR="00B438A7" w:rsidRPr="00A26F3C" w:rsidRDefault="00B438A7" w:rsidP="002D17CA">
            <w:pPr>
              <w:jc w:val="right"/>
              <w:rPr>
                <w:rFonts w:ascii="Nirmala UI" w:hAnsi="Nirmala UI" w:cs="Nirmala UI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4E8E1"/>
            <w:vAlign w:val="center"/>
          </w:tcPr>
          <w:p w14:paraId="307EF742" w14:textId="2D88D87E" w:rsidR="00B438A7" w:rsidRPr="00210061" w:rsidRDefault="00CF086F" w:rsidP="002D17CA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210061">
              <w:rPr>
                <w:rFonts w:ascii="Calibri" w:hAnsi="Calibri" w:cs="Calibri"/>
                <w:b/>
                <w:bCs/>
                <w:color w:val="000000"/>
              </w:rPr>
              <w:t>46710</w:t>
            </w:r>
          </w:p>
          <w:p w14:paraId="11E076B9" w14:textId="77777777" w:rsidR="00B438A7" w:rsidRPr="00A26F3C" w:rsidRDefault="00B438A7" w:rsidP="002D17CA">
            <w:pPr>
              <w:jc w:val="right"/>
              <w:rPr>
                <w:rFonts w:ascii="Nirmala UI" w:hAnsi="Nirmala UI" w:cs="Nirmala UI"/>
                <w:sz w:val="20"/>
                <w:szCs w:val="20"/>
                <w:lang w:val="en-US"/>
              </w:rPr>
            </w:pPr>
          </w:p>
        </w:tc>
      </w:tr>
    </w:tbl>
    <w:p w14:paraId="5BEFAC16" w14:textId="722DCFC9" w:rsidR="0064030F" w:rsidRPr="0064030F" w:rsidRDefault="00B438A7">
      <w:pPr>
        <w:rPr>
          <w:rFonts w:ascii="Nirmala UI" w:hAnsi="Nirmala UI" w:cs="Nirmala UI"/>
          <w:bCs/>
          <w:sz w:val="20"/>
          <w:szCs w:val="20"/>
          <w:lang w:val="en-US"/>
        </w:rPr>
      </w:pPr>
      <w:r w:rsidRPr="0064030F">
        <w:rPr>
          <w:rFonts w:ascii="Nirmala UI" w:hAnsi="Nirmala UI" w:cs="Nirmala UI"/>
          <w:bCs/>
          <w:sz w:val="20"/>
          <w:szCs w:val="20"/>
          <w:lang w:val="en-US"/>
        </w:rPr>
        <w:t>Given the population sizes of 1</w:t>
      </w:r>
      <w:r w:rsidR="00CE141F">
        <w:rPr>
          <w:rFonts w:ascii="Nirmala UI" w:hAnsi="Nirmala UI" w:cs="Nirmala UI"/>
          <w:bCs/>
          <w:sz w:val="20"/>
          <w:szCs w:val="20"/>
          <w:lang w:val="en-US"/>
        </w:rPr>
        <w:t>29</w:t>
      </w:r>
      <w:r w:rsidR="00840F75">
        <w:rPr>
          <w:rFonts w:ascii="Nirmala UI" w:hAnsi="Nirmala UI" w:cs="Nirmala UI"/>
          <w:bCs/>
          <w:sz w:val="20"/>
          <w:szCs w:val="20"/>
          <w:lang w:val="en-US"/>
        </w:rPr>
        <w:t>,</w:t>
      </w:r>
      <w:r w:rsidR="00CE141F">
        <w:rPr>
          <w:rFonts w:ascii="Nirmala UI" w:hAnsi="Nirmala UI" w:cs="Nirmala UI"/>
          <w:bCs/>
          <w:sz w:val="20"/>
          <w:szCs w:val="20"/>
          <w:lang w:val="en-US"/>
        </w:rPr>
        <w:t>575</w:t>
      </w:r>
      <w:r w:rsidR="000700D9">
        <w:rPr>
          <w:rFonts w:ascii="Nirmala UI" w:hAnsi="Nirmala UI" w:cs="Nirmala UI"/>
          <w:bCs/>
          <w:sz w:val="20"/>
          <w:szCs w:val="20"/>
          <w:lang w:val="en-US"/>
        </w:rPr>
        <w:t xml:space="preserve"> [</w:t>
      </w:r>
      <w:r w:rsidR="00F5132A">
        <w:rPr>
          <w:rFonts w:ascii="Nirmala UI" w:hAnsi="Nirmala UI" w:cs="Nirmala UI"/>
          <w:bCs/>
          <w:sz w:val="20"/>
          <w:szCs w:val="20"/>
          <w:lang w:val="en-US"/>
        </w:rPr>
        <w:t>3</w:t>
      </w:r>
      <w:r w:rsidR="000700D9">
        <w:rPr>
          <w:rFonts w:ascii="Nirmala UI" w:hAnsi="Nirmala UI" w:cs="Nirmala UI"/>
          <w:bCs/>
          <w:sz w:val="20"/>
          <w:szCs w:val="20"/>
          <w:lang w:val="en-US"/>
        </w:rPr>
        <w:t>]</w:t>
      </w:r>
      <w:r w:rsidRPr="0064030F">
        <w:rPr>
          <w:rFonts w:ascii="Nirmala UI" w:hAnsi="Nirmala UI" w:cs="Nirmala UI"/>
          <w:bCs/>
          <w:sz w:val="20"/>
          <w:szCs w:val="20"/>
          <w:lang w:val="en-US"/>
        </w:rPr>
        <w:t xml:space="preserve"> and </w:t>
      </w:r>
      <w:r w:rsidR="00840F75">
        <w:rPr>
          <w:rFonts w:ascii="Nirmala UI" w:hAnsi="Nirmala UI" w:cs="Nirmala UI"/>
          <w:bCs/>
          <w:sz w:val="20"/>
          <w:szCs w:val="20"/>
          <w:lang w:val="en-US"/>
        </w:rPr>
        <w:t>69</w:t>
      </w:r>
      <w:r w:rsidR="009139D8">
        <w:rPr>
          <w:rFonts w:ascii="Nirmala UI" w:hAnsi="Nirmala UI" w:cs="Nirmala UI"/>
          <w:bCs/>
          <w:sz w:val="20"/>
          <w:szCs w:val="20"/>
          <w:lang w:val="en-US"/>
        </w:rPr>
        <w:t>2</w:t>
      </w:r>
      <w:r w:rsidR="00840F75">
        <w:rPr>
          <w:rFonts w:ascii="Nirmala UI" w:hAnsi="Nirmala UI" w:cs="Nirmala UI"/>
          <w:bCs/>
          <w:sz w:val="20"/>
          <w:szCs w:val="20"/>
          <w:lang w:val="en-US"/>
        </w:rPr>
        <w:t>,</w:t>
      </w:r>
      <w:r w:rsidR="009139D8">
        <w:rPr>
          <w:rFonts w:ascii="Nirmala UI" w:hAnsi="Nirmala UI" w:cs="Nirmala UI"/>
          <w:bCs/>
          <w:sz w:val="20"/>
          <w:szCs w:val="20"/>
          <w:lang w:val="en-US"/>
        </w:rPr>
        <w:t>513</w:t>
      </w:r>
      <w:r w:rsidR="000700D9">
        <w:rPr>
          <w:rFonts w:ascii="Nirmala UI" w:hAnsi="Nirmala UI" w:cs="Nirmala UI"/>
          <w:bCs/>
          <w:sz w:val="20"/>
          <w:szCs w:val="20"/>
          <w:lang w:val="en-US"/>
        </w:rPr>
        <w:t xml:space="preserve"> [</w:t>
      </w:r>
      <w:r w:rsidR="00F5132A">
        <w:rPr>
          <w:rFonts w:ascii="Nirmala UI" w:hAnsi="Nirmala UI" w:cs="Nirmala UI"/>
          <w:bCs/>
          <w:sz w:val="20"/>
          <w:szCs w:val="20"/>
          <w:lang w:val="en-US"/>
        </w:rPr>
        <w:t>4</w:t>
      </w:r>
      <w:r w:rsidR="000700D9">
        <w:rPr>
          <w:rFonts w:ascii="Nirmala UI" w:hAnsi="Nirmala UI" w:cs="Nirmala UI"/>
          <w:bCs/>
          <w:sz w:val="20"/>
          <w:szCs w:val="20"/>
          <w:lang w:val="en-US"/>
        </w:rPr>
        <w:t>]</w:t>
      </w:r>
      <w:r w:rsidRPr="0064030F">
        <w:rPr>
          <w:rFonts w:ascii="Nirmala UI" w:hAnsi="Nirmala UI" w:cs="Nirmala UI"/>
          <w:bCs/>
          <w:sz w:val="20"/>
          <w:szCs w:val="20"/>
          <w:lang w:val="en-US"/>
        </w:rPr>
        <w:t xml:space="preserve"> for persons aged 80+ in 2020 in long-term institutional care</w:t>
      </w:r>
      <w:r w:rsidRPr="0064030F">
        <w:rPr>
          <w:rStyle w:val="FootnoteReference"/>
          <w:rFonts w:ascii="Nirmala UI" w:hAnsi="Nirmala UI" w:cs="Nirmala UI"/>
          <w:bCs/>
          <w:sz w:val="20"/>
          <w:szCs w:val="20"/>
          <w:lang w:val="en-US"/>
        </w:rPr>
        <w:t xml:space="preserve"> </w:t>
      </w:r>
      <w:r w:rsidRPr="0064030F">
        <w:rPr>
          <w:rFonts w:ascii="Nirmala UI" w:hAnsi="Nirmala UI" w:cs="Nirmala UI"/>
          <w:bCs/>
          <w:sz w:val="20"/>
          <w:szCs w:val="20"/>
          <w:lang w:val="en-US"/>
        </w:rPr>
        <w:t xml:space="preserve">(i.e., residents of nursing homes, elderly or disabled care </w:t>
      </w:r>
      <w:r w:rsidR="00892D7C">
        <w:rPr>
          <w:rFonts w:ascii="Nirmala UI" w:hAnsi="Nirmala UI" w:cs="Nirmala UI"/>
          <w:bCs/>
          <w:sz w:val="20"/>
          <w:szCs w:val="20"/>
          <w:lang w:val="en-US"/>
        </w:rPr>
        <w:t>facilities</w:t>
      </w:r>
      <w:r w:rsidRPr="0064030F">
        <w:rPr>
          <w:rFonts w:ascii="Nirmala UI" w:hAnsi="Nirmala UI" w:cs="Nirmala UI"/>
          <w:bCs/>
          <w:sz w:val="20"/>
          <w:szCs w:val="20"/>
          <w:lang w:val="en-US"/>
        </w:rPr>
        <w:t>, or receiving full-time care at home) and no</w:t>
      </w:r>
      <w:r w:rsidR="000700D9">
        <w:rPr>
          <w:rFonts w:ascii="Nirmala UI" w:hAnsi="Nirmala UI" w:cs="Nirmala UI"/>
          <w:bCs/>
          <w:sz w:val="20"/>
          <w:szCs w:val="20"/>
          <w:lang w:val="en-US"/>
        </w:rPr>
        <w:t xml:space="preserve">t in </w:t>
      </w:r>
      <w:r w:rsidRPr="0064030F">
        <w:rPr>
          <w:rFonts w:ascii="Nirmala UI" w:hAnsi="Nirmala UI" w:cs="Nirmala UI"/>
          <w:bCs/>
          <w:sz w:val="20"/>
          <w:szCs w:val="20"/>
          <w:lang w:val="en-US"/>
        </w:rPr>
        <w:t>institutional care, respectively, YL</w:t>
      </w:r>
      <w:r w:rsidR="0064030F" w:rsidRPr="0064030F">
        <w:rPr>
          <w:rFonts w:ascii="Nirmala UI" w:hAnsi="Nirmala UI" w:cs="Nirmala UI"/>
          <w:bCs/>
          <w:sz w:val="20"/>
          <w:szCs w:val="20"/>
          <w:lang w:val="en-US"/>
        </w:rPr>
        <w:t>L</w:t>
      </w:r>
      <w:r w:rsidRPr="0064030F">
        <w:rPr>
          <w:rFonts w:ascii="Nirmala UI" w:hAnsi="Nirmala UI" w:cs="Nirmala UI"/>
          <w:bCs/>
          <w:sz w:val="20"/>
          <w:szCs w:val="20"/>
          <w:lang w:val="en-US"/>
        </w:rPr>
        <w:t xml:space="preserve"> was estimated at </w:t>
      </w:r>
      <w:r w:rsidR="00A02DDE">
        <w:rPr>
          <w:rFonts w:ascii="Nirmala UI" w:hAnsi="Nirmala UI" w:cs="Nirmala UI"/>
          <w:bCs/>
          <w:sz w:val="20"/>
          <w:szCs w:val="20"/>
          <w:lang w:val="en-US"/>
        </w:rPr>
        <w:t>6</w:t>
      </w:r>
      <w:r w:rsidR="00CF086F">
        <w:rPr>
          <w:rFonts w:ascii="Nirmala UI" w:hAnsi="Nirmala UI" w:cs="Nirmala UI"/>
          <w:bCs/>
          <w:sz w:val="20"/>
          <w:szCs w:val="20"/>
          <w:lang w:val="en-US"/>
        </w:rPr>
        <w:t>8</w:t>
      </w:r>
      <w:r w:rsidRPr="0064030F">
        <w:rPr>
          <w:rFonts w:ascii="Nirmala UI" w:hAnsi="Nirmala UI" w:cs="Nirmala UI"/>
          <w:bCs/>
          <w:sz w:val="20"/>
          <w:szCs w:val="20"/>
          <w:lang w:val="en-US"/>
        </w:rPr>
        <w:t>,</w:t>
      </w:r>
      <w:r w:rsidR="00F5132A">
        <w:rPr>
          <w:rFonts w:ascii="Nirmala UI" w:hAnsi="Nirmala UI" w:cs="Nirmala UI"/>
          <w:bCs/>
          <w:sz w:val="20"/>
          <w:szCs w:val="20"/>
          <w:lang w:val="en-US"/>
        </w:rPr>
        <w:t>70</w:t>
      </w:r>
      <w:r w:rsidRPr="0064030F">
        <w:rPr>
          <w:rFonts w:ascii="Nirmala UI" w:hAnsi="Nirmala UI" w:cs="Nirmala UI"/>
          <w:bCs/>
          <w:sz w:val="20"/>
          <w:szCs w:val="20"/>
          <w:lang w:val="en-US"/>
        </w:rPr>
        <w:t xml:space="preserve">0 and </w:t>
      </w:r>
      <w:r w:rsidR="00CF086F">
        <w:rPr>
          <w:rFonts w:ascii="Nirmala UI" w:hAnsi="Nirmala UI" w:cs="Nirmala UI"/>
          <w:bCs/>
          <w:sz w:val="20"/>
          <w:szCs w:val="20"/>
          <w:lang w:val="en-US"/>
        </w:rPr>
        <w:t>6</w:t>
      </w:r>
      <w:r w:rsidR="00A02DDE">
        <w:rPr>
          <w:rFonts w:ascii="Nirmala UI" w:hAnsi="Nirmala UI" w:cs="Nirmala UI"/>
          <w:bCs/>
          <w:sz w:val="20"/>
          <w:szCs w:val="20"/>
          <w:lang w:val="en-US"/>
        </w:rPr>
        <w:t>,</w:t>
      </w:r>
      <w:r w:rsidR="00F5132A">
        <w:rPr>
          <w:rFonts w:ascii="Nirmala UI" w:hAnsi="Nirmala UI" w:cs="Nirmala UI"/>
          <w:bCs/>
          <w:sz w:val="20"/>
          <w:szCs w:val="20"/>
          <w:lang w:val="en-US"/>
        </w:rPr>
        <w:t>80</w:t>
      </w:r>
      <w:r w:rsidR="0064030F" w:rsidRPr="0064030F">
        <w:rPr>
          <w:rFonts w:ascii="Nirmala UI" w:hAnsi="Nirmala UI" w:cs="Nirmala UI"/>
          <w:bCs/>
          <w:sz w:val="20"/>
          <w:szCs w:val="20"/>
          <w:lang w:val="en-US"/>
        </w:rPr>
        <w:t>0 per 100,000 population</w:t>
      </w:r>
      <w:r w:rsidRPr="0064030F">
        <w:rPr>
          <w:rFonts w:ascii="Nirmala UI" w:hAnsi="Nirmala UI" w:cs="Nirmala UI"/>
          <w:bCs/>
          <w:sz w:val="20"/>
          <w:szCs w:val="20"/>
          <w:lang w:val="en-US"/>
        </w:rPr>
        <w:t>, respectively</w:t>
      </w:r>
      <w:r w:rsidR="0064030F" w:rsidRPr="0064030F">
        <w:rPr>
          <w:rFonts w:ascii="Nirmala UI" w:hAnsi="Nirmala UI" w:cs="Nirmala UI"/>
          <w:bCs/>
          <w:sz w:val="20"/>
          <w:szCs w:val="20"/>
          <w:lang w:val="en-US"/>
        </w:rPr>
        <w:t>.</w:t>
      </w:r>
    </w:p>
    <w:p w14:paraId="0D2C6D77" w14:textId="77777777" w:rsidR="003336CA" w:rsidRDefault="003336CA" w:rsidP="0064030F">
      <w:pPr>
        <w:rPr>
          <w:rFonts w:ascii="Nirmala UI" w:hAnsi="Nirmala UI" w:cs="Nirmala UI"/>
          <w:b/>
          <w:sz w:val="20"/>
          <w:szCs w:val="20"/>
          <w:lang w:val="en-US"/>
        </w:rPr>
      </w:pPr>
    </w:p>
    <w:p w14:paraId="7F821F60" w14:textId="54243C5C" w:rsidR="0064030F" w:rsidRPr="0064030F" w:rsidRDefault="006F7CBD" w:rsidP="0064030F">
      <w:pPr>
        <w:rPr>
          <w:rFonts w:ascii="Nirmala UI" w:hAnsi="Nirmala UI" w:cs="Nirmala UI"/>
          <w:b/>
          <w:sz w:val="20"/>
          <w:szCs w:val="20"/>
          <w:lang w:val="en-US"/>
        </w:rPr>
      </w:pPr>
      <w:r>
        <w:rPr>
          <w:rFonts w:ascii="Nirmala UI" w:hAnsi="Nirmala UI" w:cs="Nirmala UI"/>
          <w:b/>
          <w:sz w:val="20"/>
          <w:szCs w:val="20"/>
          <w:lang w:val="en-US"/>
        </w:rPr>
        <w:t>Sources</w:t>
      </w:r>
    </w:p>
    <w:p w14:paraId="3DFA8F9A" w14:textId="773F721A" w:rsidR="0064030F" w:rsidRPr="003336CA" w:rsidRDefault="0064030F" w:rsidP="0064030F">
      <w:pPr>
        <w:rPr>
          <w:rFonts w:ascii="Nirmala UI" w:hAnsi="Nirmala UI" w:cs="Nirmala UI"/>
          <w:bCs/>
          <w:sz w:val="20"/>
          <w:szCs w:val="20"/>
          <w:lang w:val="en-US"/>
        </w:rPr>
      </w:pPr>
      <w:r w:rsidRPr="003336CA">
        <w:rPr>
          <w:rFonts w:ascii="Nirmala UI" w:hAnsi="Nirmala UI" w:cs="Nirmala UI"/>
          <w:bCs/>
          <w:sz w:val="20"/>
          <w:szCs w:val="20"/>
          <w:lang w:val="en-US"/>
        </w:rPr>
        <w:t xml:space="preserve">1. Global Burden of Disease Collaborative Network. Global Burden of Disease Study 2017 (GBD 2019) Reference Life Table. Seattle, United States: Institute for Health Metrics and Evaluation (IHME), 2021. http://ghdx.healthdata.org/gbd-2019. </w:t>
      </w:r>
    </w:p>
    <w:p w14:paraId="31727167" w14:textId="4A66391B" w:rsidR="003336CA" w:rsidRPr="003336CA" w:rsidRDefault="0064030F" w:rsidP="00774DE5">
      <w:pPr>
        <w:spacing w:after="80"/>
        <w:rPr>
          <w:rFonts w:ascii="Nirmala UI" w:hAnsi="Nirmala UI" w:cs="Nirmala UI"/>
          <w:bCs/>
          <w:sz w:val="20"/>
          <w:szCs w:val="20"/>
          <w:lang w:val="en-US"/>
        </w:rPr>
      </w:pPr>
      <w:r w:rsidRPr="003336CA">
        <w:rPr>
          <w:rFonts w:ascii="Nirmala UI" w:hAnsi="Nirmala UI" w:cs="Nirmala UI"/>
          <w:bCs/>
          <w:sz w:val="20"/>
          <w:szCs w:val="20"/>
          <w:lang w:val="en-US"/>
        </w:rPr>
        <w:t xml:space="preserve">2. </w:t>
      </w:r>
      <w:r w:rsidR="006F7CBD" w:rsidRPr="003336CA">
        <w:rPr>
          <w:rFonts w:ascii="Nirmala UI" w:hAnsi="Nirmala UI" w:cs="Nirmala UI"/>
          <w:i/>
          <w:iCs/>
          <w:sz w:val="20"/>
          <w:szCs w:val="20"/>
          <w:lang w:val="en-US"/>
        </w:rPr>
        <w:t xml:space="preserve">Data on the total number of COVID-19 deaths </w:t>
      </w:r>
      <w:r w:rsidR="002E1D42">
        <w:rPr>
          <w:rFonts w:ascii="Nirmala UI" w:hAnsi="Nirmala UI" w:cs="Nirmala UI"/>
          <w:i/>
          <w:iCs/>
          <w:sz w:val="20"/>
          <w:szCs w:val="20"/>
          <w:lang w:val="en-US"/>
        </w:rPr>
        <w:t>among</w:t>
      </w:r>
      <w:r w:rsidR="006F7CBD" w:rsidRPr="003336CA">
        <w:rPr>
          <w:rFonts w:ascii="Nirmala UI" w:hAnsi="Nirmala UI" w:cs="Nirmala UI"/>
          <w:i/>
          <w:iCs/>
          <w:sz w:val="20"/>
          <w:szCs w:val="20"/>
          <w:lang w:val="en-US"/>
        </w:rPr>
        <w:t xml:space="preserve"> persons receiving </w:t>
      </w:r>
      <w:r w:rsidR="002E1D42">
        <w:rPr>
          <w:rFonts w:ascii="Nirmala UI" w:hAnsi="Nirmala UI" w:cs="Nirmala UI"/>
          <w:i/>
          <w:iCs/>
          <w:sz w:val="20"/>
          <w:szCs w:val="20"/>
          <w:lang w:val="en-US"/>
        </w:rPr>
        <w:t xml:space="preserve">and not receiving </w:t>
      </w:r>
      <w:r w:rsidR="006F7CBD" w:rsidRPr="003336CA">
        <w:rPr>
          <w:rFonts w:ascii="Nirmala UI" w:hAnsi="Nirmala UI" w:cs="Nirmala UI"/>
          <w:i/>
          <w:iCs/>
          <w:sz w:val="20"/>
          <w:szCs w:val="20"/>
          <w:lang w:val="en-US"/>
        </w:rPr>
        <w:t xml:space="preserve">long-term institutional care </w:t>
      </w:r>
      <w:r w:rsidR="00C70445">
        <w:rPr>
          <w:rFonts w:ascii="Nirmala UI" w:hAnsi="Nirmala UI" w:cs="Nirmala UI"/>
          <w:i/>
          <w:iCs/>
          <w:sz w:val="20"/>
          <w:szCs w:val="20"/>
          <w:lang w:val="en-US"/>
        </w:rPr>
        <w:t>in 2020</w:t>
      </w:r>
      <w:r w:rsidR="002E1D42">
        <w:rPr>
          <w:rFonts w:ascii="Nirmala UI" w:hAnsi="Nirmala UI" w:cs="Nirmala UI"/>
          <w:i/>
          <w:iCs/>
          <w:sz w:val="20"/>
          <w:szCs w:val="20"/>
          <w:lang w:val="en-US"/>
        </w:rPr>
        <w:t>, for</w:t>
      </w:r>
      <w:r w:rsidR="0051225E">
        <w:rPr>
          <w:rFonts w:ascii="Nirmala UI" w:hAnsi="Nirmala UI" w:cs="Nirmala UI"/>
          <w:i/>
          <w:iCs/>
          <w:sz w:val="20"/>
          <w:szCs w:val="20"/>
          <w:lang w:val="en-US"/>
        </w:rPr>
        <w:t xml:space="preserve"> </w:t>
      </w:r>
      <w:r w:rsidR="002E1D42">
        <w:rPr>
          <w:rFonts w:ascii="Nirmala UI" w:hAnsi="Nirmala UI" w:cs="Nirmala UI"/>
          <w:i/>
          <w:iCs/>
          <w:sz w:val="20"/>
          <w:szCs w:val="20"/>
          <w:lang w:val="en-US"/>
        </w:rPr>
        <w:t>those</w:t>
      </w:r>
      <w:r w:rsidR="0051225E">
        <w:rPr>
          <w:rFonts w:ascii="Nirmala UI" w:hAnsi="Nirmala UI" w:cs="Nirmala UI"/>
          <w:i/>
          <w:iCs/>
          <w:sz w:val="20"/>
          <w:szCs w:val="20"/>
          <w:lang w:val="en-US"/>
        </w:rPr>
        <w:t xml:space="preserve"> aged 80 years and o</w:t>
      </w:r>
      <w:r w:rsidR="002E1D42">
        <w:rPr>
          <w:rFonts w:ascii="Nirmala UI" w:hAnsi="Nirmala UI" w:cs="Nirmala UI"/>
          <w:i/>
          <w:iCs/>
          <w:sz w:val="20"/>
          <w:szCs w:val="20"/>
          <w:lang w:val="en-US"/>
        </w:rPr>
        <w:t>lder</w:t>
      </w:r>
      <w:r w:rsidR="0051225E">
        <w:rPr>
          <w:rFonts w:ascii="Nirmala UI" w:hAnsi="Nirmala UI" w:cs="Nirmala UI"/>
          <w:i/>
          <w:iCs/>
          <w:sz w:val="20"/>
          <w:szCs w:val="20"/>
          <w:lang w:val="en-US"/>
        </w:rPr>
        <w:t xml:space="preserve"> </w:t>
      </w:r>
      <w:r w:rsidR="00C70445">
        <w:rPr>
          <w:rFonts w:ascii="Nirmala UI" w:hAnsi="Nirmala UI" w:cs="Nirmala UI"/>
          <w:i/>
          <w:iCs/>
          <w:sz w:val="20"/>
          <w:szCs w:val="20"/>
          <w:lang w:val="en-US"/>
        </w:rPr>
        <w:t>(n=</w:t>
      </w:r>
      <w:r w:rsidR="0051225E">
        <w:rPr>
          <w:rFonts w:ascii="Nirmala UI" w:hAnsi="Nirmala UI" w:cs="Nirmala UI"/>
          <w:i/>
          <w:iCs/>
          <w:sz w:val="20"/>
          <w:szCs w:val="20"/>
          <w:lang w:val="en-US"/>
        </w:rPr>
        <w:t>9</w:t>
      </w:r>
      <w:r w:rsidR="00D100EB">
        <w:rPr>
          <w:rFonts w:ascii="Nirmala UI" w:hAnsi="Nirmala UI" w:cs="Nirmala UI"/>
          <w:i/>
          <w:iCs/>
          <w:sz w:val="20"/>
          <w:szCs w:val="20"/>
          <w:lang w:val="en-US"/>
        </w:rPr>
        <w:t>3</w:t>
      </w:r>
      <w:r w:rsidR="00F5132A">
        <w:rPr>
          <w:rFonts w:ascii="Nirmala UI" w:hAnsi="Nirmala UI" w:cs="Nirmala UI"/>
          <w:i/>
          <w:iCs/>
          <w:sz w:val="20"/>
          <w:szCs w:val="20"/>
          <w:lang w:val="en-US"/>
        </w:rPr>
        <w:t>2</w:t>
      </w:r>
      <w:r w:rsidR="0051225E">
        <w:rPr>
          <w:rFonts w:ascii="Nirmala UI" w:hAnsi="Nirmala UI" w:cs="Nirmala UI"/>
          <w:i/>
          <w:iCs/>
          <w:sz w:val="20"/>
          <w:szCs w:val="20"/>
          <w:lang w:val="en-US"/>
        </w:rPr>
        <w:t>5</w:t>
      </w:r>
      <w:r w:rsidR="002E1D42">
        <w:rPr>
          <w:rFonts w:ascii="Nirmala UI" w:hAnsi="Nirmala UI" w:cs="Nirmala UI"/>
          <w:i/>
          <w:iCs/>
          <w:sz w:val="20"/>
          <w:szCs w:val="20"/>
          <w:lang w:val="en-US"/>
        </w:rPr>
        <w:t>; 4370, respectively);</w:t>
      </w:r>
      <w:r w:rsidR="00D100EB">
        <w:rPr>
          <w:rFonts w:ascii="Nirmala UI" w:hAnsi="Nirmala UI" w:cs="Nirmala UI"/>
          <w:i/>
          <w:iCs/>
          <w:sz w:val="20"/>
          <w:szCs w:val="20"/>
          <w:lang w:val="en-US"/>
        </w:rPr>
        <w:t xml:space="preserve"> data</w:t>
      </w:r>
      <w:r w:rsidR="006F7CBD" w:rsidRPr="003336CA">
        <w:rPr>
          <w:rFonts w:ascii="Nirmala UI" w:hAnsi="Nirmala UI" w:cs="Nirmala UI"/>
          <w:i/>
          <w:iCs/>
          <w:sz w:val="20"/>
          <w:szCs w:val="20"/>
          <w:lang w:val="en-US"/>
        </w:rPr>
        <w:t xml:space="preserve"> </w:t>
      </w:r>
      <w:r w:rsidR="0051225E">
        <w:rPr>
          <w:rFonts w:ascii="Nirmala UI" w:hAnsi="Nirmala UI" w:cs="Nirmala UI"/>
          <w:i/>
          <w:iCs/>
          <w:sz w:val="20"/>
          <w:szCs w:val="20"/>
          <w:lang w:val="en-US"/>
        </w:rPr>
        <w:t xml:space="preserve">available per </w:t>
      </w:r>
      <w:r w:rsidR="006F7CBD" w:rsidRPr="003336CA">
        <w:rPr>
          <w:rFonts w:ascii="Nirmala UI" w:hAnsi="Nirmala UI" w:cs="Nirmala UI"/>
          <w:i/>
          <w:iCs/>
          <w:sz w:val="20"/>
          <w:szCs w:val="20"/>
          <w:lang w:val="en-US"/>
        </w:rPr>
        <w:t>age</w:t>
      </w:r>
      <w:r w:rsidR="00C70445">
        <w:rPr>
          <w:rFonts w:ascii="Nirmala UI" w:hAnsi="Nirmala UI" w:cs="Nirmala UI"/>
          <w:i/>
          <w:iCs/>
          <w:sz w:val="20"/>
          <w:szCs w:val="20"/>
          <w:lang w:val="en-US"/>
        </w:rPr>
        <w:t>-group</w:t>
      </w:r>
      <w:r w:rsidR="006F7CBD" w:rsidRPr="003336CA">
        <w:rPr>
          <w:rFonts w:ascii="Nirmala UI" w:hAnsi="Nirmala UI" w:cs="Nirmala UI"/>
          <w:i/>
          <w:iCs/>
          <w:sz w:val="20"/>
          <w:szCs w:val="20"/>
          <w:lang w:val="en-US"/>
        </w:rPr>
        <w:t xml:space="preserve"> to </w:t>
      </w:r>
      <w:r w:rsidR="0051225E">
        <w:rPr>
          <w:rFonts w:ascii="Nirmala UI" w:hAnsi="Nirmala UI" w:cs="Nirmala UI"/>
          <w:i/>
          <w:iCs/>
          <w:sz w:val="20"/>
          <w:szCs w:val="20"/>
          <w:lang w:val="en-US"/>
        </w:rPr>
        <w:t>calculate</w:t>
      </w:r>
      <w:r w:rsidR="006F7CBD" w:rsidRPr="003336CA">
        <w:rPr>
          <w:rFonts w:ascii="Nirmala UI" w:hAnsi="Nirmala UI" w:cs="Nirmala UI"/>
          <w:i/>
          <w:iCs/>
          <w:sz w:val="20"/>
          <w:szCs w:val="20"/>
          <w:lang w:val="en-US"/>
        </w:rPr>
        <w:t xml:space="preserve"> the age-group specific </w:t>
      </w:r>
      <w:r w:rsidR="0051225E">
        <w:rPr>
          <w:rFonts w:ascii="Nirmala UI" w:hAnsi="Nirmala UI" w:cs="Nirmala UI"/>
          <w:i/>
          <w:iCs/>
          <w:sz w:val="20"/>
          <w:szCs w:val="20"/>
          <w:lang w:val="en-US"/>
        </w:rPr>
        <w:t xml:space="preserve">YLL </w:t>
      </w:r>
      <w:r w:rsidR="006F7CBD" w:rsidRPr="003336CA">
        <w:rPr>
          <w:rFonts w:ascii="Nirmala UI" w:hAnsi="Nirmala UI" w:cs="Nirmala UI"/>
          <w:i/>
          <w:iCs/>
          <w:sz w:val="20"/>
          <w:szCs w:val="20"/>
          <w:lang w:val="en-US"/>
        </w:rPr>
        <w:t xml:space="preserve">among </w:t>
      </w:r>
      <w:r w:rsidR="002E1D42">
        <w:rPr>
          <w:rFonts w:ascii="Nirmala UI" w:hAnsi="Nirmala UI" w:cs="Nirmala UI"/>
          <w:i/>
          <w:iCs/>
          <w:sz w:val="20"/>
          <w:szCs w:val="20"/>
          <w:lang w:val="en-US"/>
        </w:rPr>
        <w:t>each group</w:t>
      </w:r>
      <w:r w:rsidR="006F7CBD" w:rsidRPr="003336CA">
        <w:rPr>
          <w:rFonts w:ascii="Nirmala UI" w:hAnsi="Nirmala UI" w:cs="Nirmala UI"/>
          <w:i/>
          <w:iCs/>
          <w:sz w:val="20"/>
          <w:szCs w:val="20"/>
          <w:lang w:val="en-US"/>
        </w:rPr>
        <w:t>.</w:t>
      </w:r>
    </w:p>
    <w:p w14:paraId="5063D159" w14:textId="615A38AA" w:rsidR="0064030F" w:rsidRPr="002E1D42" w:rsidRDefault="002E1D42" w:rsidP="0064030F">
      <w:pPr>
        <w:rPr>
          <w:rFonts w:ascii="Nirmala UI" w:hAnsi="Nirmala UI" w:cs="Nirmala UI"/>
          <w:bCs/>
          <w:sz w:val="18"/>
          <w:szCs w:val="18"/>
          <w:lang w:val="en-US"/>
        </w:rPr>
      </w:pPr>
      <w:r>
        <w:rPr>
          <w:rFonts w:ascii="Nirmala UI" w:hAnsi="Nirmala UI" w:cs="Nirmala UI"/>
          <w:bCs/>
          <w:sz w:val="20"/>
          <w:szCs w:val="20"/>
        </w:rPr>
        <w:t xml:space="preserve">Statistics </w:t>
      </w:r>
      <w:r w:rsidR="00F5132A" w:rsidRPr="002E1D42">
        <w:rPr>
          <w:rFonts w:ascii="Nirmala UI" w:hAnsi="Nirmala UI" w:cs="Nirmala UI"/>
          <w:bCs/>
          <w:sz w:val="20"/>
          <w:szCs w:val="20"/>
        </w:rPr>
        <w:t xml:space="preserve">Netherlands. Overledenen per maand naar Wlz-gebruik, leeftijd en doodsoorzaak COVID-19, 2020 en 2021 (tot en met november). </w:t>
      </w:r>
      <w:r w:rsidR="00F5132A" w:rsidRPr="002E1D42">
        <w:rPr>
          <w:rFonts w:ascii="Nirmala UI" w:hAnsi="Nirmala UI" w:cs="Nirmala UI"/>
          <w:bCs/>
          <w:sz w:val="20"/>
          <w:szCs w:val="20"/>
          <w:lang w:val="en-US"/>
        </w:rPr>
        <w:t xml:space="preserve">[Monthly deaths according to use of compulsory contribution long-term care, age, and COVID-19 cause of death, 2020 and 2021 (until November)]. </w:t>
      </w:r>
      <w:bookmarkStart w:id="1" w:name="_Hlk99369657"/>
      <w:r>
        <w:rPr>
          <w:rFonts w:ascii="Nirmala UI" w:hAnsi="Nirmala UI" w:cs="Nirmala UI"/>
          <w:bCs/>
          <w:sz w:val="20"/>
          <w:szCs w:val="20"/>
          <w:lang w:val="en-US"/>
        </w:rPr>
        <w:t>25 March 2022.</w:t>
      </w:r>
      <w:bookmarkEnd w:id="1"/>
      <w:r>
        <w:rPr>
          <w:rFonts w:ascii="Nirmala UI" w:hAnsi="Nirmala UI" w:cs="Nirmala UI"/>
          <w:bCs/>
          <w:sz w:val="20"/>
          <w:szCs w:val="20"/>
          <w:lang w:val="en-US"/>
        </w:rPr>
        <w:t xml:space="preserve"> </w:t>
      </w:r>
      <w:r w:rsidR="00F5132A" w:rsidRPr="002E1D42">
        <w:rPr>
          <w:rFonts w:ascii="Nirmala UI" w:hAnsi="Nirmala UI" w:cs="Nirmala UI"/>
          <w:bCs/>
          <w:sz w:val="20"/>
          <w:szCs w:val="20"/>
          <w:lang w:val="en-US"/>
        </w:rPr>
        <w:lastRenderedPageBreak/>
        <w:t>Available from:</w:t>
      </w:r>
      <w:r w:rsidR="00F5132A" w:rsidRPr="002E1D42">
        <w:rPr>
          <w:rFonts w:ascii="Nirmala UI" w:hAnsi="Nirmala UI" w:cs="Nirmala UI"/>
          <w:sz w:val="20"/>
          <w:szCs w:val="20"/>
          <w:lang w:val="en-US"/>
        </w:rPr>
        <w:t xml:space="preserve"> </w:t>
      </w:r>
      <w:r w:rsidR="00F5132A" w:rsidRPr="002E1D42">
        <w:rPr>
          <w:rFonts w:ascii="Nirmala UI" w:hAnsi="Nirmala UI" w:cs="Nirmala UI"/>
          <w:bCs/>
          <w:sz w:val="20"/>
          <w:szCs w:val="20"/>
          <w:lang w:val="en-US"/>
        </w:rPr>
        <w:t>https://www.monitorlangdurigezorg.nl/publicaties/maatwerk-publicaties/2022/03/25/overledenen-per-maand-naar-wlz-gebruik--leeftijd-en-doodsoorzaak-covid-19-2020--2021-tm-november. Accessed 28 March 2022.</w:t>
      </w:r>
    </w:p>
    <w:p w14:paraId="02E20273" w14:textId="4C72465E" w:rsidR="003336CA" w:rsidRPr="002E1D42" w:rsidRDefault="00F5132A" w:rsidP="00774DE5">
      <w:pPr>
        <w:spacing w:after="80"/>
        <w:rPr>
          <w:rFonts w:ascii="Nirmala UI" w:hAnsi="Nirmala UI" w:cs="Nirmala UI"/>
          <w:bCs/>
          <w:i/>
          <w:iCs/>
          <w:sz w:val="20"/>
          <w:szCs w:val="20"/>
          <w:lang w:val="en-US"/>
        </w:rPr>
      </w:pPr>
      <w:r w:rsidRPr="002E1D42">
        <w:rPr>
          <w:rFonts w:ascii="Nirmala UI" w:hAnsi="Nirmala UI" w:cs="Nirmala UI"/>
          <w:bCs/>
          <w:i/>
          <w:iCs/>
          <w:sz w:val="20"/>
          <w:szCs w:val="20"/>
          <w:lang w:val="en-US"/>
        </w:rPr>
        <w:t>3</w:t>
      </w:r>
      <w:r w:rsidR="0064030F" w:rsidRPr="002E1D42">
        <w:rPr>
          <w:rFonts w:ascii="Nirmala UI" w:hAnsi="Nirmala UI" w:cs="Nirmala UI"/>
          <w:bCs/>
          <w:i/>
          <w:iCs/>
          <w:sz w:val="20"/>
          <w:szCs w:val="20"/>
          <w:lang w:val="en-US"/>
        </w:rPr>
        <w:t xml:space="preserve">. </w:t>
      </w:r>
      <w:r w:rsidR="003336CA" w:rsidRPr="002E1D42">
        <w:rPr>
          <w:rFonts w:ascii="Nirmala UI" w:hAnsi="Nirmala UI" w:cs="Nirmala UI"/>
          <w:bCs/>
          <w:i/>
          <w:iCs/>
          <w:sz w:val="20"/>
          <w:szCs w:val="20"/>
          <w:lang w:val="en-US"/>
        </w:rPr>
        <w:t xml:space="preserve">The population size of individuals </w:t>
      </w:r>
      <w:r w:rsidR="00892D7C" w:rsidRPr="002E1D42">
        <w:rPr>
          <w:rFonts w:ascii="Nirmala UI" w:hAnsi="Nirmala UI" w:cs="Nirmala UI"/>
          <w:bCs/>
          <w:i/>
          <w:iCs/>
          <w:sz w:val="20"/>
          <w:szCs w:val="20"/>
          <w:lang w:val="en-US"/>
        </w:rPr>
        <w:t xml:space="preserve">receiving long-term institutional care </w:t>
      </w:r>
      <w:r w:rsidR="0051225E" w:rsidRPr="002E1D42">
        <w:rPr>
          <w:rFonts w:ascii="Nirmala UI" w:hAnsi="Nirmala UI" w:cs="Nirmala UI"/>
          <w:bCs/>
          <w:i/>
          <w:iCs/>
          <w:sz w:val="20"/>
          <w:szCs w:val="20"/>
          <w:lang w:val="en-US"/>
        </w:rPr>
        <w:t>includes those</w:t>
      </w:r>
      <w:r w:rsidR="00892D7C" w:rsidRPr="002E1D42">
        <w:rPr>
          <w:rFonts w:ascii="Nirmala UI" w:hAnsi="Nirmala UI" w:cs="Nirmala UI"/>
          <w:bCs/>
          <w:i/>
          <w:iCs/>
          <w:sz w:val="20"/>
          <w:szCs w:val="20"/>
          <w:lang w:val="en-US"/>
        </w:rPr>
        <w:t xml:space="preserve"> individuals receiving care in nursing homes,</w:t>
      </w:r>
      <w:r w:rsidR="0051225E" w:rsidRPr="002E1D42">
        <w:rPr>
          <w:rFonts w:ascii="Nirmala UI" w:hAnsi="Nirmala UI" w:cs="Nirmala UI"/>
          <w:bCs/>
          <w:i/>
          <w:iCs/>
          <w:sz w:val="20"/>
          <w:szCs w:val="20"/>
          <w:lang w:val="en-US"/>
        </w:rPr>
        <w:t xml:space="preserve"> </w:t>
      </w:r>
      <w:r w:rsidR="00892D7C" w:rsidRPr="002E1D42">
        <w:rPr>
          <w:rFonts w:ascii="Nirmala UI" w:hAnsi="Nirmala UI" w:cs="Nirmala UI"/>
          <w:bCs/>
          <w:i/>
          <w:iCs/>
          <w:sz w:val="20"/>
          <w:szCs w:val="20"/>
          <w:lang w:val="en-US"/>
        </w:rPr>
        <w:t>and elderly or disabled care facilit</w:t>
      </w:r>
      <w:r w:rsidR="0051225E" w:rsidRPr="002E1D42">
        <w:rPr>
          <w:rFonts w:ascii="Nirmala UI" w:hAnsi="Nirmala UI" w:cs="Nirmala UI"/>
          <w:bCs/>
          <w:i/>
          <w:iCs/>
          <w:sz w:val="20"/>
          <w:szCs w:val="20"/>
          <w:lang w:val="en-US"/>
        </w:rPr>
        <w:t>ies</w:t>
      </w:r>
      <w:r w:rsidR="00892D7C" w:rsidRPr="002E1D42">
        <w:rPr>
          <w:rFonts w:ascii="Nirmala UI" w:hAnsi="Nirmala UI" w:cs="Nirmala UI"/>
          <w:bCs/>
          <w:i/>
          <w:iCs/>
          <w:sz w:val="20"/>
          <w:szCs w:val="20"/>
          <w:lang w:val="en-US"/>
        </w:rPr>
        <w:t>, an</w:t>
      </w:r>
      <w:r w:rsidR="0051225E" w:rsidRPr="002E1D42">
        <w:rPr>
          <w:rFonts w:ascii="Nirmala UI" w:hAnsi="Nirmala UI" w:cs="Nirmala UI"/>
          <w:bCs/>
          <w:i/>
          <w:iCs/>
          <w:sz w:val="20"/>
          <w:szCs w:val="20"/>
          <w:lang w:val="en-US"/>
        </w:rPr>
        <w:t>d</w:t>
      </w:r>
      <w:r w:rsidR="00892D7C" w:rsidRPr="002E1D42">
        <w:rPr>
          <w:rFonts w:ascii="Nirmala UI" w:hAnsi="Nirmala UI" w:cs="Nirmala UI"/>
          <w:bCs/>
          <w:i/>
          <w:iCs/>
          <w:sz w:val="20"/>
          <w:szCs w:val="20"/>
          <w:lang w:val="en-US"/>
        </w:rPr>
        <w:t xml:space="preserve"> individuals receiving care at home.</w:t>
      </w:r>
    </w:p>
    <w:p w14:paraId="7A001DC1" w14:textId="61AA5732" w:rsidR="0064030F" w:rsidRPr="00D43571" w:rsidRDefault="0051225E" w:rsidP="0064030F">
      <w:pPr>
        <w:rPr>
          <w:rFonts w:ascii="Nirmala UI" w:hAnsi="Nirmala UI" w:cs="Nirmala UI"/>
          <w:bCs/>
          <w:sz w:val="20"/>
          <w:szCs w:val="20"/>
          <w:lang w:val="en-US"/>
        </w:rPr>
      </w:pPr>
      <w:r w:rsidRPr="00D43571">
        <w:rPr>
          <w:rFonts w:ascii="Nirmala UI" w:hAnsi="Nirmala UI" w:cs="Nirmala UI"/>
          <w:bCs/>
          <w:sz w:val="20"/>
          <w:szCs w:val="20"/>
          <w:lang w:val="en-US"/>
        </w:rPr>
        <w:t>Statistics Netherlands</w:t>
      </w:r>
      <w:r w:rsidR="00D100EB" w:rsidRPr="00D43571">
        <w:rPr>
          <w:rFonts w:ascii="Nirmala UI" w:hAnsi="Nirmala UI" w:cs="Nirmala UI"/>
          <w:bCs/>
          <w:sz w:val="20"/>
          <w:szCs w:val="20"/>
          <w:lang w:val="en-US"/>
        </w:rPr>
        <w:t xml:space="preserve">. </w:t>
      </w:r>
      <w:r w:rsidR="00D43571" w:rsidRPr="00D43571">
        <w:rPr>
          <w:rFonts w:ascii="Nirmala UI" w:hAnsi="Nirmala UI" w:cs="Nirmala UI"/>
          <w:bCs/>
          <w:sz w:val="20"/>
          <w:szCs w:val="20"/>
          <w:lang w:val="en-US"/>
        </w:rPr>
        <w:t>Monitor Long-term Care</w:t>
      </w:r>
      <w:r w:rsidR="0044127C">
        <w:rPr>
          <w:rFonts w:ascii="Nirmala UI" w:hAnsi="Nirmala UI" w:cs="Nirmala UI"/>
          <w:bCs/>
          <w:sz w:val="20"/>
          <w:szCs w:val="20"/>
          <w:lang w:val="en-US"/>
        </w:rPr>
        <w:t>; u</w:t>
      </w:r>
      <w:r w:rsidR="00D43571">
        <w:rPr>
          <w:rFonts w:ascii="Nirmala UI" w:hAnsi="Nirmala UI" w:cs="Nirmala UI"/>
          <w:bCs/>
          <w:sz w:val="20"/>
          <w:szCs w:val="20"/>
          <w:lang w:val="en-US"/>
        </w:rPr>
        <w:t>se of c</w:t>
      </w:r>
      <w:r w:rsidR="00D43571" w:rsidRPr="00D43571">
        <w:rPr>
          <w:rFonts w:ascii="Nirmala UI" w:hAnsi="Nirmala UI" w:cs="Nirmala UI"/>
          <w:bCs/>
          <w:sz w:val="20"/>
          <w:szCs w:val="20"/>
          <w:lang w:val="en-US"/>
        </w:rPr>
        <w:t>ompuls</w:t>
      </w:r>
      <w:r w:rsidR="00D43571">
        <w:rPr>
          <w:rFonts w:ascii="Nirmala UI" w:hAnsi="Nirmala UI" w:cs="Nirmala UI"/>
          <w:bCs/>
          <w:sz w:val="20"/>
          <w:szCs w:val="20"/>
          <w:lang w:val="en-US"/>
        </w:rPr>
        <w:t xml:space="preserve">ory contribution long-term care by care type, care package, and region. Available from:  </w:t>
      </w:r>
      <w:hyperlink r:id="rId8" w:anchor="/MLZ/nl/dataset/40055NED/table?dl=63D29" w:history="1">
        <w:r w:rsidR="00D43571" w:rsidRPr="004754C0">
          <w:rPr>
            <w:rStyle w:val="Hyperlink"/>
            <w:rFonts w:ascii="Nirmala UI" w:hAnsi="Nirmala UI" w:cs="Nirmala UI"/>
            <w:bCs/>
            <w:sz w:val="20"/>
            <w:szCs w:val="20"/>
            <w:lang w:val="en-US"/>
          </w:rPr>
          <w:t>https://mlzopendata.cbs.nl/#/MLZ/nl/dataset/40055NED/table?dl=63D29</w:t>
        </w:r>
      </w:hyperlink>
      <w:r w:rsidR="00D43571">
        <w:rPr>
          <w:rFonts w:ascii="Nirmala UI" w:hAnsi="Nirmala UI" w:cs="Nirmala UI"/>
          <w:bCs/>
          <w:sz w:val="20"/>
          <w:szCs w:val="20"/>
          <w:lang w:val="en-US"/>
        </w:rPr>
        <w:t>. Accessed 15 March 2022.</w:t>
      </w:r>
    </w:p>
    <w:p w14:paraId="718263C8" w14:textId="5BBB4299" w:rsidR="0064030F" w:rsidRPr="003336CA" w:rsidRDefault="00F5132A" w:rsidP="0064030F">
      <w:pPr>
        <w:rPr>
          <w:rFonts w:ascii="Nirmala UI" w:hAnsi="Nirmala UI" w:cs="Nirmala UI"/>
          <w:bCs/>
          <w:sz w:val="20"/>
          <w:szCs w:val="20"/>
          <w:lang w:val="en-US"/>
        </w:rPr>
      </w:pPr>
      <w:r>
        <w:rPr>
          <w:rFonts w:ascii="Nirmala UI" w:hAnsi="Nirmala UI" w:cs="Nirmala UI"/>
          <w:bCs/>
          <w:sz w:val="20"/>
          <w:szCs w:val="20"/>
          <w:lang w:val="en-US"/>
        </w:rPr>
        <w:t>4</w:t>
      </w:r>
      <w:r w:rsidR="0064030F" w:rsidRPr="003336CA">
        <w:rPr>
          <w:rFonts w:ascii="Nirmala UI" w:hAnsi="Nirmala UI" w:cs="Nirmala UI"/>
          <w:bCs/>
          <w:sz w:val="20"/>
          <w:szCs w:val="20"/>
          <w:lang w:val="en-US"/>
        </w:rPr>
        <w:t>. Statistics Netherlands. Population; key figures. CBS; 13 Oct 2021. Available from: https://opendata.cbs.nl/#/CBS/en/dataset/37296eng/table?ts=1646313474977. Accessed 3 March 2022.</w:t>
      </w:r>
    </w:p>
    <w:p w14:paraId="163C6F7F" w14:textId="0A85FABD" w:rsidR="00B438A7" w:rsidRDefault="00B438A7" w:rsidP="0064030F">
      <w:pPr>
        <w:rPr>
          <w:rFonts w:ascii="Nirmala UI" w:hAnsi="Nirmala UI" w:cs="Nirmala UI"/>
          <w:b/>
          <w:lang w:val="en-US"/>
        </w:rPr>
      </w:pPr>
      <w:r>
        <w:rPr>
          <w:rFonts w:ascii="Nirmala UI" w:hAnsi="Nirmala UI" w:cs="Nirmala UI"/>
          <w:b/>
          <w:lang w:val="en-US"/>
        </w:rPr>
        <w:br w:type="page"/>
      </w:r>
    </w:p>
    <w:p w14:paraId="36BF12CB" w14:textId="6BD645B0" w:rsidR="006E54F7" w:rsidRPr="006F7BB4" w:rsidRDefault="006E54F7" w:rsidP="0049781E">
      <w:pPr>
        <w:spacing w:line="360" w:lineRule="auto"/>
        <w:rPr>
          <w:rFonts w:ascii="Nirmala UI" w:hAnsi="Nirmala UI" w:cs="Nirmala UI"/>
          <w:lang w:val="en-US"/>
        </w:rPr>
      </w:pPr>
      <w:r w:rsidRPr="006F7BB4">
        <w:rPr>
          <w:rFonts w:ascii="Nirmala UI" w:hAnsi="Nirmala UI" w:cs="Nirmala UI"/>
          <w:b/>
          <w:lang w:val="en-US"/>
        </w:rPr>
        <w:lastRenderedPageBreak/>
        <w:t>Fig. S1</w:t>
      </w:r>
      <w:r w:rsidRPr="006F7BB4">
        <w:rPr>
          <w:rFonts w:ascii="Nirmala UI" w:hAnsi="Nirmala UI" w:cs="Nirmala UI"/>
          <w:lang w:val="en-US"/>
        </w:rPr>
        <w:t xml:space="preserve">. </w:t>
      </w:r>
      <w:r w:rsidR="00A63867" w:rsidRPr="006F7BB4">
        <w:rPr>
          <w:rFonts w:ascii="Nirmala UI" w:hAnsi="Nirmala UI" w:cs="Nirmala UI"/>
          <w:lang w:val="en-US"/>
        </w:rPr>
        <w:t>T</w:t>
      </w:r>
      <w:r w:rsidR="00FA7DF6" w:rsidRPr="006F7BB4">
        <w:rPr>
          <w:rFonts w:ascii="Nirmala UI" w:hAnsi="Nirmala UI" w:cs="Nirmala UI"/>
          <w:lang w:val="en-US"/>
        </w:rPr>
        <w:t>otal</w:t>
      </w:r>
      <w:r w:rsidR="00A63867" w:rsidRPr="006F7BB4">
        <w:rPr>
          <w:rFonts w:ascii="Nirmala UI" w:hAnsi="Nirmala UI" w:cs="Nirmala UI"/>
          <w:lang w:val="en-US"/>
        </w:rPr>
        <w:t xml:space="preserve"> weekly</w:t>
      </w:r>
      <w:r w:rsidR="00FA7DF6" w:rsidRPr="006F7BB4">
        <w:rPr>
          <w:rFonts w:ascii="Nirmala UI" w:hAnsi="Nirmala UI" w:cs="Nirmala UI"/>
          <w:lang w:val="en-US"/>
        </w:rPr>
        <w:t xml:space="preserve"> d</w:t>
      </w:r>
      <w:r w:rsidRPr="006F7BB4">
        <w:rPr>
          <w:rFonts w:ascii="Nirmala UI" w:hAnsi="Nirmala UI" w:cs="Nirmala UI"/>
          <w:lang w:val="en-US"/>
        </w:rPr>
        <w:t xml:space="preserve">eaths among SARS-CoV-2 positive cases </w:t>
      </w:r>
      <w:r w:rsidR="003875AB" w:rsidRPr="006F7BB4">
        <w:rPr>
          <w:rFonts w:ascii="Nirmala UI" w:hAnsi="Nirmala UI" w:cs="Nirmala UI"/>
          <w:lang w:val="en-US"/>
        </w:rPr>
        <w:t>from</w:t>
      </w:r>
      <w:r w:rsidRPr="006F7BB4">
        <w:rPr>
          <w:rFonts w:ascii="Nirmala UI" w:hAnsi="Nirmala UI" w:cs="Nirmala UI"/>
          <w:lang w:val="en-US"/>
        </w:rPr>
        <w:t xml:space="preserve"> the </w:t>
      </w:r>
      <w:r w:rsidR="00806F09">
        <w:rPr>
          <w:rFonts w:ascii="Nirmala UI" w:hAnsi="Nirmala UI" w:cs="Nirmala UI"/>
          <w:lang w:val="en-US"/>
        </w:rPr>
        <w:t>Osiris</w:t>
      </w:r>
      <w:r w:rsidRPr="006F7BB4">
        <w:rPr>
          <w:rFonts w:ascii="Nirmala UI" w:hAnsi="Nirmala UI" w:cs="Nirmala UI"/>
          <w:lang w:val="en-US"/>
        </w:rPr>
        <w:t xml:space="preserve"> </w:t>
      </w:r>
      <w:r w:rsidR="00B021F1">
        <w:rPr>
          <w:rFonts w:ascii="Nirmala UI" w:hAnsi="Nirmala UI" w:cs="Nirmala UI"/>
          <w:lang w:val="en-US"/>
        </w:rPr>
        <w:t xml:space="preserve">case </w:t>
      </w:r>
      <w:r w:rsidRPr="006F7BB4">
        <w:rPr>
          <w:rFonts w:ascii="Nirmala UI" w:hAnsi="Nirmala UI" w:cs="Nirmala UI"/>
          <w:lang w:val="en-US"/>
        </w:rPr>
        <w:t xml:space="preserve">notification system, </w:t>
      </w:r>
      <w:r w:rsidR="00DB5D0B" w:rsidRPr="006F7BB4">
        <w:rPr>
          <w:rFonts w:ascii="Nirmala UI" w:hAnsi="Nirmala UI" w:cs="Nirmala UI"/>
          <w:lang w:val="en-US"/>
        </w:rPr>
        <w:t>plotted</w:t>
      </w:r>
      <w:r w:rsidRPr="006F7BB4">
        <w:rPr>
          <w:rFonts w:ascii="Nirmala UI" w:hAnsi="Nirmala UI" w:cs="Nirmala UI"/>
          <w:lang w:val="en-US"/>
        </w:rPr>
        <w:t xml:space="preserve"> </w:t>
      </w:r>
      <w:r w:rsidR="00DB5D0B" w:rsidRPr="006F7BB4">
        <w:rPr>
          <w:rFonts w:ascii="Nirmala UI" w:hAnsi="Nirmala UI" w:cs="Nirmala UI"/>
          <w:lang w:val="en-US"/>
        </w:rPr>
        <w:t>over the</w:t>
      </w:r>
      <w:r w:rsidR="007333F7" w:rsidRPr="006F7BB4">
        <w:rPr>
          <w:rFonts w:ascii="Nirmala UI" w:hAnsi="Nirmala UI" w:cs="Nirmala UI"/>
          <w:lang w:val="en-US"/>
        </w:rPr>
        <w:t xml:space="preserve"> full</w:t>
      </w:r>
      <w:r w:rsidR="00DB5D0B" w:rsidRPr="006F7BB4">
        <w:rPr>
          <w:rFonts w:ascii="Nirmala UI" w:hAnsi="Nirmala UI" w:cs="Nirmala UI"/>
          <w:lang w:val="en-US"/>
        </w:rPr>
        <w:t xml:space="preserve"> period </w:t>
      </w:r>
      <w:r w:rsidRPr="006F7BB4">
        <w:rPr>
          <w:rFonts w:ascii="Nirmala UI" w:hAnsi="Nirmala UI" w:cs="Nirmala UI"/>
          <w:lang w:val="en-US"/>
        </w:rPr>
        <w:t xml:space="preserve">(27 </w:t>
      </w:r>
      <w:r w:rsidR="00792E0E" w:rsidRPr="006F7BB4">
        <w:rPr>
          <w:rFonts w:ascii="Nirmala UI" w:hAnsi="Nirmala UI" w:cs="Nirmala UI"/>
          <w:lang w:val="en-US"/>
        </w:rPr>
        <w:t xml:space="preserve">February </w:t>
      </w:r>
      <w:r w:rsidRPr="006F7BB4">
        <w:rPr>
          <w:rFonts w:ascii="Nirmala UI" w:hAnsi="Nirmala UI" w:cs="Nirmala UI"/>
          <w:lang w:val="en-US"/>
        </w:rPr>
        <w:t xml:space="preserve">through 31 </w:t>
      </w:r>
      <w:r w:rsidR="00792E0E" w:rsidRPr="006F7BB4">
        <w:rPr>
          <w:rFonts w:ascii="Nirmala UI" w:hAnsi="Nirmala UI" w:cs="Nirmala UI"/>
          <w:lang w:val="en-US"/>
        </w:rPr>
        <w:t xml:space="preserve">December </w:t>
      </w:r>
      <w:r w:rsidRPr="006F7BB4">
        <w:rPr>
          <w:rFonts w:ascii="Nirmala UI" w:hAnsi="Nirmala UI" w:cs="Nirmala UI"/>
          <w:lang w:val="en-US"/>
        </w:rPr>
        <w:t>2020).</w:t>
      </w:r>
      <w:r w:rsidR="0049781E" w:rsidRPr="006F7BB4">
        <w:rPr>
          <w:rFonts w:ascii="Nirmala UI" w:hAnsi="Nirmala UI" w:cs="Nirmala UI"/>
          <w:lang w:val="en-US"/>
        </w:rPr>
        <w:t xml:space="preserve"> The vertical line marks the division </w:t>
      </w:r>
      <w:r w:rsidR="007333F7" w:rsidRPr="006F7BB4">
        <w:rPr>
          <w:rFonts w:ascii="Nirmala UI" w:hAnsi="Nirmala UI" w:cs="Nirmala UI"/>
          <w:lang w:val="en-US"/>
        </w:rPr>
        <w:t>in</w:t>
      </w:r>
      <w:r w:rsidR="007333F7" w:rsidRPr="00832A11">
        <w:rPr>
          <w:rFonts w:ascii="Nirmala UI" w:hAnsi="Nirmala UI" w:cs="Nirmala UI"/>
          <w:lang w:val="en-US"/>
        </w:rPr>
        <w:t>to the two</w:t>
      </w:r>
      <w:r w:rsidR="0049781E" w:rsidRPr="00832A11">
        <w:rPr>
          <w:rFonts w:ascii="Nirmala UI" w:hAnsi="Nirmala UI" w:cs="Nirmala UI"/>
          <w:lang w:val="en-US"/>
        </w:rPr>
        <w:t xml:space="preserve"> analysis periods</w:t>
      </w:r>
      <w:r w:rsidR="007333F7" w:rsidRPr="00832A11">
        <w:rPr>
          <w:rFonts w:ascii="Nirmala UI" w:hAnsi="Nirmala UI" w:cs="Nirmala UI"/>
          <w:lang w:val="en-US"/>
        </w:rPr>
        <w:t xml:space="preserve"> (estimated DALY in each plotted in Fig. S4)</w:t>
      </w:r>
      <w:r w:rsidR="0049781E" w:rsidRPr="00832A11">
        <w:rPr>
          <w:rFonts w:ascii="Nirmala UI" w:hAnsi="Nirmala UI" w:cs="Nirmala UI"/>
          <w:lang w:val="en-US"/>
        </w:rPr>
        <w:t>.</w:t>
      </w:r>
    </w:p>
    <w:p w14:paraId="5B40D906" w14:textId="77777777" w:rsidR="0049781E" w:rsidRPr="006F7BB4" w:rsidRDefault="0049781E" w:rsidP="0049781E">
      <w:pPr>
        <w:spacing w:line="360" w:lineRule="auto"/>
        <w:rPr>
          <w:rFonts w:ascii="Nirmala UI" w:hAnsi="Nirmala UI" w:cs="Nirmala UI"/>
          <w:lang w:val="en-US"/>
        </w:rPr>
      </w:pPr>
    </w:p>
    <w:p w14:paraId="61D2AEDE" w14:textId="77777777" w:rsidR="006E54F7" w:rsidRPr="006F7BB4" w:rsidRDefault="0049781E">
      <w:pPr>
        <w:rPr>
          <w:rFonts w:ascii="Nirmala UI" w:hAnsi="Nirmala UI" w:cs="Nirmala UI"/>
          <w:b/>
          <w:lang w:val="en-US"/>
        </w:rPr>
      </w:pPr>
      <w:r w:rsidRPr="006F7BB4">
        <w:rPr>
          <w:rFonts w:ascii="Nirmala UI" w:hAnsi="Nirmala UI" w:cs="Nirmala UI"/>
          <w:b/>
          <w:noProof/>
          <w:lang w:val="en-US"/>
        </w:rPr>
        <w:drawing>
          <wp:anchor distT="0" distB="0" distL="114300" distR="114300" simplePos="0" relativeHeight="251701248" behindDoc="1" locked="0" layoutInCell="1" allowOverlap="1" wp14:anchorId="4CD050C6" wp14:editId="6EB78FEC">
            <wp:simplePos x="0" y="0"/>
            <wp:positionH relativeFrom="column">
              <wp:posOffset>0</wp:posOffset>
            </wp:positionH>
            <wp:positionV relativeFrom="paragraph">
              <wp:posOffset>177</wp:posOffset>
            </wp:positionV>
            <wp:extent cx="5730875" cy="3678555"/>
            <wp:effectExtent l="0" t="0" r="3175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67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E54F7" w:rsidRPr="006F7BB4">
        <w:rPr>
          <w:rFonts w:ascii="Nirmala UI" w:hAnsi="Nirmala UI" w:cs="Nirmala UI"/>
          <w:b/>
          <w:lang w:val="en-US"/>
        </w:rPr>
        <w:br w:type="page"/>
      </w:r>
    </w:p>
    <w:p w14:paraId="6A8B65DE" w14:textId="77777777" w:rsidR="00764050" w:rsidRPr="006F7BB4" w:rsidRDefault="00764050">
      <w:pPr>
        <w:rPr>
          <w:rFonts w:ascii="Nirmala UI" w:hAnsi="Nirmala UI" w:cs="Nirmala UI"/>
          <w:lang w:val="en-US"/>
        </w:rPr>
      </w:pPr>
      <w:r w:rsidRPr="006F7BB4">
        <w:rPr>
          <w:rFonts w:ascii="Nirmala UI" w:hAnsi="Nirmala UI" w:cs="Nirmala UI"/>
          <w:b/>
          <w:lang w:val="en-US"/>
        </w:rPr>
        <w:lastRenderedPageBreak/>
        <w:t>Fig. S</w:t>
      </w:r>
      <w:r w:rsidR="006E54F7" w:rsidRPr="006F7BB4">
        <w:rPr>
          <w:rFonts w:ascii="Nirmala UI" w:hAnsi="Nirmala UI" w:cs="Nirmala UI"/>
          <w:b/>
          <w:lang w:val="en-US"/>
        </w:rPr>
        <w:t>2</w:t>
      </w:r>
      <w:r w:rsidRPr="006F7BB4">
        <w:rPr>
          <w:rFonts w:ascii="Nirmala UI" w:hAnsi="Nirmala UI" w:cs="Nirmala UI"/>
          <w:lang w:val="en-US"/>
        </w:rPr>
        <w:t>. Clinical pathway progression diagram for COVID-19.</w:t>
      </w:r>
    </w:p>
    <w:p w14:paraId="00CFF315" w14:textId="77777777" w:rsidR="00764050" w:rsidRPr="006F7BB4" w:rsidRDefault="00764050">
      <w:pPr>
        <w:rPr>
          <w:rFonts w:ascii="Nirmala UI" w:hAnsi="Nirmala UI" w:cs="Nirmala UI"/>
          <w:b/>
          <w:lang w:val="en-US"/>
        </w:rPr>
      </w:pPr>
      <w:r w:rsidRPr="006F7BB4">
        <w:rPr>
          <w:noProof/>
        </w:rPr>
        <w:drawing>
          <wp:anchor distT="0" distB="0" distL="114300" distR="114300" simplePos="0" relativeHeight="251700224" behindDoc="1" locked="0" layoutInCell="1" allowOverlap="1" wp14:anchorId="13194254" wp14:editId="4B125214">
            <wp:simplePos x="0" y="0"/>
            <wp:positionH relativeFrom="margin">
              <wp:posOffset>-276447</wp:posOffset>
            </wp:positionH>
            <wp:positionV relativeFrom="paragraph">
              <wp:posOffset>133675</wp:posOffset>
            </wp:positionV>
            <wp:extent cx="6457967" cy="1722474"/>
            <wp:effectExtent l="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5853" cy="17245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F7BB4">
        <w:rPr>
          <w:rFonts w:ascii="Nirmala UI" w:hAnsi="Nirmala UI" w:cs="Nirmala UI"/>
          <w:b/>
          <w:lang w:val="en-US"/>
        </w:rPr>
        <w:br w:type="page"/>
      </w:r>
    </w:p>
    <w:p w14:paraId="476C435A" w14:textId="77777777" w:rsidR="00894C25" w:rsidRDefault="00894C25" w:rsidP="00894C25">
      <w:pPr>
        <w:spacing w:line="360" w:lineRule="auto"/>
        <w:rPr>
          <w:rFonts w:ascii="Nirmala UI" w:hAnsi="Nirmala UI" w:cs="Nirmala UI"/>
          <w:lang w:val="en-US"/>
        </w:rPr>
      </w:pPr>
      <w:r>
        <w:rPr>
          <w:rFonts w:ascii="Nirmala UI" w:hAnsi="Nirmala UI" w:cs="Nirmala UI"/>
          <w:noProof/>
          <w:lang w:val="en-US"/>
        </w:rPr>
        <w:lastRenderedPageBreak/>
        <w:drawing>
          <wp:anchor distT="0" distB="0" distL="114300" distR="114300" simplePos="0" relativeHeight="251708416" behindDoc="1" locked="0" layoutInCell="1" allowOverlap="1" wp14:anchorId="2897222C" wp14:editId="4906C53B">
            <wp:simplePos x="0" y="0"/>
            <wp:positionH relativeFrom="margin">
              <wp:posOffset>10160</wp:posOffset>
            </wp:positionH>
            <wp:positionV relativeFrom="paragraph">
              <wp:posOffset>644363</wp:posOffset>
            </wp:positionV>
            <wp:extent cx="5996763" cy="3905039"/>
            <wp:effectExtent l="0" t="0" r="4445" b="63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6763" cy="3905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F7BB4">
        <w:rPr>
          <w:rFonts w:ascii="Nirmala UI" w:hAnsi="Nirmala UI" w:cs="Nirmala UI"/>
          <w:b/>
          <w:lang w:val="en-US"/>
        </w:rPr>
        <w:t>Fig. S</w:t>
      </w:r>
      <w:r>
        <w:rPr>
          <w:rFonts w:ascii="Nirmala UI" w:hAnsi="Nirmala UI" w:cs="Nirmala UI"/>
          <w:b/>
          <w:lang w:val="en-US"/>
        </w:rPr>
        <w:t>3</w:t>
      </w:r>
      <w:r w:rsidRPr="006F7BB4">
        <w:rPr>
          <w:rFonts w:ascii="Nirmala UI" w:hAnsi="Nirmala UI" w:cs="Nirmala UI"/>
          <w:lang w:val="en-US"/>
        </w:rPr>
        <w:t>. Estimated DALY per 1000 SARS-CoV-2 infected persons, stratified by 5-year age-group an</w:t>
      </w:r>
      <w:r w:rsidRPr="00832A11">
        <w:rPr>
          <w:rFonts w:ascii="Nirmala UI" w:hAnsi="Nirmala UI" w:cs="Nirmala UI"/>
          <w:lang w:val="en-US"/>
        </w:rPr>
        <w:t>d analysis period (i.</w:t>
      </w:r>
      <w:r w:rsidRPr="006F7BB4">
        <w:rPr>
          <w:rFonts w:ascii="Nirmala UI" w:hAnsi="Nirmala UI" w:cs="Nirmala UI"/>
          <w:lang w:val="en-US"/>
        </w:rPr>
        <w:t>e., first wave + summer period compared to the rest of 2020).</w:t>
      </w:r>
      <w:r>
        <w:rPr>
          <w:rFonts w:ascii="Nirmala UI" w:hAnsi="Nirmala UI" w:cs="Nirmala UI"/>
          <w:lang w:val="en-US"/>
        </w:rPr>
        <w:t xml:space="preserve"> </w:t>
      </w:r>
    </w:p>
    <w:p w14:paraId="1F60A6DE" w14:textId="77777777" w:rsidR="00894C25" w:rsidRDefault="00894C25" w:rsidP="00894C25">
      <w:pPr>
        <w:spacing w:line="360" w:lineRule="auto"/>
        <w:rPr>
          <w:rFonts w:ascii="Nirmala UI" w:hAnsi="Nirmala UI" w:cs="Nirmala UI"/>
          <w:lang w:val="en-US"/>
        </w:rPr>
      </w:pPr>
    </w:p>
    <w:p w14:paraId="59EE5DF3" w14:textId="77777777" w:rsidR="00894C25" w:rsidRPr="00D13E2E" w:rsidRDefault="00894C25" w:rsidP="00894C25">
      <w:pPr>
        <w:rPr>
          <w:rFonts w:ascii="Nirmala UI" w:hAnsi="Nirmala UI" w:cs="Nirmala UI"/>
          <w:b/>
          <w:lang w:val="en-US"/>
        </w:rPr>
      </w:pPr>
    </w:p>
    <w:p w14:paraId="79DDF629" w14:textId="77777777" w:rsidR="00894C25" w:rsidRDefault="00894C25">
      <w:pPr>
        <w:rPr>
          <w:rFonts w:ascii="Nirmala UI" w:hAnsi="Nirmala UI" w:cs="Nirmala UI"/>
          <w:b/>
          <w:lang w:val="en-US"/>
        </w:rPr>
      </w:pPr>
      <w:r>
        <w:rPr>
          <w:rFonts w:ascii="Nirmala UI" w:hAnsi="Nirmala UI" w:cs="Nirmala UI"/>
          <w:b/>
          <w:lang w:val="en-US"/>
        </w:rPr>
        <w:br w:type="page"/>
      </w:r>
    </w:p>
    <w:p w14:paraId="139C667E" w14:textId="23C93AB5" w:rsidR="002D59F1" w:rsidRDefault="002D59F1" w:rsidP="0049781E">
      <w:pPr>
        <w:spacing w:line="360" w:lineRule="auto"/>
        <w:rPr>
          <w:rFonts w:ascii="Nirmala UI" w:hAnsi="Nirmala UI" w:cs="Nirmala UI"/>
          <w:bCs/>
          <w:lang w:val="en-US"/>
        </w:rPr>
      </w:pPr>
      <w:r w:rsidRPr="002D59F1">
        <w:rPr>
          <w:rFonts w:ascii="Nirmala UI" w:hAnsi="Nirmala UI" w:cs="Nirmala UI"/>
          <w:b/>
          <w:lang w:val="en-US"/>
        </w:rPr>
        <w:lastRenderedPageBreak/>
        <w:t xml:space="preserve">Fig. </w:t>
      </w:r>
      <w:r>
        <w:rPr>
          <w:rFonts w:ascii="Nirmala UI" w:hAnsi="Nirmala UI" w:cs="Nirmala UI"/>
          <w:b/>
          <w:lang w:val="en-US"/>
        </w:rPr>
        <w:t>S</w:t>
      </w:r>
      <w:r w:rsidR="00894C25">
        <w:rPr>
          <w:rFonts w:ascii="Nirmala UI" w:hAnsi="Nirmala UI" w:cs="Nirmala UI"/>
          <w:b/>
          <w:lang w:val="en-US"/>
        </w:rPr>
        <w:t>4</w:t>
      </w:r>
      <w:r w:rsidRPr="002D59F1">
        <w:rPr>
          <w:rFonts w:ascii="Nirmala UI" w:hAnsi="Nirmala UI" w:cs="Nirmala UI"/>
          <w:b/>
          <w:lang w:val="en-US"/>
        </w:rPr>
        <w:t>.</w:t>
      </w:r>
      <w:r w:rsidRPr="002D59F1">
        <w:rPr>
          <w:rFonts w:ascii="Nirmala UI" w:hAnsi="Nirmala UI" w:cs="Nirmala UI"/>
          <w:bCs/>
          <w:lang w:val="en-US"/>
        </w:rPr>
        <w:t xml:space="preserve"> Estimated disease burden per occupation category (as DALY per 100,0000 persons in each category, aggregating over age and restricted to the age range 20-69 years only), 27 February through 31 December 2020. </w:t>
      </w:r>
    </w:p>
    <w:p w14:paraId="30C536AA" w14:textId="74A169F1" w:rsidR="001D2E80" w:rsidRDefault="001D2E80" w:rsidP="0049781E">
      <w:pPr>
        <w:spacing w:line="360" w:lineRule="auto"/>
        <w:rPr>
          <w:rFonts w:ascii="Nirmala UI" w:hAnsi="Nirmala UI" w:cs="Nirmala UI"/>
          <w:b/>
          <w:lang w:val="en-US"/>
        </w:rPr>
      </w:pPr>
      <w:r>
        <w:rPr>
          <w:rFonts w:ascii="Nirmala UI" w:hAnsi="Nirmala UI" w:cs="Nirmala UI"/>
          <w:bCs/>
          <w:noProof/>
          <w:lang w:val="en-US"/>
        </w:rPr>
        <w:drawing>
          <wp:anchor distT="0" distB="0" distL="114300" distR="114300" simplePos="0" relativeHeight="251706368" behindDoc="1" locked="0" layoutInCell="1" allowOverlap="1" wp14:anchorId="7BAA86E7" wp14:editId="69DE8E1D">
            <wp:simplePos x="0" y="0"/>
            <wp:positionH relativeFrom="margin">
              <wp:posOffset>0</wp:posOffset>
            </wp:positionH>
            <wp:positionV relativeFrom="paragraph">
              <wp:posOffset>62230</wp:posOffset>
            </wp:positionV>
            <wp:extent cx="5924550" cy="3493713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3493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06E4BB" w14:textId="77777777" w:rsidR="002D59F1" w:rsidRDefault="002D59F1">
      <w:pPr>
        <w:rPr>
          <w:rFonts w:ascii="Nirmala UI" w:hAnsi="Nirmala UI" w:cs="Nirmala UI"/>
          <w:b/>
          <w:lang w:val="en-US"/>
        </w:rPr>
      </w:pPr>
      <w:r>
        <w:rPr>
          <w:rFonts w:ascii="Nirmala UI" w:hAnsi="Nirmala UI" w:cs="Nirmala UI"/>
          <w:b/>
          <w:lang w:val="en-US"/>
        </w:rPr>
        <w:br w:type="page"/>
      </w:r>
    </w:p>
    <w:p w14:paraId="44AD22A7" w14:textId="50EC3EF7" w:rsidR="00D13E2E" w:rsidRDefault="00D13E2E" w:rsidP="0049781E">
      <w:pPr>
        <w:spacing w:line="360" w:lineRule="auto"/>
        <w:rPr>
          <w:rFonts w:ascii="Nirmala UI" w:hAnsi="Nirmala UI" w:cs="Nirmala UI"/>
          <w:lang w:val="en-US"/>
        </w:rPr>
      </w:pPr>
      <w:r w:rsidRPr="006F7BB4">
        <w:rPr>
          <w:rFonts w:ascii="Nirmala UI" w:hAnsi="Nirmala UI" w:cs="Nirmala UI"/>
          <w:b/>
          <w:lang w:val="en-US"/>
        </w:rPr>
        <w:lastRenderedPageBreak/>
        <w:t>Fig.</w:t>
      </w:r>
      <w:r w:rsidR="009221E3" w:rsidRPr="006F7BB4">
        <w:rPr>
          <w:rFonts w:ascii="Nirmala UI" w:hAnsi="Nirmala UI" w:cs="Nirmala UI"/>
          <w:b/>
          <w:lang w:val="en-US"/>
        </w:rPr>
        <w:t xml:space="preserve"> </w:t>
      </w:r>
      <w:r w:rsidRPr="006F7BB4">
        <w:rPr>
          <w:rFonts w:ascii="Nirmala UI" w:hAnsi="Nirmala UI" w:cs="Nirmala UI"/>
          <w:b/>
          <w:lang w:val="en-US"/>
        </w:rPr>
        <w:t>S</w:t>
      </w:r>
      <w:r w:rsidR="00894C25">
        <w:rPr>
          <w:rFonts w:ascii="Nirmala UI" w:hAnsi="Nirmala UI" w:cs="Nirmala UI"/>
          <w:b/>
          <w:lang w:val="en-US"/>
        </w:rPr>
        <w:t>5</w:t>
      </w:r>
      <w:r w:rsidRPr="006F7BB4">
        <w:rPr>
          <w:rFonts w:ascii="Nirmala UI" w:hAnsi="Nirmala UI" w:cs="Nirmala UI"/>
          <w:lang w:val="en-US"/>
        </w:rPr>
        <w:t xml:space="preserve">. Estimated cumulative incidence (per 100,000) of </w:t>
      </w:r>
      <w:r w:rsidR="00FA7DF6" w:rsidRPr="006F7BB4">
        <w:rPr>
          <w:rFonts w:ascii="Nirmala UI" w:hAnsi="Nirmala UI" w:cs="Nirmala UI"/>
          <w:lang w:val="en-US"/>
        </w:rPr>
        <w:t>m</w:t>
      </w:r>
      <w:r w:rsidR="00640895" w:rsidRPr="006F7BB4">
        <w:rPr>
          <w:rFonts w:ascii="Nirmala UI" w:hAnsi="Nirmala UI" w:cs="Nirmala UI"/>
          <w:lang w:val="en-US"/>
        </w:rPr>
        <w:t>ild/moderate cases</w:t>
      </w:r>
      <w:r w:rsidRPr="006F7BB4">
        <w:rPr>
          <w:rFonts w:ascii="Nirmala UI" w:hAnsi="Nirmala UI" w:cs="Nirmala UI"/>
          <w:lang w:val="en-US"/>
        </w:rPr>
        <w:t xml:space="preserve"> per occupation category and 5-year age-group (as the estimated total number of patients per 100,000 persons in each category within each age-group), </w:t>
      </w:r>
      <w:r w:rsidR="00640895" w:rsidRPr="006F7BB4">
        <w:rPr>
          <w:rFonts w:ascii="Nirmala UI" w:hAnsi="Nirmala UI" w:cs="Nirmala UI"/>
          <w:lang w:val="en-US"/>
        </w:rPr>
        <w:t xml:space="preserve">27 </w:t>
      </w:r>
      <w:r w:rsidR="00792E0E" w:rsidRPr="006F7BB4">
        <w:rPr>
          <w:rFonts w:ascii="Nirmala UI" w:hAnsi="Nirmala UI" w:cs="Nirmala UI"/>
          <w:lang w:val="en-US"/>
        </w:rPr>
        <w:t xml:space="preserve">February </w:t>
      </w:r>
      <w:r w:rsidR="00640895" w:rsidRPr="006F7BB4">
        <w:rPr>
          <w:rFonts w:ascii="Nirmala UI" w:hAnsi="Nirmala UI" w:cs="Nirmala UI"/>
          <w:lang w:val="en-US"/>
        </w:rPr>
        <w:t>through</w:t>
      </w:r>
      <w:r w:rsidRPr="006F7BB4">
        <w:rPr>
          <w:rFonts w:ascii="Nirmala UI" w:hAnsi="Nirmala UI" w:cs="Nirmala UI"/>
          <w:lang w:val="en-US"/>
        </w:rPr>
        <w:t xml:space="preserve"> 31 </w:t>
      </w:r>
      <w:r w:rsidR="00792E0E" w:rsidRPr="006F7BB4">
        <w:rPr>
          <w:rFonts w:ascii="Nirmala UI" w:hAnsi="Nirmala UI" w:cs="Nirmala UI"/>
          <w:lang w:val="en-US"/>
        </w:rPr>
        <w:t xml:space="preserve">December </w:t>
      </w:r>
      <w:r w:rsidRPr="006F7BB4">
        <w:rPr>
          <w:rFonts w:ascii="Nirmala UI" w:hAnsi="Nirmala UI" w:cs="Nirmala UI"/>
          <w:lang w:val="en-US"/>
        </w:rPr>
        <w:t>2020 and shown for the age range 20-69 years only.</w:t>
      </w:r>
    </w:p>
    <w:p w14:paraId="309B34F5" w14:textId="1A24719C" w:rsidR="00616F46" w:rsidRPr="006F7BB4" w:rsidRDefault="00616F46" w:rsidP="0049781E">
      <w:pPr>
        <w:spacing w:line="360" w:lineRule="auto"/>
        <w:rPr>
          <w:rFonts w:ascii="Nirmala UI" w:hAnsi="Nirmala UI" w:cs="Nirmala UI"/>
          <w:lang w:val="en-US"/>
        </w:rPr>
      </w:pPr>
      <w:r>
        <w:rPr>
          <w:rFonts w:ascii="Nirmala UI" w:hAnsi="Nirmala UI" w:cs="Nirmala UI"/>
          <w:noProof/>
          <w:lang w:val="en-US"/>
        </w:rPr>
        <w:drawing>
          <wp:anchor distT="0" distB="0" distL="114300" distR="114300" simplePos="0" relativeHeight="251704320" behindDoc="1" locked="0" layoutInCell="1" allowOverlap="1" wp14:anchorId="7404539F" wp14:editId="342041F7">
            <wp:simplePos x="0" y="0"/>
            <wp:positionH relativeFrom="column">
              <wp:posOffset>-10795</wp:posOffset>
            </wp:positionH>
            <wp:positionV relativeFrom="paragraph">
              <wp:posOffset>239557</wp:posOffset>
            </wp:positionV>
            <wp:extent cx="6072412" cy="6804837"/>
            <wp:effectExtent l="0" t="0" r="508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2412" cy="6804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173916" w14:textId="1A571745" w:rsidR="00D13E2E" w:rsidRPr="006F7BB4" w:rsidRDefault="00D13E2E" w:rsidP="00D13E2E">
      <w:pPr>
        <w:rPr>
          <w:rFonts w:ascii="Nirmala UI" w:hAnsi="Nirmala UI" w:cs="Nirmala UI"/>
          <w:lang w:val="en-US"/>
        </w:rPr>
      </w:pPr>
    </w:p>
    <w:p w14:paraId="32F5CCD2" w14:textId="77777777" w:rsidR="00D13E2E" w:rsidRPr="006F7BB4" w:rsidRDefault="00D13E2E" w:rsidP="00D13E2E">
      <w:pPr>
        <w:rPr>
          <w:rFonts w:ascii="Nirmala UI" w:hAnsi="Nirmala UI" w:cs="Nirmala UI"/>
          <w:lang w:val="en-US"/>
        </w:rPr>
      </w:pPr>
    </w:p>
    <w:p w14:paraId="1ABF673D" w14:textId="77777777" w:rsidR="00D13E2E" w:rsidRPr="006F7BB4" w:rsidRDefault="00D13E2E" w:rsidP="00D13E2E">
      <w:pPr>
        <w:rPr>
          <w:rFonts w:ascii="Nirmala UI" w:hAnsi="Nirmala UI" w:cs="Nirmala UI"/>
          <w:lang w:val="en-US"/>
        </w:rPr>
      </w:pPr>
    </w:p>
    <w:p w14:paraId="3BE8458F" w14:textId="77777777" w:rsidR="00D13E2E" w:rsidRPr="006F7BB4" w:rsidRDefault="00D13E2E" w:rsidP="00D13E2E">
      <w:pPr>
        <w:rPr>
          <w:rFonts w:ascii="Nirmala UI" w:hAnsi="Nirmala UI" w:cs="Nirmala UI"/>
          <w:b/>
          <w:lang w:val="en-US"/>
        </w:rPr>
      </w:pPr>
    </w:p>
    <w:p w14:paraId="58C153D7" w14:textId="49CFE40B" w:rsidR="00FB3B73" w:rsidRPr="006F7BB4" w:rsidRDefault="00FB3B73">
      <w:pPr>
        <w:rPr>
          <w:rFonts w:ascii="Nirmala UI" w:hAnsi="Nirmala UI" w:cs="Nirmala UI"/>
          <w:b/>
          <w:lang w:val="en-US"/>
        </w:rPr>
      </w:pPr>
    </w:p>
    <w:sectPr w:rsidR="00FB3B73" w:rsidRPr="006F7BB4">
      <w:head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A1E8EE" w14:textId="77777777" w:rsidR="00806F09" w:rsidRDefault="00806F09" w:rsidP="00B6354D">
      <w:pPr>
        <w:spacing w:after="0" w:line="240" w:lineRule="auto"/>
      </w:pPr>
      <w:r>
        <w:separator/>
      </w:r>
    </w:p>
  </w:endnote>
  <w:endnote w:type="continuationSeparator" w:id="0">
    <w:p w14:paraId="690AD3E4" w14:textId="77777777" w:rsidR="00806F09" w:rsidRDefault="00806F09" w:rsidP="00B635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C4933A" w14:textId="77777777" w:rsidR="00806F09" w:rsidRDefault="00806F09" w:rsidP="00B6354D">
      <w:pPr>
        <w:spacing w:after="0" w:line="240" w:lineRule="auto"/>
      </w:pPr>
      <w:r>
        <w:separator/>
      </w:r>
    </w:p>
  </w:footnote>
  <w:footnote w:type="continuationSeparator" w:id="0">
    <w:p w14:paraId="48E71799" w14:textId="77777777" w:rsidR="00806F09" w:rsidRDefault="00806F09" w:rsidP="00B635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9716223"/>
      <w:docPartObj>
        <w:docPartGallery w:val="Page Numbers (Top of Page)"/>
        <w:docPartUnique/>
      </w:docPartObj>
    </w:sdtPr>
    <w:sdtEndPr/>
    <w:sdtContent>
      <w:p w14:paraId="5F1E76FC" w14:textId="77777777" w:rsidR="00806F09" w:rsidRDefault="00806F09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EC77A43" w14:textId="77777777" w:rsidR="00806F09" w:rsidRDefault="00806F0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268DF"/>
    <w:multiLevelType w:val="hybridMultilevel"/>
    <w:tmpl w:val="CF3495B6"/>
    <w:lvl w:ilvl="0" w:tplc="848C6DE8">
      <w:start w:val="1560"/>
      <w:numFmt w:val="bullet"/>
      <w:lvlText w:val=""/>
      <w:lvlJc w:val="left"/>
      <w:pPr>
        <w:ind w:left="720" w:hanging="360"/>
      </w:pPr>
      <w:rPr>
        <w:rFonts w:ascii="Symbol" w:eastAsiaTheme="minorHAnsi" w:hAnsi="Symbol" w:cs="Nirmala U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2C261B"/>
    <w:multiLevelType w:val="hybridMultilevel"/>
    <w:tmpl w:val="AB660DA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903B78"/>
    <w:multiLevelType w:val="hybridMultilevel"/>
    <w:tmpl w:val="4EAA38E4"/>
    <w:lvl w:ilvl="0" w:tplc="5ED6CC3A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="Nirmala U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A00C2"/>
    <w:multiLevelType w:val="hybridMultilevel"/>
    <w:tmpl w:val="B99AFD9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2A69FD"/>
    <w:multiLevelType w:val="hybridMultilevel"/>
    <w:tmpl w:val="FACE55A8"/>
    <w:lvl w:ilvl="0" w:tplc="00A869B0">
      <w:numFmt w:val="bullet"/>
      <w:lvlText w:val="-"/>
      <w:lvlJc w:val="left"/>
      <w:pPr>
        <w:ind w:left="720" w:hanging="360"/>
      </w:pPr>
      <w:rPr>
        <w:rFonts w:ascii="Nirmala UI" w:eastAsiaTheme="minorHAnsi" w:hAnsi="Nirmala UI" w:cs="Nirmala U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1064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0C7"/>
    <w:rsid w:val="00001D3B"/>
    <w:rsid w:val="000025B7"/>
    <w:rsid w:val="000056F3"/>
    <w:rsid w:val="000068F3"/>
    <w:rsid w:val="00007DF0"/>
    <w:rsid w:val="00007F3C"/>
    <w:rsid w:val="00011AA3"/>
    <w:rsid w:val="00013614"/>
    <w:rsid w:val="00016FC1"/>
    <w:rsid w:val="00021E68"/>
    <w:rsid w:val="000235BD"/>
    <w:rsid w:val="000266EB"/>
    <w:rsid w:val="000315FC"/>
    <w:rsid w:val="00037FEB"/>
    <w:rsid w:val="00047E9D"/>
    <w:rsid w:val="00056724"/>
    <w:rsid w:val="000600C1"/>
    <w:rsid w:val="00060C41"/>
    <w:rsid w:val="0006203E"/>
    <w:rsid w:val="000640C1"/>
    <w:rsid w:val="000651C6"/>
    <w:rsid w:val="000700D9"/>
    <w:rsid w:val="00074CA3"/>
    <w:rsid w:val="00077A08"/>
    <w:rsid w:val="000814AB"/>
    <w:rsid w:val="00082FC4"/>
    <w:rsid w:val="00085B02"/>
    <w:rsid w:val="00090DA4"/>
    <w:rsid w:val="00094781"/>
    <w:rsid w:val="000948B1"/>
    <w:rsid w:val="000A4951"/>
    <w:rsid w:val="000A4A32"/>
    <w:rsid w:val="000A5A91"/>
    <w:rsid w:val="000B2398"/>
    <w:rsid w:val="000B23A8"/>
    <w:rsid w:val="000B60F9"/>
    <w:rsid w:val="000B68C8"/>
    <w:rsid w:val="000B6CBF"/>
    <w:rsid w:val="000B7F83"/>
    <w:rsid w:val="000C048B"/>
    <w:rsid w:val="000C7798"/>
    <w:rsid w:val="000D038A"/>
    <w:rsid w:val="000D0F77"/>
    <w:rsid w:val="000D27C6"/>
    <w:rsid w:val="000E0682"/>
    <w:rsid w:val="000E3A94"/>
    <w:rsid w:val="000E449D"/>
    <w:rsid w:val="000E528B"/>
    <w:rsid w:val="000E7EB6"/>
    <w:rsid w:val="000F0D6A"/>
    <w:rsid w:val="000F6530"/>
    <w:rsid w:val="001103EA"/>
    <w:rsid w:val="00110DA4"/>
    <w:rsid w:val="001116F2"/>
    <w:rsid w:val="00111C12"/>
    <w:rsid w:val="00114ACD"/>
    <w:rsid w:val="00115321"/>
    <w:rsid w:val="00116295"/>
    <w:rsid w:val="0011706E"/>
    <w:rsid w:val="001176F2"/>
    <w:rsid w:val="0012017A"/>
    <w:rsid w:val="00120D4B"/>
    <w:rsid w:val="00123C90"/>
    <w:rsid w:val="00126DEF"/>
    <w:rsid w:val="0013368A"/>
    <w:rsid w:val="001341DD"/>
    <w:rsid w:val="001345C4"/>
    <w:rsid w:val="00145EE2"/>
    <w:rsid w:val="00154330"/>
    <w:rsid w:val="00157000"/>
    <w:rsid w:val="00161405"/>
    <w:rsid w:val="00164AF9"/>
    <w:rsid w:val="00174C97"/>
    <w:rsid w:val="00183784"/>
    <w:rsid w:val="00185608"/>
    <w:rsid w:val="00187742"/>
    <w:rsid w:val="00187BBA"/>
    <w:rsid w:val="00191463"/>
    <w:rsid w:val="00195722"/>
    <w:rsid w:val="00196A45"/>
    <w:rsid w:val="001A5F80"/>
    <w:rsid w:val="001A61C0"/>
    <w:rsid w:val="001B0804"/>
    <w:rsid w:val="001B1433"/>
    <w:rsid w:val="001B55BB"/>
    <w:rsid w:val="001B58FE"/>
    <w:rsid w:val="001C0B8E"/>
    <w:rsid w:val="001C4CC4"/>
    <w:rsid w:val="001C4FB2"/>
    <w:rsid w:val="001C521C"/>
    <w:rsid w:val="001C5C2A"/>
    <w:rsid w:val="001D2E80"/>
    <w:rsid w:val="001E16FD"/>
    <w:rsid w:val="001E1709"/>
    <w:rsid w:val="001F312F"/>
    <w:rsid w:val="001F40C1"/>
    <w:rsid w:val="001F6987"/>
    <w:rsid w:val="001F7D26"/>
    <w:rsid w:val="00210061"/>
    <w:rsid w:val="00214ED8"/>
    <w:rsid w:val="00220257"/>
    <w:rsid w:val="00220C5A"/>
    <w:rsid w:val="0022311C"/>
    <w:rsid w:val="00225713"/>
    <w:rsid w:val="00226607"/>
    <w:rsid w:val="00233063"/>
    <w:rsid w:val="0023482E"/>
    <w:rsid w:val="00235B98"/>
    <w:rsid w:val="00235D29"/>
    <w:rsid w:val="002362B4"/>
    <w:rsid w:val="00242199"/>
    <w:rsid w:val="00252490"/>
    <w:rsid w:val="0025450A"/>
    <w:rsid w:val="00254D79"/>
    <w:rsid w:val="00255535"/>
    <w:rsid w:val="002610F4"/>
    <w:rsid w:val="00261544"/>
    <w:rsid w:val="002620CD"/>
    <w:rsid w:val="00263D44"/>
    <w:rsid w:val="00265075"/>
    <w:rsid w:val="00270844"/>
    <w:rsid w:val="00282074"/>
    <w:rsid w:val="0028513D"/>
    <w:rsid w:val="00285E26"/>
    <w:rsid w:val="00290B7E"/>
    <w:rsid w:val="00291E1F"/>
    <w:rsid w:val="00293B59"/>
    <w:rsid w:val="002964C3"/>
    <w:rsid w:val="002974FD"/>
    <w:rsid w:val="002A2ECC"/>
    <w:rsid w:val="002B16B6"/>
    <w:rsid w:val="002B2218"/>
    <w:rsid w:val="002B4B93"/>
    <w:rsid w:val="002B6B57"/>
    <w:rsid w:val="002C5BF0"/>
    <w:rsid w:val="002D0B99"/>
    <w:rsid w:val="002D59F1"/>
    <w:rsid w:val="002D5B27"/>
    <w:rsid w:val="002D5BB0"/>
    <w:rsid w:val="002D5FD6"/>
    <w:rsid w:val="002D7A06"/>
    <w:rsid w:val="002E1D42"/>
    <w:rsid w:val="002E2874"/>
    <w:rsid w:val="002E2F55"/>
    <w:rsid w:val="002F0964"/>
    <w:rsid w:val="002F4267"/>
    <w:rsid w:val="002F68C6"/>
    <w:rsid w:val="002F7CB0"/>
    <w:rsid w:val="00304CB8"/>
    <w:rsid w:val="00310DC9"/>
    <w:rsid w:val="00315D4E"/>
    <w:rsid w:val="00320D56"/>
    <w:rsid w:val="00325886"/>
    <w:rsid w:val="003332AD"/>
    <w:rsid w:val="003336CA"/>
    <w:rsid w:val="00340495"/>
    <w:rsid w:val="00343DB7"/>
    <w:rsid w:val="003453EB"/>
    <w:rsid w:val="00354AAE"/>
    <w:rsid w:val="00366084"/>
    <w:rsid w:val="003730D0"/>
    <w:rsid w:val="00373361"/>
    <w:rsid w:val="003739AD"/>
    <w:rsid w:val="00375D07"/>
    <w:rsid w:val="00380265"/>
    <w:rsid w:val="003850FE"/>
    <w:rsid w:val="003875AB"/>
    <w:rsid w:val="0038760D"/>
    <w:rsid w:val="003905F8"/>
    <w:rsid w:val="003A0BB8"/>
    <w:rsid w:val="003A1D32"/>
    <w:rsid w:val="003A323C"/>
    <w:rsid w:val="003B1A1F"/>
    <w:rsid w:val="003B47F5"/>
    <w:rsid w:val="003C0D82"/>
    <w:rsid w:val="003C1E61"/>
    <w:rsid w:val="003C3E41"/>
    <w:rsid w:val="003D2B1E"/>
    <w:rsid w:val="003D67A4"/>
    <w:rsid w:val="003E0024"/>
    <w:rsid w:val="003E0378"/>
    <w:rsid w:val="003E41EE"/>
    <w:rsid w:val="003E64E8"/>
    <w:rsid w:val="003F3B05"/>
    <w:rsid w:val="003F4636"/>
    <w:rsid w:val="003F4DF5"/>
    <w:rsid w:val="003F70BD"/>
    <w:rsid w:val="003F7818"/>
    <w:rsid w:val="0040376D"/>
    <w:rsid w:val="004054B8"/>
    <w:rsid w:val="004076C4"/>
    <w:rsid w:val="00412035"/>
    <w:rsid w:val="00412CE0"/>
    <w:rsid w:val="00412F0F"/>
    <w:rsid w:val="004269A9"/>
    <w:rsid w:val="0043102D"/>
    <w:rsid w:val="00432C70"/>
    <w:rsid w:val="0044127C"/>
    <w:rsid w:val="0044165F"/>
    <w:rsid w:val="0044275C"/>
    <w:rsid w:val="00444C15"/>
    <w:rsid w:val="00445BE1"/>
    <w:rsid w:val="00455C89"/>
    <w:rsid w:val="0046003F"/>
    <w:rsid w:val="00461B70"/>
    <w:rsid w:val="00464D4E"/>
    <w:rsid w:val="00471C58"/>
    <w:rsid w:val="00481BE7"/>
    <w:rsid w:val="004828FD"/>
    <w:rsid w:val="00484737"/>
    <w:rsid w:val="00484FAF"/>
    <w:rsid w:val="00487BFE"/>
    <w:rsid w:val="004910F9"/>
    <w:rsid w:val="00491298"/>
    <w:rsid w:val="00493C28"/>
    <w:rsid w:val="0049781E"/>
    <w:rsid w:val="004A1689"/>
    <w:rsid w:val="004A24C8"/>
    <w:rsid w:val="004A2CAD"/>
    <w:rsid w:val="004A337E"/>
    <w:rsid w:val="004A40D6"/>
    <w:rsid w:val="004A482A"/>
    <w:rsid w:val="004A658D"/>
    <w:rsid w:val="004A661E"/>
    <w:rsid w:val="004B09CA"/>
    <w:rsid w:val="004B6C52"/>
    <w:rsid w:val="004B7B92"/>
    <w:rsid w:val="004C2EC1"/>
    <w:rsid w:val="004C3C74"/>
    <w:rsid w:val="004D0254"/>
    <w:rsid w:val="004D112D"/>
    <w:rsid w:val="004D453A"/>
    <w:rsid w:val="004D687D"/>
    <w:rsid w:val="004E4008"/>
    <w:rsid w:val="004F04F1"/>
    <w:rsid w:val="004F4A97"/>
    <w:rsid w:val="00500E5F"/>
    <w:rsid w:val="00505A26"/>
    <w:rsid w:val="005079CB"/>
    <w:rsid w:val="00511CEB"/>
    <w:rsid w:val="0051225E"/>
    <w:rsid w:val="00516505"/>
    <w:rsid w:val="00521766"/>
    <w:rsid w:val="00525B0B"/>
    <w:rsid w:val="00534D99"/>
    <w:rsid w:val="00545E9C"/>
    <w:rsid w:val="00546958"/>
    <w:rsid w:val="00547EF8"/>
    <w:rsid w:val="005500A7"/>
    <w:rsid w:val="0055665E"/>
    <w:rsid w:val="005609F2"/>
    <w:rsid w:val="00560F0D"/>
    <w:rsid w:val="00560FE4"/>
    <w:rsid w:val="00566961"/>
    <w:rsid w:val="00577A32"/>
    <w:rsid w:val="00585BDF"/>
    <w:rsid w:val="00596779"/>
    <w:rsid w:val="005A2E14"/>
    <w:rsid w:val="005B24AC"/>
    <w:rsid w:val="005B601A"/>
    <w:rsid w:val="005D1F20"/>
    <w:rsid w:val="005D2DC2"/>
    <w:rsid w:val="005D385A"/>
    <w:rsid w:val="005D5918"/>
    <w:rsid w:val="005F08CE"/>
    <w:rsid w:val="005F1C3E"/>
    <w:rsid w:val="005F57CC"/>
    <w:rsid w:val="005F60FC"/>
    <w:rsid w:val="006074DF"/>
    <w:rsid w:val="0061345E"/>
    <w:rsid w:val="00614E18"/>
    <w:rsid w:val="00615D6F"/>
    <w:rsid w:val="00616F46"/>
    <w:rsid w:val="0062281A"/>
    <w:rsid w:val="00623E41"/>
    <w:rsid w:val="006244D8"/>
    <w:rsid w:val="0063358F"/>
    <w:rsid w:val="0064030F"/>
    <w:rsid w:val="00640895"/>
    <w:rsid w:val="00641252"/>
    <w:rsid w:val="00650D73"/>
    <w:rsid w:val="00652EEC"/>
    <w:rsid w:val="00653E24"/>
    <w:rsid w:val="00657DAA"/>
    <w:rsid w:val="00660CDE"/>
    <w:rsid w:val="006624A4"/>
    <w:rsid w:val="00664A47"/>
    <w:rsid w:val="006711AF"/>
    <w:rsid w:val="006712CC"/>
    <w:rsid w:val="00673F9F"/>
    <w:rsid w:val="00676279"/>
    <w:rsid w:val="00683899"/>
    <w:rsid w:val="00693B0A"/>
    <w:rsid w:val="00693FA5"/>
    <w:rsid w:val="006978AB"/>
    <w:rsid w:val="006A26FE"/>
    <w:rsid w:val="006A49CA"/>
    <w:rsid w:val="006A4DDD"/>
    <w:rsid w:val="006B1940"/>
    <w:rsid w:val="006B5308"/>
    <w:rsid w:val="006C2898"/>
    <w:rsid w:val="006D0BF4"/>
    <w:rsid w:val="006D0EDD"/>
    <w:rsid w:val="006D0FFF"/>
    <w:rsid w:val="006D3F86"/>
    <w:rsid w:val="006D431D"/>
    <w:rsid w:val="006D4CBE"/>
    <w:rsid w:val="006D56C1"/>
    <w:rsid w:val="006E39E3"/>
    <w:rsid w:val="006E54F7"/>
    <w:rsid w:val="006E7DC0"/>
    <w:rsid w:val="006F1A59"/>
    <w:rsid w:val="006F3528"/>
    <w:rsid w:val="006F4DC5"/>
    <w:rsid w:val="006F7BB4"/>
    <w:rsid w:val="006F7CBD"/>
    <w:rsid w:val="007172C3"/>
    <w:rsid w:val="0072356F"/>
    <w:rsid w:val="00727842"/>
    <w:rsid w:val="00731C58"/>
    <w:rsid w:val="00732613"/>
    <w:rsid w:val="007333F7"/>
    <w:rsid w:val="0073647C"/>
    <w:rsid w:val="00740E3C"/>
    <w:rsid w:val="00742587"/>
    <w:rsid w:val="007606F5"/>
    <w:rsid w:val="00764050"/>
    <w:rsid w:val="00766C35"/>
    <w:rsid w:val="007700DA"/>
    <w:rsid w:val="007730F2"/>
    <w:rsid w:val="00773853"/>
    <w:rsid w:val="00774592"/>
    <w:rsid w:val="00774DE5"/>
    <w:rsid w:val="007808F8"/>
    <w:rsid w:val="0078393A"/>
    <w:rsid w:val="007842F6"/>
    <w:rsid w:val="00787AE7"/>
    <w:rsid w:val="00792E0E"/>
    <w:rsid w:val="00796B62"/>
    <w:rsid w:val="007979DA"/>
    <w:rsid w:val="007A0AEE"/>
    <w:rsid w:val="007A0E3E"/>
    <w:rsid w:val="007A5A0D"/>
    <w:rsid w:val="007A6557"/>
    <w:rsid w:val="007B43E2"/>
    <w:rsid w:val="007B5E63"/>
    <w:rsid w:val="007C1FD4"/>
    <w:rsid w:val="007C339C"/>
    <w:rsid w:val="007D03A9"/>
    <w:rsid w:val="007D63D0"/>
    <w:rsid w:val="007D7C27"/>
    <w:rsid w:val="007E20C3"/>
    <w:rsid w:val="007E54B8"/>
    <w:rsid w:val="007F30C7"/>
    <w:rsid w:val="007F354D"/>
    <w:rsid w:val="00800270"/>
    <w:rsid w:val="00800598"/>
    <w:rsid w:val="00800CAF"/>
    <w:rsid w:val="008011B1"/>
    <w:rsid w:val="008042D4"/>
    <w:rsid w:val="0080499F"/>
    <w:rsid w:val="00804BF6"/>
    <w:rsid w:val="00804BF9"/>
    <w:rsid w:val="00804C58"/>
    <w:rsid w:val="00806F09"/>
    <w:rsid w:val="0081170A"/>
    <w:rsid w:val="0081184B"/>
    <w:rsid w:val="00812994"/>
    <w:rsid w:val="008169B7"/>
    <w:rsid w:val="00821822"/>
    <w:rsid w:val="00822309"/>
    <w:rsid w:val="00826704"/>
    <w:rsid w:val="00832619"/>
    <w:rsid w:val="00832A11"/>
    <w:rsid w:val="008345CE"/>
    <w:rsid w:val="0083472B"/>
    <w:rsid w:val="00834F3C"/>
    <w:rsid w:val="00840F75"/>
    <w:rsid w:val="008452B7"/>
    <w:rsid w:val="0085404E"/>
    <w:rsid w:val="00855136"/>
    <w:rsid w:val="0086133B"/>
    <w:rsid w:val="00887574"/>
    <w:rsid w:val="00890B4F"/>
    <w:rsid w:val="00892D7C"/>
    <w:rsid w:val="00894C25"/>
    <w:rsid w:val="008A21B8"/>
    <w:rsid w:val="008A664B"/>
    <w:rsid w:val="008C18EB"/>
    <w:rsid w:val="008C3D1A"/>
    <w:rsid w:val="008D100F"/>
    <w:rsid w:val="008D7C1C"/>
    <w:rsid w:val="008F0CFD"/>
    <w:rsid w:val="008F30E5"/>
    <w:rsid w:val="009139D8"/>
    <w:rsid w:val="00915DCF"/>
    <w:rsid w:val="00921C07"/>
    <w:rsid w:val="009221E3"/>
    <w:rsid w:val="00931B42"/>
    <w:rsid w:val="00935071"/>
    <w:rsid w:val="00940339"/>
    <w:rsid w:val="00940FF3"/>
    <w:rsid w:val="0094218E"/>
    <w:rsid w:val="0094727A"/>
    <w:rsid w:val="00947610"/>
    <w:rsid w:val="0095094C"/>
    <w:rsid w:val="00953452"/>
    <w:rsid w:val="00955F99"/>
    <w:rsid w:val="009811CC"/>
    <w:rsid w:val="0098351A"/>
    <w:rsid w:val="0098371A"/>
    <w:rsid w:val="00984F6A"/>
    <w:rsid w:val="00987411"/>
    <w:rsid w:val="009A37E8"/>
    <w:rsid w:val="009A43C5"/>
    <w:rsid w:val="009B70FE"/>
    <w:rsid w:val="009C4BFF"/>
    <w:rsid w:val="009C5347"/>
    <w:rsid w:val="009C5D20"/>
    <w:rsid w:val="009D2141"/>
    <w:rsid w:val="009D44BE"/>
    <w:rsid w:val="009E2C55"/>
    <w:rsid w:val="009E68F4"/>
    <w:rsid w:val="009F63EA"/>
    <w:rsid w:val="009F7124"/>
    <w:rsid w:val="009F731E"/>
    <w:rsid w:val="00A02DDE"/>
    <w:rsid w:val="00A146BB"/>
    <w:rsid w:val="00A20669"/>
    <w:rsid w:val="00A21114"/>
    <w:rsid w:val="00A404D4"/>
    <w:rsid w:val="00A42235"/>
    <w:rsid w:val="00A52B2A"/>
    <w:rsid w:val="00A54A54"/>
    <w:rsid w:val="00A56405"/>
    <w:rsid w:val="00A63867"/>
    <w:rsid w:val="00A6504B"/>
    <w:rsid w:val="00A67380"/>
    <w:rsid w:val="00A67426"/>
    <w:rsid w:val="00A709A7"/>
    <w:rsid w:val="00A76953"/>
    <w:rsid w:val="00A8292E"/>
    <w:rsid w:val="00A83EA0"/>
    <w:rsid w:val="00A84157"/>
    <w:rsid w:val="00A9038E"/>
    <w:rsid w:val="00A93084"/>
    <w:rsid w:val="00A94B97"/>
    <w:rsid w:val="00AA4F26"/>
    <w:rsid w:val="00AB29E9"/>
    <w:rsid w:val="00AC0591"/>
    <w:rsid w:val="00AC419A"/>
    <w:rsid w:val="00AC4DDB"/>
    <w:rsid w:val="00AD2104"/>
    <w:rsid w:val="00AD7A1D"/>
    <w:rsid w:val="00AE7544"/>
    <w:rsid w:val="00AE7D49"/>
    <w:rsid w:val="00AF3EA5"/>
    <w:rsid w:val="00AF6AD1"/>
    <w:rsid w:val="00AF778E"/>
    <w:rsid w:val="00B021F1"/>
    <w:rsid w:val="00B11325"/>
    <w:rsid w:val="00B141F6"/>
    <w:rsid w:val="00B234B4"/>
    <w:rsid w:val="00B3064A"/>
    <w:rsid w:val="00B3182C"/>
    <w:rsid w:val="00B32E92"/>
    <w:rsid w:val="00B4259F"/>
    <w:rsid w:val="00B438A7"/>
    <w:rsid w:val="00B45F95"/>
    <w:rsid w:val="00B56380"/>
    <w:rsid w:val="00B6354D"/>
    <w:rsid w:val="00B66965"/>
    <w:rsid w:val="00B7318C"/>
    <w:rsid w:val="00B73F08"/>
    <w:rsid w:val="00B76203"/>
    <w:rsid w:val="00B8317C"/>
    <w:rsid w:val="00B86CAC"/>
    <w:rsid w:val="00B93237"/>
    <w:rsid w:val="00BA22DD"/>
    <w:rsid w:val="00BA28BC"/>
    <w:rsid w:val="00BB2242"/>
    <w:rsid w:val="00BB76CB"/>
    <w:rsid w:val="00BC2F43"/>
    <w:rsid w:val="00BC36A7"/>
    <w:rsid w:val="00BC3B7C"/>
    <w:rsid w:val="00BC5EDC"/>
    <w:rsid w:val="00BD1652"/>
    <w:rsid w:val="00BD22AB"/>
    <w:rsid w:val="00BE1C95"/>
    <w:rsid w:val="00BE2A9D"/>
    <w:rsid w:val="00BE591D"/>
    <w:rsid w:val="00BF1D0B"/>
    <w:rsid w:val="00C0609A"/>
    <w:rsid w:val="00C062A1"/>
    <w:rsid w:val="00C11892"/>
    <w:rsid w:val="00C25256"/>
    <w:rsid w:val="00C3193C"/>
    <w:rsid w:val="00C333CE"/>
    <w:rsid w:val="00C50DE0"/>
    <w:rsid w:val="00C53C28"/>
    <w:rsid w:val="00C5455C"/>
    <w:rsid w:val="00C54E12"/>
    <w:rsid w:val="00C606B6"/>
    <w:rsid w:val="00C65600"/>
    <w:rsid w:val="00C70445"/>
    <w:rsid w:val="00C71253"/>
    <w:rsid w:val="00C7496C"/>
    <w:rsid w:val="00C75837"/>
    <w:rsid w:val="00C830CD"/>
    <w:rsid w:val="00C85E94"/>
    <w:rsid w:val="00C86B79"/>
    <w:rsid w:val="00C902C0"/>
    <w:rsid w:val="00C90767"/>
    <w:rsid w:val="00C92C04"/>
    <w:rsid w:val="00C93F17"/>
    <w:rsid w:val="00C952DA"/>
    <w:rsid w:val="00CA3562"/>
    <w:rsid w:val="00CA6BED"/>
    <w:rsid w:val="00CB114E"/>
    <w:rsid w:val="00CC22BC"/>
    <w:rsid w:val="00CC5549"/>
    <w:rsid w:val="00CC7A59"/>
    <w:rsid w:val="00CC7CDB"/>
    <w:rsid w:val="00CD4710"/>
    <w:rsid w:val="00CE11E0"/>
    <w:rsid w:val="00CE141F"/>
    <w:rsid w:val="00CE2015"/>
    <w:rsid w:val="00CE2B49"/>
    <w:rsid w:val="00CF086F"/>
    <w:rsid w:val="00CF31F4"/>
    <w:rsid w:val="00CF6463"/>
    <w:rsid w:val="00D07CDF"/>
    <w:rsid w:val="00D100EB"/>
    <w:rsid w:val="00D13E2E"/>
    <w:rsid w:val="00D14F7B"/>
    <w:rsid w:val="00D15A42"/>
    <w:rsid w:val="00D26FE4"/>
    <w:rsid w:val="00D31512"/>
    <w:rsid w:val="00D31C6D"/>
    <w:rsid w:val="00D31E0A"/>
    <w:rsid w:val="00D32059"/>
    <w:rsid w:val="00D3293B"/>
    <w:rsid w:val="00D3584C"/>
    <w:rsid w:val="00D4343A"/>
    <w:rsid w:val="00D43571"/>
    <w:rsid w:val="00D46B2D"/>
    <w:rsid w:val="00D47FDB"/>
    <w:rsid w:val="00D50809"/>
    <w:rsid w:val="00D523AF"/>
    <w:rsid w:val="00D54517"/>
    <w:rsid w:val="00D56B4B"/>
    <w:rsid w:val="00D63354"/>
    <w:rsid w:val="00D635F8"/>
    <w:rsid w:val="00D73F5E"/>
    <w:rsid w:val="00D744EB"/>
    <w:rsid w:val="00D74805"/>
    <w:rsid w:val="00D77B6E"/>
    <w:rsid w:val="00D81A73"/>
    <w:rsid w:val="00D82AB5"/>
    <w:rsid w:val="00D83C2B"/>
    <w:rsid w:val="00D97729"/>
    <w:rsid w:val="00DA1709"/>
    <w:rsid w:val="00DB5D0B"/>
    <w:rsid w:val="00DC3F57"/>
    <w:rsid w:val="00DD0FCE"/>
    <w:rsid w:val="00DD4C46"/>
    <w:rsid w:val="00DE162C"/>
    <w:rsid w:val="00DE213E"/>
    <w:rsid w:val="00DE22E2"/>
    <w:rsid w:val="00DE26E3"/>
    <w:rsid w:val="00DE4E90"/>
    <w:rsid w:val="00DE57D0"/>
    <w:rsid w:val="00DF2718"/>
    <w:rsid w:val="00E13092"/>
    <w:rsid w:val="00E13ABC"/>
    <w:rsid w:val="00E2027A"/>
    <w:rsid w:val="00E21C35"/>
    <w:rsid w:val="00E27202"/>
    <w:rsid w:val="00E30BA3"/>
    <w:rsid w:val="00E324C6"/>
    <w:rsid w:val="00E329DB"/>
    <w:rsid w:val="00E35C51"/>
    <w:rsid w:val="00E40834"/>
    <w:rsid w:val="00E52AA3"/>
    <w:rsid w:val="00E63FD7"/>
    <w:rsid w:val="00E674E5"/>
    <w:rsid w:val="00E7070C"/>
    <w:rsid w:val="00E71A51"/>
    <w:rsid w:val="00E8704F"/>
    <w:rsid w:val="00E90DDF"/>
    <w:rsid w:val="00E941B7"/>
    <w:rsid w:val="00EA6B6D"/>
    <w:rsid w:val="00EB0773"/>
    <w:rsid w:val="00EC0EE7"/>
    <w:rsid w:val="00ED019C"/>
    <w:rsid w:val="00EE42AC"/>
    <w:rsid w:val="00EE64A0"/>
    <w:rsid w:val="00EE6ABD"/>
    <w:rsid w:val="00EF25EB"/>
    <w:rsid w:val="00EF46A9"/>
    <w:rsid w:val="00EF4742"/>
    <w:rsid w:val="00EF5130"/>
    <w:rsid w:val="00F015A3"/>
    <w:rsid w:val="00F05ACC"/>
    <w:rsid w:val="00F107F3"/>
    <w:rsid w:val="00F1122C"/>
    <w:rsid w:val="00F20D2F"/>
    <w:rsid w:val="00F23EAB"/>
    <w:rsid w:val="00F2545B"/>
    <w:rsid w:val="00F26902"/>
    <w:rsid w:val="00F305F0"/>
    <w:rsid w:val="00F459E3"/>
    <w:rsid w:val="00F45B3E"/>
    <w:rsid w:val="00F5132A"/>
    <w:rsid w:val="00F61BF7"/>
    <w:rsid w:val="00F679CD"/>
    <w:rsid w:val="00F738B0"/>
    <w:rsid w:val="00F75445"/>
    <w:rsid w:val="00F841ED"/>
    <w:rsid w:val="00F97A14"/>
    <w:rsid w:val="00FA269F"/>
    <w:rsid w:val="00FA491E"/>
    <w:rsid w:val="00FA7DF6"/>
    <w:rsid w:val="00FB2B3E"/>
    <w:rsid w:val="00FB2E6A"/>
    <w:rsid w:val="00FB3B73"/>
    <w:rsid w:val="00FB5AC7"/>
    <w:rsid w:val="00FB7253"/>
    <w:rsid w:val="00FC2B3C"/>
    <w:rsid w:val="00FC2F34"/>
    <w:rsid w:val="00FC4756"/>
    <w:rsid w:val="00FD69FB"/>
    <w:rsid w:val="00FE0554"/>
    <w:rsid w:val="00FF1C84"/>
    <w:rsid w:val="00FF2B0A"/>
    <w:rsid w:val="00FF4911"/>
    <w:rsid w:val="00FF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7"/>
    <o:shapelayout v:ext="edit">
      <o:idmap v:ext="edit" data="1"/>
    </o:shapelayout>
  </w:shapeDefaults>
  <w:decimalSymbol w:val=","/>
  <w:listSeparator w:val=";"/>
  <w14:docId w14:val="19C64299"/>
  <w15:chartTrackingRefBased/>
  <w15:docId w15:val="{BB7011EA-9FF0-4DED-9922-F4D2FC909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4ED8"/>
  </w:style>
  <w:style w:type="paragraph" w:styleId="Heading1">
    <w:name w:val="heading 1"/>
    <w:basedOn w:val="Normal"/>
    <w:next w:val="Normal"/>
    <w:link w:val="Heading1Char"/>
    <w:uiPriority w:val="9"/>
    <w:qFormat/>
    <w:rsid w:val="00174C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59E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68F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30C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814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14AB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74C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9E2C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E2C5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317C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68F3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er">
    <w:name w:val="header"/>
    <w:basedOn w:val="Normal"/>
    <w:link w:val="HeaderChar"/>
    <w:uiPriority w:val="99"/>
    <w:unhideWhenUsed/>
    <w:rsid w:val="00B635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354D"/>
  </w:style>
  <w:style w:type="paragraph" w:styleId="Footer">
    <w:name w:val="footer"/>
    <w:basedOn w:val="Normal"/>
    <w:link w:val="FooterChar"/>
    <w:uiPriority w:val="99"/>
    <w:unhideWhenUsed/>
    <w:rsid w:val="00B635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354D"/>
  </w:style>
  <w:style w:type="character" w:styleId="CommentReference">
    <w:name w:val="annotation reference"/>
    <w:basedOn w:val="DefaultParagraphFont"/>
    <w:uiPriority w:val="99"/>
    <w:unhideWhenUsed/>
    <w:rsid w:val="00C952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952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952DA"/>
    <w:rPr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59E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F679CD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53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5321"/>
    <w:rPr>
      <w:b/>
      <w:bCs/>
      <w:sz w:val="20"/>
      <w:szCs w:val="20"/>
    </w:rPr>
  </w:style>
  <w:style w:type="paragraph" w:customStyle="1" w:styleId="BodyText1">
    <w:name w:val="Body Text1"/>
    <w:qFormat/>
    <w:rsid w:val="005F57CC"/>
    <w:pPr>
      <w:autoSpaceDE w:val="0"/>
      <w:autoSpaceDN w:val="0"/>
      <w:adjustRightInd w:val="0"/>
      <w:spacing w:before="240" w:after="240" w:line="360" w:lineRule="auto"/>
    </w:pPr>
    <w:rPr>
      <w:rFonts w:ascii="Arial" w:hAnsi="Arial" w:cs="Arial"/>
      <w:sz w:val="24"/>
      <w:szCs w:val="24"/>
      <w:lang w:val="en-GB"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438A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438A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438A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1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58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2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01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39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2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1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7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06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71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5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13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3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8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0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95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78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2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70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80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77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8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12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98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96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74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8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00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3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5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20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lzopendata.cbs.nl/" TargetMode="External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hyperlink" Target="http://daly.cbra.be/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11</Pages>
  <Words>1383</Words>
  <Characters>7607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McDonald</dc:creator>
  <cp:keywords/>
  <dc:description/>
  <cp:lastModifiedBy>Scott McDonald</cp:lastModifiedBy>
  <cp:revision>33</cp:revision>
  <cp:lastPrinted>2021-08-26T13:10:00Z</cp:lastPrinted>
  <dcterms:created xsi:type="dcterms:W3CDTF">2021-10-20T09:23:00Z</dcterms:created>
  <dcterms:modified xsi:type="dcterms:W3CDTF">2022-05-18T09:56:00Z</dcterms:modified>
</cp:coreProperties>
</file>