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Supplementary Information</w:t>
      </w:r>
    </w:p>
    <w:p>
      <w:pPr>
        <w:jc w:val="center"/>
      </w:pPr>
      <w:r>
        <w:rPr>
          <w:b/>
        </w:rPr>
        <w:t>CAMF-Zero: Contradiction-Aware Reasoning for Zero-Day Threat Detection in Federated Multi-Cloud Environments</w:t>
      </w:r>
    </w:p>
    <w:p>
      <w:pPr>
        <w:jc w:val="center"/>
      </w:pPr>
      <w:r>
        <w:t>Aligned with the manuscript version dated 16 July 2026</w:t>
      </w:r>
    </w:p>
    <w:p>
      <w:pPr>
        <w:pStyle w:val="Heading1"/>
      </w:pPr>
      <w:r>
        <w:t>S1. Purpose and accessibility</w:t>
      </w:r>
    </w:p>
    <w:p>
      <w:r>
        <w:t>This document accompanies a clean, unencrypted, standard ZIP archive prepared in response to the editorial request for an accessible supplementary file. All archive names use portable ASCII characters, and compiled caches, password protection, symbolic links, and executable binaries have been removed. The package can be opened with standard ZIP utilities on Windows, macOS, and Linux.</w:t>
      </w:r>
    </w:p>
    <w:p>
      <w:r>
        <w:t>The supplementary package is aligned with the 16 July 2026 manuscript and provides manuscript-to-code mapping, input schema, configuration files, small synthetic examples, ablation settings, and machine-readable copies of the reported result tables. The public benchmark datasets are not redistributed; official acquisition links and preparation steps are provided in README.md.</w:t>
      </w:r>
    </w:p>
    <w:p>
      <w:pPr>
        <w:pStyle w:val="Heading1"/>
      </w:pPr>
      <w:r>
        <w:t>S2. Package contents and manuscript alignment</w:t>
      </w:r>
    </w:p>
    <w:tbl>
      <w:tblPr>
        <w:tblStyle w:val="TableGrid"/>
        <w:tblW w:type="auto" w:w="0"/>
        <w:jc w:val="center"/>
        <w:tblLook w:firstColumn="1" w:firstRow="1" w:lastColumn="0" w:lastRow="0" w:noHBand="0" w:noVBand="1" w:val="04A0"/>
      </w:tblPr>
      <w:tblGrid>
        <w:gridCol w:w="3360"/>
        <w:gridCol w:w="3360"/>
        <w:gridCol w:w="3360"/>
      </w:tblGrid>
      <w:tr>
        <w:tc>
          <w:tcPr>
            <w:tcW w:type="dxa" w:w="3360"/>
            <w:shd w:fill="D9EAF7"/>
            <w:vAlign w:val="center"/>
          </w:tcPr>
          <w:p>
            <w:r>
              <w:rPr>
                <w:b/>
              </w:rPr>
              <w:t>Package item</w:t>
            </w:r>
          </w:p>
        </w:tc>
        <w:tc>
          <w:tcPr>
            <w:tcW w:type="dxa" w:w="3360"/>
            <w:shd w:fill="D9EAF7"/>
            <w:vAlign w:val="center"/>
          </w:tcPr>
          <w:p>
            <w:r>
              <w:rPr>
                <w:b/>
              </w:rPr>
              <w:t>Purpose</w:t>
            </w:r>
          </w:p>
        </w:tc>
        <w:tc>
          <w:tcPr>
            <w:tcW w:type="dxa" w:w="3360"/>
            <w:shd w:fill="D9EAF7"/>
            <w:vAlign w:val="center"/>
          </w:tcPr>
          <w:p>
            <w:r>
              <w:rPr>
                <w:b/>
              </w:rPr>
              <w:t>Manuscript correspondence</w:t>
            </w:r>
          </w:p>
        </w:tc>
      </w:tr>
      <w:tr>
        <w:tc>
          <w:tcPr>
            <w:tcW w:type="dxa" w:w="3360"/>
          </w:tcPr>
          <w:p>
            <w:r>
              <w:t>camf_zero/models/encoders.py</w:t>
            </w:r>
          </w:p>
        </w:tc>
        <w:tc>
          <w:tcPr>
            <w:tcW w:type="dxa" w:w="3360"/>
          </w:tcPr>
          <w:p>
            <w:r>
              <w:t>Text, graph, and temporal encoders</w:t>
            </w:r>
          </w:p>
        </w:tc>
        <w:tc>
          <w:tcPr>
            <w:tcW w:type="dxa" w:w="3360"/>
          </w:tcPr>
          <w:p>
            <w:r>
              <w:t>Section 3.2</w:t>
            </w:r>
          </w:p>
        </w:tc>
      </w:tr>
      <w:tr>
        <w:tc>
          <w:tcPr>
            <w:tcW w:type="dxa" w:w="3360"/>
          </w:tcPr>
          <w:p>
            <w:r>
              <w:t>camf_zero/models/retrieval.py</w:t>
            </w:r>
          </w:p>
        </w:tc>
        <w:tc>
          <w:tcPr>
            <w:tcW w:type="dxa" w:w="3360"/>
          </w:tcPr>
          <w:p>
            <w:r>
              <w:t>Retrieval abstraction and contextual evidence</w:t>
            </w:r>
          </w:p>
        </w:tc>
        <w:tc>
          <w:tcPr>
            <w:tcW w:type="dxa" w:w="3360"/>
          </w:tcPr>
          <w:p>
            <w:r>
              <w:t>Section 3.3.2</w:t>
            </w:r>
          </w:p>
        </w:tc>
      </w:tr>
      <w:tr>
        <w:tc>
          <w:tcPr>
            <w:tcW w:type="dxa" w:w="3360"/>
          </w:tcPr>
          <w:p>
            <w:r>
              <w:t>camf_zero/models/fusion.py</w:t>
            </w:r>
          </w:p>
        </w:tc>
        <w:tc>
          <w:tcPr>
            <w:tcW w:type="dxa" w:w="3360"/>
          </w:tcPr>
          <w:p>
            <w:r>
              <w:t>Analyst agents, consistency arbiter, pairwise contradiction, CACS, fusion</w:t>
            </w:r>
          </w:p>
        </w:tc>
        <w:tc>
          <w:tcPr>
            <w:tcW w:type="dxa" w:w="3360"/>
          </w:tcPr>
          <w:p>
            <w:r>
              <w:t>Sections 3.3.3-3.3.6</w:t>
            </w:r>
          </w:p>
        </w:tc>
      </w:tr>
      <w:tr>
        <w:tc>
          <w:tcPr>
            <w:tcW w:type="dxa" w:w="3360"/>
          </w:tcPr>
          <w:p>
            <w:r>
              <w:t>camf_zero/models/ssl.py</w:t>
            </w:r>
          </w:p>
        </w:tc>
        <w:tc>
          <w:tcPr>
            <w:tcW w:type="dxa" w:w="3360"/>
          </w:tcPr>
          <w:p>
            <w:r>
              <w:t>Contrastive alignment, consistency regularization, modality completion</w:t>
            </w:r>
          </w:p>
        </w:tc>
        <w:tc>
          <w:tcPr>
            <w:tcW w:type="dxa" w:w="3360"/>
          </w:tcPr>
          <w:p>
            <w:r>
              <w:t>Section 3.4</w:t>
            </w:r>
          </w:p>
        </w:tc>
      </w:tr>
      <w:tr>
        <w:tc>
          <w:tcPr>
            <w:tcW w:type="dxa" w:w="3360"/>
          </w:tcPr>
          <w:p>
            <w:r>
              <w:t>camf_zero/models/uncertainty.py</w:t>
            </w:r>
          </w:p>
        </w:tc>
        <w:tc>
          <w:tcPr>
            <w:tcW w:type="dxa" w:w="3360"/>
          </w:tcPr>
          <w:p>
            <w:r>
              <w:t>Evidential inference and reliability weighting</w:t>
            </w:r>
          </w:p>
        </w:tc>
        <w:tc>
          <w:tcPr>
            <w:tcW w:type="dxa" w:w="3360"/>
          </w:tcPr>
          <w:p>
            <w:r>
              <w:t>Section 3.5</w:t>
            </w:r>
          </w:p>
        </w:tc>
      </w:tr>
      <w:tr>
        <w:tc>
          <w:tcPr>
            <w:tcW w:type="dxa" w:w="3360"/>
          </w:tcPr>
          <w:p>
            <w:r>
              <w:t>camf_zero/models/streaming.py</w:t>
            </w:r>
          </w:p>
        </w:tc>
        <w:tc>
          <w:tcPr>
            <w:tcW w:type="dxa" w:w="3360"/>
          </w:tcPr>
          <w:p>
            <w:r>
              <w:t>Windowing and deployment-oriented latency helpers</w:t>
            </w:r>
          </w:p>
        </w:tc>
        <w:tc>
          <w:tcPr>
            <w:tcW w:type="dxa" w:w="3360"/>
          </w:tcPr>
          <w:p>
            <w:r>
              <w:t>Section 3.6</w:t>
            </w:r>
          </w:p>
        </w:tc>
      </w:tr>
      <w:tr>
        <w:tc>
          <w:tcPr>
            <w:tcW w:type="dxa" w:w="3360"/>
          </w:tcPr>
          <w:p>
            <w:r>
              <w:t>configs/ablation_*.yaml</w:t>
            </w:r>
          </w:p>
        </w:tc>
        <w:tc>
          <w:tcPr>
            <w:tcW w:type="dxa" w:w="3360"/>
          </w:tcPr>
          <w:p>
            <w:r>
              <w:t>Controlled removal of individual modules</w:t>
            </w:r>
          </w:p>
        </w:tc>
        <w:tc>
          <w:tcPr>
            <w:tcW w:type="dxa" w:w="3360"/>
          </w:tcPr>
          <w:p>
            <w:r>
              <w:t>Table 12</w:t>
            </w:r>
          </w:p>
        </w:tc>
      </w:tr>
      <w:tr>
        <w:tc>
          <w:tcPr>
            <w:tcW w:type="dxa" w:w="3360"/>
          </w:tcPr>
          <w:p>
            <w:r>
              <w:t>results/*.csv</w:t>
            </w:r>
          </w:p>
        </w:tc>
        <w:tc>
          <w:tcPr>
            <w:tcW w:type="dxa" w:w="3360"/>
          </w:tcPr>
          <w:p>
            <w:r>
              <w:t>Machine-readable values reported in the manuscript</w:t>
            </w:r>
          </w:p>
        </w:tc>
        <w:tc>
          <w:tcPr>
            <w:tcW w:type="dxa" w:w="3360"/>
          </w:tcPr>
          <w:p>
            <w:r>
              <w:t>Tables 10-14</w:t>
            </w:r>
          </w:p>
        </w:tc>
      </w:tr>
      <w:tr>
        <w:tc>
          <w:tcPr>
            <w:tcW w:type="dxa" w:w="3360"/>
          </w:tcPr>
          <w:p>
            <w:r>
              <w:t>data/*.jsonl</w:t>
            </w:r>
          </w:p>
        </w:tc>
        <w:tc>
          <w:tcPr>
            <w:tcW w:type="dxa" w:w="3360"/>
          </w:tcPr>
          <w:p>
            <w:r>
              <w:t>Synthetic examples demonstrating the input schema</w:t>
            </w:r>
          </w:p>
        </w:tc>
        <w:tc>
          <w:tcPr>
            <w:tcW w:type="dxa" w:w="3360"/>
          </w:tcPr>
          <w:p>
            <w:r>
              <w:t>Section 4; demonstration only</w:t>
            </w:r>
          </w:p>
        </w:tc>
      </w:tr>
    </w:tbl>
    <w:p/>
    <w:p>
      <w:pPr>
        <w:pStyle w:val="Heading1"/>
      </w:pPr>
      <w:r>
        <w:t>S3. Data sources and preparation</w:t>
      </w:r>
    </w:p>
    <w:p>
      <w:r>
        <w:t>The evaluation described in the manuscript uses CIC-IDS2017, CSE-CIC-IDS2018, and UGRansome. Raw files are obtained from their original providers. To prevent leakage, chronological ordering or attack-family holdout is established before normalization, vocabulary construction, augmentation, and zero-day designation.</w:t>
      </w:r>
    </w:p>
    <w:tbl>
      <w:tblPr>
        <w:tblStyle w:val="TableGrid"/>
        <w:tblW w:type="auto" w:w="0"/>
        <w:jc w:val="center"/>
        <w:tblLook w:firstColumn="1" w:firstRow="1" w:lastColumn="0" w:lastRow="0" w:noHBand="0" w:noVBand="1" w:val="04A0"/>
      </w:tblPr>
      <w:tblGrid>
        <w:gridCol w:w="2520"/>
        <w:gridCol w:w="2520"/>
        <w:gridCol w:w="2520"/>
        <w:gridCol w:w="2520"/>
      </w:tblGrid>
      <w:tr>
        <w:tc>
          <w:tcPr>
            <w:tcW w:type="dxa" w:w="2520"/>
            <w:shd w:fill="D9EAF7"/>
            <w:vAlign w:val="center"/>
          </w:tcPr>
          <w:p>
            <w:r>
              <w:rPr>
                <w:b/>
              </w:rPr>
              <w:t>Dataset</w:t>
            </w:r>
          </w:p>
        </w:tc>
        <w:tc>
          <w:tcPr>
            <w:tcW w:type="dxa" w:w="2520"/>
            <w:shd w:fill="D9EAF7"/>
            <w:vAlign w:val="center"/>
          </w:tcPr>
          <w:p>
            <w:r>
              <w:rPr>
                <w:b/>
              </w:rPr>
              <w:t>Provider</w:t>
            </w:r>
          </w:p>
        </w:tc>
        <w:tc>
          <w:tcPr>
            <w:tcW w:type="dxa" w:w="2520"/>
            <w:shd w:fill="D9EAF7"/>
            <w:vAlign w:val="center"/>
          </w:tcPr>
          <w:p>
            <w:r>
              <w:rPr>
                <w:b/>
              </w:rPr>
              <w:t>Approximate scale</w:t>
            </w:r>
          </w:p>
        </w:tc>
        <w:tc>
          <w:tcPr>
            <w:tcW w:type="dxa" w:w="2520"/>
            <w:shd w:fill="D9EAF7"/>
            <w:vAlign w:val="center"/>
          </w:tcPr>
          <w:p>
            <w:r>
              <w:rPr>
                <w:b/>
              </w:rPr>
              <w:t>Robustness settings</w:t>
            </w:r>
          </w:p>
        </w:tc>
      </w:tr>
      <w:tr>
        <w:tc>
          <w:tcPr>
            <w:tcW w:type="dxa" w:w="2520"/>
          </w:tcPr>
          <w:p>
            <w:r>
              <w:t>CIC-IDS2017</w:t>
            </w:r>
          </w:p>
        </w:tc>
        <w:tc>
          <w:tcPr>
            <w:tcW w:type="dxa" w:w="2520"/>
          </w:tcPr>
          <w:p>
            <w:r>
              <w:t>UNB Canadian Institute for Cybersecurity</w:t>
            </w:r>
          </w:p>
        </w:tc>
        <w:tc>
          <w:tcPr>
            <w:tcW w:type="dxa" w:w="2520"/>
          </w:tcPr>
          <w:p>
            <w:r>
              <w:t>~2.83M records in the manuscript summary</w:t>
            </w:r>
          </w:p>
        </w:tc>
        <w:tc>
          <w:tcPr>
            <w:tcW w:type="dxa" w:w="2520"/>
          </w:tcPr>
          <w:p>
            <w:r>
              <w:t>10-40% missing; Gaussian noise sigma 0.1-0.3</w:t>
            </w:r>
          </w:p>
        </w:tc>
      </w:tr>
      <w:tr>
        <w:tc>
          <w:tcPr>
            <w:tcW w:type="dxa" w:w="2520"/>
          </w:tcPr>
          <w:p>
            <w:r>
              <w:t>CSE-CIC-IDS2018</w:t>
            </w:r>
          </w:p>
        </w:tc>
        <w:tc>
          <w:tcPr>
            <w:tcW w:type="dxa" w:w="2520"/>
          </w:tcPr>
          <w:p>
            <w:r>
              <w:t>CSE/UNB CIC and AWS Open Data</w:t>
            </w:r>
          </w:p>
        </w:tc>
        <w:tc>
          <w:tcPr>
            <w:tcW w:type="dxa" w:w="2520"/>
          </w:tcPr>
          <w:p>
            <w:r>
              <w:t>~16M+ records</w:t>
            </w:r>
          </w:p>
        </w:tc>
        <w:tc>
          <w:tcPr>
            <w:tcW w:type="dxa" w:w="2520"/>
          </w:tcPr>
          <w:p>
            <w:r>
              <w:t>10-40% missing; delay up to 30 s; noise</w:t>
            </w:r>
          </w:p>
        </w:tc>
      </w:tr>
      <w:tr>
        <w:tc>
          <w:tcPr>
            <w:tcW w:type="dxa" w:w="2520"/>
          </w:tcPr>
          <w:p>
            <w:r>
              <w:t>UGRansome</w:t>
            </w:r>
          </w:p>
        </w:tc>
        <w:tc>
          <w:tcPr>
            <w:tcW w:type="dxa" w:w="2520"/>
          </w:tcPr>
          <w:p>
            <w:r>
              <w:t>Public UGRansome distribution</w:t>
            </w:r>
          </w:p>
        </w:tc>
        <w:tc>
          <w:tcPr>
            <w:tcW w:type="dxa" w:w="2520"/>
          </w:tcPr>
          <w:p>
            <w:r>
              <w:t>~500k+ traces</w:t>
            </w:r>
          </w:p>
        </w:tc>
        <w:tc>
          <w:tcPr>
            <w:tcW w:type="dxa" w:w="2520"/>
          </w:tcPr>
          <w:p>
            <w:r>
              <w:t>15-35% missing modalities</w:t>
            </w:r>
          </w:p>
        </w:tc>
      </w:tr>
    </w:tbl>
    <w:p/>
    <w:p>
      <w:r>
        <w:t>Each preprocessed row represents a multimodal time window. Logs are represented as normalized security-event text; temporal features are normalized sequences; and graph windows contain resource, identity, service, or host nodes connected by communication, access, or dependency edges. Class labels use 0 for benign, 1 for known attack, and 2 for unknown/zero-day.</w:t>
      </w:r>
    </w:p>
    <w:p>
      <w:pPr>
        <w:pStyle w:val="Heading1"/>
      </w:pPr>
      <w:r>
        <w:t>S4. CACS implementation correspondence</w:t>
      </w:r>
    </w:p>
    <w:p>
      <w:r>
        <w:t>The implementation follows the manuscript logic in which each modality produces a structured hypothesis embedding. For each modality pair, semantic disagreement and a symbolic contradiction signal are combined. Pairwise contradictions are aggregated, then integrated with the consistency arbiter non-entailment signal and predictive uncertainty to produce CACS. CACS is included in the final fusion representation and participates in the open-set decision rule.</w:t>
      </w:r>
    </w:p>
    <w:tbl>
      <w:tblPr>
        <w:tblStyle w:val="TableGrid"/>
        <w:tblW w:type="auto" w:w="0"/>
        <w:jc w:val="center"/>
        <w:tblLook w:firstColumn="1" w:firstRow="1" w:lastColumn="0" w:lastRow="0" w:noHBand="0" w:noVBand="1" w:val="04A0"/>
      </w:tblPr>
      <w:tblGrid>
        <w:gridCol w:w="5040"/>
        <w:gridCol w:w="5040"/>
      </w:tblGrid>
      <w:tr>
        <w:tc>
          <w:tcPr>
            <w:tcW w:type="dxa" w:w="5040"/>
            <w:shd w:fill="D9EAF7"/>
            <w:vAlign w:val="center"/>
          </w:tcPr>
          <w:p>
            <w:r>
              <w:rPr>
                <w:b/>
              </w:rPr>
              <w:t>Configuration field</w:t>
            </w:r>
          </w:p>
        </w:tc>
        <w:tc>
          <w:tcPr>
            <w:tcW w:type="dxa" w:w="5040"/>
            <w:shd w:fill="D9EAF7"/>
            <w:vAlign w:val="center"/>
          </w:tcPr>
          <w:p>
            <w:r>
              <w:rPr>
                <w:b/>
              </w:rPr>
              <w:t>Role</w:t>
            </w:r>
          </w:p>
        </w:tc>
      </w:tr>
      <w:tr>
        <w:tc>
          <w:tcPr>
            <w:tcW w:type="dxa" w:w="5040"/>
          </w:tcPr>
          <w:p>
            <w:r>
              <w:t>lambda1</w:t>
            </w:r>
          </w:p>
        </w:tc>
        <w:tc>
          <w:tcPr>
            <w:tcW w:type="dxa" w:w="5040"/>
          </w:tcPr>
          <w:p>
            <w:r>
              <w:t>Weight of semantic disagreement in pairwise contradiction</w:t>
            </w:r>
          </w:p>
        </w:tc>
      </w:tr>
      <w:tr>
        <w:tc>
          <w:tcPr>
            <w:tcW w:type="dxa" w:w="5040"/>
          </w:tcPr>
          <w:p>
            <w:r>
              <w:t>lambda2</w:t>
            </w:r>
          </w:p>
        </w:tc>
        <w:tc>
          <w:tcPr>
            <w:tcW w:type="dxa" w:w="5040"/>
          </w:tcPr>
          <w:p>
            <w:r>
              <w:t>Weight of symbolic contradiction in pairwise contradiction</w:t>
            </w:r>
          </w:p>
        </w:tc>
      </w:tr>
      <w:tr>
        <w:tc>
          <w:tcPr>
            <w:tcW w:type="dxa" w:w="5040"/>
          </w:tcPr>
          <w:p>
            <w:r>
              <w:t>beta1</w:t>
            </w:r>
          </w:p>
        </w:tc>
        <w:tc>
          <w:tcPr>
            <w:tcW w:type="dxa" w:w="5040"/>
          </w:tcPr>
          <w:p>
            <w:r>
              <w:t>Weight of aggregate pairwise contradiction in CACS</w:t>
            </w:r>
          </w:p>
        </w:tc>
      </w:tr>
      <w:tr>
        <w:tc>
          <w:tcPr>
            <w:tcW w:type="dxa" w:w="5040"/>
          </w:tcPr>
          <w:p>
            <w:r>
              <w:t>beta2</w:t>
            </w:r>
          </w:p>
        </w:tc>
        <w:tc>
          <w:tcPr>
            <w:tcW w:type="dxa" w:w="5040"/>
          </w:tcPr>
          <w:p>
            <w:r>
              <w:t>Weight of arbiter non-entailment in CACS</w:t>
            </w:r>
          </w:p>
        </w:tc>
      </w:tr>
      <w:tr>
        <w:tc>
          <w:tcPr>
            <w:tcW w:type="dxa" w:w="5040"/>
          </w:tcPr>
          <w:p>
            <w:r>
              <w:t>beta3</w:t>
            </w:r>
          </w:p>
        </w:tc>
        <w:tc>
          <w:tcPr>
            <w:tcW w:type="dxa" w:w="5040"/>
          </w:tcPr>
          <w:p>
            <w:r>
              <w:t>Weight of predictive uncertainty in CACS</w:t>
            </w:r>
          </w:p>
        </w:tc>
      </w:tr>
      <w:tr>
        <w:tc>
          <w:tcPr>
            <w:tcW w:type="dxa" w:w="5040"/>
          </w:tcPr>
          <w:p>
            <w:r>
              <w:t>decision_cacs_threshold</w:t>
            </w:r>
          </w:p>
        </w:tc>
        <w:tc>
          <w:tcPr>
            <w:tcW w:type="dxa" w:w="5040"/>
          </w:tcPr>
          <w:p>
            <w:r>
              <w:t>Threshold contributing to unknown/zero-day assignment</w:t>
            </w:r>
          </w:p>
        </w:tc>
      </w:tr>
      <w:tr>
        <w:tc>
          <w:tcPr>
            <w:tcW w:type="dxa" w:w="5040"/>
          </w:tcPr>
          <w:p>
            <w:r>
              <w:t>decision_uncertainty_threshold</w:t>
            </w:r>
          </w:p>
        </w:tc>
        <w:tc>
          <w:tcPr>
            <w:tcW w:type="dxa" w:w="5040"/>
          </w:tcPr>
          <w:p>
            <w:r>
              <w:t>Uncertainty threshold contributing to unknown/zero-day assignment</w:t>
            </w:r>
          </w:p>
        </w:tc>
      </w:tr>
    </w:tbl>
    <w:p/>
    <w:p>
      <w:pPr>
        <w:pStyle w:val="Heading1"/>
      </w:pPr>
      <w:r>
        <w:t>S5. Self-supervised robustness and missing modalities</w:t>
      </w:r>
    </w:p>
    <w:p>
      <w:r>
        <w:t>The package includes contrastive cross-modal alignment, consistency regularization, and a completion network that reconstructs a degraded or absent modality from the available modalities. Controlled ablation files disable self-supervised alignment or modality completion independently. The robustness protocol evaluates 0%, 10%, 20%, 30%, and 40% missing telemetry, consistent with Table 13 of the manuscript.</w:t>
      </w:r>
    </w:p>
    <w:p>
      <w:pPr>
        <w:pStyle w:val="Heading1"/>
      </w:pPr>
      <w:r>
        <w:t>S6. Uncertainty-aware open-set decision</w:t>
      </w:r>
    </w:p>
    <w:p>
      <w:r>
        <w:t>The evidential head produces non-negative evidence, Dirichlet concentration parameters, class probabilities, and predictive uncertainty. Modality contributions are then weighted using evidence quality, uncertainty, and telemetry-quality indicators. The final output contains the predicted class, predictive uncertainty, and CACS, thereby preserving the three decision quantities emphasized in the manuscript.</w:t>
      </w:r>
    </w:p>
    <w:p>
      <w:pPr>
        <w:pStyle w:val="Heading1"/>
      </w:pPr>
      <w:r>
        <w:t>S7. Reported quantitative results</w:t>
      </w:r>
    </w:p>
    <w:p>
      <w:pPr>
        <w:pStyle w:val="Heading2"/>
      </w:pPr>
      <w:r>
        <w:t>S7.1 Main comparative results (manuscript Table 10)</w:t>
      </w:r>
    </w:p>
    <w:tbl>
      <w:tblPr>
        <w:tblStyle w:val="TableGrid"/>
        <w:tblW w:type="auto" w:w="0"/>
        <w:jc w:val="center"/>
        <w:tblLook w:firstColumn="1" w:firstRow="1" w:lastColumn="0" w:lastRow="0" w:noHBand="0" w:noVBand="1" w:val="04A0"/>
      </w:tblPr>
      <w:tblGrid>
        <w:gridCol w:w="2016"/>
        <w:gridCol w:w="2016"/>
        <w:gridCol w:w="2016"/>
        <w:gridCol w:w="2016"/>
        <w:gridCol w:w="2016"/>
      </w:tblGrid>
      <w:tr>
        <w:tc>
          <w:tcPr>
            <w:tcW w:type="dxa" w:w="2016"/>
            <w:shd w:fill="D9EAF7"/>
            <w:vAlign w:val="center"/>
          </w:tcPr>
          <w:p>
            <w:r>
              <w:rPr>
                <w:b/>
              </w:rPr>
              <w:t>Model</w:t>
            </w:r>
          </w:p>
        </w:tc>
        <w:tc>
          <w:tcPr>
            <w:tcW w:type="dxa" w:w="2016"/>
            <w:shd w:fill="D9EAF7"/>
            <w:vAlign w:val="center"/>
          </w:tcPr>
          <w:p>
            <w:r>
              <w:rPr>
                <w:b/>
              </w:rPr>
              <w:t>Recall@5% FPR</w:t>
            </w:r>
          </w:p>
        </w:tc>
        <w:tc>
          <w:tcPr>
            <w:tcW w:type="dxa" w:w="2016"/>
            <w:shd w:fill="D9EAF7"/>
            <w:vAlign w:val="center"/>
          </w:tcPr>
          <w:p>
            <w:r>
              <w:rPr>
                <w:b/>
              </w:rPr>
              <w:t>AUC-PR</w:t>
            </w:r>
          </w:p>
        </w:tc>
        <w:tc>
          <w:tcPr>
            <w:tcW w:type="dxa" w:w="2016"/>
            <w:shd w:fill="D9EAF7"/>
            <w:vAlign w:val="center"/>
          </w:tcPr>
          <w:p>
            <w:r>
              <w:rPr>
                <w:b/>
              </w:rPr>
              <w:t>F1</w:t>
            </w:r>
          </w:p>
        </w:tc>
        <w:tc>
          <w:tcPr>
            <w:tcW w:type="dxa" w:w="2016"/>
            <w:shd w:fill="D9EAF7"/>
            <w:vAlign w:val="center"/>
          </w:tcPr>
          <w:p>
            <w:r>
              <w:rPr>
                <w:b/>
              </w:rPr>
              <w:t>ECE</w:t>
            </w:r>
          </w:p>
        </w:tc>
      </w:tr>
      <w:tr>
        <w:tc>
          <w:tcPr>
            <w:tcW w:type="dxa" w:w="2016"/>
          </w:tcPr>
          <w:p>
            <w:r>
              <w:t>Unimodal (Logs)</w:t>
            </w:r>
          </w:p>
        </w:tc>
        <w:tc>
          <w:tcPr>
            <w:tcW w:type="dxa" w:w="2016"/>
          </w:tcPr>
          <w:p>
            <w:r>
              <w:t>62.4 +/- 1.6</w:t>
            </w:r>
          </w:p>
        </w:tc>
        <w:tc>
          <w:tcPr>
            <w:tcW w:type="dxa" w:w="2016"/>
          </w:tcPr>
          <w:p>
            <w:r>
              <w:t>71.8 +/- 1.3</w:t>
            </w:r>
          </w:p>
        </w:tc>
        <w:tc>
          <w:tcPr>
            <w:tcW w:type="dxa" w:w="2016"/>
          </w:tcPr>
          <w:p>
            <w:r>
              <w:t>68.5 +/- 1.4</w:t>
            </w:r>
          </w:p>
        </w:tc>
        <w:tc>
          <w:tcPr>
            <w:tcW w:type="dxa" w:w="2016"/>
          </w:tcPr>
          <w:p>
            <w:r>
              <w:t>0.142 +/- 0.009</w:t>
            </w:r>
          </w:p>
        </w:tc>
      </w:tr>
      <w:tr>
        <w:tc>
          <w:tcPr>
            <w:tcW w:type="dxa" w:w="2016"/>
          </w:tcPr>
          <w:p>
            <w:r>
              <w:t>Unimodal (Graph)</w:t>
            </w:r>
          </w:p>
        </w:tc>
        <w:tc>
          <w:tcPr>
            <w:tcW w:type="dxa" w:w="2016"/>
          </w:tcPr>
          <w:p>
            <w:r>
              <w:t>58.7 +/- 1.8</w:t>
            </w:r>
          </w:p>
        </w:tc>
        <w:tc>
          <w:tcPr>
            <w:tcW w:type="dxa" w:w="2016"/>
          </w:tcPr>
          <w:p>
            <w:r>
              <w:t>68.9 +/- 1.5</w:t>
            </w:r>
          </w:p>
        </w:tc>
        <w:tc>
          <w:tcPr>
            <w:tcW w:type="dxa" w:w="2016"/>
          </w:tcPr>
          <w:p>
            <w:r>
              <w:t>65.2 +/- 1.6</w:t>
            </w:r>
          </w:p>
        </w:tc>
        <w:tc>
          <w:tcPr>
            <w:tcW w:type="dxa" w:w="2016"/>
          </w:tcPr>
          <w:p>
            <w:r>
              <w:t>0.158 +/- 0.011</w:t>
            </w:r>
          </w:p>
        </w:tc>
      </w:tr>
      <w:tr>
        <w:tc>
          <w:tcPr>
            <w:tcW w:type="dxa" w:w="2016"/>
          </w:tcPr>
          <w:p>
            <w:r>
              <w:t>Early Fusion</w:t>
            </w:r>
          </w:p>
        </w:tc>
        <w:tc>
          <w:tcPr>
            <w:tcW w:type="dxa" w:w="2016"/>
          </w:tcPr>
          <w:p>
            <w:r>
              <w:t>71.3 +/- 1.4</w:t>
            </w:r>
          </w:p>
        </w:tc>
        <w:tc>
          <w:tcPr>
            <w:tcW w:type="dxa" w:w="2016"/>
          </w:tcPr>
          <w:p>
            <w:r>
              <w:t>79.4 +/- 1.2</w:t>
            </w:r>
          </w:p>
        </w:tc>
        <w:tc>
          <w:tcPr>
            <w:tcW w:type="dxa" w:w="2016"/>
          </w:tcPr>
          <w:p>
            <w:r>
              <w:t>76.1 +/- 1.3</w:t>
            </w:r>
          </w:p>
        </w:tc>
        <w:tc>
          <w:tcPr>
            <w:tcW w:type="dxa" w:w="2016"/>
          </w:tcPr>
          <w:p>
            <w:r>
              <w:t>0.119 +/- 0.008</w:t>
            </w:r>
          </w:p>
        </w:tc>
      </w:tr>
      <w:tr>
        <w:tc>
          <w:tcPr>
            <w:tcW w:type="dxa" w:w="2016"/>
          </w:tcPr>
          <w:p>
            <w:r>
              <w:t>Late Fusion</w:t>
            </w:r>
          </w:p>
        </w:tc>
        <w:tc>
          <w:tcPr>
            <w:tcW w:type="dxa" w:w="2016"/>
          </w:tcPr>
          <w:p>
            <w:r>
              <w:t>74.8 +/- 1.3</w:t>
            </w:r>
          </w:p>
        </w:tc>
        <w:tc>
          <w:tcPr>
            <w:tcW w:type="dxa" w:w="2016"/>
          </w:tcPr>
          <w:p>
            <w:r>
              <w:t>82.1 +/- 1.1</w:t>
            </w:r>
          </w:p>
        </w:tc>
        <w:tc>
          <w:tcPr>
            <w:tcW w:type="dxa" w:w="2016"/>
          </w:tcPr>
          <w:p>
            <w:r>
              <w:t>78.9 +/- 1.2</w:t>
            </w:r>
          </w:p>
        </w:tc>
        <w:tc>
          <w:tcPr>
            <w:tcW w:type="dxa" w:w="2016"/>
          </w:tcPr>
          <w:p>
            <w:r>
              <w:t>0.107 +/- 0.007</w:t>
            </w:r>
          </w:p>
        </w:tc>
      </w:tr>
      <w:tr>
        <w:tc>
          <w:tcPr>
            <w:tcW w:type="dxa" w:w="2016"/>
          </w:tcPr>
          <w:p>
            <w:r>
              <w:t>ZeroDay-LLM</w:t>
            </w:r>
          </w:p>
        </w:tc>
        <w:tc>
          <w:tcPr>
            <w:tcW w:type="dxa" w:w="2016"/>
          </w:tcPr>
          <w:p>
            <w:r>
              <w:t>68.5 +/- 1.7</w:t>
            </w:r>
          </w:p>
        </w:tc>
        <w:tc>
          <w:tcPr>
            <w:tcW w:type="dxa" w:w="2016"/>
          </w:tcPr>
          <w:p>
            <w:r>
              <w:t>76.3 +/- 1.4</w:t>
            </w:r>
          </w:p>
        </w:tc>
        <w:tc>
          <w:tcPr>
            <w:tcW w:type="dxa" w:w="2016"/>
          </w:tcPr>
          <w:p>
            <w:r>
              <w:t>72.4 +/- 1.5</w:t>
            </w:r>
          </w:p>
        </w:tc>
        <w:tc>
          <w:tcPr>
            <w:tcW w:type="dxa" w:w="2016"/>
          </w:tcPr>
          <w:p>
            <w:r>
              <w:t>0.131 +/- 0.010</w:t>
            </w:r>
          </w:p>
        </w:tc>
      </w:tr>
      <w:tr>
        <w:tc>
          <w:tcPr>
            <w:tcW w:type="dxa" w:w="2016"/>
          </w:tcPr>
          <w:p>
            <w:r>
              <w:t>Wang et al. [3]</w:t>
            </w:r>
          </w:p>
        </w:tc>
        <w:tc>
          <w:tcPr>
            <w:tcW w:type="dxa" w:w="2016"/>
          </w:tcPr>
          <w:p>
            <w:r>
              <w:t>77.2 +/- 1.2</w:t>
            </w:r>
          </w:p>
        </w:tc>
        <w:tc>
          <w:tcPr>
            <w:tcW w:type="dxa" w:w="2016"/>
          </w:tcPr>
          <w:p>
            <w:r>
              <w:t>84.6 +/- 1.0</w:t>
            </w:r>
          </w:p>
        </w:tc>
        <w:tc>
          <w:tcPr>
            <w:tcW w:type="dxa" w:w="2016"/>
          </w:tcPr>
          <w:p>
            <w:r>
              <w:t>80.5 +/- 1.1</w:t>
            </w:r>
          </w:p>
        </w:tc>
        <w:tc>
          <w:tcPr>
            <w:tcW w:type="dxa" w:w="2016"/>
          </w:tcPr>
          <w:p>
            <w:r>
              <w:t>0.098 +/- 0.006</w:t>
            </w:r>
          </w:p>
        </w:tc>
      </w:tr>
      <w:tr>
        <w:tc>
          <w:tcPr>
            <w:tcW w:type="dxa" w:w="2016"/>
          </w:tcPr>
          <w:p>
            <w:r>
              <w:t>Belay et al. [4]</w:t>
            </w:r>
          </w:p>
        </w:tc>
        <w:tc>
          <w:tcPr>
            <w:tcW w:type="dxa" w:w="2016"/>
          </w:tcPr>
          <w:p>
            <w:r>
              <w:t>79.6 +/- 1.1</w:t>
            </w:r>
          </w:p>
        </w:tc>
        <w:tc>
          <w:tcPr>
            <w:tcW w:type="dxa" w:w="2016"/>
          </w:tcPr>
          <w:p>
            <w:r>
              <w:t>86.2 +/- 0.9</w:t>
            </w:r>
          </w:p>
        </w:tc>
        <w:tc>
          <w:tcPr>
            <w:tcW w:type="dxa" w:w="2016"/>
          </w:tcPr>
          <w:p>
            <w:r>
              <w:t>82.7 +/- 1.0</w:t>
            </w:r>
          </w:p>
        </w:tc>
        <w:tc>
          <w:tcPr>
            <w:tcW w:type="dxa" w:w="2016"/>
          </w:tcPr>
          <w:p>
            <w:r>
              <w:t>0.089 +/- 0.006</w:t>
            </w:r>
          </w:p>
        </w:tc>
      </w:tr>
      <w:tr>
        <w:tc>
          <w:tcPr>
            <w:tcW w:type="dxa" w:w="2016"/>
          </w:tcPr>
          <w:p>
            <w:r>
              <w:t>CAMF-Zero</w:t>
            </w:r>
          </w:p>
        </w:tc>
        <w:tc>
          <w:tcPr>
            <w:tcW w:type="dxa" w:w="2016"/>
          </w:tcPr>
          <w:p>
            <w:r>
              <w:t>94.1 +/- 0.8</w:t>
            </w:r>
          </w:p>
        </w:tc>
        <w:tc>
          <w:tcPr>
            <w:tcW w:type="dxa" w:w="2016"/>
          </w:tcPr>
          <w:p>
            <w:r>
              <w:t>95.7 +/- 0.6</w:t>
            </w:r>
          </w:p>
        </w:tc>
        <w:tc>
          <w:tcPr>
            <w:tcW w:type="dxa" w:w="2016"/>
          </w:tcPr>
          <w:p>
            <w:r>
              <w:t>93.8 +/- 0.7</w:t>
            </w:r>
          </w:p>
        </w:tc>
        <w:tc>
          <w:tcPr>
            <w:tcW w:type="dxa" w:w="2016"/>
          </w:tcPr>
          <w:p>
            <w:r>
              <w:t>0.041 +/- 0.004</w:t>
            </w:r>
          </w:p>
        </w:tc>
      </w:tr>
    </w:tbl>
    <w:p/>
    <w:p>
      <w:pPr>
        <w:pStyle w:val="Heading2"/>
      </w:pPr>
      <w:r>
        <w:t>S7.2 Ablation study (manuscript Table 12)</w:t>
      </w:r>
    </w:p>
    <w:tbl>
      <w:tblPr>
        <w:tblStyle w:val="TableGrid"/>
        <w:tblW w:type="auto" w:w="0"/>
        <w:jc w:val="center"/>
        <w:tblLook w:firstColumn="1" w:firstRow="1" w:lastColumn="0" w:lastRow="0" w:noHBand="0" w:noVBand="1" w:val="04A0"/>
      </w:tblPr>
      <w:tblGrid>
        <w:gridCol w:w="2520"/>
        <w:gridCol w:w="2520"/>
        <w:gridCol w:w="2520"/>
        <w:gridCol w:w="2520"/>
      </w:tblGrid>
      <w:tr>
        <w:tc>
          <w:tcPr>
            <w:tcW w:type="dxa" w:w="2520"/>
            <w:shd w:fill="D9EAF7"/>
            <w:vAlign w:val="center"/>
          </w:tcPr>
          <w:p>
            <w:r>
              <w:rPr>
                <w:b/>
              </w:rPr>
              <w:t>Configuration</w:t>
            </w:r>
          </w:p>
        </w:tc>
        <w:tc>
          <w:tcPr>
            <w:tcW w:type="dxa" w:w="2520"/>
            <w:shd w:fill="D9EAF7"/>
            <w:vAlign w:val="center"/>
          </w:tcPr>
          <w:p>
            <w:r>
              <w:rPr>
                <w:b/>
              </w:rPr>
              <w:t>Recall@5% FPR</w:t>
            </w:r>
          </w:p>
        </w:tc>
        <w:tc>
          <w:tcPr>
            <w:tcW w:type="dxa" w:w="2520"/>
            <w:shd w:fill="D9EAF7"/>
            <w:vAlign w:val="center"/>
          </w:tcPr>
          <w:p>
            <w:r>
              <w:rPr>
                <w:b/>
              </w:rPr>
              <w:t>ECE</w:t>
            </w:r>
          </w:p>
        </w:tc>
        <w:tc>
          <w:tcPr>
            <w:tcW w:type="dxa" w:w="2520"/>
            <w:shd w:fill="D9EAF7"/>
            <w:vAlign w:val="center"/>
          </w:tcPr>
          <w:p>
            <w:r>
              <w:rPr>
                <w:b/>
              </w:rPr>
              <w:t>Delta recall</w:t>
            </w:r>
          </w:p>
        </w:tc>
      </w:tr>
      <w:tr>
        <w:tc>
          <w:tcPr>
            <w:tcW w:type="dxa" w:w="2520"/>
          </w:tcPr>
          <w:p>
            <w:r>
              <w:t>Full CAMF-Zero</w:t>
            </w:r>
          </w:p>
        </w:tc>
        <w:tc>
          <w:tcPr>
            <w:tcW w:type="dxa" w:w="2520"/>
          </w:tcPr>
          <w:p>
            <w:r>
              <w:t>95.3</w:t>
            </w:r>
          </w:p>
        </w:tc>
        <w:tc>
          <w:tcPr>
            <w:tcW w:type="dxa" w:w="2520"/>
          </w:tcPr>
          <w:p>
            <w:r>
              <w:t>0.038</w:t>
            </w:r>
          </w:p>
        </w:tc>
        <w:tc>
          <w:tcPr>
            <w:tcW w:type="dxa" w:w="2520"/>
          </w:tcPr>
          <w:p>
            <w:r>
              <w:t>-</w:t>
            </w:r>
          </w:p>
        </w:tc>
      </w:tr>
      <w:tr>
        <w:tc>
          <w:tcPr>
            <w:tcW w:type="dxa" w:w="2520"/>
          </w:tcPr>
          <w:p>
            <w:r>
              <w:t>Without CACS</w:t>
            </w:r>
          </w:p>
        </w:tc>
        <w:tc>
          <w:tcPr>
            <w:tcW w:type="dxa" w:w="2520"/>
          </w:tcPr>
          <w:p>
            <w:r>
              <w:t>78.6</w:t>
            </w:r>
          </w:p>
        </w:tc>
        <w:tc>
          <w:tcPr>
            <w:tcW w:type="dxa" w:w="2520"/>
          </w:tcPr>
          <w:p>
            <w:r>
              <w:t>0.092</w:t>
            </w:r>
          </w:p>
        </w:tc>
        <w:tc>
          <w:tcPr>
            <w:tcW w:type="dxa" w:w="2520"/>
          </w:tcPr>
          <w:p>
            <w:r>
              <w:t>-16.7</w:t>
            </w:r>
          </w:p>
        </w:tc>
      </w:tr>
      <w:tr>
        <w:tc>
          <w:tcPr>
            <w:tcW w:type="dxa" w:w="2520"/>
          </w:tcPr>
          <w:p>
            <w:r>
              <w:t>Without Agentic Loop</w:t>
            </w:r>
          </w:p>
        </w:tc>
        <w:tc>
          <w:tcPr>
            <w:tcW w:type="dxa" w:w="2520"/>
          </w:tcPr>
          <w:p>
            <w:r>
              <w:t>82.4</w:t>
            </w:r>
          </w:p>
        </w:tc>
        <w:tc>
          <w:tcPr>
            <w:tcW w:type="dxa" w:w="2520"/>
          </w:tcPr>
          <w:p>
            <w:r>
              <w:t>0.076</w:t>
            </w:r>
          </w:p>
        </w:tc>
        <w:tc>
          <w:tcPr>
            <w:tcW w:type="dxa" w:w="2520"/>
          </w:tcPr>
          <w:p>
            <w:r>
              <w:t>-12.9</w:t>
            </w:r>
          </w:p>
        </w:tc>
      </w:tr>
      <w:tr>
        <w:tc>
          <w:tcPr>
            <w:tcW w:type="dxa" w:w="2520"/>
          </w:tcPr>
          <w:p>
            <w:r>
              <w:t>Without Evidential Weighting</w:t>
            </w:r>
          </w:p>
        </w:tc>
        <w:tc>
          <w:tcPr>
            <w:tcW w:type="dxa" w:w="2520"/>
          </w:tcPr>
          <w:p>
            <w:r>
              <w:t>84.1</w:t>
            </w:r>
          </w:p>
        </w:tc>
        <w:tc>
          <w:tcPr>
            <w:tcW w:type="dxa" w:w="2520"/>
          </w:tcPr>
          <w:p>
            <w:r>
              <w:t>0.068</w:t>
            </w:r>
          </w:p>
        </w:tc>
        <w:tc>
          <w:tcPr>
            <w:tcW w:type="dxa" w:w="2520"/>
          </w:tcPr>
          <w:p>
            <w:r>
              <w:t>-11.2</w:t>
            </w:r>
          </w:p>
        </w:tc>
      </w:tr>
      <w:tr>
        <w:tc>
          <w:tcPr>
            <w:tcW w:type="dxa" w:w="2520"/>
          </w:tcPr>
          <w:p>
            <w:r>
              <w:t>Without Modality Completion</w:t>
            </w:r>
          </w:p>
        </w:tc>
        <w:tc>
          <w:tcPr>
            <w:tcW w:type="dxa" w:w="2520"/>
          </w:tcPr>
          <w:p>
            <w:r>
              <w:t>79.8</w:t>
            </w:r>
          </w:p>
        </w:tc>
        <w:tc>
          <w:tcPr>
            <w:tcW w:type="dxa" w:w="2520"/>
          </w:tcPr>
          <w:p>
            <w:r>
              <w:t>0.105</w:t>
            </w:r>
          </w:p>
        </w:tc>
        <w:tc>
          <w:tcPr>
            <w:tcW w:type="dxa" w:w="2520"/>
          </w:tcPr>
          <w:p>
            <w:r>
              <w:t>-15.5</w:t>
            </w:r>
          </w:p>
        </w:tc>
      </w:tr>
      <w:tr>
        <w:tc>
          <w:tcPr>
            <w:tcW w:type="dxa" w:w="2520"/>
          </w:tcPr>
          <w:p>
            <w:r>
              <w:t>Without Self-Supervised Alignment</w:t>
            </w:r>
          </w:p>
        </w:tc>
        <w:tc>
          <w:tcPr>
            <w:tcW w:type="dxa" w:w="2520"/>
          </w:tcPr>
          <w:p>
            <w:r>
              <w:t>81.5</w:t>
            </w:r>
          </w:p>
        </w:tc>
        <w:tc>
          <w:tcPr>
            <w:tcW w:type="dxa" w:w="2520"/>
          </w:tcPr>
          <w:p>
            <w:r>
              <w:t>0.089</w:t>
            </w:r>
          </w:p>
        </w:tc>
        <w:tc>
          <w:tcPr>
            <w:tcW w:type="dxa" w:w="2520"/>
          </w:tcPr>
          <w:p>
            <w:r>
              <w:t>-13.8</w:t>
            </w:r>
          </w:p>
        </w:tc>
      </w:tr>
    </w:tbl>
    <w:p/>
    <w:p>
      <w:pPr>
        <w:pStyle w:val="Heading2"/>
      </w:pPr>
      <w:r>
        <w:t>S7.3 Missing-modality robustness (manuscript Table 13)</w:t>
      </w:r>
    </w:p>
    <w:tbl>
      <w:tblPr>
        <w:tblStyle w:val="TableGrid"/>
        <w:tblW w:type="auto" w:w="0"/>
        <w:jc w:val="center"/>
        <w:tblLook w:firstColumn="1" w:firstRow="1" w:lastColumn="0" w:lastRow="0" w:noHBand="0" w:noVBand="1" w:val="04A0"/>
      </w:tblPr>
      <w:tblGrid>
        <w:gridCol w:w="1680"/>
        <w:gridCol w:w="1680"/>
        <w:gridCol w:w="1680"/>
        <w:gridCol w:w="1680"/>
        <w:gridCol w:w="1680"/>
        <w:gridCol w:w="1680"/>
      </w:tblGrid>
      <w:tr>
        <w:tc>
          <w:tcPr>
            <w:tcW w:type="dxa" w:w="1680"/>
            <w:shd w:fill="D9EAF7"/>
            <w:vAlign w:val="center"/>
          </w:tcPr>
          <w:p>
            <w:r>
              <w:rPr>
                <w:b/>
              </w:rPr>
              <w:t>Missing (%)</w:t>
            </w:r>
          </w:p>
        </w:tc>
        <w:tc>
          <w:tcPr>
            <w:tcW w:type="dxa" w:w="1680"/>
            <w:shd w:fill="D9EAF7"/>
            <w:vAlign w:val="center"/>
          </w:tcPr>
          <w:p>
            <w:r>
              <w:rPr>
                <w:b/>
              </w:rPr>
              <w:t>Unimodal</w:t>
            </w:r>
          </w:p>
        </w:tc>
        <w:tc>
          <w:tcPr>
            <w:tcW w:type="dxa" w:w="1680"/>
            <w:shd w:fill="D9EAF7"/>
            <w:vAlign w:val="center"/>
          </w:tcPr>
          <w:p>
            <w:r>
              <w:rPr>
                <w:b/>
              </w:rPr>
              <w:t>Early Fusion</w:t>
            </w:r>
          </w:p>
        </w:tc>
        <w:tc>
          <w:tcPr>
            <w:tcW w:type="dxa" w:w="1680"/>
            <w:shd w:fill="D9EAF7"/>
            <w:vAlign w:val="center"/>
          </w:tcPr>
          <w:p>
            <w:r>
              <w:rPr>
                <w:b/>
              </w:rPr>
              <w:t>Wang [3]</w:t>
            </w:r>
          </w:p>
        </w:tc>
        <w:tc>
          <w:tcPr>
            <w:tcW w:type="dxa" w:w="1680"/>
            <w:shd w:fill="D9EAF7"/>
            <w:vAlign w:val="center"/>
          </w:tcPr>
          <w:p>
            <w:r>
              <w:rPr>
                <w:b/>
              </w:rPr>
              <w:t>Belay [4]</w:t>
            </w:r>
          </w:p>
        </w:tc>
        <w:tc>
          <w:tcPr>
            <w:tcW w:type="dxa" w:w="1680"/>
            <w:shd w:fill="D9EAF7"/>
            <w:vAlign w:val="center"/>
          </w:tcPr>
          <w:p>
            <w:r>
              <w:rPr>
                <w:b/>
              </w:rPr>
              <w:t>CAMF-Zero</w:t>
            </w:r>
          </w:p>
        </w:tc>
      </w:tr>
      <w:tr>
        <w:tc>
          <w:tcPr>
            <w:tcW w:type="dxa" w:w="1680"/>
          </w:tcPr>
          <w:p>
            <w:r>
              <w:t>0</w:t>
            </w:r>
          </w:p>
        </w:tc>
        <w:tc>
          <w:tcPr>
            <w:tcW w:type="dxa" w:w="1680"/>
          </w:tcPr>
          <w:p>
            <w:r>
              <w:t>63.2</w:t>
            </w:r>
          </w:p>
        </w:tc>
        <w:tc>
          <w:tcPr>
            <w:tcW w:type="dxa" w:w="1680"/>
          </w:tcPr>
          <w:p>
            <w:r>
              <w:t>72.5</w:t>
            </w:r>
          </w:p>
        </w:tc>
        <w:tc>
          <w:tcPr>
            <w:tcW w:type="dxa" w:w="1680"/>
          </w:tcPr>
          <w:p>
            <w:r>
              <w:t>78.4</w:t>
            </w:r>
          </w:p>
        </w:tc>
        <w:tc>
          <w:tcPr>
            <w:tcW w:type="dxa" w:w="1680"/>
          </w:tcPr>
          <w:p>
            <w:r>
              <w:t>80.1</w:t>
            </w:r>
          </w:p>
        </w:tc>
        <w:tc>
          <w:tcPr>
            <w:tcW w:type="dxa" w:w="1680"/>
          </w:tcPr>
          <w:p>
            <w:r>
              <w:t>95.3</w:t>
            </w:r>
          </w:p>
        </w:tc>
      </w:tr>
      <w:tr>
        <w:tc>
          <w:tcPr>
            <w:tcW w:type="dxa" w:w="1680"/>
          </w:tcPr>
          <w:p>
            <w:r>
              <w:t>10</w:t>
            </w:r>
          </w:p>
        </w:tc>
        <w:tc>
          <w:tcPr>
            <w:tcW w:type="dxa" w:w="1680"/>
          </w:tcPr>
          <w:p>
            <w:r>
              <w:t>58.7</w:t>
            </w:r>
          </w:p>
        </w:tc>
        <w:tc>
          <w:tcPr>
            <w:tcW w:type="dxa" w:w="1680"/>
          </w:tcPr>
          <w:p>
            <w:r>
              <w:t>68.9</w:t>
            </w:r>
          </w:p>
        </w:tc>
        <w:tc>
          <w:tcPr>
            <w:tcW w:type="dxa" w:w="1680"/>
          </w:tcPr>
          <w:p>
            <w:r>
              <w:t>74.2</w:t>
            </w:r>
          </w:p>
        </w:tc>
        <w:tc>
          <w:tcPr>
            <w:tcW w:type="dxa" w:w="1680"/>
          </w:tcPr>
          <w:p>
            <w:r>
              <w:t>76.8</w:t>
            </w:r>
          </w:p>
        </w:tc>
        <w:tc>
          <w:tcPr>
            <w:tcW w:type="dxa" w:w="1680"/>
          </w:tcPr>
          <w:p>
            <w:r>
              <w:t>92.6</w:t>
            </w:r>
          </w:p>
        </w:tc>
      </w:tr>
      <w:tr>
        <w:tc>
          <w:tcPr>
            <w:tcW w:type="dxa" w:w="1680"/>
          </w:tcPr>
          <w:p>
            <w:r>
              <w:t>20</w:t>
            </w:r>
          </w:p>
        </w:tc>
        <w:tc>
          <w:tcPr>
            <w:tcW w:type="dxa" w:w="1680"/>
          </w:tcPr>
          <w:p>
            <w:r>
              <w:t>52.4</w:t>
            </w:r>
          </w:p>
        </w:tc>
        <w:tc>
          <w:tcPr>
            <w:tcW w:type="dxa" w:w="1680"/>
          </w:tcPr>
          <w:p>
            <w:r>
              <w:t>63.1</w:t>
            </w:r>
          </w:p>
        </w:tc>
        <w:tc>
          <w:tcPr>
            <w:tcW w:type="dxa" w:w="1680"/>
          </w:tcPr>
          <w:p>
            <w:r>
              <w:t>69.5</w:t>
            </w:r>
          </w:p>
        </w:tc>
        <w:tc>
          <w:tcPr>
            <w:tcW w:type="dxa" w:w="1680"/>
          </w:tcPr>
          <w:p>
            <w:r>
              <w:t>71.9</w:t>
            </w:r>
          </w:p>
        </w:tc>
        <w:tc>
          <w:tcPr>
            <w:tcW w:type="dxa" w:w="1680"/>
          </w:tcPr>
          <w:p>
            <w:r>
              <w:t>89.4</w:t>
            </w:r>
          </w:p>
        </w:tc>
      </w:tr>
      <w:tr>
        <w:tc>
          <w:tcPr>
            <w:tcW w:type="dxa" w:w="1680"/>
          </w:tcPr>
          <w:p>
            <w:r>
              <w:t>30</w:t>
            </w:r>
          </w:p>
        </w:tc>
        <w:tc>
          <w:tcPr>
            <w:tcW w:type="dxa" w:w="1680"/>
          </w:tcPr>
          <w:p>
            <w:r>
              <w:t>46.8</w:t>
            </w:r>
          </w:p>
        </w:tc>
        <w:tc>
          <w:tcPr>
            <w:tcW w:type="dxa" w:w="1680"/>
          </w:tcPr>
          <w:p>
            <w:r>
              <w:t>57.3</w:t>
            </w:r>
          </w:p>
        </w:tc>
        <w:tc>
          <w:tcPr>
            <w:tcW w:type="dxa" w:w="1680"/>
          </w:tcPr>
          <w:p>
            <w:r>
              <w:t>64.8</w:t>
            </w:r>
          </w:p>
        </w:tc>
        <w:tc>
          <w:tcPr>
            <w:tcW w:type="dxa" w:w="1680"/>
          </w:tcPr>
          <w:p>
            <w:r>
              <w:t>67.2</w:t>
            </w:r>
          </w:p>
        </w:tc>
        <w:tc>
          <w:tcPr>
            <w:tcW w:type="dxa" w:w="1680"/>
          </w:tcPr>
          <w:p>
            <w:r>
              <w:t>85.7</w:t>
            </w:r>
          </w:p>
        </w:tc>
      </w:tr>
      <w:tr>
        <w:tc>
          <w:tcPr>
            <w:tcW w:type="dxa" w:w="1680"/>
          </w:tcPr>
          <w:p>
            <w:r>
              <w:t>40</w:t>
            </w:r>
          </w:p>
        </w:tc>
        <w:tc>
          <w:tcPr>
            <w:tcW w:type="dxa" w:w="1680"/>
          </w:tcPr>
          <w:p>
            <w:r>
              <w:t>39.5</w:t>
            </w:r>
          </w:p>
        </w:tc>
        <w:tc>
          <w:tcPr>
            <w:tcW w:type="dxa" w:w="1680"/>
          </w:tcPr>
          <w:p>
            <w:r>
              <w:t>49.6</w:t>
            </w:r>
          </w:p>
        </w:tc>
        <w:tc>
          <w:tcPr>
            <w:tcW w:type="dxa" w:w="1680"/>
          </w:tcPr>
          <w:p>
            <w:r>
              <w:t>56.7</w:t>
            </w:r>
          </w:p>
        </w:tc>
        <w:tc>
          <w:tcPr>
            <w:tcW w:type="dxa" w:w="1680"/>
          </w:tcPr>
          <w:p>
            <w:r>
              <w:t>59.4</w:t>
            </w:r>
          </w:p>
        </w:tc>
        <w:tc>
          <w:tcPr>
            <w:tcW w:type="dxa" w:w="1680"/>
          </w:tcPr>
          <w:p>
            <w:r>
              <w:t>79.2</w:t>
            </w:r>
          </w:p>
        </w:tc>
      </w:tr>
    </w:tbl>
    <w:p/>
    <w:p>
      <w:pPr>
        <w:pStyle w:val="Heading2"/>
      </w:pPr>
      <w:r>
        <w:t>S7.4 Latency-accuracy trade-off (manuscript Table 14)</w:t>
      </w:r>
    </w:p>
    <w:tbl>
      <w:tblPr>
        <w:tblStyle w:val="TableGrid"/>
        <w:tblW w:type="auto" w:w="0"/>
        <w:jc w:val="center"/>
        <w:tblLook w:firstColumn="1" w:firstRow="1" w:lastColumn="0" w:lastRow="0" w:noHBand="0" w:noVBand="1" w:val="04A0"/>
      </w:tblPr>
      <w:tblGrid>
        <w:gridCol w:w="2520"/>
        <w:gridCol w:w="2520"/>
        <w:gridCol w:w="2520"/>
        <w:gridCol w:w="2520"/>
      </w:tblGrid>
      <w:tr>
        <w:tc>
          <w:tcPr>
            <w:tcW w:type="dxa" w:w="2520"/>
            <w:shd w:fill="D9EAF7"/>
            <w:vAlign w:val="center"/>
          </w:tcPr>
          <w:p>
            <w:r>
              <w:rPr>
                <w:b/>
              </w:rPr>
              <w:t>Configuration</w:t>
            </w:r>
          </w:p>
        </w:tc>
        <w:tc>
          <w:tcPr>
            <w:tcW w:type="dxa" w:w="2520"/>
            <w:shd w:fill="D9EAF7"/>
            <w:vAlign w:val="center"/>
          </w:tcPr>
          <w:p>
            <w:r>
              <w:rPr>
                <w:b/>
              </w:rPr>
              <w:t>Latency (ms)</w:t>
            </w:r>
          </w:p>
        </w:tc>
        <w:tc>
          <w:tcPr>
            <w:tcW w:type="dxa" w:w="2520"/>
            <w:shd w:fill="D9EAF7"/>
            <w:vAlign w:val="center"/>
          </w:tcPr>
          <w:p>
            <w:r>
              <w:rPr>
                <w:b/>
              </w:rPr>
              <w:t>Throughput</w:t>
            </w:r>
          </w:p>
        </w:tc>
        <w:tc>
          <w:tcPr>
            <w:tcW w:type="dxa" w:w="2520"/>
            <w:shd w:fill="D9EAF7"/>
            <w:vAlign w:val="center"/>
          </w:tcPr>
          <w:p>
            <w:r>
              <w:rPr>
                <w:b/>
              </w:rPr>
              <w:t>Recall (%)</w:t>
            </w:r>
          </w:p>
        </w:tc>
      </w:tr>
      <w:tr>
        <w:tc>
          <w:tcPr>
            <w:tcW w:type="dxa" w:w="2520"/>
          </w:tcPr>
          <w:p>
            <w:r>
              <w:t>15 s, 2 steps</w:t>
            </w:r>
          </w:p>
        </w:tc>
        <w:tc>
          <w:tcPr>
            <w:tcW w:type="dxa" w:w="2520"/>
          </w:tcPr>
          <w:p>
            <w:r>
              <w:t>180</w:t>
            </w:r>
          </w:p>
        </w:tc>
        <w:tc>
          <w:tcPr>
            <w:tcW w:type="dxa" w:w="2520"/>
          </w:tcPr>
          <w:p>
            <w:r>
              <w:t>5.2</w:t>
            </w:r>
          </w:p>
        </w:tc>
        <w:tc>
          <w:tcPr>
            <w:tcW w:type="dxa" w:w="2520"/>
          </w:tcPr>
          <w:p>
            <w:r>
              <w:t>88.7</w:t>
            </w:r>
          </w:p>
        </w:tc>
      </w:tr>
      <w:tr>
        <w:tc>
          <w:tcPr>
            <w:tcW w:type="dxa" w:w="2520"/>
          </w:tcPr>
          <w:p>
            <w:r>
              <w:t>30 s, 3 steps</w:t>
            </w:r>
          </w:p>
        </w:tc>
        <w:tc>
          <w:tcPr>
            <w:tcW w:type="dxa" w:w="2520"/>
          </w:tcPr>
          <w:p>
            <w:r>
              <w:t>320</w:t>
            </w:r>
          </w:p>
        </w:tc>
        <w:tc>
          <w:tcPr>
            <w:tcW w:type="dxa" w:w="2520"/>
          </w:tcPr>
          <w:p>
            <w:r>
              <w:t>3.1</w:t>
            </w:r>
          </w:p>
        </w:tc>
        <w:tc>
          <w:tcPr>
            <w:tcW w:type="dxa" w:w="2520"/>
          </w:tcPr>
          <w:p>
            <w:r>
              <w:t>95.3</w:t>
            </w:r>
          </w:p>
        </w:tc>
      </w:tr>
      <w:tr>
        <w:tc>
          <w:tcPr>
            <w:tcW w:type="dxa" w:w="2520"/>
          </w:tcPr>
          <w:p>
            <w:r>
              <w:t>60 s, 5 steps</w:t>
            </w:r>
          </w:p>
        </w:tc>
        <w:tc>
          <w:tcPr>
            <w:tcW w:type="dxa" w:w="2520"/>
          </w:tcPr>
          <w:p>
            <w:r>
              <w:t>580</w:t>
            </w:r>
          </w:p>
        </w:tc>
        <w:tc>
          <w:tcPr>
            <w:tcW w:type="dxa" w:w="2520"/>
          </w:tcPr>
          <w:p>
            <w:r>
              <w:t>1.7</w:t>
            </w:r>
          </w:p>
        </w:tc>
        <w:tc>
          <w:tcPr>
            <w:tcW w:type="dxa" w:w="2520"/>
          </w:tcPr>
          <w:p>
            <w:r>
              <w:t>96.8</w:t>
            </w:r>
          </w:p>
        </w:tc>
      </w:tr>
      <w:tr>
        <w:tc>
          <w:tcPr>
            <w:tcW w:type="dxa" w:w="2520"/>
          </w:tcPr>
          <w:p>
            <w:r>
              <w:t>Quantized + caching</w:t>
            </w:r>
          </w:p>
        </w:tc>
        <w:tc>
          <w:tcPr>
            <w:tcW w:type="dxa" w:w="2520"/>
          </w:tcPr>
          <w:p>
            <w:r>
              <w:t>245</w:t>
            </w:r>
          </w:p>
        </w:tc>
        <w:tc>
          <w:tcPr>
            <w:tcW w:type="dxa" w:w="2520"/>
          </w:tcPr>
          <w:p>
            <w:r>
              <w:t>4.0</w:t>
            </w:r>
          </w:p>
        </w:tc>
        <w:tc>
          <w:tcPr>
            <w:tcW w:type="dxa" w:w="2520"/>
          </w:tcPr>
          <w:p>
            <w:r>
              <w:t>93.9</w:t>
            </w:r>
          </w:p>
        </w:tc>
      </w:tr>
    </w:tbl>
    <w:p/>
    <w:p>
      <w:pPr>
        <w:pStyle w:val="Heading1"/>
      </w:pPr>
      <w:r>
        <w:t>S8. Reproduction workflow</w:t>
      </w:r>
    </w:p>
    <w:p>
      <w:r>
        <w:t>1. Create a Python virtual environment and install requirements.txt.</w:t>
      </w:r>
    </w:p>
    <w:p>
      <w:r>
        <w:t>2. Download the original datasets from the links in README.md and comply with provider terms.</w:t>
      </w:r>
    </w:p>
    <w:p>
      <w:r>
        <w:t>3. Construct chronological or attack-family-held-out splits before fitting preprocessing objects.</w:t>
      </w:r>
    </w:p>
    <w:p>
      <w:r>
        <w:t>4. Convert records to the JSONL multimodal window schema documented in docs/DATA_SCHEMA.md.</w:t>
      </w:r>
    </w:p>
    <w:p>
      <w:r>
        <w:t>5. Run scripts/train.py with configs/default.yaml.</w:t>
      </w:r>
    </w:p>
    <w:p>
      <w:r>
        <w:t>6. Run scripts/evaluate.py on the held-out test split and compute Recall@FPR=5%, AUC-PR, F1, ECE, and false-positive reduction.</w:t>
      </w:r>
    </w:p>
    <w:p>
      <w:r>
        <w:t>7. Run scripts/run_ablation.py with the five controlled ablation files.</w:t>
      </w:r>
    </w:p>
    <w:p>
      <w:r>
        <w:t>8. Apply the missingness, noise, and delay settings for robustness analysis and use scripts/stream_infer.py for deployment-oriented timing.</w:t>
      </w:r>
    </w:p>
    <w:p>
      <w:pPr>
        <w:pStyle w:val="Heading1"/>
      </w:pPr>
      <w:r>
        <w:t>S9. Verification and integrity</w:t>
      </w:r>
    </w:p>
    <w:p>
      <w:r>
        <w:t>The archive contains MANIFEST.txt and SHA256SUMS.txt. Running python scripts/verify_package.py checks required files, parses JSONL and CSV resources, loads the default YAML configuration, and imports the CAMF-Zero package. Running sha256sum -c SHA256SUMS.txt verifies file integrity after extraction.</w:t>
      </w:r>
    </w:p>
    <w:p>
      <w:pPr>
        <w:pStyle w:val="Heading1"/>
      </w:pPr>
      <w:r>
        <w:t>S10. Limitations of the distributed supplement</w:t>
      </w:r>
    </w:p>
    <w:p>
      <w:r>
        <w:t>The small JSONL files are synthetic examples intended only for schema and code-path validation. They do not reproduce the numerical results in the manuscript. Full benchmark data and trained model checkpoints are not embedded because of dataset size, provider conditions, and submission-file constraints. The reported values are supplied separately as CSV files for transparent cross-checking against the article.</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