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B6F3" w14:textId="77777777" w:rsidR="005F7773" w:rsidRDefault="00D016C8" w:rsidP="00D016C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Information</w:t>
      </w:r>
    </w:p>
    <w:p w14:paraId="301C1001" w14:textId="52D3536F" w:rsidR="00D016C8" w:rsidRDefault="00D016C8" w:rsidP="00D016C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Materials</w:t>
      </w:r>
    </w:p>
    <w:p w14:paraId="3F9EB24E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Materials 1: Table S1. SSRs in the mitochondrial genome of </w:t>
      </w:r>
      <w:r>
        <w:rPr>
          <w:rFonts w:ascii="Times New Roman" w:hAnsi="Times New Roman" w:cs="Times New Roman"/>
          <w:i/>
          <w:iCs/>
          <w:sz w:val="24"/>
        </w:rPr>
        <w:t>A. carambola.</w:t>
      </w:r>
    </w:p>
    <w:p w14:paraId="462B402A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Materials 2: Table S2. Dispersed repeat sequences in the mitochondrial genome of </w:t>
      </w:r>
      <w:r>
        <w:rPr>
          <w:rFonts w:ascii="Times New Roman" w:hAnsi="Times New Roman" w:cs="Times New Roman"/>
          <w:i/>
          <w:iCs/>
          <w:sz w:val="24"/>
        </w:rPr>
        <w:t>A. carambola.</w:t>
      </w:r>
    </w:p>
    <w:p w14:paraId="04495F55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Materials 3: Table S3. Tandem repeat sequences in the mitochondrial genome of </w:t>
      </w:r>
      <w:r>
        <w:rPr>
          <w:rFonts w:ascii="Times New Roman" w:hAnsi="Times New Roman" w:cs="Times New Roman"/>
          <w:i/>
          <w:iCs/>
          <w:sz w:val="24"/>
        </w:rPr>
        <w:t>A. carambola.</w:t>
      </w:r>
    </w:p>
    <w:p w14:paraId="0DDAEBB7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Materials 4: Table S4. The homologous DNA fragment in the </w:t>
      </w:r>
      <w:r>
        <w:rPr>
          <w:rFonts w:ascii="Times New Roman" w:hAnsi="Times New Roman" w:cs="Times New Roman"/>
          <w:i/>
          <w:iCs/>
          <w:sz w:val="24"/>
        </w:rPr>
        <w:t>A. carambola</w:t>
      </w:r>
      <w:r>
        <w:rPr>
          <w:rFonts w:ascii="Times New Roman" w:hAnsi="Times New Roman" w:cs="Times New Roman"/>
          <w:sz w:val="24"/>
        </w:rPr>
        <w:t xml:space="preserve"> mitochondrial genome.</w:t>
      </w:r>
    </w:p>
    <w:p w14:paraId="229188EC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Materials 5: Table S5. RNA editing analysis in the mitochondrial genome of</w:t>
      </w:r>
      <w:r>
        <w:rPr>
          <w:rFonts w:ascii="Times New Roman" w:hAnsi="Times New Roman" w:cs="Times New Roman"/>
          <w:i/>
          <w:iCs/>
          <w:sz w:val="24"/>
        </w:rPr>
        <w:t xml:space="preserve"> A. carambola</w:t>
      </w:r>
      <w:r>
        <w:rPr>
          <w:rFonts w:ascii="Times New Roman" w:hAnsi="Times New Roman" w:cs="Times New Roman"/>
          <w:sz w:val="24"/>
        </w:rPr>
        <w:t>.</w:t>
      </w:r>
    </w:p>
    <w:p w14:paraId="443E9D7A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Materials 6: Table S6. BLAST alignment results of mitochondrial genome comparison between </w:t>
      </w:r>
      <w:r>
        <w:rPr>
          <w:rFonts w:ascii="Times New Roman" w:hAnsi="Times New Roman" w:cs="Times New Roman"/>
          <w:i/>
          <w:iCs/>
          <w:sz w:val="24"/>
        </w:rPr>
        <w:t xml:space="preserve">J.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curcas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</w:rPr>
        <w:t>E. alatus.</w:t>
      </w:r>
    </w:p>
    <w:p w14:paraId="312C1FB2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Materials 7: Figure S1. Circular map of intra-genomic collinearity and repeat pairings.</w:t>
      </w:r>
    </w:p>
    <w:p w14:paraId="04C8C95B" w14:textId="77777777" w:rsidR="00D016C8" w:rsidRDefault="00D016C8" w:rsidP="00D016C8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Materials 8: Figure S2. Distribution of RNA editing sites across PCGs.</w:t>
      </w:r>
    </w:p>
    <w:p w14:paraId="2321F5A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C8"/>
    <w:rsid w:val="005F7773"/>
    <w:rsid w:val="00767E38"/>
    <w:rsid w:val="00866F7D"/>
    <w:rsid w:val="00CD33FA"/>
    <w:rsid w:val="00D016C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869A"/>
  <w15:chartTrackingRefBased/>
  <w15:docId w15:val="{D54B8218-C0AF-45A0-8222-8CE8DFF3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6C8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6C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6C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6C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6C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6C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6C8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6C8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6C8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6C8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6C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1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6C8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1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6C8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1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6C8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1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6C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2026-07-20T11:14:00Z</dcterms:created>
  <dcterms:modified xsi:type="dcterms:W3CDTF">2026-07-20T11:15:00Z</dcterms:modified>
</cp:coreProperties>
</file>