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65" w:rsidRPr="00813565" w:rsidRDefault="00813565" w:rsidP="00813565">
      <w:pPr>
        <w:rPr>
          <w:rFonts w:cs="Times New Roman"/>
        </w:rPr>
      </w:pPr>
      <w:r w:rsidRPr="00813565">
        <w:rPr>
          <w:rFonts w:cs="Times New Roman"/>
          <w:b/>
          <w:sz w:val="20"/>
        </w:rPr>
        <w:t>Table 1. Characteristics of included randomized and cluster-randomized trials evaluating professionally applied topical fluoride agents for caries prevention in children and adolescents</w:t>
      </w:r>
    </w:p>
    <w:tbl>
      <w:tblPr>
        <w:tblStyle w:val="TableGrid"/>
        <w:tblW w:w="15397" w:type="dxa"/>
        <w:tblLayout w:type="fixed"/>
        <w:tblLook w:val="04A0" w:firstRow="1" w:lastRow="0" w:firstColumn="1" w:lastColumn="0" w:noHBand="0" w:noVBand="1"/>
      </w:tblPr>
      <w:tblGrid>
        <w:gridCol w:w="2348"/>
        <w:gridCol w:w="1030"/>
        <w:gridCol w:w="1029"/>
        <w:gridCol w:w="1912"/>
        <w:gridCol w:w="1177"/>
        <w:gridCol w:w="1911"/>
        <w:gridCol w:w="1324"/>
        <w:gridCol w:w="1177"/>
        <w:gridCol w:w="1029"/>
        <w:gridCol w:w="2460"/>
      </w:tblGrid>
      <w:tr w:rsidR="00813565" w:rsidRPr="00813565" w:rsidTr="00813565">
        <w:trPr>
          <w:trHeight w:val="347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813565">
              <w:rPr>
                <w:rFonts w:ascii="Times New Roman" w:hAnsi="Times New Roman" w:cs="Times New Roman"/>
                <w:b/>
                <w:szCs w:val="18"/>
              </w:rPr>
              <w:t>Study (Year)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813565">
              <w:rPr>
                <w:rFonts w:ascii="Times New Roman" w:hAnsi="Times New Roman" w:cs="Times New Roman"/>
                <w:b/>
                <w:szCs w:val="18"/>
              </w:rPr>
              <w:t>Country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813565">
              <w:rPr>
                <w:rFonts w:ascii="Times New Roman" w:hAnsi="Times New Roman" w:cs="Times New Roman"/>
                <w:b/>
                <w:szCs w:val="18"/>
              </w:rPr>
              <w:t>Design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813565">
              <w:rPr>
                <w:rFonts w:ascii="Times New Roman" w:hAnsi="Times New Roman" w:cs="Times New Roman"/>
                <w:b/>
                <w:szCs w:val="18"/>
              </w:rPr>
              <w:t>Population / dentition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813565">
              <w:rPr>
                <w:rFonts w:ascii="Times New Roman" w:hAnsi="Times New Roman" w:cs="Times New Roman"/>
                <w:b/>
                <w:szCs w:val="18"/>
              </w:rPr>
              <w:t>Age at baseline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813565">
              <w:rPr>
                <w:rFonts w:ascii="Times New Roman" w:hAnsi="Times New Roman" w:cs="Times New Roman"/>
                <w:b/>
                <w:szCs w:val="18"/>
              </w:rPr>
              <w:t xml:space="preserve">Sample size </w:t>
            </w:r>
            <w:proofErr w:type="spellStart"/>
            <w:r w:rsidRPr="00813565">
              <w:rPr>
                <w:rFonts w:ascii="Times New Roman" w:hAnsi="Times New Roman" w:cs="Times New Roman"/>
                <w:b/>
                <w:szCs w:val="18"/>
              </w:rPr>
              <w:t>analysed</w:t>
            </w:r>
            <w:proofErr w:type="spellEnd"/>
            <w:r w:rsidRPr="00813565">
              <w:rPr>
                <w:rFonts w:ascii="Times New Roman" w:hAnsi="Times New Roman" w:cs="Times New Roman"/>
                <w:b/>
                <w:szCs w:val="18"/>
              </w:rPr>
              <w:t>, n (IG/CG)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813565">
              <w:rPr>
                <w:rFonts w:ascii="Times New Roman" w:hAnsi="Times New Roman" w:cs="Times New Roman"/>
                <w:b/>
                <w:szCs w:val="18"/>
              </w:rPr>
              <w:t>Intervention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813565">
              <w:rPr>
                <w:rFonts w:ascii="Times New Roman" w:hAnsi="Times New Roman" w:cs="Times New Roman"/>
                <w:b/>
                <w:szCs w:val="18"/>
              </w:rPr>
              <w:t>Comparator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813565">
              <w:rPr>
                <w:rFonts w:ascii="Times New Roman" w:hAnsi="Times New Roman" w:cs="Times New Roman"/>
                <w:b/>
                <w:szCs w:val="18"/>
              </w:rPr>
              <w:t>Follow-up (months)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813565">
              <w:rPr>
                <w:rFonts w:ascii="Times New Roman" w:hAnsi="Times New Roman" w:cs="Times New Roman"/>
                <w:b/>
                <w:szCs w:val="18"/>
              </w:rPr>
              <w:t>Outcome (Index)</w:t>
            </w:r>
          </w:p>
        </w:tc>
      </w:tr>
      <w:tr w:rsidR="00813565" w:rsidRPr="00813565" w:rsidTr="00813565">
        <w:trPr>
          <w:trHeight w:val="173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Agarwal et al., 2022 [19]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India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Cluster 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3-4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392 (196/196)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Placebo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36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(ICDAS)</w:t>
            </w:r>
          </w:p>
        </w:tc>
      </w:tr>
      <w:tr w:rsidR="00813565" w:rsidRPr="00813565" w:rsidTr="00813565">
        <w:trPr>
          <w:trHeight w:val="168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Agouropoulos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2014 [20]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Greece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2-5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328 (174/154)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 + OHE + FTP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Placebo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(dmfs)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Agrawal et al., 2011 [21]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India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Cluster 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Mixed dentition; high-caries-risk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9-16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257 (130/127)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APF gel + OHE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OHE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(DMFT/DMFS)</w:t>
            </w:r>
          </w:p>
        </w:tc>
      </w:tr>
      <w:tr w:rsidR="00813565" w:rsidRPr="00813565" w:rsidTr="00813565">
        <w:trPr>
          <w:trHeight w:val="173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Anderson et al., 2016 [22]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Sweden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Cluster 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High-risk toddlers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2536 (1231/1305)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 + OHE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Control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(ICDAS)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Arruda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2012 [23]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Brazil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Children/adolescents; permanent dentition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6-14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210 (113/97)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Placebo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(ICDAS/DFS)</w:t>
            </w:r>
          </w:p>
        </w:tc>
      </w:tr>
      <w:tr w:rsidR="00813565" w:rsidRPr="00813565" w:rsidTr="00813565">
        <w:trPr>
          <w:trHeight w:val="256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Brambilla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1997 [24]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Italy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Children; first permanent molars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248 (128/120)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AmF</w:t>
            </w:r>
            <w:proofErr w:type="spellEnd"/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Placebo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60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incidence (DMFT/FPM)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Bravo et al., 1997/2005 [25]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Spain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Cluster 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Children; first permanent molars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6-8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314 (FS/FV/control: 100/98/116)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FS; 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Control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24; 108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(DMFS/FPM)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Chestnutt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2017 [26]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UK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Children; first permanent molars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6-7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835 (417/418)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Active comparator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36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incidence (ICDAS)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Gugwad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2011 [27]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India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Mixed dentition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6-7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211 (106/105)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Control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(deft/DMFT/DMFS)</w:t>
            </w:r>
          </w:p>
        </w:tc>
      </w:tr>
      <w:tr w:rsidR="00813565" w:rsidRPr="00813565" w:rsidTr="00813565">
        <w:trPr>
          <w:trHeight w:val="168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Hardman et al., 2007 [28]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UK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Cluster 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Mixed dentition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6-8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664 (334/330)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Control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26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(dmfs/DMFS)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Holm et al., 1984 [29]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Sweden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Children; first permanent molars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 xml:space="preserve">5 y 9 </w:t>
            </w: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mo</w:t>
            </w:r>
            <w:proofErr w:type="spellEnd"/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109 children (50/59); 381 molars (166/215)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Control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incidence (FPM)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Honkala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2015 [30]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Kuwait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Split-mouth 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Children; primary molars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4-5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106 children; 267 matched pairs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Active comparator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incidence (ICDAS)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Jiang et al., 2005 [31]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China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Cluster 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Children; first permanent molars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6-7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612 (APF foam/APF gel/control:191/200/221)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APF foam; APF gel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Control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(DMFS/FPM)</w:t>
            </w:r>
          </w:p>
        </w:tc>
      </w:tr>
      <w:tr w:rsidR="00813565" w:rsidRPr="00813565" w:rsidTr="00813565">
        <w:trPr>
          <w:trHeight w:val="173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Jiang et al., 2014 [32]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Hong Kong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 xml:space="preserve">8-23 </w:t>
            </w: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mo</w:t>
            </w:r>
            <w:proofErr w:type="spellEnd"/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415 (Control/OHE/FV + OHE: 134/144/137)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 + OHE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OHE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and incidence</w:t>
            </w:r>
          </w:p>
        </w:tc>
      </w:tr>
      <w:tr w:rsidR="00813565" w:rsidRPr="00813565" w:rsidTr="00813565">
        <w:trPr>
          <w:trHeight w:val="168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Johnston et al., 1995 [33]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Canada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Mixed dentition children</w:t>
            </w:r>
          </w:p>
        </w:tc>
        <w:tc>
          <w:tcPr>
            <w:tcW w:w="1177" w:type="dxa"/>
          </w:tcPr>
          <w:p w:rsidR="00813565" w:rsidRPr="00813565" w:rsidRDefault="00813565" w:rsidP="00813565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6-7;10-11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329 (frequency: 168/161; prophylaxis: 182/147)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APF gel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Active comparator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36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</w:t>
            </w: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defs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>/DMFS)</w:t>
            </w:r>
          </w:p>
        </w:tc>
      </w:tr>
      <w:tr w:rsidR="00813565" w:rsidRPr="00813565" w:rsidTr="00813565">
        <w:trPr>
          <w:trHeight w:val="85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Khairnar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2026 [34]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India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Children; first permanent molars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6-8 y</w:t>
            </w:r>
          </w:p>
        </w:tc>
        <w:tc>
          <w:tcPr>
            <w:tcW w:w="1911" w:type="dxa"/>
          </w:tcPr>
          <w:p w:rsidR="00813565" w:rsidRPr="00813565" w:rsidRDefault="00813565" w:rsidP="00AD4528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 xml:space="preserve">84 children; </w:t>
            </w:r>
            <w:r w:rsidR="00AD4528">
              <w:rPr>
                <w:rFonts w:ascii="Times New Roman" w:hAnsi="Times New Roman" w:cs="Times New Roman"/>
                <w:szCs w:val="18"/>
              </w:rPr>
              <w:t>330</w:t>
            </w:r>
            <w:r w:rsidRPr="00813565">
              <w:rPr>
                <w:rFonts w:ascii="Times New Roman" w:hAnsi="Times New Roman" w:cs="Times New Roman"/>
                <w:szCs w:val="18"/>
              </w:rPr>
              <w:t xml:space="preserve"> teeth (1</w:t>
            </w:r>
            <w:r w:rsidR="00AD4528">
              <w:rPr>
                <w:rFonts w:ascii="Times New Roman" w:hAnsi="Times New Roman" w:cs="Times New Roman"/>
                <w:szCs w:val="18"/>
              </w:rPr>
              <w:t>63/167</w:t>
            </w:r>
            <w:r w:rsidRPr="00813565">
              <w:rPr>
                <w:rFonts w:ascii="Times New Roman" w:hAnsi="Times New Roman" w:cs="Times New Roman"/>
                <w:szCs w:val="18"/>
              </w:rPr>
              <w:t>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Active comparator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incidence (ICDAS)</w:t>
            </w:r>
          </w:p>
        </w:tc>
      </w:tr>
      <w:tr w:rsidR="00813565" w:rsidRPr="00813565" w:rsidTr="00813565">
        <w:trPr>
          <w:trHeight w:val="105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Lam et al., 2024 [35]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Hong Kong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children; primary second molars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3-4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479 (</w:t>
            </w: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NaFV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>/GIS: 254/225)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Active comparator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18-24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incidence (ICDAS)</w:t>
            </w:r>
          </w:p>
        </w:tc>
      </w:tr>
      <w:tr w:rsidR="00813565" w:rsidRPr="00813565" w:rsidTr="00813565">
        <w:trPr>
          <w:trHeight w:val="168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Latifi-Xhemajli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2019[36]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Kosovo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 xml:space="preserve">Mean 21 </w:t>
            </w: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mo</w:t>
            </w:r>
            <w:proofErr w:type="spellEnd"/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427 (218/209)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Control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and incidence</w:t>
            </w:r>
          </w:p>
        </w:tc>
      </w:tr>
      <w:tr w:rsidR="00813565" w:rsidRPr="00813565" w:rsidTr="00813565">
        <w:trPr>
          <w:trHeight w:val="173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Lawrence et al., 2008 [37]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Canada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Cluster 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 mo-5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1275 (915/360)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 + OHE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OHE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and incidence</w:t>
            </w:r>
          </w:p>
        </w:tc>
      </w:tr>
      <w:tr w:rsidR="00813565" w:rsidRPr="00813565" w:rsidTr="00813565">
        <w:trPr>
          <w:trHeight w:val="173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Linčir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1993 [38]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Croatia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3-4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199 (55/53/61/30)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AmF</w:t>
            </w:r>
            <w:proofErr w:type="spellEnd"/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Placebo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(dmft/dmfs)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Liu et al., 2012 [39]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Hong Kong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Children; first permanent molars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Mean 9.1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485 (FS/FV/SDF/control: 121/116/121/124)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FS; FV; SDF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Placebo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incidence (ICDAS)</w:t>
            </w:r>
          </w:p>
        </w:tc>
      </w:tr>
      <w:tr w:rsidR="00813565" w:rsidRPr="00813565" w:rsidTr="00813565">
        <w:trPr>
          <w:trHeight w:val="256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AD4528">
              <w:rPr>
                <w:rFonts w:ascii="Times New Roman" w:hAnsi="Times New Roman" w:cs="Times New Roman"/>
                <w:szCs w:val="18"/>
              </w:rPr>
              <w:t>Manchanda</w:t>
            </w:r>
            <w:proofErr w:type="spellEnd"/>
            <w:r w:rsidRPr="00AD4528">
              <w:rPr>
                <w:rFonts w:ascii="Times New Roman" w:hAnsi="Times New Roman" w:cs="Times New Roman"/>
                <w:szCs w:val="18"/>
              </w:rPr>
              <w:t xml:space="preserve"> et al., 2024 [40]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Hong Kong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3-4 y</w:t>
            </w:r>
          </w:p>
        </w:tc>
        <w:tc>
          <w:tcPr>
            <w:tcW w:w="1911" w:type="dxa"/>
          </w:tcPr>
          <w:p w:rsidR="00813565" w:rsidRPr="00813565" w:rsidRDefault="00D02563" w:rsidP="00813565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D02563">
              <w:rPr>
                <w:rFonts w:ascii="Times New Roman" w:hAnsi="Times New Roman" w:cs="Times New Roman"/>
                <w:szCs w:val="18"/>
              </w:rPr>
              <w:t>135 (45/45/45)</w:t>
            </w:r>
            <w:bookmarkStart w:id="0" w:name="_GoBack"/>
            <w:bookmarkEnd w:id="0"/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Active comparator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and incidence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lastRenderedPageBreak/>
              <w:t>Mellberg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1978 [41]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USA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Permanent dentition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9-12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1235 (255/227; 193/184; 190/186)*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APF gel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Control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(DMFS)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Milsom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2011 [42]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UK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Cluster 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Children; first permanent molars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7-8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2967 (1473/1494)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Control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36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(DFS/DFT/FPM)</w:t>
            </w:r>
          </w:p>
        </w:tc>
      </w:tr>
      <w:tr w:rsidR="00813565" w:rsidRPr="00813565" w:rsidTr="00813565">
        <w:trPr>
          <w:trHeight w:val="173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Muñoz-</w:t>
            </w: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Millán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2018 [43]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Chile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2-3 y</w:t>
            </w:r>
          </w:p>
        </w:tc>
        <w:tc>
          <w:tcPr>
            <w:tcW w:w="1911" w:type="dxa"/>
          </w:tcPr>
          <w:p w:rsidR="00813565" w:rsidRPr="00813565" w:rsidRDefault="00AD4528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AD4528">
              <w:rPr>
                <w:rFonts w:ascii="Times New Roman" w:hAnsi="Times New Roman" w:cs="Times New Roman"/>
                <w:szCs w:val="18"/>
              </w:rPr>
              <w:t>275 randomized (131/144); 189 completed (89/100)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Placebo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and incidence</w:t>
            </w:r>
          </w:p>
        </w:tc>
      </w:tr>
      <w:tr w:rsidR="00813565" w:rsidRPr="00813565" w:rsidTr="00813565">
        <w:trPr>
          <w:trHeight w:val="173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Oliveira et al., 2014 [44]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Brazil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1-4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181 (89/92)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Placebo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and incidence</w:t>
            </w:r>
          </w:p>
        </w:tc>
      </w:tr>
      <w:tr w:rsidR="00813565" w:rsidRPr="00813565" w:rsidTr="00813565">
        <w:trPr>
          <w:trHeight w:val="256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Seppä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1995 [45]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Finland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Permanent dentition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12-13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254 (125/129)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Active comparator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36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(DMFS)</w:t>
            </w:r>
          </w:p>
        </w:tc>
      </w:tr>
      <w:tr w:rsidR="00813565" w:rsidRPr="00813565" w:rsidTr="00813565">
        <w:trPr>
          <w:trHeight w:val="347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Sirivichayakul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2023 [46]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Thailand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813565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 xml:space="preserve">Primary dentition; 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4-6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155 (placebo/FV/SDF: 52/53/50)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FV; SDF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Placebo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18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Radiographic caries outcome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Sköld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2005 [47]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Sweden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Permanent dentition adolescents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13-16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758 (190/186/201/181)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Control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36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Radiographic caries outcome</w:t>
            </w:r>
          </w:p>
        </w:tc>
      </w:tr>
      <w:tr w:rsidR="00813565" w:rsidRPr="00813565" w:rsidTr="00813565">
        <w:trPr>
          <w:trHeight w:val="173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Slade et al., 2011 [48]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Australia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Cluster 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 xml:space="preserve">18-47 </w:t>
            </w: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mo</w:t>
            </w:r>
            <w:proofErr w:type="spellEnd"/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543 (281/262)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 + OHE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Control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and incidence</w:t>
            </w:r>
          </w:p>
        </w:tc>
      </w:tr>
      <w:tr w:rsidR="00813565" w:rsidRPr="00813565" w:rsidTr="00813565">
        <w:trPr>
          <w:trHeight w:val="256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Souza et al., 2021 [49]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Brazil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Children; permanent smooth surfaces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6-8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60 (TiF4/</w:t>
            </w: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NaF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>/placebo: 20/20/20)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Placebo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18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QLF-based lesion progression</w:t>
            </w:r>
          </w:p>
        </w:tc>
      </w:tr>
      <w:tr w:rsidR="00813565" w:rsidRPr="00813565" w:rsidTr="00813565">
        <w:trPr>
          <w:trHeight w:val="173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Tickle et al., 2017 [50]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UK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2-3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1096 (549/547)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 + OHE + FTP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OHE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36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and incidence</w:t>
            </w:r>
          </w:p>
        </w:tc>
      </w:tr>
      <w:tr w:rsidR="00813565" w:rsidRPr="00813565" w:rsidTr="00813565">
        <w:trPr>
          <w:trHeight w:val="173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Uhlen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>-Strand et al., 2024 [51]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Norway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Split-mouth 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Children; first permanent molars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6-10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369 children; split-mouth tooth-pair design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Active comparator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36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Binary caries outcome</w:t>
            </w:r>
          </w:p>
        </w:tc>
      </w:tr>
      <w:tr w:rsidR="00813565" w:rsidRPr="00813565" w:rsidTr="00813565">
        <w:trPr>
          <w:trHeight w:val="173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 xml:space="preserve">van </w:t>
            </w: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Rijkom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et al., 2004 [52]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Netherlands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Mixed dentition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4.5-6.5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732 (372/360)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NaF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 xml:space="preserve"> gel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Placebo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48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(D3MFS/d3mfs)</w:t>
            </w:r>
          </w:p>
        </w:tc>
      </w:tr>
      <w:tr w:rsidR="00813565" w:rsidRPr="00813565" w:rsidTr="00813565">
        <w:trPr>
          <w:trHeight w:val="256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Wang et al., 2022 [53]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China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Cluster 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Children; first permanent molars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6-7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5005 (2385/2620)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 + OHE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OHE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and incidence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Weinstein et al., 2009 [54]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USA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 xml:space="preserve">36-71 </w:t>
            </w: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mo</w:t>
            </w:r>
            <w:proofErr w:type="spellEnd"/>
          </w:p>
        </w:tc>
        <w:tc>
          <w:tcPr>
            <w:tcW w:w="1911" w:type="dxa"/>
          </w:tcPr>
          <w:p w:rsidR="00813565" w:rsidRPr="00813565" w:rsidRDefault="00813565" w:rsidP="00813565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600 (294/306)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Active comparator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36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(primary tooth surfaces)</w:t>
            </w:r>
          </w:p>
        </w:tc>
      </w:tr>
      <w:tr w:rsidR="00813565" w:rsidRPr="00813565" w:rsidTr="00813565">
        <w:trPr>
          <w:trHeight w:val="173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Weintraub et al., 2006 [55]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USA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Preschool 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 xml:space="preserve">6-44 </w:t>
            </w: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mo</w:t>
            </w:r>
            <w:proofErr w:type="spellEnd"/>
          </w:p>
        </w:tc>
        <w:tc>
          <w:tcPr>
            <w:tcW w:w="1911" w:type="dxa"/>
          </w:tcPr>
          <w:p w:rsidR="00813565" w:rsidRPr="00813565" w:rsidRDefault="00813565" w:rsidP="00813565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376 (</w:t>
            </w:r>
            <w:proofErr w:type="spellStart"/>
            <w:r w:rsidRPr="00813565">
              <w:rPr>
                <w:rFonts w:ascii="Times New Roman" w:hAnsi="Times New Roman" w:cs="Times New Roman"/>
                <w:szCs w:val="18"/>
              </w:rPr>
              <w:t>annualV</w:t>
            </w:r>
            <w:proofErr w:type="spellEnd"/>
            <w:r w:rsidRPr="00813565">
              <w:rPr>
                <w:rFonts w:ascii="Times New Roman" w:hAnsi="Times New Roman" w:cs="Times New Roman"/>
                <w:szCs w:val="18"/>
              </w:rPr>
              <w:t>/biannual FV/control:24/126/126)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 + OHE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OHE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and incidence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Zheng et al., 2023 [56]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Hong Kong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Primary dentition; upper anterior teeth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3-4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434 (209/225)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SDF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Active comparator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incidence (dmfs-based)</w:t>
            </w:r>
          </w:p>
        </w:tc>
      </w:tr>
      <w:tr w:rsidR="00813565" w:rsidRPr="00813565" w:rsidTr="00813565">
        <w:trPr>
          <w:trHeight w:val="256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Zheng et al., 2026 [57]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Hong Kong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Primary dentition; upper anterior teeth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3-4 y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621 (307/314)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SDF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Active comparator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30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incidence (dmfs-based)</w:t>
            </w:r>
          </w:p>
        </w:tc>
      </w:tr>
      <w:tr w:rsidR="00813565" w:rsidRPr="00813565" w:rsidTr="00813565">
        <w:trPr>
          <w:trHeight w:val="260"/>
        </w:trPr>
        <w:tc>
          <w:tcPr>
            <w:tcW w:w="2348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Zimmer et al., 1999 [58]</w:t>
            </w:r>
          </w:p>
        </w:tc>
        <w:tc>
          <w:tcPr>
            <w:tcW w:w="103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Germany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RCT</w:t>
            </w:r>
          </w:p>
        </w:tc>
        <w:tc>
          <w:tcPr>
            <w:tcW w:w="1912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Permanent dentition schoolchildren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Age NR</w:t>
            </w:r>
          </w:p>
        </w:tc>
        <w:tc>
          <w:tcPr>
            <w:tcW w:w="1911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253 (110/143)</w:t>
            </w:r>
          </w:p>
        </w:tc>
        <w:tc>
          <w:tcPr>
            <w:tcW w:w="1324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FV</w:t>
            </w:r>
          </w:p>
        </w:tc>
        <w:tc>
          <w:tcPr>
            <w:tcW w:w="1177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Control</w:t>
            </w:r>
          </w:p>
        </w:tc>
        <w:tc>
          <w:tcPr>
            <w:tcW w:w="1029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2460" w:type="dxa"/>
          </w:tcPr>
          <w:p w:rsidR="00813565" w:rsidRPr="00813565" w:rsidRDefault="00813565" w:rsidP="009D2CAD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565">
              <w:rPr>
                <w:rFonts w:ascii="Times New Roman" w:hAnsi="Times New Roman" w:cs="Times New Roman"/>
                <w:szCs w:val="18"/>
              </w:rPr>
              <w:t>Caries increment (D1/2MFS and D3/4MFS)</w:t>
            </w:r>
          </w:p>
        </w:tc>
      </w:tr>
    </w:tbl>
    <w:p w:rsidR="00813565" w:rsidRPr="00813565" w:rsidRDefault="00813565" w:rsidP="00813565">
      <w:pPr>
        <w:spacing w:before="60" w:after="0"/>
        <w:rPr>
          <w:rFonts w:cs="Times New Roman"/>
        </w:rPr>
      </w:pPr>
      <w:r w:rsidRPr="00813565">
        <w:rPr>
          <w:rFonts w:cs="Times New Roman"/>
          <w:b/>
          <w:sz w:val="15"/>
        </w:rPr>
        <w:t>Abbreviations:</w:t>
      </w:r>
      <w:r w:rsidRPr="00813565">
        <w:rPr>
          <w:rFonts w:cs="Times New Roman"/>
          <w:sz w:val="15"/>
        </w:rPr>
        <w:t xml:space="preserve"> RCT, randomized controlled trial; IG, intervention group; CG, control group; FV, fluoride varnish; APF, acidulated phosphate fluoride; </w:t>
      </w:r>
      <w:proofErr w:type="spellStart"/>
      <w:r w:rsidRPr="00813565">
        <w:rPr>
          <w:rFonts w:cs="Times New Roman"/>
          <w:sz w:val="15"/>
        </w:rPr>
        <w:t>NaF</w:t>
      </w:r>
      <w:proofErr w:type="spellEnd"/>
      <w:r w:rsidRPr="00813565">
        <w:rPr>
          <w:rFonts w:cs="Times New Roman"/>
          <w:sz w:val="15"/>
        </w:rPr>
        <w:t xml:space="preserve">, sodium fluoride; SDF, silver diamine fluoride; </w:t>
      </w:r>
      <w:proofErr w:type="spellStart"/>
      <w:r w:rsidRPr="00813565">
        <w:rPr>
          <w:rFonts w:cs="Times New Roman"/>
          <w:sz w:val="15"/>
        </w:rPr>
        <w:t>AmF</w:t>
      </w:r>
      <w:proofErr w:type="spellEnd"/>
      <w:r w:rsidRPr="00813565">
        <w:rPr>
          <w:rFonts w:cs="Times New Roman"/>
          <w:sz w:val="15"/>
        </w:rPr>
        <w:t>, amine fluoride; FS, fissure sealant; OHE, oral health education; FTP, fluoride toothpaste; FPM, first permanent molar; dmft, decayed, missing, and filled teeth in primary dentition; dmfs, decayed, missing, and filled surfaces in primary dentition; DMFT, decayed, missing, and filled teeth in permanent dentition; DMFS, decayed, missing, and filled surfaces in permanent dentition; DFS, decayed and filled surfaces; ICDAS, International Caries Detection and Assessment System; QLF, quantitative light-induced fluorescence; NR, not reported.</w:t>
      </w:r>
    </w:p>
    <w:p w:rsidR="00813565" w:rsidRPr="00813565" w:rsidRDefault="00813565" w:rsidP="00813565">
      <w:pPr>
        <w:spacing w:before="60" w:after="0"/>
        <w:rPr>
          <w:rFonts w:cs="Times New Roman"/>
        </w:rPr>
      </w:pPr>
      <w:r w:rsidRPr="00813565">
        <w:rPr>
          <w:rFonts w:cs="Times New Roman"/>
          <w:b/>
          <w:sz w:val="15"/>
        </w:rPr>
        <w:t>Footnote:</w:t>
      </w:r>
      <w:r w:rsidRPr="00813565">
        <w:rPr>
          <w:rFonts w:cs="Times New Roman"/>
          <w:sz w:val="15"/>
        </w:rPr>
        <w:t xml:space="preserve"> Values represent </w:t>
      </w:r>
      <w:proofErr w:type="spellStart"/>
      <w:r w:rsidRPr="00813565">
        <w:rPr>
          <w:rFonts w:cs="Times New Roman"/>
          <w:sz w:val="15"/>
        </w:rPr>
        <w:t>analysed</w:t>
      </w:r>
      <w:proofErr w:type="spellEnd"/>
      <w:r w:rsidRPr="00813565">
        <w:rPr>
          <w:rFonts w:cs="Times New Roman"/>
          <w:sz w:val="15"/>
        </w:rPr>
        <w:t xml:space="preserve"> sample sizes at the outcome time point used for synthesis wherever available. Randomized sample sizes are shown only when </w:t>
      </w:r>
      <w:proofErr w:type="spellStart"/>
      <w:r w:rsidRPr="00813565">
        <w:rPr>
          <w:rFonts w:cs="Times New Roman"/>
          <w:sz w:val="15"/>
        </w:rPr>
        <w:t>analysed</w:t>
      </w:r>
      <w:proofErr w:type="spellEnd"/>
      <w:r w:rsidRPr="00813565">
        <w:rPr>
          <w:rFonts w:cs="Times New Roman"/>
          <w:sz w:val="15"/>
        </w:rPr>
        <w:t xml:space="preserve"> numbers were unavailable and are marked with an asterisk. OHE was used as a standard abbreviation for oral health education, counselling, </w:t>
      </w:r>
      <w:proofErr w:type="spellStart"/>
      <w:r w:rsidRPr="00813565">
        <w:rPr>
          <w:rFonts w:cs="Times New Roman"/>
          <w:sz w:val="15"/>
        </w:rPr>
        <w:t>toothbrushing</w:t>
      </w:r>
      <w:proofErr w:type="spellEnd"/>
      <w:r w:rsidRPr="00813565">
        <w:rPr>
          <w:rFonts w:cs="Times New Roman"/>
          <w:sz w:val="15"/>
        </w:rPr>
        <w:t xml:space="preserve"> advice, parent advice, health promotion, and similar </w:t>
      </w:r>
      <w:proofErr w:type="spellStart"/>
      <w:r w:rsidRPr="00813565">
        <w:rPr>
          <w:rFonts w:cs="Times New Roman"/>
          <w:sz w:val="15"/>
        </w:rPr>
        <w:t>behavioural</w:t>
      </w:r>
      <w:proofErr w:type="spellEnd"/>
      <w:r w:rsidRPr="00813565">
        <w:rPr>
          <w:rFonts w:cs="Times New Roman"/>
          <w:sz w:val="15"/>
        </w:rPr>
        <w:t xml:space="preserve"> components. Comparator terminology was standardized as Placebo, Control, OHE, Usual care/control, No treatment/control, or Active comparator according to the original trial design.</w:t>
      </w:r>
    </w:p>
    <w:p w:rsidR="00471B40" w:rsidRPr="00813565" w:rsidRDefault="00471B40">
      <w:pPr>
        <w:rPr>
          <w:rFonts w:cs="Times New Roman"/>
        </w:rPr>
      </w:pPr>
    </w:p>
    <w:sectPr w:rsidR="00471B40" w:rsidRPr="00813565" w:rsidSect="008135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61"/>
    <w:rsid w:val="003C3095"/>
    <w:rsid w:val="00471B40"/>
    <w:rsid w:val="00643161"/>
    <w:rsid w:val="00794CAB"/>
    <w:rsid w:val="00813565"/>
    <w:rsid w:val="00AD4528"/>
    <w:rsid w:val="00D0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2CD9"/>
  <w15:chartTrackingRefBased/>
  <w15:docId w15:val="{2083E125-A9EC-4A73-93EB-42149829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565"/>
    <w:pPr>
      <w:spacing w:after="200" w:line="276" w:lineRule="auto"/>
    </w:pPr>
    <w:rPr>
      <w:rFonts w:eastAsiaTheme="minorEastAsia"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565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AIIMS</cp:lastModifiedBy>
  <cp:revision>4</cp:revision>
  <dcterms:created xsi:type="dcterms:W3CDTF">2026-05-19T04:42:00Z</dcterms:created>
  <dcterms:modified xsi:type="dcterms:W3CDTF">2026-05-23T03:50:00Z</dcterms:modified>
</cp:coreProperties>
</file>