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21B1" w14:textId="77777777" w:rsidR="00BE3C95" w:rsidRPr="00992F81" w:rsidRDefault="00BE3C95" w:rsidP="00BE3C95">
      <w:pPr>
        <w:rPr>
          <w:rFonts w:ascii="Times New Roman" w:hAnsi="Times New Roman" w:cs="Times New Roman"/>
          <w:szCs w:val="21"/>
        </w:rPr>
      </w:pPr>
      <w:r w:rsidRPr="00992F81">
        <w:rPr>
          <w:rFonts w:ascii="Times New Roman" w:hAnsi="Times New Roman" w:cs="Times New Roman"/>
          <w:b/>
          <w:bCs/>
          <w:szCs w:val="21"/>
        </w:rPr>
        <w:t xml:space="preserve">Table 1. Summary of </w:t>
      </w:r>
      <w:r w:rsidRPr="0003220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b</w:t>
      </w:r>
      <w:r w:rsidRPr="00032209">
        <w:rPr>
          <w:rFonts w:ascii="Times New Roman" w:hAnsi="Times New Roman" w:cs="Times New Roman"/>
          <w:b/>
          <w:bCs/>
          <w:color w:val="000000" w:themeColor="text1"/>
          <w:szCs w:val="21"/>
        </w:rPr>
        <w:t>aseline demographic, clinical, and tumor characteristics</w:t>
      </w:r>
      <w:r w:rsidRPr="00D00275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5E903D85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  <w:r w:rsidRPr="00992F8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1805630" wp14:editId="43775FC1">
            <wp:extent cx="5400040" cy="4812665"/>
            <wp:effectExtent l="0" t="0" r="0" b="635"/>
            <wp:docPr id="216875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75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4F654" w14:textId="77777777" w:rsidR="00BE3C95" w:rsidRPr="00992F81" w:rsidRDefault="00BE3C95" w:rsidP="00BE3C95">
      <w:pPr>
        <w:rPr>
          <w:rFonts w:ascii="Times New Roman" w:hAnsi="Times New Roman" w:cs="Times New Roman"/>
          <w:szCs w:val="21"/>
        </w:rPr>
      </w:pPr>
      <w:r w:rsidRPr="00992F81">
        <w:rPr>
          <w:rFonts w:ascii="Times New Roman" w:hAnsi="Times New Roman" w:cs="Times New Roman"/>
          <w:szCs w:val="21"/>
        </w:rPr>
        <w:t>Abbreviations: BMI, body mass index; CT, computed tomography; IQR,</w:t>
      </w:r>
      <w:r>
        <w:rPr>
          <w:rFonts w:ascii="Times New Roman" w:hAnsi="Times New Roman" w:cs="Times New Roman"/>
          <w:szCs w:val="21"/>
        </w:rPr>
        <w:t xml:space="preserve"> </w:t>
      </w:r>
      <w:r w:rsidRPr="00992F81">
        <w:rPr>
          <w:rFonts w:ascii="Times New Roman" w:hAnsi="Times New Roman" w:cs="Times New Roman"/>
          <w:szCs w:val="21"/>
        </w:rPr>
        <w:t>interquartile range; MAP score, The Mayo Adhesive Probability score; ASA PS, American Society of Anesthesiologists Physical Status Classification System</w:t>
      </w:r>
    </w:p>
    <w:p w14:paraId="13BACB49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00157009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5177CBCE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7BD28310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55FAF37F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175C448D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49BEA0E6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312F82EE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06BEA31B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5A83F097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</w:p>
    <w:p w14:paraId="12B1AA06" w14:textId="77777777" w:rsidR="00BE3C95" w:rsidRDefault="00BE3C95" w:rsidP="00BE3C95">
      <w:pPr>
        <w:rPr>
          <w:rFonts w:ascii="Times New Roman" w:hAnsi="Times New Roman" w:cs="Times New Roman"/>
          <w:b/>
          <w:bCs/>
          <w:szCs w:val="21"/>
        </w:rPr>
      </w:pPr>
    </w:p>
    <w:p w14:paraId="44D46180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  <w:r w:rsidRPr="00992F81">
        <w:rPr>
          <w:rFonts w:ascii="Times New Roman" w:hAnsi="Times New Roman" w:cs="Times New Roman"/>
          <w:b/>
          <w:bCs/>
          <w:szCs w:val="21"/>
        </w:rPr>
        <w:t>Table 2. Summary of perioperative outcomes</w:t>
      </w:r>
    </w:p>
    <w:p w14:paraId="22AD439E" w14:textId="77777777" w:rsidR="00BE3C95" w:rsidRDefault="00BE3C95" w:rsidP="00BE3C95">
      <w:pPr>
        <w:rPr>
          <w:rFonts w:ascii="Times New Roman" w:hAnsi="Times New Roman" w:cs="Times New Roman"/>
          <w:szCs w:val="21"/>
        </w:rPr>
      </w:pPr>
      <w:r w:rsidRPr="00992F81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5A153AB" wp14:editId="291397D2">
            <wp:extent cx="5400040" cy="4375785"/>
            <wp:effectExtent l="0" t="0" r="0" b="5715"/>
            <wp:docPr id="18524631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31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CF40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02A6B5B4" w14:textId="77777777" w:rsidR="00BE3C95" w:rsidRPr="00C07F29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>Table 3-1. Multiple regression analysis with preoperative predictors for operative time with LA</w:t>
      </w:r>
    </w:p>
    <w:p w14:paraId="509559C9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6FB41ED0" wp14:editId="6C0F155C">
            <wp:extent cx="5400040" cy="1945640"/>
            <wp:effectExtent l="0" t="0" r="0" b="0"/>
            <wp:docPr id="19877313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313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51FC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4A2FF27C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2C7652E5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5256D87B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68BBD6D9" w14:textId="77777777" w:rsidR="00BE3C95" w:rsidRPr="00C07F29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>Table 3-2. Multiple regression analysis with preoperative predictors for pneumoperitoneum time with LA</w:t>
      </w:r>
    </w:p>
    <w:p w14:paraId="092E3FD1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19B357BF" wp14:editId="1039EE77">
            <wp:extent cx="5400040" cy="1936750"/>
            <wp:effectExtent l="0" t="0" r="0" b="6350"/>
            <wp:docPr id="14551302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302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2E780" w14:textId="77777777" w:rsidR="00BE3C95" w:rsidRDefault="00BE3C95" w:rsidP="00BE3C95">
      <w:pPr>
        <w:rPr>
          <w:rFonts w:ascii="Times New Roman" w:hAnsi="Times New Roman" w:cs="Times New Roman"/>
          <w:b/>
          <w:bCs/>
        </w:rPr>
      </w:pPr>
    </w:p>
    <w:p w14:paraId="5D880AA4" w14:textId="77777777" w:rsidR="00BE3C95" w:rsidRPr="00C07F29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>Table 3-3. Multiple regression analysis with preoperative predictors for estimated blood loss with LA</w:t>
      </w:r>
    </w:p>
    <w:p w14:paraId="470D1A0F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197E07ED" wp14:editId="1302C786">
            <wp:extent cx="5400040" cy="1936750"/>
            <wp:effectExtent l="0" t="0" r="0" b="6350"/>
            <wp:docPr id="20306063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63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7B2D" w14:textId="77777777" w:rsidR="00BE3C95" w:rsidRDefault="00BE3C95" w:rsidP="00BE3C95">
      <w:pPr>
        <w:rPr>
          <w:rFonts w:ascii="Times New Roman" w:hAnsi="Times New Roman" w:cs="Times New Roman"/>
          <w:b/>
          <w:bCs/>
        </w:rPr>
      </w:pPr>
    </w:p>
    <w:p w14:paraId="065B635D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 xml:space="preserve">Table 3-4. Multiple regression analysis with preoperative predictors for </w:t>
      </w:r>
      <w:r>
        <w:rPr>
          <w:rFonts w:ascii="Times New Roman" w:hAnsi="Times New Roman" w:cs="Times New Roman"/>
          <w:b/>
          <w:bCs/>
        </w:rPr>
        <w:t>l</w:t>
      </w:r>
      <w:r w:rsidRPr="00C07F29">
        <w:rPr>
          <w:rFonts w:ascii="Times New Roman" w:hAnsi="Times New Roman" w:cs="Times New Roman"/>
          <w:b/>
          <w:bCs/>
        </w:rPr>
        <w:t xml:space="preserve">ength of </w:t>
      </w:r>
      <w:r>
        <w:rPr>
          <w:rFonts w:ascii="Times New Roman" w:hAnsi="Times New Roman" w:cs="Times New Roman"/>
          <w:b/>
          <w:bCs/>
        </w:rPr>
        <w:t>h</w:t>
      </w:r>
      <w:r w:rsidRPr="00C07F29">
        <w:rPr>
          <w:rFonts w:ascii="Times New Roman" w:hAnsi="Times New Roman" w:cs="Times New Roman"/>
          <w:b/>
          <w:bCs/>
        </w:rPr>
        <w:t xml:space="preserve">ospital </w:t>
      </w:r>
      <w:r>
        <w:rPr>
          <w:rFonts w:ascii="Times New Roman" w:hAnsi="Times New Roman" w:cs="Times New Roman"/>
          <w:b/>
          <w:bCs/>
        </w:rPr>
        <w:t>s</w:t>
      </w:r>
      <w:r w:rsidRPr="00C07F29">
        <w:rPr>
          <w:rFonts w:ascii="Times New Roman" w:hAnsi="Times New Roman" w:cs="Times New Roman"/>
          <w:b/>
          <w:bCs/>
        </w:rPr>
        <w:t>tay with LA</w:t>
      </w:r>
    </w:p>
    <w:p w14:paraId="7AFF9D7B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6CAD0A89" wp14:editId="457A2613">
            <wp:extent cx="5400040" cy="1952625"/>
            <wp:effectExtent l="0" t="0" r="0" b="3175"/>
            <wp:docPr id="8223210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210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96874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</w:rPr>
        <w:lastRenderedPageBreak/>
        <w:t xml:space="preserve">Abbreviations: BMI, body mass index; CI, confidence interval; SE, standard error. </w:t>
      </w:r>
      <w:r w:rsidRPr="00C07F29">
        <w:rPr>
          <w:rFonts w:ascii="Times New Roman" w:hAnsi="Times New Roman" w:cs="Times New Roman"/>
          <w:vertAlign w:val="superscript"/>
        </w:rPr>
        <w:t xml:space="preserve">a </w:t>
      </w:r>
      <w:r w:rsidRPr="00C07F29">
        <w:rPr>
          <w:rFonts w:ascii="Times New Roman" w:hAnsi="Times New Roman" w:cs="Times New Roman"/>
        </w:rPr>
        <w:t>Unstandardized coefficient.</w:t>
      </w:r>
    </w:p>
    <w:p w14:paraId="0A38EBDB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44BCEF80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>Table 4-1. Multiple regression analysis with preoperative predictors for operative time with RAA</w:t>
      </w:r>
    </w:p>
    <w:p w14:paraId="1F3CCB28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7A138DED" wp14:editId="5B38B3EF">
            <wp:extent cx="5400040" cy="1191895"/>
            <wp:effectExtent l="0" t="0" r="0" b="1905"/>
            <wp:docPr id="7886112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112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8635" w14:textId="77777777" w:rsidR="00BE3C95" w:rsidRDefault="00BE3C95" w:rsidP="00BE3C95">
      <w:pPr>
        <w:rPr>
          <w:rFonts w:ascii="Times New Roman" w:hAnsi="Times New Roman" w:cs="Times New Roman"/>
          <w:b/>
          <w:bCs/>
        </w:rPr>
      </w:pPr>
    </w:p>
    <w:p w14:paraId="180BA6CD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>Table 4-2. Multiple regression analysis with preoperative predictors for pneumoperitoneum time with RAA</w:t>
      </w:r>
    </w:p>
    <w:p w14:paraId="120AD094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295BB4F6" wp14:editId="3E3A12BD">
            <wp:extent cx="5400040" cy="1231265"/>
            <wp:effectExtent l="0" t="0" r="0" b="635"/>
            <wp:docPr id="6182988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988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089E5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7DE6DEA5" w14:textId="77777777" w:rsidR="00BE3C95" w:rsidRPr="00C07F29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b/>
          <w:bCs/>
        </w:rPr>
        <w:t xml:space="preserve">Table 4-3. Multiple regression analysis with preoperative predictors for </w:t>
      </w:r>
      <w:r>
        <w:rPr>
          <w:rFonts w:ascii="Times New Roman" w:hAnsi="Times New Roman" w:cs="Times New Roman"/>
          <w:b/>
          <w:bCs/>
        </w:rPr>
        <w:t>robot</w:t>
      </w:r>
      <w:r w:rsidRPr="00C07F29">
        <w:rPr>
          <w:rFonts w:ascii="Times New Roman" w:hAnsi="Times New Roman" w:cs="Times New Roman"/>
          <w:b/>
          <w:bCs/>
        </w:rPr>
        <w:t xml:space="preserve"> time with RAA</w:t>
      </w:r>
    </w:p>
    <w:p w14:paraId="1CF85296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  <w:noProof/>
        </w:rPr>
        <w:drawing>
          <wp:inline distT="0" distB="0" distL="0" distR="0" wp14:anchorId="54EDC08A" wp14:editId="40004CD8">
            <wp:extent cx="5400040" cy="1218565"/>
            <wp:effectExtent l="0" t="0" r="0" b="635"/>
            <wp:docPr id="4029058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058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4F4AB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70AB3C74" w14:textId="77777777" w:rsidR="00BE3C95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  <w:b/>
          <w:bCs/>
        </w:rPr>
        <w:t>Table 4-4. Multiple regression analysis with preoperative predictors for estimated blood loss with RAA</w:t>
      </w:r>
    </w:p>
    <w:p w14:paraId="743B238D" w14:textId="77777777" w:rsidR="00BE3C95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  <w:noProof/>
        </w:rPr>
        <w:drawing>
          <wp:inline distT="0" distB="0" distL="0" distR="0" wp14:anchorId="6690C4B8" wp14:editId="5AD7C745">
            <wp:extent cx="5400040" cy="1212850"/>
            <wp:effectExtent l="0" t="0" r="0" b="6350"/>
            <wp:docPr id="15974775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775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FCA57" w14:textId="77777777" w:rsidR="00BE3C95" w:rsidRDefault="00BE3C95" w:rsidP="00BE3C95">
      <w:pPr>
        <w:rPr>
          <w:rFonts w:ascii="Times New Roman" w:hAnsi="Times New Roman" w:cs="Times New Roman"/>
          <w:b/>
          <w:bCs/>
        </w:rPr>
      </w:pPr>
    </w:p>
    <w:p w14:paraId="0D9237A9" w14:textId="77777777" w:rsidR="00BE3C95" w:rsidRPr="002A220E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  <w:b/>
          <w:bCs/>
        </w:rPr>
        <w:t xml:space="preserve">Table 4-5. Multiple regression analysis with preoperative predictors for </w:t>
      </w:r>
      <w:r>
        <w:rPr>
          <w:rFonts w:ascii="Times New Roman" w:hAnsi="Times New Roman" w:cs="Times New Roman"/>
          <w:b/>
          <w:bCs/>
        </w:rPr>
        <w:t>l</w:t>
      </w:r>
      <w:r w:rsidRPr="002A220E">
        <w:rPr>
          <w:rFonts w:ascii="Times New Roman" w:hAnsi="Times New Roman" w:cs="Times New Roman"/>
          <w:b/>
          <w:bCs/>
        </w:rPr>
        <w:t xml:space="preserve">ength of </w:t>
      </w:r>
      <w:r>
        <w:rPr>
          <w:rFonts w:ascii="Times New Roman" w:hAnsi="Times New Roman" w:cs="Times New Roman"/>
          <w:b/>
          <w:bCs/>
        </w:rPr>
        <w:t>h</w:t>
      </w:r>
      <w:r w:rsidRPr="002A220E">
        <w:rPr>
          <w:rFonts w:ascii="Times New Roman" w:hAnsi="Times New Roman" w:cs="Times New Roman"/>
          <w:b/>
          <w:bCs/>
        </w:rPr>
        <w:t xml:space="preserve">ospital </w:t>
      </w:r>
      <w:r>
        <w:rPr>
          <w:rFonts w:ascii="Times New Roman" w:hAnsi="Times New Roman" w:cs="Times New Roman"/>
          <w:b/>
          <w:bCs/>
        </w:rPr>
        <w:t>s</w:t>
      </w:r>
      <w:r w:rsidRPr="002A220E">
        <w:rPr>
          <w:rFonts w:ascii="Times New Roman" w:hAnsi="Times New Roman" w:cs="Times New Roman"/>
          <w:b/>
          <w:bCs/>
        </w:rPr>
        <w:t>tay with RAA</w:t>
      </w:r>
    </w:p>
    <w:p w14:paraId="3D6E0FE2" w14:textId="77777777" w:rsidR="00BE3C95" w:rsidRPr="002A220E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  <w:noProof/>
        </w:rPr>
        <w:drawing>
          <wp:inline distT="0" distB="0" distL="0" distR="0" wp14:anchorId="230488A5" wp14:editId="7FFAEEF7">
            <wp:extent cx="5400040" cy="1214755"/>
            <wp:effectExtent l="0" t="0" r="0" b="4445"/>
            <wp:docPr id="762733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338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2180" w14:textId="77777777" w:rsidR="00BE3C95" w:rsidRDefault="00BE3C95" w:rsidP="00BE3C95">
      <w:pPr>
        <w:rPr>
          <w:rFonts w:ascii="Times New Roman" w:hAnsi="Times New Roman" w:cs="Times New Roman"/>
        </w:rPr>
      </w:pPr>
      <w:r w:rsidRPr="00C07F29">
        <w:rPr>
          <w:rFonts w:ascii="Times New Roman" w:hAnsi="Times New Roman" w:cs="Times New Roman"/>
        </w:rPr>
        <w:t xml:space="preserve">Abbreviations: BMI, body mass index; CI, confidence interval; SE, standard error. </w:t>
      </w:r>
      <w:r w:rsidRPr="00C07F29">
        <w:rPr>
          <w:rFonts w:ascii="Times New Roman" w:hAnsi="Times New Roman" w:cs="Times New Roman"/>
          <w:vertAlign w:val="superscript"/>
        </w:rPr>
        <w:t xml:space="preserve">a </w:t>
      </w:r>
      <w:r w:rsidRPr="00C07F29">
        <w:rPr>
          <w:rFonts w:ascii="Times New Roman" w:hAnsi="Times New Roman" w:cs="Times New Roman"/>
        </w:rPr>
        <w:t>Unstandardized coefficient.</w:t>
      </w:r>
    </w:p>
    <w:p w14:paraId="16660185" w14:textId="77777777" w:rsidR="00BE3C95" w:rsidRDefault="00BE3C95" w:rsidP="00BE3C95">
      <w:pPr>
        <w:rPr>
          <w:rFonts w:ascii="Times New Roman" w:hAnsi="Times New Roman" w:cs="Times New Roman"/>
        </w:rPr>
      </w:pPr>
    </w:p>
    <w:p w14:paraId="625512DF" w14:textId="77777777" w:rsidR="00BE3C95" w:rsidRPr="002A220E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  <w:b/>
          <w:bCs/>
        </w:rPr>
        <w:t>Table 5. Preoperative predictors of surgical outcomes of laparoscopic adrenalectomy in previous studies.</w:t>
      </w:r>
    </w:p>
    <w:p w14:paraId="74C1E0C1" w14:textId="77777777" w:rsidR="00BE3C95" w:rsidRPr="00C07F29" w:rsidRDefault="00BE3C95" w:rsidP="00BE3C95">
      <w:pPr>
        <w:rPr>
          <w:rFonts w:ascii="Times New Roman" w:hAnsi="Times New Roman" w:cs="Times New Roman"/>
        </w:rPr>
      </w:pPr>
      <w:r w:rsidRPr="00D85EDF">
        <w:rPr>
          <w:rFonts w:ascii="Times New Roman" w:hAnsi="Times New Roman" w:cs="Times New Roman"/>
          <w:noProof/>
        </w:rPr>
        <w:drawing>
          <wp:inline distT="0" distB="0" distL="0" distR="0" wp14:anchorId="58AE6F71" wp14:editId="36F629AD">
            <wp:extent cx="5400040" cy="2884170"/>
            <wp:effectExtent l="0" t="0" r="0" b="0"/>
            <wp:docPr id="4555904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9048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53F5" w14:textId="77777777" w:rsidR="00BE3C95" w:rsidRPr="002A220E" w:rsidRDefault="00BE3C95" w:rsidP="00BE3C95">
      <w:pPr>
        <w:rPr>
          <w:rFonts w:ascii="Times New Roman" w:hAnsi="Times New Roman" w:cs="Times New Roman"/>
        </w:rPr>
      </w:pPr>
      <w:r w:rsidRPr="002A220E">
        <w:rPr>
          <w:rFonts w:ascii="Times New Roman" w:hAnsi="Times New Roman" w:cs="Times New Roman"/>
        </w:rPr>
        <w:t>Published studies were found using PubMed searches for “laparoscopic adrenalectomy, outcomes, and/or predictors.” Abbreviations: BMI, body mass</w:t>
      </w:r>
      <w:r>
        <w:rPr>
          <w:rFonts w:ascii="Times New Roman" w:hAnsi="Times New Roman" w:cs="Times New Roman"/>
        </w:rPr>
        <w:t xml:space="preserve"> </w:t>
      </w:r>
      <w:r w:rsidRPr="002A220E">
        <w:rPr>
          <w:rFonts w:ascii="Times New Roman" w:hAnsi="Times New Roman" w:cs="Times New Roman"/>
        </w:rPr>
        <w:t>index; EBL, estimated blood loss; MAP, Mayo Adhesive Possibility.</w:t>
      </w:r>
      <w:r>
        <w:rPr>
          <w:rFonts w:ascii="Times New Roman" w:hAnsi="Times New Roman" w:cs="Times New Roman"/>
        </w:rPr>
        <w:t xml:space="preserve"> TP, </w:t>
      </w:r>
      <w:r w:rsidRPr="002A220E">
        <w:rPr>
          <w:rFonts w:ascii="Times New Roman" w:hAnsi="Times New Roman" w:cs="Times New Roman"/>
        </w:rPr>
        <w:t xml:space="preserve">Transperitoneal laparoscopic adrenalectomy. </w:t>
      </w:r>
      <w:r>
        <w:rPr>
          <w:rFonts w:ascii="Times New Roman" w:hAnsi="Times New Roman" w:cs="Times New Roman"/>
        </w:rPr>
        <w:t xml:space="preserve">TR, </w:t>
      </w:r>
      <w:r w:rsidRPr="002A220E">
        <w:rPr>
          <w:rFonts w:ascii="Times New Roman" w:hAnsi="Times New Roman" w:cs="Times New Roman"/>
        </w:rPr>
        <w:t>Retroperitoneal laparoscopic adrenalectomy</w:t>
      </w:r>
    </w:p>
    <w:p w14:paraId="2219C3FC" w14:textId="77777777" w:rsidR="00BE3C95" w:rsidRPr="00992F81" w:rsidRDefault="00BE3C95" w:rsidP="00BE3C95">
      <w:pPr>
        <w:rPr>
          <w:rFonts w:ascii="Times New Roman" w:hAnsi="Times New Roman" w:cs="Times New Roman"/>
          <w:szCs w:val="21"/>
        </w:rPr>
      </w:pPr>
    </w:p>
    <w:p w14:paraId="4FB998F7" w14:textId="77777777" w:rsidR="009542D6" w:rsidRDefault="009542D6"/>
    <w:sectPr w:rsidR="009542D6" w:rsidSect="00BE3C95">
      <w:footerReference w:type="even" r:id="rId15"/>
      <w:footerReference w:type="default" r:id="rId16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62673186"/>
      <w:docPartObj>
        <w:docPartGallery w:val="Page Numbers (Bottom of Page)"/>
        <w:docPartUnique/>
      </w:docPartObj>
    </w:sdtPr>
    <w:sdtContent>
      <w:p w14:paraId="1CA9B3B5" w14:textId="77777777" w:rsidR="00BE3C95" w:rsidRDefault="00BE3C95" w:rsidP="009F20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5FE2C6" w14:textId="77777777" w:rsidR="00BE3C95" w:rsidRDefault="00BE3C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14337732"/>
      <w:docPartObj>
        <w:docPartGallery w:val="Page Numbers (Bottom of Page)"/>
        <w:docPartUnique/>
      </w:docPartObj>
    </w:sdtPr>
    <w:sdtContent>
      <w:p w14:paraId="16949BBD" w14:textId="77777777" w:rsidR="00BE3C95" w:rsidRDefault="00BE3C95" w:rsidP="009F20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274DDE" w14:textId="77777777" w:rsidR="00BE3C95" w:rsidRDefault="00BE3C9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95"/>
    <w:rsid w:val="00264C10"/>
    <w:rsid w:val="00470242"/>
    <w:rsid w:val="00514C6C"/>
    <w:rsid w:val="00726E03"/>
    <w:rsid w:val="00934BC8"/>
    <w:rsid w:val="009542D6"/>
    <w:rsid w:val="00BE3C95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DF24"/>
  <w15:chartTrackingRefBased/>
  <w15:docId w15:val="{81553C64-B806-41FD-8792-5742BE82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95"/>
    <w:pPr>
      <w:widowControl w:val="0"/>
      <w:spacing w:after="0" w:line="240" w:lineRule="auto"/>
      <w:jc w:val="both"/>
    </w:pPr>
    <w:rPr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C9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9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C9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9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9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9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9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9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9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9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BE3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9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BE3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95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BE3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C95"/>
    <w:pPr>
      <w:widowControl/>
      <w:spacing w:after="160" w:line="278" w:lineRule="auto"/>
      <w:ind w:left="720"/>
      <w:contextualSpacing/>
      <w:jc w:val="left"/>
    </w:pPr>
    <w:rPr>
      <w:sz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BE3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9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9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3C9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E3C95"/>
    <w:rPr>
      <w:sz w:val="21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BE3C95"/>
  </w:style>
  <w:style w:type="character" w:styleId="LineNumber">
    <w:name w:val="line number"/>
    <w:basedOn w:val="DefaultParagraphFont"/>
    <w:uiPriority w:val="99"/>
    <w:semiHidden/>
    <w:unhideWhenUsed/>
    <w:rsid w:val="00BE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2026-07-08T16:15:00Z</dcterms:created>
  <dcterms:modified xsi:type="dcterms:W3CDTF">2026-07-08T16:16:00Z</dcterms:modified>
</cp:coreProperties>
</file>