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11F197" w14:textId="651F559D" w:rsidR="00771719" w:rsidRPr="00E1415C" w:rsidRDefault="00925044" w:rsidP="00E1415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T</w:t>
      </w:r>
      <w:r>
        <w:rPr>
          <w:rFonts w:ascii="Arial" w:hAnsi="Arial" w:cs="Arial"/>
          <w:b/>
          <w:bCs/>
          <w:sz w:val="24"/>
          <w:szCs w:val="24"/>
        </w:rPr>
        <w:t>able</w:t>
      </w:r>
      <w:r w:rsidR="00A70939">
        <w:rPr>
          <w:rFonts w:ascii="Arial" w:hAnsi="Arial" w:cs="Arial"/>
          <w:b/>
          <w:bCs/>
          <w:sz w:val="24"/>
          <w:szCs w:val="24"/>
        </w:rPr>
        <w:t xml:space="preserve"> S</w:t>
      </w:r>
      <w:r w:rsidR="00771719" w:rsidRPr="00E1415C">
        <w:rPr>
          <w:rFonts w:ascii="Arial" w:hAnsi="Arial" w:cs="Arial"/>
          <w:b/>
          <w:bCs/>
          <w:sz w:val="24"/>
          <w:szCs w:val="24"/>
        </w:rPr>
        <w:t>1. Input Parameters</w:t>
      </w:r>
    </w:p>
    <w:p w14:paraId="256DF830" w14:textId="77777777" w:rsidR="00771719" w:rsidRPr="00E1415C" w:rsidRDefault="00771719" w:rsidP="00E1415C">
      <w:pPr>
        <w:rPr>
          <w:rFonts w:ascii="Arial" w:hAnsi="Arial" w:cs="Arial"/>
          <w:sz w:val="20"/>
          <w:szCs w:val="20"/>
        </w:rPr>
      </w:pPr>
    </w:p>
    <w:tbl>
      <w:tblPr>
        <w:tblStyle w:val="a3"/>
        <w:tblW w:w="140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2127"/>
        <w:gridCol w:w="2835"/>
        <w:gridCol w:w="1984"/>
        <w:gridCol w:w="1418"/>
      </w:tblGrid>
      <w:tr w:rsidR="00771719" w:rsidRPr="00E1415C" w14:paraId="0EF724FB" w14:textId="77777777" w:rsidTr="00E1415C"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06D7041C" w14:textId="77777777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Parameter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01C56245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Estimate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0C57981C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Range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17730FA4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Distribution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42BCA28" w14:textId="77777777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</w:tr>
      <w:tr w:rsidR="00771719" w:rsidRPr="00E1415C" w14:paraId="03757754" w14:textId="77777777" w:rsidTr="00E1415C">
        <w:tc>
          <w:tcPr>
            <w:tcW w:w="5670" w:type="dxa"/>
            <w:tcBorders>
              <w:top w:val="single" w:sz="4" w:space="0" w:color="auto"/>
            </w:tcBorders>
          </w:tcPr>
          <w:p w14:paraId="3A52751B" w14:textId="77777777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Cost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08636CAF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694D2587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FA58F79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D7DF039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1719" w:rsidRPr="00E1415C" w14:paraId="22AC6176" w14:textId="77777777" w:rsidTr="00E1415C">
        <w:tc>
          <w:tcPr>
            <w:tcW w:w="5670" w:type="dxa"/>
          </w:tcPr>
          <w:p w14:paraId="4C6F82F8" w14:textId="25B22236" w:rsidR="00771719" w:rsidRPr="00E1415C" w:rsidRDefault="00771719" w:rsidP="00E1415C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Admission cost in conventional ER ($ per case)</w:t>
            </w:r>
          </w:p>
        </w:tc>
        <w:tc>
          <w:tcPr>
            <w:tcW w:w="2127" w:type="dxa"/>
          </w:tcPr>
          <w:p w14:paraId="6D00396F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60,742</w:t>
            </w:r>
          </w:p>
        </w:tc>
        <w:tc>
          <w:tcPr>
            <w:tcW w:w="2835" w:type="dxa"/>
          </w:tcPr>
          <w:p w14:paraId="3CA85342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52,595 to 68,889 (95% CI)</w:t>
            </w:r>
          </w:p>
        </w:tc>
        <w:tc>
          <w:tcPr>
            <w:tcW w:w="1984" w:type="dxa"/>
          </w:tcPr>
          <w:p w14:paraId="208ECF3D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Gamma</w:t>
            </w:r>
          </w:p>
        </w:tc>
        <w:tc>
          <w:tcPr>
            <w:tcW w:w="1418" w:type="dxa"/>
          </w:tcPr>
          <w:p w14:paraId="21B11CD8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6C1F7E17" w14:textId="77777777" w:rsidTr="00E1415C">
        <w:tc>
          <w:tcPr>
            <w:tcW w:w="5670" w:type="dxa"/>
          </w:tcPr>
          <w:p w14:paraId="4A23C149" w14:textId="437202F8" w:rsidR="00771719" w:rsidRPr="00E1415C" w:rsidRDefault="00771719" w:rsidP="00E1415C">
            <w:pPr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Surgical cost in conventional ER ($ per case)</w:t>
            </w:r>
          </w:p>
        </w:tc>
        <w:tc>
          <w:tcPr>
            <w:tcW w:w="2127" w:type="dxa"/>
          </w:tcPr>
          <w:p w14:paraId="58BAEA0E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21,927</w:t>
            </w:r>
          </w:p>
        </w:tc>
        <w:tc>
          <w:tcPr>
            <w:tcW w:w="2835" w:type="dxa"/>
          </w:tcPr>
          <w:p w14:paraId="15B20171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16,811 to 27,043 (95% CI)</w:t>
            </w:r>
          </w:p>
        </w:tc>
        <w:tc>
          <w:tcPr>
            <w:tcW w:w="1984" w:type="dxa"/>
          </w:tcPr>
          <w:p w14:paraId="68EE042B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1418" w:type="dxa"/>
          </w:tcPr>
          <w:p w14:paraId="0E22E7B3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5E02B687" w14:textId="77777777" w:rsidTr="00E1415C">
        <w:tc>
          <w:tcPr>
            <w:tcW w:w="5670" w:type="dxa"/>
          </w:tcPr>
          <w:p w14:paraId="0F351DD0" w14:textId="74ED9305" w:rsidR="00771719" w:rsidRPr="00E1415C" w:rsidRDefault="00771719" w:rsidP="00E1415C">
            <w:pPr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Transfusion cost in conventional ER ($ per case)</w:t>
            </w:r>
          </w:p>
        </w:tc>
        <w:tc>
          <w:tcPr>
            <w:tcW w:w="2127" w:type="dxa"/>
          </w:tcPr>
          <w:p w14:paraId="03C565F2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2,197</w:t>
            </w:r>
          </w:p>
        </w:tc>
        <w:tc>
          <w:tcPr>
            <w:tcW w:w="2835" w:type="dxa"/>
          </w:tcPr>
          <w:p w14:paraId="46E49CED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1,589 to 2,806 (95% CI)</w:t>
            </w:r>
          </w:p>
        </w:tc>
        <w:tc>
          <w:tcPr>
            <w:tcW w:w="1984" w:type="dxa"/>
          </w:tcPr>
          <w:p w14:paraId="4B6509C9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1418" w:type="dxa"/>
          </w:tcPr>
          <w:p w14:paraId="7E354E1D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235E4570" w14:textId="77777777" w:rsidTr="00E1415C">
        <w:tc>
          <w:tcPr>
            <w:tcW w:w="5670" w:type="dxa"/>
          </w:tcPr>
          <w:p w14:paraId="29214CF5" w14:textId="1FADFB91" w:rsidR="00771719" w:rsidRPr="00E1415C" w:rsidRDefault="00771719" w:rsidP="00E1415C">
            <w:pPr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Hospitalization cost in conventional ER ($ per case)</w:t>
            </w:r>
          </w:p>
        </w:tc>
        <w:tc>
          <w:tcPr>
            <w:tcW w:w="2127" w:type="dxa"/>
          </w:tcPr>
          <w:p w14:paraId="7D922CC4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36,618</w:t>
            </w:r>
          </w:p>
        </w:tc>
        <w:tc>
          <w:tcPr>
            <w:tcW w:w="2835" w:type="dxa"/>
          </w:tcPr>
          <w:p w14:paraId="6BCC4C44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32,380 to 40,856 (95% CI)</w:t>
            </w:r>
          </w:p>
        </w:tc>
        <w:tc>
          <w:tcPr>
            <w:tcW w:w="1984" w:type="dxa"/>
          </w:tcPr>
          <w:p w14:paraId="1796D0A8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1418" w:type="dxa"/>
          </w:tcPr>
          <w:p w14:paraId="0FCF6B91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693A918C" w14:textId="77777777" w:rsidTr="00E1415C">
        <w:tc>
          <w:tcPr>
            <w:tcW w:w="5670" w:type="dxa"/>
          </w:tcPr>
          <w:p w14:paraId="729A9028" w14:textId="7098B547" w:rsidR="00771719" w:rsidRPr="00E1415C" w:rsidRDefault="00771719" w:rsidP="00E1415C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Admission cost in hybrid ER ($ per case)</w:t>
            </w:r>
          </w:p>
        </w:tc>
        <w:tc>
          <w:tcPr>
            <w:tcW w:w="2127" w:type="dxa"/>
          </w:tcPr>
          <w:p w14:paraId="2E9950C2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Hlk27954224"/>
            <w:r w:rsidRPr="00E1415C">
              <w:rPr>
                <w:rFonts w:ascii="Arial" w:hAnsi="Arial" w:cs="Arial"/>
                <w:sz w:val="20"/>
                <w:szCs w:val="20"/>
              </w:rPr>
              <w:t>86,716</w:t>
            </w:r>
            <w:bookmarkEnd w:id="0"/>
          </w:p>
        </w:tc>
        <w:tc>
          <w:tcPr>
            <w:tcW w:w="2835" w:type="dxa"/>
          </w:tcPr>
          <w:p w14:paraId="4ABBF0A0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1" w:name="_Hlk27954809"/>
            <w:bookmarkStart w:id="2" w:name="_Hlk27954243"/>
            <w:r w:rsidRPr="00E1415C">
              <w:rPr>
                <w:rFonts w:ascii="Arial" w:hAnsi="Arial" w:cs="Arial"/>
                <w:sz w:val="20"/>
                <w:szCs w:val="20"/>
              </w:rPr>
              <w:t>76,388</w:t>
            </w:r>
            <w:bookmarkEnd w:id="1"/>
            <w:r w:rsidRPr="00E1415C">
              <w:rPr>
                <w:rFonts w:ascii="Arial" w:hAnsi="Arial" w:cs="Arial"/>
                <w:sz w:val="20"/>
                <w:szCs w:val="20"/>
              </w:rPr>
              <w:t xml:space="preserve"> to 97,044</w:t>
            </w:r>
            <w:bookmarkEnd w:id="2"/>
            <w:r w:rsidRPr="00E1415C">
              <w:rPr>
                <w:rFonts w:ascii="Arial" w:hAnsi="Arial" w:cs="Arial"/>
                <w:sz w:val="20"/>
                <w:szCs w:val="20"/>
              </w:rPr>
              <w:t xml:space="preserve"> (95% CI)</w:t>
            </w:r>
          </w:p>
        </w:tc>
        <w:tc>
          <w:tcPr>
            <w:tcW w:w="1984" w:type="dxa"/>
          </w:tcPr>
          <w:p w14:paraId="270B1546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Gamma</w:t>
            </w:r>
          </w:p>
        </w:tc>
        <w:tc>
          <w:tcPr>
            <w:tcW w:w="1418" w:type="dxa"/>
          </w:tcPr>
          <w:p w14:paraId="6F3BEE87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0D030611" w14:textId="77777777" w:rsidTr="00E1415C">
        <w:tc>
          <w:tcPr>
            <w:tcW w:w="5670" w:type="dxa"/>
          </w:tcPr>
          <w:p w14:paraId="06EEA644" w14:textId="4510A6A7" w:rsidR="00771719" w:rsidRPr="00E1415C" w:rsidRDefault="00771719" w:rsidP="00E1415C">
            <w:pPr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Surgical cost in hybrid ER ($ per case)</w:t>
            </w:r>
          </w:p>
        </w:tc>
        <w:tc>
          <w:tcPr>
            <w:tcW w:w="2127" w:type="dxa"/>
          </w:tcPr>
          <w:p w14:paraId="0C6D4297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36,052</w:t>
            </w:r>
          </w:p>
        </w:tc>
        <w:tc>
          <w:tcPr>
            <w:tcW w:w="2835" w:type="dxa"/>
          </w:tcPr>
          <w:p w14:paraId="56A0640F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28,968 to 43,135 (95% CI)</w:t>
            </w:r>
          </w:p>
        </w:tc>
        <w:tc>
          <w:tcPr>
            <w:tcW w:w="1984" w:type="dxa"/>
          </w:tcPr>
          <w:p w14:paraId="622B7F0B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1418" w:type="dxa"/>
          </w:tcPr>
          <w:p w14:paraId="39B5C2E8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524BAE0C" w14:textId="77777777" w:rsidTr="00E1415C">
        <w:tc>
          <w:tcPr>
            <w:tcW w:w="5670" w:type="dxa"/>
          </w:tcPr>
          <w:p w14:paraId="480C6E1A" w14:textId="2AD6315B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>Transfusion cost in hybrid ER ($ per case)</w:t>
            </w:r>
          </w:p>
        </w:tc>
        <w:tc>
          <w:tcPr>
            <w:tcW w:w="2127" w:type="dxa"/>
          </w:tcPr>
          <w:p w14:paraId="1FE8B091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2,106</w:t>
            </w:r>
          </w:p>
        </w:tc>
        <w:tc>
          <w:tcPr>
            <w:tcW w:w="2835" w:type="dxa"/>
          </w:tcPr>
          <w:p w14:paraId="3CCA6B57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1,690 to 2,523 (95% CI)</w:t>
            </w:r>
          </w:p>
        </w:tc>
        <w:tc>
          <w:tcPr>
            <w:tcW w:w="1984" w:type="dxa"/>
          </w:tcPr>
          <w:p w14:paraId="3C84B914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1418" w:type="dxa"/>
          </w:tcPr>
          <w:p w14:paraId="4ABD1140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72257347" w14:textId="77777777" w:rsidTr="00E1415C">
        <w:tc>
          <w:tcPr>
            <w:tcW w:w="5670" w:type="dxa"/>
          </w:tcPr>
          <w:p w14:paraId="3C60EE7B" w14:textId="76303DFB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>Hospitalization cost in hybrid ER ($ per case)</w:t>
            </w:r>
          </w:p>
        </w:tc>
        <w:tc>
          <w:tcPr>
            <w:tcW w:w="2127" w:type="dxa"/>
          </w:tcPr>
          <w:p w14:paraId="6DA9C2A4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48,651</w:t>
            </w:r>
          </w:p>
        </w:tc>
        <w:tc>
          <w:tcPr>
            <w:tcW w:w="2835" w:type="dxa"/>
          </w:tcPr>
          <w:p w14:paraId="249D053E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43,864 to 53,438 (95% CI)</w:t>
            </w:r>
          </w:p>
        </w:tc>
        <w:tc>
          <w:tcPr>
            <w:tcW w:w="1984" w:type="dxa"/>
          </w:tcPr>
          <w:p w14:paraId="36DED226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1418" w:type="dxa"/>
          </w:tcPr>
          <w:p w14:paraId="1D30BF3E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725255AB" w14:textId="77777777" w:rsidTr="00E1415C">
        <w:tc>
          <w:tcPr>
            <w:tcW w:w="5670" w:type="dxa"/>
          </w:tcPr>
          <w:p w14:paraId="21C46F1E" w14:textId="33C6C2CA" w:rsidR="00771719" w:rsidRPr="00E1415C" w:rsidRDefault="00771719" w:rsidP="00E1415C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Installation cost of hybrid ER ($)</w:t>
            </w:r>
          </w:p>
        </w:tc>
        <w:tc>
          <w:tcPr>
            <w:tcW w:w="2127" w:type="dxa"/>
          </w:tcPr>
          <w:p w14:paraId="07E7A359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2,000,000</w:t>
            </w:r>
          </w:p>
        </w:tc>
        <w:tc>
          <w:tcPr>
            <w:tcW w:w="2835" w:type="dxa"/>
          </w:tcPr>
          <w:p w14:paraId="5C7251D1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±50%</w:t>
            </w:r>
          </w:p>
        </w:tc>
        <w:tc>
          <w:tcPr>
            <w:tcW w:w="1984" w:type="dxa"/>
          </w:tcPr>
          <w:p w14:paraId="28B99984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1418" w:type="dxa"/>
          </w:tcPr>
          <w:p w14:paraId="73432794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Assumption</w:t>
            </w:r>
          </w:p>
        </w:tc>
      </w:tr>
      <w:tr w:rsidR="00771719" w:rsidRPr="00E1415C" w14:paraId="3E754BF2" w14:textId="77777777" w:rsidTr="00E1415C">
        <w:tc>
          <w:tcPr>
            <w:tcW w:w="5670" w:type="dxa"/>
          </w:tcPr>
          <w:p w14:paraId="5BAD7988" w14:textId="6B2B9BEB" w:rsidR="00771719" w:rsidRPr="00E1415C" w:rsidRDefault="00771719" w:rsidP="00E1415C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Depreciation period of hybrid ER (year)</w:t>
            </w:r>
          </w:p>
        </w:tc>
        <w:tc>
          <w:tcPr>
            <w:tcW w:w="2127" w:type="dxa"/>
          </w:tcPr>
          <w:p w14:paraId="291C2C5A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835" w:type="dxa"/>
          </w:tcPr>
          <w:p w14:paraId="38DE3949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3 to 9</w:t>
            </w:r>
          </w:p>
        </w:tc>
        <w:tc>
          <w:tcPr>
            <w:tcW w:w="1984" w:type="dxa"/>
          </w:tcPr>
          <w:p w14:paraId="40486F06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1418" w:type="dxa"/>
          </w:tcPr>
          <w:p w14:paraId="35D81A4A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Assumption</w:t>
            </w:r>
          </w:p>
        </w:tc>
      </w:tr>
      <w:tr w:rsidR="00771719" w:rsidRPr="00E1415C" w14:paraId="32F8CD5C" w14:textId="77777777" w:rsidTr="00E1415C">
        <w:tc>
          <w:tcPr>
            <w:tcW w:w="5670" w:type="dxa"/>
          </w:tcPr>
          <w:p w14:paraId="34EF4C32" w14:textId="03096CBA" w:rsidR="00771719" w:rsidRPr="00E1415C" w:rsidRDefault="00771719" w:rsidP="00E1415C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Annual maintenance cost of hybrid ER ($)</w:t>
            </w:r>
          </w:p>
        </w:tc>
        <w:tc>
          <w:tcPr>
            <w:tcW w:w="2127" w:type="dxa"/>
          </w:tcPr>
          <w:p w14:paraId="5B4AE65D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190,476</w:t>
            </w:r>
          </w:p>
        </w:tc>
        <w:tc>
          <w:tcPr>
            <w:tcW w:w="2835" w:type="dxa"/>
          </w:tcPr>
          <w:p w14:paraId="63747392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±50%</w:t>
            </w:r>
          </w:p>
        </w:tc>
        <w:tc>
          <w:tcPr>
            <w:tcW w:w="1984" w:type="dxa"/>
          </w:tcPr>
          <w:p w14:paraId="05829690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1418" w:type="dxa"/>
          </w:tcPr>
          <w:p w14:paraId="7DD6C2B6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Assumption</w:t>
            </w:r>
          </w:p>
        </w:tc>
      </w:tr>
      <w:tr w:rsidR="00771719" w:rsidRPr="00E1415C" w14:paraId="757B4E08" w14:textId="77777777" w:rsidTr="00E1415C">
        <w:tc>
          <w:tcPr>
            <w:tcW w:w="5670" w:type="dxa"/>
          </w:tcPr>
          <w:p w14:paraId="0DEB0509" w14:textId="1B9CD3D8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 xml:space="preserve">Total number of severe trauma patients without severe TBI </w:t>
            </w:r>
          </w:p>
        </w:tc>
        <w:tc>
          <w:tcPr>
            <w:tcW w:w="2127" w:type="dxa"/>
          </w:tcPr>
          <w:p w14:paraId="0C2CF01B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270</w:t>
            </w:r>
          </w:p>
        </w:tc>
        <w:tc>
          <w:tcPr>
            <w:tcW w:w="2835" w:type="dxa"/>
          </w:tcPr>
          <w:p w14:paraId="3303FA60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240 to 300</w:t>
            </w:r>
          </w:p>
        </w:tc>
        <w:tc>
          <w:tcPr>
            <w:tcW w:w="1984" w:type="dxa"/>
          </w:tcPr>
          <w:p w14:paraId="3AA9020D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1418" w:type="dxa"/>
          </w:tcPr>
          <w:p w14:paraId="00C08A03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2B752E43" w14:textId="77777777" w:rsidTr="00E1415C">
        <w:tc>
          <w:tcPr>
            <w:tcW w:w="5670" w:type="dxa"/>
          </w:tcPr>
          <w:p w14:paraId="166D8AE9" w14:textId="6A77C8C1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>Case accumulation period of hybrid ER (year)</w:t>
            </w:r>
          </w:p>
        </w:tc>
        <w:tc>
          <w:tcPr>
            <w:tcW w:w="2127" w:type="dxa"/>
          </w:tcPr>
          <w:p w14:paraId="0376D15C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835" w:type="dxa"/>
          </w:tcPr>
          <w:p w14:paraId="004A5931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1984" w:type="dxa"/>
          </w:tcPr>
          <w:p w14:paraId="3F4C6B11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1418" w:type="dxa"/>
          </w:tcPr>
          <w:p w14:paraId="71B442D7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0C35DC88" w14:textId="77777777" w:rsidTr="00E1415C">
        <w:tc>
          <w:tcPr>
            <w:tcW w:w="5670" w:type="dxa"/>
          </w:tcPr>
          <w:p w14:paraId="497C996E" w14:textId="105D894E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>Follow up medical cost ($ in 1st year)</w:t>
            </w:r>
          </w:p>
        </w:tc>
        <w:tc>
          <w:tcPr>
            <w:tcW w:w="2127" w:type="dxa"/>
          </w:tcPr>
          <w:p w14:paraId="4C16E9AD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1,379</w:t>
            </w:r>
          </w:p>
        </w:tc>
        <w:tc>
          <w:tcPr>
            <w:tcW w:w="2835" w:type="dxa"/>
          </w:tcPr>
          <w:p w14:paraId="260F6E16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793 to 2,098 (95% CI)</w:t>
            </w:r>
          </w:p>
        </w:tc>
        <w:tc>
          <w:tcPr>
            <w:tcW w:w="1984" w:type="dxa"/>
          </w:tcPr>
          <w:p w14:paraId="38FF0C79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Gamma</w:t>
            </w:r>
          </w:p>
        </w:tc>
        <w:tc>
          <w:tcPr>
            <w:tcW w:w="1418" w:type="dxa"/>
          </w:tcPr>
          <w:p w14:paraId="2B8E4690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7B9FF8D3" w14:textId="77777777" w:rsidTr="00E1415C">
        <w:tc>
          <w:tcPr>
            <w:tcW w:w="5670" w:type="dxa"/>
          </w:tcPr>
          <w:p w14:paraId="0959F532" w14:textId="6F692C1B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>Follow up medical cost ($ in 2nd year)</w:t>
            </w:r>
          </w:p>
        </w:tc>
        <w:tc>
          <w:tcPr>
            <w:tcW w:w="2127" w:type="dxa"/>
          </w:tcPr>
          <w:p w14:paraId="5B2043F2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1,769</w:t>
            </w:r>
          </w:p>
        </w:tc>
        <w:tc>
          <w:tcPr>
            <w:tcW w:w="2835" w:type="dxa"/>
          </w:tcPr>
          <w:p w14:paraId="7FDB915F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713 to 3,188 (95% CI)</w:t>
            </w:r>
          </w:p>
        </w:tc>
        <w:tc>
          <w:tcPr>
            <w:tcW w:w="1984" w:type="dxa"/>
          </w:tcPr>
          <w:p w14:paraId="2564F062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Gamma</w:t>
            </w:r>
          </w:p>
        </w:tc>
        <w:tc>
          <w:tcPr>
            <w:tcW w:w="1418" w:type="dxa"/>
          </w:tcPr>
          <w:p w14:paraId="2C66B7A5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003FE3E5" w14:textId="77777777" w:rsidTr="00E1415C">
        <w:tc>
          <w:tcPr>
            <w:tcW w:w="5670" w:type="dxa"/>
          </w:tcPr>
          <w:p w14:paraId="4319A639" w14:textId="30CDFF8C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>Follow up medical cost ($ in 3rd year)</w:t>
            </w:r>
          </w:p>
        </w:tc>
        <w:tc>
          <w:tcPr>
            <w:tcW w:w="2127" w:type="dxa"/>
          </w:tcPr>
          <w:p w14:paraId="4A0A9E04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770</w:t>
            </w:r>
          </w:p>
        </w:tc>
        <w:tc>
          <w:tcPr>
            <w:tcW w:w="2835" w:type="dxa"/>
          </w:tcPr>
          <w:p w14:paraId="145CD9F8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244 to 1,605 (95% CI)</w:t>
            </w:r>
          </w:p>
        </w:tc>
        <w:tc>
          <w:tcPr>
            <w:tcW w:w="1984" w:type="dxa"/>
          </w:tcPr>
          <w:p w14:paraId="4922C2C1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Gamma</w:t>
            </w:r>
          </w:p>
        </w:tc>
        <w:tc>
          <w:tcPr>
            <w:tcW w:w="1418" w:type="dxa"/>
          </w:tcPr>
          <w:p w14:paraId="559640C7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7DE84D81" w14:textId="77777777" w:rsidTr="00E1415C">
        <w:tc>
          <w:tcPr>
            <w:tcW w:w="5670" w:type="dxa"/>
          </w:tcPr>
          <w:p w14:paraId="2E167440" w14:textId="69D15B86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>Follow up medical cost ($ in 4th year)</w:t>
            </w:r>
          </w:p>
        </w:tc>
        <w:tc>
          <w:tcPr>
            <w:tcW w:w="2127" w:type="dxa"/>
          </w:tcPr>
          <w:p w14:paraId="2E768D99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623</w:t>
            </w:r>
          </w:p>
        </w:tc>
        <w:tc>
          <w:tcPr>
            <w:tcW w:w="2835" w:type="dxa"/>
          </w:tcPr>
          <w:p w14:paraId="15230059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186 to 1,316 (95% CI)</w:t>
            </w:r>
          </w:p>
        </w:tc>
        <w:tc>
          <w:tcPr>
            <w:tcW w:w="1984" w:type="dxa"/>
          </w:tcPr>
          <w:p w14:paraId="7AD12108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Gamma</w:t>
            </w:r>
          </w:p>
        </w:tc>
        <w:tc>
          <w:tcPr>
            <w:tcW w:w="1418" w:type="dxa"/>
          </w:tcPr>
          <w:p w14:paraId="43ED33C8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13826B9F" w14:textId="77777777" w:rsidTr="00E1415C">
        <w:tc>
          <w:tcPr>
            <w:tcW w:w="5670" w:type="dxa"/>
          </w:tcPr>
          <w:p w14:paraId="53F24380" w14:textId="1FB11054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>Follow up medical cost ($ after 5th year)</w:t>
            </w:r>
          </w:p>
        </w:tc>
        <w:tc>
          <w:tcPr>
            <w:tcW w:w="2127" w:type="dxa"/>
          </w:tcPr>
          <w:p w14:paraId="1014663C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500</w:t>
            </w:r>
          </w:p>
        </w:tc>
        <w:tc>
          <w:tcPr>
            <w:tcW w:w="2835" w:type="dxa"/>
          </w:tcPr>
          <w:p w14:paraId="79A2D260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81 to 1,337 (95% CI)</w:t>
            </w:r>
          </w:p>
        </w:tc>
        <w:tc>
          <w:tcPr>
            <w:tcW w:w="1984" w:type="dxa"/>
          </w:tcPr>
          <w:p w14:paraId="766DB11F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Gamma</w:t>
            </w:r>
          </w:p>
        </w:tc>
        <w:tc>
          <w:tcPr>
            <w:tcW w:w="1418" w:type="dxa"/>
          </w:tcPr>
          <w:p w14:paraId="6930E307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74BE6429" w14:textId="77777777" w:rsidTr="00E1415C">
        <w:tc>
          <w:tcPr>
            <w:tcW w:w="5670" w:type="dxa"/>
          </w:tcPr>
          <w:p w14:paraId="0D6771B4" w14:textId="77777777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Probability</w:t>
            </w:r>
          </w:p>
        </w:tc>
        <w:tc>
          <w:tcPr>
            <w:tcW w:w="2127" w:type="dxa"/>
          </w:tcPr>
          <w:p w14:paraId="5481D00B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14:paraId="1317250B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9F4D1D0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02208F5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1719" w:rsidRPr="00E1415C" w14:paraId="17B6D973" w14:textId="77777777" w:rsidTr="00E1415C">
        <w:tc>
          <w:tcPr>
            <w:tcW w:w="5670" w:type="dxa"/>
          </w:tcPr>
          <w:p w14:paraId="47156BD6" w14:textId="66CC2887" w:rsidR="00771719" w:rsidRPr="00E1415C" w:rsidRDefault="00771719" w:rsidP="00E1415C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lastRenderedPageBreak/>
              <w:t>Odds ratio of 28-day mortality (hybrid ER vs. conventional ER)</w:t>
            </w:r>
          </w:p>
        </w:tc>
        <w:tc>
          <w:tcPr>
            <w:tcW w:w="2127" w:type="dxa"/>
          </w:tcPr>
          <w:p w14:paraId="1BD6BCCC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0.48</w:t>
            </w:r>
          </w:p>
        </w:tc>
        <w:tc>
          <w:tcPr>
            <w:tcW w:w="2835" w:type="dxa"/>
          </w:tcPr>
          <w:p w14:paraId="18159F99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3" w:name="_Hlk27954737"/>
            <w:r w:rsidRPr="00E1415C">
              <w:rPr>
                <w:rFonts w:ascii="Arial" w:hAnsi="Arial" w:cs="Arial"/>
                <w:sz w:val="20"/>
                <w:szCs w:val="20"/>
              </w:rPr>
              <w:t>0.24 to 0.9</w:t>
            </w:r>
            <w:bookmarkEnd w:id="3"/>
            <w:r w:rsidRPr="00E1415C">
              <w:rPr>
                <w:rFonts w:ascii="Arial" w:hAnsi="Arial" w:cs="Arial"/>
                <w:sz w:val="20"/>
                <w:szCs w:val="20"/>
              </w:rPr>
              <w:t>2 (95% CI)</w:t>
            </w:r>
          </w:p>
        </w:tc>
        <w:tc>
          <w:tcPr>
            <w:tcW w:w="1984" w:type="dxa"/>
          </w:tcPr>
          <w:p w14:paraId="109880FC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Log normal</w:t>
            </w:r>
          </w:p>
        </w:tc>
        <w:tc>
          <w:tcPr>
            <w:tcW w:w="1418" w:type="dxa"/>
          </w:tcPr>
          <w:p w14:paraId="4598F334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4897D7D2" w14:textId="77777777" w:rsidTr="00E1415C">
        <w:tc>
          <w:tcPr>
            <w:tcW w:w="5670" w:type="dxa"/>
          </w:tcPr>
          <w:p w14:paraId="5CC0D629" w14:textId="413B9DDB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>28-day mortality in conventional ER</w:t>
            </w:r>
          </w:p>
        </w:tc>
        <w:tc>
          <w:tcPr>
            <w:tcW w:w="2127" w:type="dxa"/>
          </w:tcPr>
          <w:p w14:paraId="6CE4C460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0.16</w:t>
            </w:r>
          </w:p>
        </w:tc>
        <w:tc>
          <w:tcPr>
            <w:tcW w:w="2835" w:type="dxa"/>
          </w:tcPr>
          <w:p w14:paraId="1F4E7CC8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4" w:name="_Hlk27954567"/>
            <w:r w:rsidRPr="00E1415C">
              <w:rPr>
                <w:rFonts w:ascii="Arial" w:hAnsi="Arial" w:cs="Arial"/>
                <w:sz w:val="20"/>
                <w:szCs w:val="20"/>
              </w:rPr>
              <w:t>0.12 to 0.20</w:t>
            </w:r>
            <w:bookmarkEnd w:id="4"/>
            <w:r w:rsidRPr="00E1415C">
              <w:rPr>
                <w:rFonts w:ascii="Arial" w:hAnsi="Arial" w:cs="Arial"/>
                <w:sz w:val="20"/>
                <w:szCs w:val="20"/>
              </w:rPr>
              <w:t xml:space="preserve"> (95% CI)</w:t>
            </w:r>
          </w:p>
        </w:tc>
        <w:tc>
          <w:tcPr>
            <w:tcW w:w="1984" w:type="dxa"/>
          </w:tcPr>
          <w:p w14:paraId="2115B955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Beta</w:t>
            </w:r>
          </w:p>
        </w:tc>
        <w:tc>
          <w:tcPr>
            <w:tcW w:w="1418" w:type="dxa"/>
          </w:tcPr>
          <w:p w14:paraId="5973BFF4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37B09E93" w14:textId="77777777" w:rsidTr="00E1415C">
        <w:tc>
          <w:tcPr>
            <w:tcW w:w="5670" w:type="dxa"/>
          </w:tcPr>
          <w:p w14:paraId="043F6783" w14:textId="2723BA18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>28-day mortality in hybrid ER</w:t>
            </w:r>
          </w:p>
        </w:tc>
        <w:tc>
          <w:tcPr>
            <w:tcW w:w="2127" w:type="dxa"/>
          </w:tcPr>
          <w:p w14:paraId="0F72C65D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0.084</w:t>
            </w:r>
          </w:p>
        </w:tc>
        <w:tc>
          <w:tcPr>
            <w:tcW w:w="2835" w:type="dxa"/>
          </w:tcPr>
          <w:p w14:paraId="413092FC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1984" w:type="dxa"/>
          </w:tcPr>
          <w:p w14:paraId="7F83A609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Conditional</w:t>
            </w:r>
          </w:p>
        </w:tc>
        <w:tc>
          <w:tcPr>
            <w:tcW w:w="1418" w:type="dxa"/>
          </w:tcPr>
          <w:p w14:paraId="788594F6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771719" w:rsidRPr="00E1415C" w14:paraId="755BAC3B" w14:textId="77777777" w:rsidTr="00E1415C">
        <w:tc>
          <w:tcPr>
            <w:tcW w:w="5670" w:type="dxa"/>
          </w:tcPr>
          <w:p w14:paraId="0DC034F6" w14:textId="20A6F4E6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>Annual mortality in the first year</w:t>
            </w:r>
          </w:p>
        </w:tc>
        <w:tc>
          <w:tcPr>
            <w:tcW w:w="2127" w:type="dxa"/>
          </w:tcPr>
          <w:p w14:paraId="21BC86C1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0.075</w:t>
            </w:r>
          </w:p>
        </w:tc>
        <w:tc>
          <w:tcPr>
            <w:tcW w:w="2835" w:type="dxa"/>
            <w:vMerge w:val="restart"/>
            <w:vAlign w:val="center"/>
          </w:tcPr>
          <w:p w14:paraId="588A553B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±10%</w:t>
            </w:r>
          </w:p>
        </w:tc>
        <w:tc>
          <w:tcPr>
            <w:tcW w:w="1984" w:type="dxa"/>
          </w:tcPr>
          <w:p w14:paraId="4DF49E56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Beta</w:t>
            </w:r>
          </w:p>
        </w:tc>
        <w:tc>
          <w:tcPr>
            <w:tcW w:w="1418" w:type="dxa"/>
          </w:tcPr>
          <w:p w14:paraId="3C6B2448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[13]</w:t>
            </w:r>
          </w:p>
        </w:tc>
      </w:tr>
      <w:tr w:rsidR="00771719" w:rsidRPr="00E1415C" w14:paraId="7DA92F44" w14:textId="77777777" w:rsidTr="00E1415C">
        <w:tc>
          <w:tcPr>
            <w:tcW w:w="5670" w:type="dxa"/>
          </w:tcPr>
          <w:p w14:paraId="58EB379D" w14:textId="77777777" w:rsidR="00771719" w:rsidRPr="00E1415C" w:rsidRDefault="00771719" w:rsidP="00E1415C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Annual mortality in the second and third year</w:t>
            </w:r>
          </w:p>
        </w:tc>
        <w:tc>
          <w:tcPr>
            <w:tcW w:w="2127" w:type="dxa"/>
          </w:tcPr>
          <w:p w14:paraId="52C15654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0.050</w:t>
            </w:r>
          </w:p>
        </w:tc>
        <w:tc>
          <w:tcPr>
            <w:tcW w:w="2835" w:type="dxa"/>
            <w:vMerge/>
          </w:tcPr>
          <w:p w14:paraId="5E19BB9E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C3F73D8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Conditional</w:t>
            </w:r>
          </w:p>
        </w:tc>
        <w:tc>
          <w:tcPr>
            <w:tcW w:w="1418" w:type="dxa"/>
          </w:tcPr>
          <w:p w14:paraId="494BD7F8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[13]</w:t>
            </w:r>
          </w:p>
        </w:tc>
      </w:tr>
      <w:tr w:rsidR="00771719" w:rsidRPr="00E1415C" w14:paraId="33C2578E" w14:textId="77777777" w:rsidTr="00E1415C">
        <w:tc>
          <w:tcPr>
            <w:tcW w:w="5670" w:type="dxa"/>
          </w:tcPr>
          <w:p w14:paraId="5E872C4D" w14:textId="77777777" w:rsidR="00771719" w:rsidRPr="00E1415C" w:rsidRDefault="00771719" w:rsidP="00E1415C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Annual mortality in the fourth year and later</w:t>
            </w:r>
          </w:p>
        </w:tc>
        <w:tc>
          <w:tcPr>
            <w:tcW w:w="2127" w:type="dxa"/>
          </w:tcPr>
          <w:p w14:paraId="02BB75B2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From life table</w:t>
            </w:r>
          </w:p>
        </w:tc>
        <w:tc>
          <w:tcPr>
            <w:tcW w:w="2835" w:type="dxa"/>
            <w:vMerge/>
          </w:tcPr>
          <w:p w14:paraId="6C9EDA78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25301F44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1418" w:type="dxa"/>
          </w:tcPr>
          <w:p w14:paraId="422C2CE0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[15]</w:t>
            </w:r>
          </w:p>
        </w:tc>
      </w:tr>
      <w:tr w:rsidR="00771719" w:rsidRPr="00E1415C" w14:paraId="254DEC56" w14:textId="77777777" w:rsidTr="00E1415C">
        <w:tc>
          <w:tcPr>
            <w:tcW w:w="5670" w:type="dxa"/>
          </w:tcPr>
          <w:p w14:paraId="41A5B5AE" w14:textId="400DEEA7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>Patient age</w:t>
            </w:r>
          </w:p>
        </w:tc>
        <w:tc>
          <w:tcPr>
            <w:tcW w:w="2127" w:type="dxa"/>
          </w:tcPr>
          <w:p w14:paraId="0D37BEEA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2835" w:type="dxa"/>
          </w:tcPr>
          <w:p w14:paraId="2EA3BD4C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40 to 60</w:t>
            </w:r>
          </w:p>
        </w:tc>
        <w:tc>
          <w:tcPr>
            <w:tcW w:w="1984" w:type="dxa"/>
          </w:tcPr>
          <w:p w14:paraId="5AA1DF7B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1418" w:type="dxa"/>
          </w:tcPr>
          <w:p w14:paraId="0F07477B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39893F8D" w14:textId="77777777" w:rsidTr="00E1415C">
        <w:tc>
          <w:tcPr>
            <w:tcW w:w="5670" w:type="dxa"/>
          </w:tcPr>
          <w:p w14:paraId="397070FD" w14:textId="71894100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>Proportion of male patients</w:t>
            </w:r>
          </w:p>
        </w:tc>
        <w:tc>
          <w:tcPr>
            <w:tcW w:w="2127" w:type="dxa"/>
          </w:tcPr>
          <w:p w14:paraId="29AB7A45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0.691</w:t>
            </w:r>
          </w:p>
        </w:tc>
        <w:tc>
          <w:tcPr>
            <w:tcW w:w="2835" w:type="dxa"/>
          </w:tcPr>
          <w:p w14:paraId="327E732C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0.652 to 0.729 (95% CI)</w:t>
            </w:r>
          </w:p>
        </w:tc>
        <w:tc>
          <w:tcPr>
            <w:tcW w:w="1984" w:type="dxa"/>
          </w:tcPr>
          <w:p w14:paraId="38152B1D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Beta</w:t>
            </w:r>
          </w:p>
        </w:tc>
        <w:tc>
          <w:tcPr>
            <w:tcW w:w="1418" w:type="dxa"/>
          </w:tcPr>
          <w:p w14:paraId="1F23BFFE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Original data</w:t>
            </w:r>
          </w:p>
        </w:tc>
      </w:tr>
      <w:tr w:rsidR="00771719" w:rsidRPr="00E1415C" w14:paraId="02BABC6C" w14:textId="77777777" w:rsidTr="00E1415C">
        <w:tc>
          <w:tcPr>
            <w:tcW w:w="5670" w:type="dxa"/>
          </w:tcPr>
          <w:p w14:paraId="6157DA9D" w14:textId="77777777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Utility</w:t>
            </w:r>
          </w:p>
        </w:tc>
        <w:tc>
          <w:tcPr>
            <w:tcW w:w="2127" w:type="dxa"/>
          </w:tcPr>
          <w:p w14:paraId="026AA370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14:paraId="500CB077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1DAA897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C826DCB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1719" w:rsidRPr="00E1415C" w14:paraId="286E4C87" w14:textId="77777777" w:rsidTr="00E1415C">
        <w:tc>
          <w:tcPr>
            <w:tcW w:w="5670" w:type="dxa"/>
          </w:tcPr>
          <w:p w14:paraId="50DB2D23" w14:textId="398F9004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>Utility in the intensive care unit (first 28 days)</w:t>
            </w:r>
          </w:p>
        </w:tc>
        <w:tc>
          <w:tcPr>
            <w:tcW w:w="2127" w:type="dxa"/>
          </w:tcPr>
          <w:p w14:paraId="035F7083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0.57</w:t>
            </w:r>
          </w:p>
        </w:tc>
        <w:tc>
          <w:tcPr>
            <w:tcW w:w="2835" w:type="dxa"/>
          </w:tcPr>
          <w:p w14:paraId="7F6BFF11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0.536 to 0.604 (95% CI)</w:t>
            </w:r>
          </w:p>
        </w:tc>
        <w:tc>
          <w:tcPr>
            <w:tcW w:w="1984" w:type="dxa"/>
          </w:tcPr>
          <w:p w14:paraId="6D253931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Beta</w:t>
            </w:r>
          </w:p>
        </w:tc>
        <w:tc>
          <w:tcPr>
            <w:tcW w:w="1418" w:type="dxa"/>
          </w:tcPr>
          <w:p w14:paraId="480FFD1E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[17]</w:t>
            </w:r>
          </w:p>
        </w:tc>
      </w:tr>
      <w:tr w:rsidR="00771719" w:rsidRPr="00E1415C" w14:paraId="32DE19F2" w14:textId="77777777" w:rsidTr="00E1415C">
        <w:tc>
          <w:tcPr>
            <w:tcW w:w="5670" w:type="dxa"/>
            <w:tcBorders>
              <w:bottom w:val="nil"/>
            </w:tcBorders>
          </w:tcPr>
          <w:p w14:paraId="2A7AAEB6" w14:textId="5394BC66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>Utility after severe trauma</w:t>
            </w:r>
          </w:p>
        </w:tc>
        <w:tc>
          <w:tcPr>
            <w:tcW w:w="2127" w:type="dxa"/>
            <w:tcBorders>
              <w:bottom w:val="nil"/>
            </w:tcBorders>
          </w:tcPr>
          <w:p w14:paraId="3F8D4386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2835" w:type="dxa"/>
            <w:tcBorders>
              <w:bottom w:val="nil"/>
            </w:tcBorders>
          </w:tcPr>
          <w:p w14:paraId="2964497E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±10%</w:t>
            </w:r>
          </w:p>
        </w:tc>
        <w:tc>
          <w:tcPr>
            <w:tcW w:w="1984" w:type="dxa"/>
            <w:tcBorders>
              <w:bottom w:val="nil"/>
            </w:tcBorders>
          </w:tcPr>
          <w:p w14:paraId="07642A23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Triangle</w:t>
            </w:r>
          </w:p>
        </w:tc>
        <w:tc>
          <w:tcPr>
            <w:tcW w:w="1418" w:type="dxa"/>
            <w:tcBorders>
              <w:bottom w:val="nil"/>
            </w:tcBorders>
          </w:tcPr>
          <w:p w14:paraId="28B13F82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[18]</w:t>
            </w:r>
          </w:p>
        </w:tc>
      </w:tr>
      <w:tr w:rsidR="00771719" w:rsidRPr="00E1415C" w14:paraId="175393D1" w14:textId="77777777" w:rsidTr="00E1415C">
        <w:tc>
          <w:tcPr>
            <w:tcW w:w="5670" w:type="dxa"/>
            <w:tcBorders>
              <w:top w:val="nil"/>
              <w:bottom w:val="nil"/>
            </w:tcBorders>
          </w:tcPr>
          <w:p w14:paraId="0D9629D7" w14:textId="547733D2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Setting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4CFD72D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447EAA6C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4A5CB93D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23B485A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1719" w:rsidRPr="00E1415C" w14:paraId="41482FB1" w14:textId="77777777" w:rsidTr="00E1415C">
        <w:tc>
          <w:tcPr>
            <w:tcW w:w="5670" w:type="dxa"/>
            <w:tcBorders>
              <w:top w:val="nil"/>
              <w:bottom w:val="single" w:sz="4" w:space="0" w:color="auto"/>
            </w:tcBorders>
          </w:tcPr>
          <w:p w14:paraId="7C5A7AB6" w14:textId="7C0BD168" w:rsidR="00771719" w:rsidRPr="00E1415C" w:rsidRDefault="00771719" w:rsidP="00E1415C">
            <w:pPr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2D11" w:rsidRPr="00E141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15C">
              <w:rPr>
                <w:rFonts w:ascii="Arial" w:hAnsi="Arial" w:cs="Arial"/>
                <w:sz w:val="20"/>
                <w:szCs w:val="20"/>
              </w:rPr>
              <w:t>Discount rate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36228464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0.02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</w:tcPr>
          <w:p w14:paraId="653DB5EF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0 to 0.04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</w:tcPr>
          <w:p w14:paraId="0B798837" w14:textId="77777777" w:rsidR="00771719" w:rsidRPr="00E1415C" w:rsidRDefault="00771719" w:rsidP="00E141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506B5928" w14:textId="77777777" w:rsidR="00771719" w:rsidRPr="00E1415C" w:rsidRDefault="00771719" w:rsidP="00E1415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415C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</w:tbl>
    <w:p w14:paraId="095A832E" w14:textId="77777777" w:rsidR="00771719" w:rsidRPr="00E1415C" w:rsidRDefault="00771719" w:rsidP="00E1415C">
      <w:pPr>
        <w:rPr>
          <w:rFonts w:ascii="Arial" w:hAnsi="Arial" w:cs="Arial"/>
          <w:sz w:val="20"/>
          <w:szCs w:val="20"/>
        </w:rPr>
      </w:pPr>
    </w:p>
    <w:p w14:paraId="0A262B07" w14:textId="23ED9E6F" w:rsidR="00531CEF" w:rsidRPr="00E1415C" w:rsidRDefault="00771719" w:rsidP="00E1415C">
      <w:pPr>
        <w:rPr>
          <w:rFonts w:ascii="Arial" w:hAnsi="Arial" w:cs="Arial"/>
          <w:sz w:val="16"/>
          <w:szCs w:val="16"/>
        </w:rPr>
      </w:pPr>
      <w:r w:rsidRPr="00E1415C">
        <w:rPr>
          <w:rFonts w:ascii="Arial" w:hAnsi="Arial" w:cs="Arial"/>
          <w:sz w:val="16"/>
          <w:szCs w:val="16"/>
        </w:rPr>
        <w:t>Admission costs, follow-up costs, short-term transition probability were obtained from medical records and claims data. Capital investment costs were provided by a manufacturer. First to third year transition probability and utilities were obtained from the literature. Fourth year and later probability was derived from the Japanese life table. ER, emergency room</w:t>
      </w:r>
    </w:p>
    <w:p w14:paraId="6DE3D785" w14:textId="3239C5C4" w:rsidR="0085728B" w:rsidRPr="00E1415C" w:rsidRDefault="0085728B" w:rsidP="00E1415C">
      <w:pPr>
        <w:widowControl/>
        <w:jc w:val="left"/>
        <w:rPr>
          <w:rFonts w:ascii="Arial" w:hAnsi="Arial" w:cs="Arial"/>
          <w:sz w:val="20"/>
          <w:szCs w:val="20"/>
        </w:rPr>
      </w:pPr>
    </w:p>
    <w:sectPr w:rsidR="0085728B" w:rsidRPr="00E1415C" w:rsidSect="009F3BC9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04B602" w14:textId="77777777" w:rsidR="006D61E8" w:rsidRDefault="006D61E8" w:rsidP="0085728B">
      <w:r>
        <w:separator/>
      </w:r>
    </w:p>
  </w:endnote>
  <w:endnote w:type="continuationSeparator" w:id="0">
    <w:p w14:paraId="0F1F4383" w14:textId="77777777" w:rsidR="006D61E8" w:rsidRDefault="006D61E8" w:rsidP="00857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2F69D2" w14:textId="77777777" w:rsidR="006D61E8" w:rsidRDefault="006D61E8" w:rsidP="0085728B">
      <w:r>
        <w:separator/>
      </w:r>
    </w:p>
  </w:footnote>
  <w:footnote w:type="continuationSeparator" w:id="0">
    <w:p w14:paraId="3721A9A7" w14:textId="77777777" w:rsidR="006D61E8" w:rsidRDefault="006D61E8" w:rsidP="008572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719"/>
    <w:rsid w:val="00195D11"/>
    <w:rsid w:val="001E66F1"/>
    <w:rsid w:val="002151DD"/>
    <w:rsid w:val="002C7E5E"/>
    <w:rsid w:val="00521634"/>
    <w:rsid w:val="006D61E8"/>
    <w:rsid w:val="00771719"/>
    <w:rsid w:val="0079574A"/>
    <w:rsid w:val="00827D0E"/>
    <w:rsid w:val="0085728B"/>
    <w:rsid w:val="00925044"/>
    <w:rsid w:val="009444B1"/>
    <w:rsid w:val="009F3BC9"/>
    <w:rsid w:val="00A3081E"/>
    <w:rsid w:val="00A70939"/>
    <w:rsid w:val="00AC74B7"/>
    <w:rsid w:val="00AD6862"/>
    <w:rsid w:val="00B32D11"/>
    <w:rsid w:val="00E1415C"/>
    <w:rsid w:val="00F84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6AA38D0"/>
  <w15:chartTrackingRefBased/>
  <w15:docId w15:val="{9A535FF0-4388-4142-83D4-E271112C4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17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5728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5728B"/>
  </w:style>
  <w:style w:type="paragraph" w:styleId="a6">
    <w:name w:val="footer"/>
    <w:basedOn w:val="a"/>
    <w:link w:val="a7"/>
    <w:uiPriority w:val="99"/>
    <w:unhideWhenUsed/>
    <w:rsid w:val="0085728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572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Kinoshita Takahiro</dc:creator>
  <cp:keywords/>
  <dc:description/>
  <cp:lastModifiedBy>Kinoshita Takahiro</cp:lastModifiedBy>
  <cp:revision>12</cp:revision>
  <dcterms:created xsi:type="dcterms:W3CDTF">2020-06-17T20:51:00Z</dcterms:created>
  <dcterms:modified xsi:type="dcterms:W3CDTF">2020-10-14T19:40:00Z</dcterms:modified>
</cp:coreProperties>
</file>