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94336">
      <w:pPr>
        <w:widowControl/>
        <w:spacing w:after="160"/>
        <w:jc w:val="center"/>
      </w:pPr>
      <w:bookmarkStart w:id="0" w:name="_GoBack"/>
      <w:bookmarkEnd w:id="0"/>
      <w:r>
        <w:rPr>
          <w:rFonts w:ascii="Times New Roman" w:hAnsi="Times New Roman" w:eastAsia="Times New Roman"/>
          <w:b/>
          <w:color w:val="000000"/>
          <w:sz w:val="30"/>
        </w:rPr>
        <w:t>Supplementary Methods and Tables</w:t>
      </w:r>
    </w:p>
    <w:p w14:paraId="77DF7FD5">
      <w:pPr>
        <w:widowControl/>
        <w:spacing w:after="240"/>
        <w:jc w:val="center"/>
      </w:pPr>
      <w:r>
        <w:rPr>
          <w:rFonts w:ascii="Times New Roman" w:hAnsi="Times New Roman" w:eastAsia="Times New Roman"/>
          <w:i/>
          <w:color w:val="000000"/>
          <w:sz w:val="24"/>
        </w:rPr>
        <w:t>for “Workplace Violence, Burnout, and Turnover Intention in Healthcare: A Three-Wave Moderated Mediation Study”</w:t>
      </w:r>
    </w:p>
    <w:p w14:paraId="0152883C">
      <w:pPr>
        <w:widowControl/>
        <w:jc w:val="center"/>
      </w:pPr>
      <w:r>
        <w:rPr>
          <w:rFonts w:ascii="Times New Roman" w:hAnsi="Times New Roman" w:eastAsia="Times New Roman"/>
          <w:color w:val="000000"/>
          <w:sz w:val="20"/>
        </w:rPr>
        <w:t>This document contains supplementary methods and tables referenced in the main manuscript.</w:t>
      </w:r>
    </w:p>
    <w:p w14:paraId="7EEE3D80">
      <w:pPr>
        <w:pStyle w:val="3"/>
        <w:widowControl/>
      </w:pPr>
      <w:r>
        <w:rPr>
          <w:rFonts w:ascii="Times New Roman" w:hAnsi="Times New Roman" w:eastAsia="Times New Roman"/>
          <w:b/>
          <w:color w:val="000000"/>
          <w:sz w:val="24"/>
        </w:rPr>
        <w:t>Supplementary Method S1. Formal Estimating Equations for the Moderated Mediation Model</w:t>
      </w:r>
    </w:p>
    <w:p w14:paraId="79076440">
      <w:pPr>
        <w:widowControl/>
      </w:pPr>
      <w:r>
        <w:rPr>
          <w:rFonts w:ascii="Times New Roman" w:hAnsi="Times New Roman" w:eastAsia="Times New Roman"/>
          <w:color w:val="000000"/>
          <w:sz w:val="22"/>
        </w:rPr>
        <w:t>The moderated mediation model was specified using the following equations, estimated simultaneously within a latent variable structural equation modeling (SEM) framework. All variables were grand-mean centered before the creation of the interaction term.</w:t>
      </w:r>
    </w:p>
    <w:p w14:paraId="1B541016">
      <w:pPr>
        <w:widowControl/>
      </w:pPr>
      <w:r>
        <w:rPr>
          <w:rFonts w:ascii="Times New Roman" w:hAnsi="Times New Roman" w:eastAsia="Times New Roman"/>
          <w:color w:val="000000"/>
          <w:sz w:val="22"/>
        </w:rPr>
        <w:t>The structural model is represented by the following equations:</w:t>
      </w:r>
    </w:p>
    <w:p w14:paraId="5C825177">
      <w:pPr>
        <w:widowControl/>
        <w:spacing w:after="40"/>
      </w:pPr>
      <w:r>
        <w:rPr>
          <w:rFonts w:ascii="Times New Roman" w:hAnsi="Times New Roman" w:eastAsia="Times New Roman"/>
          <w:b/>
          <w:color w:val="000000"/>
          <w:sz w:val="22"/>
        </w:rPr>
        <w:t>Equation 1 (Mediator)</w:t>
      </w:r>
    </w:p>
    <w:p w14:paraId="7DA56BE7">
      <w:pPr>
        <w:widowControl/>
        <w:spacing w:before="120" w:after="160"/>
        <w:jc w:val="center"/>
      </w:pPr>
      <w:r>
        <w:rPr>
          <w:rFonts w:ascii="Cambria Math" w:hAnsi="Cambria Math" w:eastAsia="Cambria Math"/>
          <w:i/>
          <w:color w:val="000000"/>
          <w:sz w:val="22"/>
        </w:rPr>
        <w:t>Burnout</w:t>
      </w:r>
      <w:r>
        <w:rPr>
          <w:rFonts w:ascii="Cambria Math" w:hAnsi="Cambria Math" w:eastAsia="Cambria Math"/>
          <w:i/>
          <w:color w:val="000000"/>
          <w:sz w:val="22"/>
          <w:vertAlign w:val="subscript"/>
        </w:rPr>
        <w:t>i</w:t>
      </w:r>
      <w:r>
        <w:rPr>
          <w:rFonts w:ascii="Cambria Math" w:hAnsi="Cambria Math" w:eastAsia="Cambria Math"/>
          <w:i w:val="0"/>
          <w:color w:val="000000"/>
          <w:sz w:val="22"/>
        </w:rPr>
        <w:t xml:space="preserve"> = a</w:t>
      </w:r>
      <w:r>
        <w:rPr>
          <w:rFonts w:ascii="Cambria Math" w:hAnsi="Cambria Math" w:eastAsia="Cambria Math"/>
          <w:i w:val="0"/>
          <w:color w:val="000000"/>
          <w:sz w:val="22"/>
          <w:vertAlign w:val="subscript"/>
        </w:rPr>
        <w:t>0</w:t>
      </w:r>
      <w:r>
        <w:rPr>
          <w:rFonts w:ascii="Cambria Math" w:hAnsi="Cambria Math" w:eastAsia="Cambria Math"/>
          <w:i w:val="0"/>
          <w:color w:val="000000"/>
          <w:sz w:val="22"/>
        </w:rPr>
        <w:t xml:space="preserve"> + a</w:t>
      </w:r>
      <w:r>
        <w:rPr>
          <w:rFonts w:ascii="Cambria Math" w:hAnsi="Cambria Math" w:eastAsia="Cambria Math"/>
          <w:i w:val="0"/>
          <w:color w:val="000000"/>
          <w:sz w:val="22"/>
          <w:vertAlign w:val="subscript"/>
        </w:rPr>
        <w:t>1</w:t>
      </w:r>
      <w:r>
        <w:rPr>
          <w:rFonts w:ascii="Cambria Math" w:hAnsi="Cambria Math" w:eastAsia="Cambria Math"/>
          <w:i/>
          <w:color w:val="000000"/>
          <w:sz w:val="22"/>
        </w:rPr>
        <w:t xml:space="preserve"> × WPV</w:t>
      </w:r>
      <w:r>
        <w:rPr>
          <w:rFonts w:ascii="Cambria Math" w:hAnsi="Cambria Math" w:eastAsia="Cambria Math"/>
          <w:i/>
          <w:color w:val="000000"/>
          <w:sz w:val="22"/>
          <w:vertAlign w:val="subscript"/>
        </w:rPr>
        <w:t>i</w:t>
      </w:r>
      <w:r>
        <w:rPr>
          <w:rFonts w:ascii="Cambria Math" w:hAnsi="Cambria Math" w:eastAsia="Cambria Math"/>
          <w:i w:val="0"/>
          <w:color w:val="000000"/>
          <w:sz w:val="22"/>
        </w:rPr>
        <w:t xml:space="preserve"> + a</w:t>
      </w:r>
      <w:r>
        <w:rPr>
          <w:rFonts w:ascii="Cambria Math" w:hAnsi="Cambria Math" w:eastAsia="Cambria Math"/>
          <w:i w:val="0"/>
          <w:color w:val="000000"/>
          <w:sz w:val="22"/>
          <w:vertAlign w:val="subscript"/>
        </w:rPr>
        <w:t>2</w:t>
      </w:r>
      <w:r>
        <w:rPr>
          <w:rFonts w:ascii="Cambria Math" w:hAnsi="Cambria Math" w:eastAsia="Cambria Math"/>
          <w:i/>
          <w:color w:val="000000"/>
          <w:sz w:val="22"/>
        </w:rPr>
        <w:t xml:space="preserve"> × PSC</w:t>
      </w:r>
      <w:r>
        <w:rPr>
          <w:rFonts w:ascii="Cambria Math" w:hAnsi="Cambria Math" w:eastAsia="Cambria Math"/>
          <w:i/>
          <w:color w:val="000000"/>
          <w:sz w:val="22"/>
          <w:vertAlign w:val="subscript"/>
        </w:rPr>
        <w:t>i</w:t>
      </w:r>
      <w:r>
        <w:rPr>
          <w:rFonts w:ascii="Cambria Math" w:hAnsi="Cambria Math" w:eastAsia="Cambria Math"/>
          <w:i w:val="0"/>
          <w:color w:val="000000"/>
          <w:sz w:val="22"/>
        </w:rPr>
        <w:t xml:space="preserve"> + a</w:t>
      </w:r>
      <w:r>
        <w:rPr>
          <w:rFonts w:ascii="Cambria Math" w:hAnsi="Cambria Math" w:eastAsia="Cambria Math"/>
          <w:i w:val="0"/>
          <w:color w:val="000000"/>
          <w:sz w:val="22"/>
          <w:vertAlign w:val="subscript"/>
        </w:rPr>
        <w:t>3</w:t>
      </w:r>
      <w:r>
        <w:rPr>
          <w:rFonts w:ascii="Cambria Math" w:hAnsi="Cambria Math" w:eastAsia="Cambria Math"/>
          <w:i/>
          <w:color w:val="000000"/>
          <w:sz w:val="22"/>
        </w:rPr>
        <w:t xml:space="preserve"> × (WPV</w:t>
      </w:r>
      <w:r>
        <w:rPr>
          <w:rFonts w:ascii="Cambria Math" w:hAnsi="Cambria Math" w:eastAsia="Cambria Math"/>
          <w:i/>
          <w:color w:val="000000"/>
          <w:sz w:val="22"/>
          <w:vertAlign w:val="subscript"/>
        </w:rPr>
        <w:t>i</w:t>
      </w:r>
      <w:r>
        <w:rPr>
          <w:rFonts w:ascii="Cambria Math" w:hAnsi="Cambria Math" w:eastAsia="Cambria Math"/>
          <w:i/>
          <w:color w:val="000000"/>
          <w:sz w:val="22"/>
        </w:rPr>
        <w:t xml:space="preserve"> × PSC</w:t>
      </w:r>
      <w:r>
        <w:rPr>
          <w:rFonts w:ascii="Cambria Math" w:hAnsi="Cambria Math" w:eastAsia="Cambria Math"/>
          <w:i/>
          <w:color w:val="000000"/>
          <w:sz w:val="22"/>
          <w:vertAlign w:val="subscript"/>
        </w:rPr>
        <w:t>i</w:t>
      </w:r>
      <w:r>
        <w:rPr>
          <w:rFonts w:ascii="Cambria Math" w:hAnsi="Cambria Math" w:eastAsia="Cambria Math"/>
          <w:i/>
          <w:color w:val="000000"/>
          <w:sz w:val="22"/>
        </w:rPr>
        <w:t>) + Controls</w:t>
      </w:r>
      <w:r>
        <w:rPr>
          <w:rFonts w:ascii="Cambria Math" w:hAnsi="Cambria Math" w:eastAsia="Cambria Math"/>
          <w:i/>
          <w:color w:val="000000"/>
          <w:sz w:val="22"/>
          <w:vertAlign w:val="subscript"/>
        </w:rPr>
        <w:t>i</w:t>
      </w:r>
      <w:r>
        <w:rPr>
          <w:rFonts w:ascii="Cambria Math" w:hAnsi="Cambria Math" w:eastAsia="Cambria Math"/>
          <w:i/>
          <w:color w:val="000000"/>
          <w:sz w:val="22"/>
        </w:rPr>
        <w:t xml:space="preserve"> + ε</w:t>
      </w:r>
      <w:r>
        <w:rPr>
          <w:rFonts w:ascii="Cambria Math" w:hAnsi="Cambria Math" w:eastAsia="Cambria Math"/>
          <w:i/>
          <w:color w:val="000000"/>
          <w:sz w:val="22"/>
          <w:vertAlign w:val="subscript"/>
        </w:rPr>
        <w:t>Mi</w:t>
      </w:r>
    </w:p>
    <w:p w14:paraId="19A20708">
      <w:pPr>
        <w:widowControl/>
      </w:pPr>
      <w:r>
        <w:rPr>
          <w:rFonts w:ascii="Times New Roman" w:hAnsi="Times New Roman" w:eastAsia="Times New Roman"/>
          <w:b/>
          <w:color w:val="000000"/>
          <w:sz w:val="22"/>
        </w:rPr>
        <w:t>Where:</w:t>
      </w:r>
    </w:p>
    <w:p w14:paraId="28865572">
      <w:pPr>
        <w:pStyle w:val="16"/>
        <w:widowControl/>
        <w:ind w:left="360"/>
      </w:pPr>
      <w:r>
        <w:rPr>
          <w:rFonts w:ascii="Times New Roman" w:hAnsi="Times New Roman" w:eastAsia="Times New Roman"/>
          <w:color w:val="000000"/>
          <w:sz w:val="21"/>
        </w:rPr>
        <w:t>Burnout_i is the latent burnout score for individual i at Time 2.</w:t>
      </w:r>
    </w:p>
    <w:p w14:paraId="004D09D2">
      <w:pPr>
        <w:pStyle w:val="16"/>
        <w:widowControl/>
        <w:ind w:left="360"/>
      </w:pPr>
      <w:r>
        <w:rPr>
          <w:rFonts w:ascii="Times New Roman" w:hAnsi="Times New Roman" w:eastAsia="Times New Roman"/>
          <w:color w:val="000000"/>
          <w:sz w:val="21"/>
        </w:rPr>
        <w:t>WPV_i is the latent workplace violence score for individual i at Time 1.</w:t>
      </w:r>
    </w:p>
    <w:p w14:paraId="1BB3A163">
      <w:pPr>
        <w:pStyle w:val="16"/>
        <w:widowControl/>
        <w:ind w:left="360"/>
      </w:pPr>
      <w:r>
        <w:rPr>
          <w:rFonts w:ascii="Times New Roman" w:hAnsi="Times New Roman" w:eastAsia="Times New Roman"/>
          <w:color w:val="000000"/>
          <w:sz w:val="21"/>
        </w:rPr>
        <w:t>PSC_i is the perceived anti-violence safety climate score for individual i at Time 1.</w:t>
      </w:r>
    </w:p>
    <w:p w14:paraId="03846FB0">
      <w:pPr>
        <w:pStyle w:val="16"/>
        <w:widowControl/>
        <w:ind w:left="360"/>
      </w:pPr>
      <w:r>
        <w:rPr>
          <w:rFonts w:ascii="Times New Roman" w:hAnsi="Times New Roman" w:eastAsia="Times New Roman"/>
          <w:color w:val="000000"/>
          <w:sz w:val="21"/>
        </w:rPr>
        <w:t>(WPV_i × PSC_i) is the latent interaction term between WPV and PSC.</w:t>
      </w:r>
    </w:p>
    <w:p w14:paraId="5EBCEAA2">
      <w:pPr>
        <w:pStyle w:val="16"/>
        <w:widowControl/>
        <w:ind w:left="360"/>
      </w:pPr>
      <w:r>
        <w:rPr>
          <w:rFonts w:ascii="Times New Roman" w:hAnsi="Times New Roman" w:eastAsia="Times New Roman"/>
          <w:color w:val="000000"/>
          <w:sz w:val="21"/>
        </w:rPr>
        <w:t>a1 represents the conditional effect of WPV on burnout.</w:t>
      </w:r>
    </w:p>
    <w:p w14:paraId="16F01D8C">
      <w:pPr>
        <w:pStyle w:val="16"/>
        <w:widowControl/>
        <w:ind w:left="360"/>
      </w:pPr>
      <w:r>
        <w:rPr>
          <w:rFonts w:ascii="Times New Roman" w:hAnsi="Times New Roman" w:eastAsia="Times New Roman"/>
          <w:color w:val="000000"/>
          <w:sz w:val="21"/>
        </w:rPr>
        <w:t>a2 represents the main effect of PSC on burnout.</w:t>
      </w:r>
    </w:p>
    <w:p w14:paraId="73F64056">
      <w:pPr>
        <w:pStyle w:val="16"/>
        <w:widowControl/>
        <w:ind w:left="360"/>
      </w:pPr>
      <w:r>
        <w:rPr>
          <w:rFonts w:ascii="Times New Roman" w:hAnsi="Times New Roman" w:eastAsia="Times New Roman"/>
          <w:color w:val="000000"/>
          <w:sz w:val="21"/>
        </w:rPr>
        <w:t>a3 represents the moderation effect of PSC on the WPV-burnout relationship.</w:t>
      </w:r>
    </w:p>
    <w:p w14:paraId="6B9F75E5">
      <w:pPr>
        <w:pStyle w:val="16"/>
        <w:widowControl/>
        <w:ind w:left="360"/>
      </w:pPr>
      <w:r>
        <w:rPr>
          <w:rFonts w:ascii="Times New Roman" w:hAnsi="Times New Roman" w:eastAsia="Times New Roman"/>
          <w:color w:val="000000"/>
          <w:sz w:val="21"/>
        </w:rPr>
        <w:t>Controls_i are the covariates.</w:t>
      </w:r>
    </w:p>
    <w:p w14:paraId="27E5A857">
      <w:pPr>
        <w:pStyle w:val="16"/>
        <w:widowControl/>
        <w:ind w:left="360"/>
      </w:pPr>
      <w:r>
        <w:rPr>
          <w:rFonts w:ascii="Times New Roman" w:hAnsi="Times New Roman" w:eastAsia="Times New Roman"/>
          <w:color w:val="000000"/>
          <w:sz w:val="21"/>
        </w:rPr>
        <w:t>ε_Mi is the residual error.</w:t>
      </w:r>
    </w:p>
    <w:p w14:paraId="417F44FA">
      <w:pPr>
        <w:widowControl/>
        <w:spacing w:after="40"/>
      </w:pPr>
      <w:r>
        <w:rPr>
          <w:rFonts w:ascii="Times New Roman" w:hAnsi="Times New Roman" w:eastAsia="Times New Roman"/>
          <w:b/>
          <w:color w:val="000000"/>
          <w:sz w:val="22"/>
        </w:rPr>
        <w:t>Equation 2 (Outcome)</w:t>
      </w:r>
    </w:p>
    <w:p w14:paraId="20BDDAD5">
      <w:pPr>
        <w:widowControl/>
        <w:spacing w:before="120" w:after="160"/>
        <w:jc w:val="center"/>
      </w:pPr>
      <w:r>
        <w:rPr>
          <w:rFonts w:ascii="Cambria Math" w:hAnsi="Cambria Math" w:eastAsia="Cambria Math"/>
          <w:i/>
          <w:color w:val="000000"/>
          <w:sz w:val="22"/>
        </w:rPr>
        <w:t>Turnover Intention</w:t>
      </w:r>
      <w:r>
        <w:rPr>
          <w:rFonts w:ascii="Cambria Math" w:hAnsi="Cambria Math" w:eastAsia="Cambria Math"/>
          <w:i/>
          <w:color w:val="000000"/>
          <w:sz w:val="22"/>
          <w:vertAlign w:val="subscript"/>
        </w:rPr>
        <w:t>i</w:t>
      </w:r>
      <w:r>
        <w:rPr>
          <w:rFonts w:ascii="Cambria Math" w:hAnsi="Cambria Math" w:eastAsia="Cambria Math"/>
          <w:i w:val="0"/>
          <w:color w:val="000000"/>
          <w:sz w:val="22"/>
        </w:rPr>
        <w:t xml:space="preserve"> = b</w:t>
      </w:r>
      <w:r>
        <w:rPr>
          <w:rFonts w:ascii="Cambria Math" w:hAnsi="Cambria Math" w:eastAsia="Cambria Math"/>
          <w:i w:val="0"/>
          <w:color w:val="000000"/>
          <w:sz w:val="22"/>
          <w:vertAlign w:val="subscript"/>
        </w:rPr>
        <w:t>0</w:t>
      </w:r>
      <w:r>
        <w:rPr>
          <w:rFonts w:ascii="Cambria Math" w:hAnsi="Cambria Math" w:eastAsia="Cambria Math"/>
          <w:i w:val="0"/>
          <w:color w:val="000000"/>
          <w:sz w:val="22"/>
        </w:rPr>
        <w:t xml:space="preserve"> + b</w:t>
      </w:r>
      <w:r>
        <w:rPr>
          <w:rFonts w:ascii="Cambria Math" w:hAnsi="Cambria Math" w:eastAsia="Cambria Math"/>
          <w:i w:val="0"/>
          <w:color w:val="000000"/>
          <w:sz w:val="22"/>
          <w:vertAlign w:val="subscript"/>
        </w:rPr>
        <w:t>1</w:t>
      </w:r>
      <w:r>
        <w:rPr>
          <w:rFonts w:ascii="Cambria Math" w:hAnsi="Cambria Math" w:eastAsia="Cambria Math"/>
          <w:i/>
          <w:color w:val="000000"/>
          <w:sz w:val="22"/>
        </w:rPr>
        <w:t xml:space="preserve"> × WPV</w:t>
      </w:r>
      <w:r>
        <w:rPr>
          <w:rFonts w:ascii="Cambria Math" w:hAnsi="Cambria Math" w:eastAsia="Cambria Math"/>
          <w:i/>
          <w:color w:val="000000"/>
          <w:sz w:val="22"/>
          <w:vertAlign w:val="subscript"/>
        </w:rPr>
        <w:t>i</w:t>
      </w:r>
      <w:r>
        <w:rPr>
          <w:rFonts w:ascii="Cambria Math" w:hAnsi="Cambria Math" w:eastAsia="Cambria Math"/>
          <w:i w:val="0"/>
          <w:color w:val="000000"/>
          <w:sz w:val="22"/>
        </w:rPr>
        <w:t xml:space="preserve"> + b</w:t>
      </w:r>
      <w:r>
        <w:rPr>
          <w:rFonts w:ascii="Cambria Math" w:hAnsi="Cambria Math" w:eastAsia="Cambria Math"/>
          <w:i w:val="0"/>
          <w:color w:val="000000"/>
          <w:sz w:val="22"/>
          <w:vertAlign w:val="subscript"/>
        </w:rPr>
        <w:t>2</w:t>
      </w:r>
      <w:r>
        <w:rPr>
          <w:rFonts w:ascii="Cambria Math" w:hAnsi="Cambria Math" w:eastAsia="Cambria Math"/>
          <w:i/>
          <w:color w:val="000000"/>
          <w:sz w:val="22"/>
        </w:rPr>
        <w:t xml:space="preserve"> × Burnout</w:t>
      </w:r>
      <w:r>
        <w:rPr>
          <w:rFonts w:ascii="Cambria Math" w:hAnsi="Cambria Math" w:eastAsia="Cambria Math"/>
          <w:i/>
          <w:color w:val="000000"/>
          <w:sz w:val="22"/>
          <w:vertAlign w:val="subscript"/>
        </w:rPr>
        <w:t>i</w:t>
      </w:r>
      <w:r>
        <w:rPr>
          <w:rFonts w:ascii="Cambria Math" w:hAnsi="Cambria Math" w:eastAsia="Cambria Math"/>
          <w:i/>
          <w:color w:val="000000"/>
          <w:sz w:val="22"/>
        </w:rPr>
        <w:t xml:space="preserve"> + Controls</w:t>
      </w:r>
      <w:r>
        <w:rPr>
          <w:rFonts w:ascii="Cambria Math" w:hAnsi="Cambria Math" w:eastAsia="Cambria Math"/>
          <w:i/>
          <w:color w:val="000000"/>
          <w:sz w:val="22"/>
          <w:vertAlign w:val="subscript"/>
        </w:rPr>
        <w:t>i</w:t>
      </w:r>
      <w:r>
        <w:rPr>
          <w:rFonts w:ascii="Cambria Math" w:hAnsi="Cambria Math" w:eastAsia="Cambria Math"/>
          <w:i/>
          <w:color w:val="000000"/>
          <w:sz w:val="22"/>
        </w:rPr>
        <w:t xml:space="preserve"> + ε</w:t>
      </w:r>
      <w:r>
        <w:rPr>
          <w:rFonts w:ascii="Cambria Math" w:hAnsi="Cambria Math" w:eastAsia="Cambria Math"/>
          <w:i/>
          <w:color w:val="000000"/>
          <w:sz w:val="22"/>
          <w:vertAlign w:val="subscript"/>
        </w:rPr>
        <w:t>Yi</w:t>
      </w:r>
    </w:p>
    <w:p w14:paraId="516D428C">
      <w:pPr>
        <w:widowControl/>
      </w:pPr>
      <w:r>
        <w:rPr>
          <w:rFonts w:ascii="Times New Roman" w:hAnsi="Times New Roman" w:eastAsia="Times New Roman"/>
          <w:b/>
          <w:color w:val="000000"/>
          <w:sz w:val="22"/>
        </w:rPr>
        <w:t>Where:</w:t>
      </w:r>
    </w:p>
    <w:p w14:paraId="4CF27CE1">
      <w:pPr>
        <w:pStyle w:val="16"/>
        <w:widowControl/>
        <w:ind w:left="360"/>
      </w:pPr>
      <w:r>
        <w:rPr>
          <w:rFonts w:ascii="Times New Roman" w:hAnsi="Times New Roman" w:eastAsia="Times New Roman"/>
          <w:color w:val="000000"/>
          <w:sz w:val="21"/>
        </w:rPr>
        <w:t>Turnover_Intention_i is the latent turnover intention score for individual i at Time 3.</w:t>
      </w:r>
    </w:p>
    <w:p w14:paraId="77B40863">
      <w:pPr>
        <w:pStyle w:val="16"/>
        <w:widowControl/>
        <w:ind w:left="360"/>
      </w:pPr>
      <w:r>
        <w:rPr>
          <w:rFonts w:ascii="Times New Roman" w:hAnsi="Times New Roman" w:eastAsia="Times New Roman"/>
          <w:color w:val="000000"/>
          <w:sz w:val="21"/>
        </w:rPr>
        <w:t>Burnout_i is the latent mediator score.</w:t>
      </w:r>
    </w:p>
    <w:p w14:paraId="341AFB36">
      <w:pPr>
        <w:pStyle w:val="16"/>
        <w:widowControl/>
        <w:ind w:left="360"/>
      </w:pPr>
      <w:r>
        <w:rPr>
          <w:rFonts w:ascii="Times New Roman" w:hAnsi="Times New Roman" w:eastAsia="Times New Roman"/>
          <w:color w:val="000000"/>
          <w:sz w:val="21"/>
        </w:rPr>
        <w:t>b1 represents the direct effect of WPV on turnover intention.</w:t>
      </w:r>
    </w:p>
    <w:p w14:paraId="109A5FE7">
      <w:pPr>
        <w:pStyle w:val="16"/>
        <w:widowControl/>
        <w:ind w:left="360"/>
      </w:pPr>
      <w:r>
        <w:rPr>
          <w:rFonts w:ascii="Times New Roman" w:hAnsi="Times New Roman" w:eastAsia="Times New Roman"/>
          <w:color w:val="000000"/>
          <w:sz w:val="21"/>
        </w:rPr>
        <w:t>b2 represents the effect of burnout on turnover intention, controlling for WPV.</w:t>
      </w:r>
    </w:p>
    <w:p w14:paraId="39B4A642">
      <w:pPr>
        <w:pStyle w:val="16"/>
        <w:widowControl/>
        <w:ind w:left="360"/>
      </w:pPr>
      <w:r>
        <w:rPr>
          <w:rFonts w:ascii="Times New Roman" w:hAnsi="Times New Roman" w:eastAsia="Times New Roman"/>
          <w:color w:val="000000"/>
          <w:sz w:val="21"/>
        </w:rPr>
        <w:t>Controls_i are the covariates.</w:t>
      </w:r>
    </w:p>
    <w:p w14:paraId="64480A56">
      <w:pPr>
        <w:pStyle w:val="16"/>
        <w:widowControl/>
        <w:ind w:left="360"/>
      </w:pPr>
      <w:r>
        <w:rPr>
          <w:rFonts w:ascii="Times New Roman" w:hAnsi="Times New Roman" w:eastAsia="Times New Roman"/>
          <w:color w:val="000000"/>
          <w:sz w:val="21"/>
        </w:rPr>
        <w:t>ε_Yi is the residual error.</w:t>
      </w:r>
    </w:p>
    <w:p w14:paraId="65E17457">
      <w:pPr>
        <w:widowControl/>
        <w:spacing w:after="40"/>
      </w:pPr>
      <w:r>
        <w:rPr>
          <w:rFonts w:ascii="Times New Roman" w:hAnsi="Times New Roman" w:eastAsia="Times New Roman"/>
          <w:b/>
          <w:color w:val="000000"/>
          <w:sz w:val="22"/>
        </w:rPr>
        <w:t>Conditional Indirect Effect</w:t>
      </w:r>
    </w:p>
    <w:p w14:paraId="3F8BB194">
      <w:pPr>
        <w:widowControl/>
      </w:pPr>
      <w:r>
        <w:rPr>
          <w:rFonts w:ascii="Times New Roman" w:hAnsi="Times New Roman" w:eastAsia="Times New Roman"/>
          <w:color w:val="000000"/>
          <w:sz w:val="22"/>
        </w:rPr>
        <w:t>The indirect effect of WPV on turnover intention through burnout is conditional on the level of PSC. It is calculated as the product of the conditional effect of WPV on burnout and the effect of burnout on turnover intention, holding other variables constant:</w:t>
      </w:r>
    </w:p>
    <w:p w14:paraId="14CBEAC4">
      <w:pPr>
        <w:widowControl/>
        <w:spacing w:before="120" w:after="160"/>
        <w:jc w:val="center"/>
      </w:pPr>
      <w:r>
        <w:rPr>
          <w:rFonts w:ascii="Cambria Math" w:hAnsi="Cambria Math" w:eastAsia="Cambria Math"/>
          <w:i w:val="0"/>
          <w:color w:val="000000"/>
          <w:sz w:val="22"/>
        </w:rPr>
        <w:t>Conditional Indirect Effect = (a</w:t>
      </w:r>
      <w:r>
        <w:rPr>
          <w:rFonts w:ascii="Cambria Math" w:hAnsi="Cambria Math" w:eastAsia="Cambria Math"/>
          <w:i w:val="0"/>
          <w:color w:val="000000"/>
          <w:sz w:val="22"/>
          <w:vertAlign w:val="subscript"/>
        </w:rPr>
        <w:t>1</w:t>
      </w:r>
      <w:r>
        <w:rPr>
          <w:rFonts w:ascii="Cambria Math" w:hAnsi="Cambria Math" w:eastAsia="Cambria Math"/>
          <w:i w:val="0"/>
          <w:color w:val="000000"/>
          <w:sz w:val="22"/>
        </w:rPr>
        <w:t xml:space="preserve"> + a</w:t>
      </w:r>
      <w:r>
        <w:rPr>
          <w:rFonts w:ascii="Cambria Math" w:hAnsi="Cambria Math" w:eastAsia="Cambria Math"/>
          <w:i w:val="0"/>
          <w:color w:val="000000"/>
          <w:sz w:val="22"/>
          <w:vertAlign w:val="subscript"/>
        </w:rPr>
        <w:t>3</w:t>
      </w:r>
      <w:r>
        <w:rPr>
          <w:rFonts w:ascii="Cambria Math" w:hAnsi="Cambria Math" w:eastAsia="Cambria Math"/>
          <w:i/>
          <w:color w:val="000000"/>
          <w:sz w:val="22"/>
        </w:rPr>
        <w:t xml:space="preserve"> × PSC) × b</w:t>
      </w:r>
      <w:r>
        <w:rPr>
          <w:rFonts w:ascii="Cambria Math" w:hAnsi="Cambria Math" w:eastAsia="Cambria Math"/>
          <w:i w:val="0"/>
          <w:color w:val="000000"/>
          <w:sz w:val="22"/>
          <w:vertAlign w:val="subscript"/>
        </w:rPr>
        <w:t>2</w:t>
      </w:r>
    </w:p>
    <w:p w14:paraId="46FE3B56">
      <w:pPr>
        <w:widowControl/>
      </w:pPr>
      <w:r>
        <w:rPr>
          <w:rFonts w:ascii="Times New Roman" w:hAnsi="Times New Roman" w:eastAsia="Times New Roman"/>
          <w:color w:val="000000"/>
          <w:sz w:val="22"/>
        </w:rPr>
        <w:t>The index of moderated mediation was used to test the significance of the difference in the conditional indirect effect across levels of PSC.</w:t>
      </w:r>
    </w:p>
    <w:p w14:paraId="1F11DD6D">
      <w:pPr>
        <w:widowControl/>
        <w:sectPr>
          <w:footerReference r:id="rId5" w:type="default"/>
          <w:pgSz w:w="11909" w:h="16834"/>
          <w:pgMar w:top="1152" w:right="1296" w:bottom="1080" w:left="1296" w:header="432" w:footer="432" w:gutter="0"/>
          <w:cols w:space="720" w:num="1"/>
          <w:docGrid w:linePitch="360" w:charSpace="0"/>
        </w:sectPr>
      </w:pPr>
    </w:p>
    <w:p w14:paraId="22010FD6">
      <w:pPr>
        <w:pStyle w:val="164"/>
        <w:keepNext/>
        <w:widowControl/>
      </w:pPr>
      <w:r>
        <w:rPr>
          <w:rFonts w:ascii="Times New Roman" w:hAnsi="Times New Roman" w:eastAsia="Times New Roman"/>
          <w:b/>
          <w:color w:val="000000"/>
          <w:sz w:val="20"/>
        </w:rPr>
        <w:t>Supplementary Table S1. Attrition Analysis Comparing Final Analytical Sample with Participants Lost to Follow-Up</w:t>
      </w:r>
    </w:p>
    <w:tbl>
      <w:tblPr>
        <w:tblStyle w:val="32"/>
        <w:tblW w:w="154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11"/>
        <w:gridCol w:w="3376"/>
        <w:gridCol w:w="3627"/>
        <w:gridCol w:w="1965"/>
        <w:gridCol w:w="1284"/>
      </w:tblGrid>
      <w:tr w14:paraId="0F41C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48ACD32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Characteristic</w:t>
            </w:r>
          </w:p>
        </w:tc>
        <w:tc>
          <w:tcPr>
            <w:tcW w:w="0" w:type="auto"/>
            <w:tcBorders>
              <w:top w:val="single" w:color="000000" w:sz="8" w:space="0"/>
              <w:left w:val="nil"/>
              <w:bottom w:val="single" w:color="000000" w:sz="8" w:space="0"/>
              <w:right w:val="nil"/>
            </w:tcBorders>
            <w:shd w:val="clear" w:color="auto" w:fill="auto"/>
            <w:vAlign w:val="center"/>
          </w:tcPr>
          <w:p w14:paraId="76552A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Final Analytical (n=652)</w:t>
            </w:r>
          </w:p>
        </w:tc>
        <w:tc>
          <w:tcPr>
            <w:tcW w:w="0" w:type="auto"/>
            <w:tcBorders>
              <w:top w:val="single" w:color="000000" w:sz="8" w:space="0"/>
              <w:left w:val="nil"/>
              <w:bottom w:val="single" w:color="000000" w:sz="8" w:space="0"/>
              <w:right w:val="nil"/>
            </w:tcBorders>
            <w:shd w:val="clear" w:color="auto" w:fill="auto"/>
            <w:vAlign w:val="center"/>
          </w:tcPr>
          <w:p w14:paraId="5B88941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Lost to Follow-Up (n=277)</w:t>
            </w:r>
          </w:p>
        </w:tc>
        <w:tc>
          <w:tcPr>
            <w:tcW w:w="0" w:type="auto"/>
            <w:tcBorders>
              <w:top w:val="single" w:color="000000" w:sz="8" w:space="0"/>
              <w:left w:val="nil"/>
              <w:bottom w:val="single" w:color="000000" w:sz="8" w:space="0"/>
              <w:right w:val="nil"/>
            </w:tcBorders>
            <w:shd w:val="clear" w:color="auto" w:fill="auto"/>
            <w:vAlign w:val="center"/>
          </w:tcPr>
          <w:p w14:paraId="13F7A05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Test Statistic</w:t>
            </w:r>
          </w:p>
        </w:tc>
        <w:tc>
          <w:tcPr>
            <w:tcW w:w="1284" w:type="dxa"/>
            <w:tcBorders>
              <w:top w:val="single" w:color="000000" w:sz="8" w:space="0"/>
              <w:left w:val="nil"/>
              <w:bottom w:val="single" w:color="000000" w:sz="8" w:space="0"/>
              <w:right w:val="nil"/>
            </w:tcBorders>
            <w:shd w:val="clear" w:color="auto" w:fill="auto"/>
            <w:vAlign w:val="center"/>
          </w:tcPr>
          <w:p w14:paraId="3C99C5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p-value</w:t>
            </w:r>
          </w:p>
        </w:tc>
      </w:tr>
      <w:tr w14:paraId="4295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9EF73B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Age, years (Mean, SD)</w:t>
            </w:r>
          </w:p>
        </w:tc>
        <w:tc>
          <w:tcPr>
            <w:tcW w:w="0" w:type="auto"/>
            <w:tcBorders>
              <w:top w:val="nil"/>
              <w:left w:val="nil"/>
              <w:bottom w:val="nil"/>
              <w:right w:val="nil"/>
            </w:tcBorders>
            <w:shd w:val="clear" w:color="auto" w:fill="auto"/>
            <w:vAlign w:val="center"/>
          </w:tcPr>
          <w:p w14:paraId="7C0CE3F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34.7 (8.9)</w:t>
            </w:r>
          </w:p>
        </w:tc>
        <w:tc>
          <w:tcPr>
            <w:tcW w:w="0" w:type="auto"/>
            <w:tcBorders>
              <w:top w:val="nil"/>
              <w:left w:val="nil"/>
              <w:bottom w:val="nil"/>
              <w:right w:val="nil"/>
            </w:tcBorders>
            <w:shd w:val="clear" w:color="auto" w:fill="auto"/>
            <w:vAlign w:val="center"/>
          </w:tcPr>
          <w:p w14:paraId="3A3EB31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35.1 (9.3)</w:t>
            </w:r>
          </w:p>
        </w:tc>
        <w:tc>
          <w:tcPr>
            <w:tcW w:w="0" w:type="auto"/>
            <w:tcBorders>
              <w:top w:val="nil"/>
              <w:left w:val="nil"/>
              <w:bottom w:val="nil"/>
              <w:right w:val="nil"/>
            </w:tcBorders>
            <w:shd w:val="clear" w:color="auto" w:fill="auto"/>
            <w:vAlign w:val="center"/>
          </w:tcPr>
          <w:p w14:paraId="3496781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t(927) = 0.63</w:t>
            </w:r>
          </w:p>
        </w:tc>
        <w:tc>
          <w:tcPr>
            <w:tcW w:w="1284" w:type="dxa"/>
            <w:tcBorders>
              <w:top w:val="nil"/>
              <w:left w:val="nil"/>
              <w:bottom w:val="nil"/>
              <w:right w:val="nil"/>
            </w:tcBorders>
            <w:shd w:val="clear" w:color="auto" w:fill="auto"/>
            <w:vAlign w:val="center"/>
          </w:tcPr>
          <w:p w14:paraId="0F92CD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0.531</w:t>
            </w:r>
          </w:p>
        </w:tc>
      </w:tr>
      <w:tr w14:paraId="0980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D0346D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Gender, % Female</w:t>
            </w:r>
          </w:p>
        </w:tc>
        <w:tc>
          <w:tcPr>
            <w:tcW w:w="0" w:type="auto"/>
            <w:tcBorders>
              <w:top w:val="nil"/>
              <w:left w:val="nil"/>
              <w:bottom w:val="nil"/>
              <w:right w:val="nil"/>
            </w:tcBorders>
            <w:shd w:val="clear" w:color="auto" w:fill="auto"/>
            <w:vAlign w:val="center"/>
          </w:tcPr>
          <w:p w14:paraId="31299F3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71.60%</w:t>
            </w:r>
          </w:p>
        </w:tc>
        <w:tc>
          <w:tcPr>
            <w:tcW w:w="0" w:type="auto"/>
            <w:tcBorders>
              <w:top w:val="nil"/>
              <w:left w:val="nil"/>
              <w:bottom w:val="nil"/>
              <w:right w:val="nil"/>
            </w:tcBorders>
            <w:shd w:val="clear" w:color="auto" w:fill="auto"/>
            <w:vAlign w:val="center"/>
          </w:tcPr>
          <w:p w14:paraId="50C6D66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70.40%</w:t>
            </w:r>
          </w:p>
        </w:tc>
        <w:tc>
          <w:tcPr>
            <w:tcW w:w="0" w:type="auto"/>
            <w:tcBorders>
              <w:top w:val="nil"/>
              <w:left w:val="nil"/>
              <w:bottom w:val="nil"/>
              <w:right w:val="nil"/>
            </w:tcBorders>
            <w:shd w:val="clear" w:color="auto" w:fill="auto"/>
            <w:vAlign w:val="center"/>
          </w:tcPr>
          <w:p w14:paraId="5D43E0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χ²(1) = 0.15</w:t>
            </w:r>
          </w:p>
        </w:tc>
        <w:tc>
          <w:tcPr>
            <w:tcW w:w="1284" w:type="dxa"/>
            <w:tcBorders>
              <w:top w:val="nil"/>
              <w:left w:val="nil"/>
              <w:bottom w:val="nil"/>
              <w:right w:val="nil"/>
            </w:tcBorders>
            <w:shd w:val="clear" w:color="auto" w:fill="auto"/>
            <w:vAlign w:val="center"/>
          </w:tcPr>
          <w:p w14:paraId="75B1AB7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0.703</w:t>
            </w:r>
          </w:p>
        </w:tc>
      </w:tr>
      <w:tr w14:paraId="3B019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270E8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Occupation, % Nurse</w:t>
            </w:r>
          </w:p>
        </w:tc>
        <w:tc>
          <w:tcPr>
            <w:tcW w:w="0" w:type="auto"/>
            <w:tcBorders>
              <w:top w:val="nil"/>
              <w:left w:val="nil"/>
              <w:bottom w:val="nil"/>
              <w:right w:val="nil"/>
            </w:tcBorders>
            <w:shd w:val="clear" w:color="auto" w:fill="auto"/>
            <w:vAlign w:val="center"/>
          </w:tcPr>
          <w:p w14:paraId="224A053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62.00%</w:t>
            </w:r>
          </w:p>
        </w:tc>
        <w:tc>
          <w:tcPr>
            <w:tcW w:w="0" w:type="auto"/>
            <w:tcBorders>
              <w:top w:val="nil"/>
              <w:left w:val="nil"/>
              <w:bottom w:val="nil"/>
              <w:right w:val="nil"/>
            </w:tcBorders>
            <w:shd w:val="clear" w:color="auto" w:fill="auto"/>
            <w:vAlign w:val="center"/>
          </w:tcPr>
          <w:p w14:paraId="442609D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60.30%</w:t>
            </w:r>
          </w:p>
        </w:tc>
        <w:tc>
          <w:tcPr>
            <w:tcW w:w="0" w:type="auto"/>
            <w:tcBorders>
              <w:top w:val="nil"/>
              <w:left w:val="nil"/>
              <w:bottom w:val="nil"/>
              <w:right w:val="nil"/>
            </w:tcBorders>
            <w:shd w:val="clear" w:color="auto" w:fill="auto"/>
            <w:vAlign w:val="center"/>
          </w:tcPr>
          <w:p w14:paraId="605A487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χ²(2) = 0.25</w:t>
            </w:r>
          </w:p>
        </w:tc>
        <w:tc>
          <w:tcPr>
            <w:tcW w:w="1284" w:type="dxa"/>
            <w:tcBorders>
              <w:top w:val="nil"/>
              <w:left w:val="nil"/>
              <w:bottom w:val="nil"/>
              <w:right w:val="nil"/>
            </w:tcBorders>
            <w:shd w:val="clear" w:color="auto" w:fill="auto"/>
            <w:vAlign w:val="center"/>
          </w:tcPr>
          <w:p w14:paraId="1B914AE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0.882</w:t>
            </w:r>
          </w:p>
        </w:tc>
      </w:tr>
      <w:tr w14:paraId="27A4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54349D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Acute/Security-Sensitive Dept., %</w:t>
            </w:r>
          </w:p>
        </w:tc>
        <w:tc>
          <w:tcPr>
            <w:tcW w:w="0" w:type="auto"/>
            <w:tcBorders>
              <w:top w:val="nil"/>
              <w:left w:val="nil"/>
              <w:bottom w:val="nil"/>
              <w:right w:val="nil"/>
            </w:tcBorders>
            <w:shd w:val="clear" w:color="auto" w:fill="auto"/>
            <w:vAlign w:val="center"/>
          </w:tcPr>
          <w:p w14:paraId="7E09F9E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57.40%</w:t>
            </w:r>
          </w:p>
        </w:tc>
        <w:tc>
          <w:tcPr>
            <w:tcW w:w="0" w:type="auto"/>
            <w:tcBorders>
              <w:top w:val="nil"/>
              <w:left w:val="nil"/>
              <w:bottom w:val="nil"/>
              <w:right w:val="nil"/>
            </w:tcBorders>
            <w:shd w:val="clear" w:color="auto" w:fill="auto"/>
            <w:vAlign w:val="center"/>
          </w:tcPr>
          <w:p w14:paraId="31F6A9D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55.90%</w:t>
            </w:r>
          </w:p>
        </w:tc>
        <w:tc>
          <w:tcPr>
            <w:tcW w:w="0" w:type="auto"/>
            <w:tcBorders>
              <w:top w:val="nil"/>
              <w:left w:val="nil"/>
              <w:bottom w:val="nil"/>
              <w:right w:val="nil"/>
            </w:tcBorders>
            <w:shd w:val="clear" w:color="auto" w:fill="auto"/>
            <w:vAlign w:val="center"/>
          </w:tcPr>
          <w:p w14:paraId="53198A8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χ²(1) = 0.18</w:t>
            </w:r>
          </w:p>
        </w:tc>
        <w:tc>
          <w:tcPr>
            <w:tcW w:w="1284" w:type="dxa"/>
            <w:tcBorders>
              <w:top w:val="nil"/>
              <w:left w:val="nil"/>
              <w:bottom w:val="nil"/>
              <w:right w:val="nil"/>
            </w:tcBorders>
            <w:shd w:val="clear" w:color="auto" w:fill="auto"/>
            <w:vAlign w:val="center"/>
          </w:tcPr>
          <w:p w14:paraId="2C1A376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0.672</w:t>
            </w:r>
          </w:p>
        </w:tc>
      </w:tr>
      <w:tr w14:paraId="21623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F52959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Workplace Violence (T1, Mean, SD)</w:t>
            </w:r>
          </w:p>
        </w:tc>
        <w:tc>
          <w:tcPr>
            <w:tcW w:w="0" w:type="auto"/>
            <w:tcBorders>
              <w:top w:val="nil"/>
              <w:left w:val="nil"/>
              <w:bottom w:val="nil"/>
              <w:right w:val="nil"/>
            </w:tcBorders>
            <w:shd w:val="clear" w:color="auto" w:fill="auto"/>
            <w:vAlign w:val="center"/>
          </w:tcPr>
          <w:p w14:paraId="6DFF729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1.12 (0.62)</w:t>
            </w:r>
          </w:p>
        </w:tc>
        <w:tc>
          <w:tcPr>
            <w:tcW w:w="0" w:type="auto"/>
            <w:tcBorders>
              <w:top w:val="nil"/>
              <w:left w:val="nil"/>
              <w:bottom w:val="nil"/>
              <w:right w:val="nil"/>
            </w:tcBorders>
            <w:shd w:val="clear" w:color="auto" w:fill="auto"/>
            <w:vAlign w:val="center"/>
          </w:tcPr>
          <w:p w14:paraId="01340F0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1.18 (0.65)</w:t>
            </w:r>
          </w:p>
        </w:tc>
        <w:tc>
          <w:tcPr>
            <w:tcW w:w="0" w:type="auto"/>
            <w:tcBorders>
              <w:top w:val="nil"/>
              <w:left w:val="nil"/>
              <w:bottom w:val="nil"/>
              <w:right w:val="nil"/>
            </w:tcBorders>
            <w:shd w:val="clear" w:color="auto" w:fill="auto"/>
            <w:vAlign w:val="center"/>
          </w:tcPr>
          <w:p w14:paraId="1DBCC90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t(927) = 1.35</w:t>
            </w:r>
          </w:p>
        </w:tc>
        <w:tc>
          <w:tcPr>
            <w:tcW w:w="1284" w:type="dxa"/>
            <w:tcBorders>
              <w:top w:val="nil"/>
              <w:left w:val="nil"/>
              <w:bottom w:val="nil"/>
              <w:right w:val="nil"/>
            </w:tcBorders>
            <w:shd w:val="clear" w:color="auto" w:fill="auto"/>
            <w:vAlign w:val="center"/>
          </w:tcPr>
          <w:p w14:paraId="7AD1F3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0.177</w:t>
            </w:r>
          </w:p>
        </w:tc>
      </w:tr>
      <w:tr w14:paraId="1E3FF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E63B58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Perceived Safety Climate (T1, Mean, SD)</w:t>
            </w:r>
          </w:p>
        </w:tc>
        <w:tc>
          <w:tcPr>
            <w:tcW w:w="0" w:type="auto"/>
            <w:tcBorders>
              <w:top w:val="nil"/>
              <w:left w:val="nil"/>
              <w:bottom w:val="nil"/>
              <w:right w:val="nil"/>
            </w:tcBorders>
            <w:shd w:val="clear" w:color="auto" w:fill="auto"/>
            <w:vAlign w:val="center"/>
          </w:tcPr>
          <w:p w14:paraId="159919D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3.47 (0.72)</w:t>
            </w:r>
          </w:p>
        </w:tc>
        <w:tc>
          <w:tcPr>
            <w:tcW w:w="0" w:type="auto"/>
            <w:tcBorders>
              <w:top w:val="nil"/>
              <w:left w:val="nil"/>
              <w:bottom w:val="nil"/>
              <w:right w:val="nil"/>
            </w:tcBorders>
            <w:shd w:val="clear" w:color="auto" w:fill="auto"/>
            <w:vAlign w:val="center"/>
          </w:tcPr>
          <w:p w14:paraId="64CFD1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3.42 (0.74)</w:t>
            </w:r>
          </w:p>
        </w:tc>
        <w:tc>
          <w:tcPr>
            <w:tcW w:w="0" w:type="auto"/>
            <w:tcBorders>
              <w:top w:val="nil"/>
              <w:left w:val="nil"/>
              <w:bottom w:val="nil"/>
              <w:right w:val="nil"/>
            </w:tcBorders>
            <w:shd w:val="clear" w:color="auto" w:fill="auto"/>
            <w:vAlign w:val="center"/>
          </w:tcPr>
          <w:p w14:paraId="0693ED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t(927) = 0.98</w:t>
            </w:r>
          </w:p>
        </w:tc>
        <w:tc>
          <w:tcPr>
            <w:tcW w:w="1284" w:type="dxa"/>
            <w:tcBorders>
              <w:top w:val="nil"/>
              <w:left w:val="nil"/>
              <w:bottom w:val="nil"/>
              <w:right w:val="nil"/>
            </w:tcBorders>
            <w:shd w:val="clear" w:color="auto" w:fill="auto"/>
            <w:vAlign w:val="center"/>
          </w:tcPr>
          <w:p w14:paraId="51D0B77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0.328</w:t>
            </w:r>
          </w:p>
        </w:tc>
      </w:tr>
      <w:tr w14:paraId="3D983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979F46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Weekly Working Hours (Mean, SD)</w:t>
            </w:r>
          </w:p>
        </w:tc>
        <w:tc>
          <w:tcPr>
            <w:tcW w:w="0" w:type="auto"/>
            <w:tcBorders>
              <w:top w:val="nil"/>
              <w:left w:val="nil"/>
              <w:bottom w:val="nil"/>
              <w:right w:val="nil"/>
            </w:tcBorders>
            <w:shd w:val="clear" w:color="auto" w:fill="auto"/>
            <w:vAlign w:val="center"/>
          </w:tcPr>
          <w:p w14:paraId="0F03745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47.2 (9.8)</w:t>
            </w:r>
          </w:p>
        </w:tc>
        <w:tc>
          <w:tcPr>
            <w:tcW w:w="0" w:type="auto"/>
            <w:tcBorders>
              <w:top w:val="nil"/>
              <w:left w:val="nil"/>
              <w:bottom w:val="nil"/>
              <w:right w:val="nil"/>
            </w:tcBorders>
            <w:shd w:val="clear" w:color="auto" w:fill="auto"/>
            <w:vAlign w:val="center"/>
          </w:tcPr>
          <w:p w14:paraId="7135658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47.9 (10.1)</w:t>
            </w:r>
          </w:p>
        </w:tc>
        <w:tc>
          <w:tcPr>
            <w:tcW w:w="0" w:type="auto"/>
            <w:tcBorders>
              <w:top w:val="nil"/>
              <w:left w:val="nil"/>
              <w:bottom w:val="nil"/>
              <w:right w:val="nil"/>
            </w:tcBorders>
            <w:shd w:val="clear" w:color="auto" w:fill="auto"/>
            <w:vAlign w:val="center"/>
          </w:tcPr>
          <w:p w14:paraId="35D14AF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t(927) = 1.01</w:t>
            </w:r>
          </w:p>
        </w:tc>
        <w:tc>
          <w:tcPr>
            <w:tcW w:w="1284" w:type="dxa"/>
            <w:tcBorders>
              <w:top w:val="nil"/>
              <w:left w:val="nil"/>
              <w:bottom w:val="nil"/>
              <w:right w:val="nil"/>
            </w:tcBorders>
            <w:shd w:val="clear" w:color="auto" w:fill="auto"/>
            <w:vAlign w:val="center"/>
          </w:tcPr>
          <w:p w14:paraId="2BA7F96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0.314</w:t>
            </w:r>
          </w:p>
        </w:tc>
      </w:tr>
      <w:tr w14:paraId="3C8D3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73C721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Night Shifts/Month (Mean, SD)</w:t>
            </w:r>
          </w:p>
        </w:tc>
        <w:tc>
          <w:tcPr>
            <w:tcW w:w="0" w:type="auto"/>
            <w:tcBorders>
              <w:top w:val="nil"/>
              <w:left w:val="nil"/>
              <w:bottom w:val="nil"/>
              <w:right w:val="nil"/>
            </w:tcBorders>
            <w:shd w:val="clear" w:color="auto" w:fill="auto"/>
            <w:vAlign w:val="center"/>
          </w:tcPr>
          <w:p w14:paraId="76C24C7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4.6 (3.5)</w:t>
            </w:r>
          </w:p>
        </w:tc>
        <w:tc>
          <w:tcPr>
            <w:tcW w:w="0" w:type="auto"/>
            <w:tcBorders>
              <w:top w:val="nil"/>
              <w:left w:val="nil"/>
              <w:bottom w:val="nil"/>
              <w:right w:val="nil"/>
            </w:tcBorders>
            <w:shd w:val="clear" w:color="auto" w:fill="auto"/>
            <w:vAlign w:val="center"/>
          </w:tcPr>
          <w:p w14:paraId="499093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4.8 (3.6)</w:t>
            </w:r>
          </w:p>
        </w:tc>
        <w:tc>
          <w:tcPr>
            <w:tcW w:w="0" w:type="auto"/>
            <w:tcBorders>
              <w:top w:val="nil"/>
              <w:left w:val="nil"/>
              <w:bottom w:val="nil"/>
              <w:right w:val="nil"/>
            </w:tcBorders>
            <w:shd w:val="clear" w:color="auto" w:fill="auto"/>
            <w:vAlign w:val="center"/>
          </w:tcPr>
          <w:p w14:paraId="316BF3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t(927) = 0.80</w:t>
            </w:r>
          </w:p>
        </w:tc>
        <w:tc>
          <w:tcPr>
            <w:tcW w:w="1284" w:type="dxa"/>
            <w:tcBorders>
              <w:top w:val="nil"/>
              <w:left w:val="nil"/>
              <w:bottom w:val="nil"/>
              <w:right w:val="nil"/>
            </w:tcBorders>
            <w:shd w:val="clear" w:color="auto" w:fill="auto"/>
            <w:vAlign w:val="center"/>
          </w:tcPr>
          <w:p w14:paraId="19EAAB4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0.425</w:t>
            </w:r>
          </w:p>
        </w:tc>
      </w:tr>
      <w:tr w14:paraId="3FF2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11" w:type="dxa"/>
            <w:tcBorders>
              <w:top w:val="nil"/>
              <w:left w:val="nil"/>
              <w:bottom w:val="single" w:color="000000" w:sz="8" w:space="0"/>
              <w:right w:val="single" w:color="000000" w:sz="8" w:space="0"/>
            </w:tcBorders>
            <w:shd w:val="clear" w:color="auto" w:fill="auto"/>
            <w:vAlign w:val="center"/>
          </w:tcPr>
          <w:p w14:paraId="287116A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Prior Violence Training, %</w:t>
            </w:r>
          </w:p>
        </w:tc>
        <w:tc>
          <w:tcPr>
            <w:tcW w:w="3376" w:type="dxa"/>
            <w:tcBorders>
              <w:top w:val="nil"/>
              <w:left w:val="nil"/>
              <w:bottom w:val="single" w:color="000000" w:sz="8" w:space="0"/>
              <w:right w:val="nil"/>
            </w:tcBorders>
            <w:shd w:val="clear" w:color="auto" w:fill="auto"/>
            <w:vAlign w:val="center"/>
          </w:tcPr>
          <w:p w14:paraId="694FC31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65.00%</w:t>
            </w:r>
          </w:p>
        </w:tc>
        <w:tc>
          <w:tcPr>
            <w:tcW w:w="3627" w:type="dxa"/>
            <w:tcBorders>
              <w:top w:val="nil"/>
              <w:left w:val="nil"/>
              <w:bottom w:val="single" w:color="000000" w:sz="8" w:space="0"/>
              <w:right w:val="nil"/>
            </w:tcBorders>
            <w:shd w:val="clear" w:color="auto" w:fill="auto"/>
            <w:vAlign w:val="center"/>
          </w:tcPr>
          <w:p w14:paraId="778853B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63.20%</w:t>
            </w:r>
          </w:p>
        </w:tc>
        <w:tc>
          <w:tcPr>
            <w:tcW w:w="1965" w:type="dxa"/>
            <w:tcBorders>
              <w:top w:val="nil"/>
              <w:left w:val="nil"/>
              <w:bottom w:val="single" w:color="000000" w:sz="8" w:space="0"/>
              <w:right w:val="nil"/>
            </w:tcBorders>
            <w:shd w:val="clear" w:color="auto" w:fill="auto"/>
            <w:vAlign w:val="center"/>
          </w:tcPr>
          <w:p w14:paraId="2E62013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χ²(1) = 0.30</w:t>
            </w:r>
          </w:p>
        </w:tc>
        <w:tc>
          <w:tcPr>
            <w:tcW w:w="1284" w:type="dxa"/>
            <w:tcBorders>
              <w:top w:val="nil"/>
              <w:left w:val="nil"/>
              <w:bottom w:val="single" w:color="000000" w:sz="8" w:space="0"/>
              <w:right w:val="nil"/>
            </w:tcBorders>
            <w:shd w:val="clear" w:color="auto" w:fill="auto"/>
            <w:vAlign w:val="center"/>
          </w:tcPr>
          <w:p w14:paraId="10E2A05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0.586</w:t>
            </w:r>
          </w:p>
        </w:tc>
      </w:tr>
    </w:tbl>
    <w:p w14:paraId="459422FF">
      <w:pPr>
        <w:pStyle w:val="165"/>
        <w:widowControl/>
      </w:pPr>
      <w:r>
        <w:rPr>
          <w:rFonts w:ascii="Times New Roman" w:hAnsi="Times New Roman" w:eastAsia="Times New Roman"/>
          <w:i/>
          <w:color w:val="000000"/>
          <w:sz w:val="17"/>
        </w:rPr>
        <w:t xml:space="preserve">Note. </w:t>
      </w:r>
      <w:r>
        <w:rPr>
          <w:rFonts w:ascii="Times New Roman" w:hAnsi="Times New Roman" w:eastAsia="Times New Roman"/>
          <w:color w:val="000000"/>
          <w:sz w:val="17"/>
        </w:rPr>
        <w:t>SD = Standard Deviation; T1 = Time 1. No statistically significant differences were found between the groups, suggesting limited attrition bias.</w:t>
      </w:r>
    </w:p>
    <w:p w14:paraId="5ADD5991">
      <w:pPr>
        <w:widowControl/>
      </w:pPr>
      <w:r>
        <w:br w:type="page"/>
      </w:r>
    </w:p>
    <w:p w14:paraId="515F3785">
      <w:pPr>
        <w:pStyle w:val="164"/>
        <w:keepNext/>
        <w:widowControl/>
      </w:pPr>
      <w:r>
        <w:rPr>
          <w:rFonts w:ascii="Times New Roman" w:hAnsi="Times New Roman" w:eastAsia="Times New Roman"/>
          <w:b/>
          <w:color w:val="000000"/>
          <w:sz w:val="20"/>
        </w:rPr>
        <w:t>Supplementary Table S2. Monte Carlo Design-Sensitivity Analysis Parameters for Sample Size Planning</w:t>
      </w:r>
    </w:p>
    <w:tbl>
      <w:tblPr>
        <w:tblStyle w:val="32"/>
        <w:tblW w:w="154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15"/>
        <w:gridCol w:w="11748"/>
      </w:tblGrid>
      <w:tr w14:paraId="7F55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545CDE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Parameter</w:t>
            </w:r>
          </w:p>
        </w:tc>
        <w:tc>
          <w:tcPr>
            <w:tcW w:w="11748" w:type="dxa"/>
            <w:tcBorders>
              <w:top w:val="single" w:color="000000" w:sz="8" w:space="0"/>
              <w:left w:val="nil"/>
              <w:bottom w:val="single" w:color="000000" w:sz="8" w:space="0"/>
              <w:right w:val="nil"/>
            </w:tcBorders>
            <w:shd w:val="clear" w:color="auto" w:fill="auto"/>
            <w:vAlign w:val="center"/>
          </w:tcPr>
          <w:p w14:paraId="002B441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Value / Specification</w:t>
            </w:r>
          </w:p>
        </w:tc>
      </w:tr>
      <w:tr w14:paraId="2541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09B5BB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Number of Replications</w:t>
            </w:r>
          </w:p>
        </w:tc>
        <w:tc>
          <w:tcPr>
            <w:tcW w:w="11748" w:type="dxa"/>
            <w:tcBorders>
              <w:top w:val="nil"/>
              <w:left w:val="nil"/>
              <w:bottom w:val="nil"/>
              <w:right w:val="nil"/>
            </w:tcBorders>
            <w:shd w:val="clear" w:color="auto" w:fill="auto"/>
            <w:vAlign w:val="center"/>
          </w:tcPr>
          <w:p w14:paraId="6DA74D6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2967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6552DB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Estimated Paths:</w:t>
            </w:r>
          </w:p>
        </w:tc>
        <w:tc>
          <w:tcPr>
            <w:tcW w:w="11748" w:type="dxa"/>
            <w:tcBorders>
              <w:top w:val="nil"/>
              <w:left w:val="nil"/>
              <w:bottom w:val="nil"/>
              <w:right w:val="nil"/>
            </w:tcBorders>
            <w:shd w:val="clear" w:color="auto" w:fill="auto"/>
            <w:vAlign w:val="center"/>
          </w:tcPr>
          <w:p w14:paraId="7341B13A">
            <w:pPr>
              <w:snapToGrid w:val="0"/>
              <w:ind w:left="0" w:leftChars="0" w:right="0" w:rightChars="0" w:firstLine="0" w:firstLineChars="0"/>
              <w:jc w:val="left"/>
              <w:rPr>
                <w:rFonts w:hint="default" w:ascii="Times New Roman" w:hAnsi="Times New Roman" w:eastAsia="宋体" w:cs="Times New Roman"/>
                <w:i w:val="0"/>
                <w:iCs w:val="0"/>
                <w:color w:val="000000"/>
                <w:sz w:val="18"/>
                <w:szCs w:val="22"/>
                <w:u w:val="none"/>
              </w:rPr>
            </w:pPr>
          </w:p>
        </w:tc>
      </w:tr>
      <w:tr w14:paraId="1FBA8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6BC554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a (WPV → Burnout)</w:t>
            </w:r>
          </w:p>
        </w:tc>
        <w:tc>
          <w:tcPr>
            <w:tcW w:w="11748" w:type="dxa"/>
            <w:tcBorders>
              <w:top w:val="nil"/>
              <w:left w:val="nil"/>
              <w:bottom w:val="nil"/>
              <w:right w:val="nil"/>
            </w:tcBorders>
            <w:shd w:val="clear" w:color="auto" w:fill="auto"/>
            <w:vAlign w:val="center"/>
          </w:tcPr>
          <w:p w14:paraId="7BB2387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0.30 (standardized)</w:t>
            </w:r>
          </w:p>
        </w:tc>
      </w:tr>
      <w:tr w14:paraId="3F55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1E5BA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b (Burnout → Turnover Intention)</w:t>
            </w:r>
          </w:p>
        </w:tc>
        <w:tc>
          <w:tcPr>
            <w:tcW w:w="11748" w:type="dxa"/>
            <w:tcBorders>
              <w:top w:val="nil"/>
              <w:left w:val="nil"/>
              <w:bottom w:val="nil"/>
              <w:right w:val="nil"/>
            </w:tcBorders>
            <w:shd w:val="clear" w:color="auto" w:fill="auto"/>
            <w:vAlign w:val="center"/>
          </w:tcPr>
          <w:p w14:paraId="0CFFEAF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0.25 (standardized)</w:t>
            </w:r>
          </w:p>
        </w:tc>
      </w:tr>
      <w:tr w14:paraId="66F28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CA8F82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c' (WPV → Turnover Intention)</w:t>
            </w:r>
          </w:p>
        </w:tc>
        <w:tc>
          <w:tcPr>
            <w:tcW w:w="11748" w:type="dxa"/>
            <w:tcBorders>
              <w:top w:val="nil"/>
              <w:left w:val="nil"/>
              <w:bottom w:val="nil"/>
              <w:right w:val="nil"/>
            </w:tcBorders>
            <w:shd w:val="clear" w:color="auto" w:fill="auto"/>
            <w:vAlign w:val="center"/>
          </w:tcPr>
          <w:p w14:paraId="1F2B36F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0.15 (standardized)</w:t>
            </w:r>
          </w:p>
        </w:tc>
      </w:tr>
      <w:tr w14:paraId="5A4A5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56E679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Moderation (WPV × PSC → Burnout)</w:t>
            </w:r>
          </w:p>
        </w:tc>
        <w:tc>
          <w:tcPr>
            <w:tcW w:w="11748" w:type="dxa"/>
            <w:tcBorders>
              <w:top w:val="nil"/>
              <w:left w:val="nil"/>
              <w:bottom w:val="nil"/>
              <w:right w:val="nil"/>
            </w:tcBorders>
            <w:shd w:val="clear" w:color="auto" w:fill="auto"/>
            <w:vAlign w:val="center"/>
          </w:tcPr>
          <w:p w14:paraId="36079A4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-0.10 (standardized)</w:t>
            </w:r>
          </w:p>
        </w:tc>
      </w:tr>
      <w:tr w14:paraId="5722B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7277A5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Sample Sizes Simulated</w:t>
            </w:r>
          </w:p>
        </w:tc>
        <w:tc>
          <w:tcPr>
            <w:tcW w:w="11748" w:type="dxa"/>
            <w:tcBorders>
              <w:top w:val="nil"/>
              <w:left w:val="nil"/>
              <w:bottom w:val="nil"/>
              <w:right w:val="nil"/>
            </w:tcBorders>
            <w:shd w:val="clear" w:color="auto" w:fill="auto"/>
            <w:vAlign w:val="center"/>
          </w:tcPr>
          <w:p w14:paraId="39E5A0B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500, 600, 650, 700, 800</w:t>
            </w:r>
          </w:p>
        </w:tc>
      </w:tr>
      <w:tr w14:paraId="5C02D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4A829D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Power Target</w:t>
            </w:r>
          </w:p>
        </w:tc>
        <w:tc>
          <w:tcPr>
            <w:tcW w:w="11748" w:type="dxa"/>
            <w:tcBorders>
              <w:top w:val="nil"/>
              <w:left w:val="nil"/>
              <w:bottom w:val="nil"/>
              <w:right w:val="nil"/>
            </w:tcBorders>
            <w:shd w:val="clear" w:color="auto" w:fill="auto"/>
            <w:vAlign w:val="center"/>
          </w:tcPr>
          <w:p w14:paraId="43D0F3C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Detect a conditional indirect effect of 0.03 (unstandardized) at α = 0.05</w:t>
            </w:r>
          </w:p>
        </w:tc>
      </w:tr>
      <w:tr w14:paraId="2A2A8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715" w:type="dxa"/>
            <w:tcBorders>
              <w:top w:val="nil"/>
              <w:left w:val="nil"/>
              <w:bottom w:val="single" w:color="000000" w:sz="8" w:space="0"/>
              <w:right w:val="single" w:color="000000" w:sz="8" w:space="0"/>
            </w:tcBorders>
            <w:shd w:val="clear" w:color="auto" w:fill="auto"/>
            <w:vAlign w:val="center"/>
          </w:tcPr>
          <w:p w14:paraId="36376CC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Result</w:t>
            </w:r>
          </w:p>
        </w:tc>
        <w:tc>
          <w:tcPr>
            <w:tcW w:w="11748" w:type="dxa"/>
            <w:tcBorders>
              <w:top w:val="nil"/>
              <w:left w:val="nil"/>
              <w:bottom w:val="single" w:color="000000" w:sz="8" w:space="0"/>
              <w:right w:val="nil"/>
            </w:tcBorders>
            <w:shd w:val="clear" w:color="auto" w:fill="auto"/>
            <w:vAlign w:val="center"/>
          </w:tcPr>
          <w:p w14:paraId="0B7D451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 sample size of approximately 600–650 provided adequate power (&gt;0.80) for detecting the hypothesized conditional indirect effect.</w:t>
            </w:r>
          </w:p>
        </w:tc>
      </w:tr>
    </w:tbl>
    <w:p w14:paraId="78E121A4">
      <w:pPr>
        <w:pStyle w:val="165"/>
        <w:widowControl/>
      </w:pPr>
      <w:r>
        <w:rPr>
          <w:rFonts w:ascii="Times New Roman" w:hAnsi="Times New Roman" w:eastAsia="Times New Roman"/>
          <w:i/>
          <w:color w:val="000000"/>
          <w:sz w:val="17"/>
        </w:rPr>
        <w:t xml:space="preserve">Note. </w:t>
      </w:r>
      <w:r>
        <w:rPr>
          <w:rFonts w:ascii="Times New Roman" w:hAnsi="Times New Roman" w:eastAsia="Times New Roman"/>
          <w:color w:val="000000"/>
          <w:sz w:val="17"/>
        </w:rPr>
        <w:t>WPV = Workplace Violence; PSC = Perceived Anti-Violence Safety Climate.</w:t>
      </w:r>
    </w:p>
    <w:p w14:paraId="3B9E8D3C">
      <w:pPr>
        <w:widowControl/>
      </w:pPr>
      <w:r>
        <w:br w:type="page"/>
      </w:r>
    </w:p>
    <w:p w14:paraId="219095DE">
      <w:pPr>
        <w:pStyle w:val="164"/>
        <w:keepNext/>
        <w:widowControl/>
      </w:pPr>
      <w:r>
        <w:rPr>
          <w:rFonts w:ascii="Times New Roman" w:hAnsi="Times New Roman" w:eastAsia="Times New Roman"/>
          <w:b/>
          <w:color w:val="000000"/>
          <w:sz w:val="20"/>
        </w:rPr>
        <w:t>Supplementary Table S3. Common Method Bias Diagnostics</w:t>
      </w:r>
    </w:p>
    <w:tbl>
      <w:tblPr>
        <w:tblStyle w:val="32"/>
        <w:tblW w:w="15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52"/>
        <w:gridCol w:w="507"/>
        <w:gridCol w:w="480"/>
        <w:gridCol w:w="480"/>
        <w:gridCol w:w="793"/>
        <w:gridCol w:w="793"/>
        <w:gridCol w:w="8242"/>
      </w:tblGrid>
      <w:tr w14:paraId="2577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0FD170E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Model</w:t>
            </w:r>
          </w:p>
        </w:tc>
        <w:tc>
          <w:tcPr>
            <w:tcW w:w="0" w:type="auto"/>
            <w:tcBorders>
              <w:top w:val="single" w:color="000000" w:sz="8" w:space="0"/>
              <w:left w:val="nil"/>
              <w:bottom w:val="single" w:color="000000" w:sz="8" w:space="0"/>
              <w:right w:val="nil"/>
            </w:tcBorders>
            <w:shd w:val="clear" w:color="auto" w:fill="auto"/>
            <w:vAlign w:val="center"/>
          </w:tcPr>
          <w:p w14:paraId="0B5A1B3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χ²/df</w:t>
            </w:r>
          </w:p>
        </w:tc>
        <w:tc>
          <w:tcPr>
            <w:tcW w:w="0" w:type="auto"/>
            <w:tcBorders>
              <w:top w:val="single" w:color="000000" w:sz="8" w:space="0"/>
              <w:left w:val="nil"/>
              <w:bottom w:val="single" w:color="000000" w:sz="8" w:space="0"/>
              <w:right w:val="nil"/>
            </w:tcBorders>
            <w:shd w:val="clear" w:color="auto" w:fill="auto"/>
            <w:vAlign w:val="center"/>
          </w:tcPr>
          <w:p w14:paraId="73068E6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CFI</w:t>
            </w:r>
          </w:p>
        </w:tc>
        <w:tc>
          <w:tcPr>
            <w:tcW w:w="0" w:type="auto"/>
            <w:tcBorders>
              <w:top w:val="single" w:color="000000" w:sz="8" w:space="0"/>
              <w:left w:val="nil"/>
              <w:bottom w:val="single" w:color="000000" w:sz="8" w:space="0"/>
              <w:right w:val="nil"/>
            </w:tcBorders>
            <w:shd w:val="clear" w:color="auto" w:fill="auto"/>
            <w:vAlign w:val="center"/>
          </w:tcPr>
          <w:p w14:paraId="67CC1A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TLI</w:t>
            </w:r>
          </w:p>
        </w:tc>
        <w:tc>
          <w:tcPr>
            <w:tcW w:w="0" w:type="auto"/>
            <w:tcBorders>
              <w:top w:val="single" w:color="000000" w:sz="8" w:space="0"/>
              <w:left w:val="nil"/>
              <w:bottom w:val="single" w:color="000000" w:sz="8" w:space="0"/>
              <w:right w:val="nil"/>
            </w:tcBorders>
            <w:shd w:val="clear" w:color="auto" w:fill="auto"/>
            <w:vAlign w:val="center"/>
          </w:tcPr>
          <w:p w14:paraId="40DBAD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RMSEA</w:t>
            </w:r>
          </w:p>
        </w:tc>
        <w:tc>
          <w:tcPr>
            <w:tcW w:w="0" w:type="auto"/>
            <w:tcBorders>
              <w:top w:val="single" w:color="000000" w:sz="8" w:space="0"/>
              <w:left w:val="nil"/>
              <w:bottom w:val="single" w:color="000000" w:sz="8" w:space="0"/>
              <w:right w:val="nil"/>
            </w:tcBorders>
            <w:shd w:val="clear" w:color="auto" w:fill="auto"/>
            <w:vAlign w:val="center"/>
          </w:tcPr>
          <w:p w14:paraId="2357279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SRMR</w:t>
            </w:r>
          </w:p>
        </w:tc>
        <w:tc>
          <w:tcPr>
            <w:tcW w:w="8242" w:type="dxa"/>
            <w:tcBorders>
              <w:top w:val="single" w:color="000000" w:sz="8" w:space="0"/>
              <w:left w:val="nil"/>
              <w:bottom w:val="single" w:color="000000" w:sz="8" w:space="0"/>
              <w:right w:val="nil"/>
            </w:tcBorders>
            <w:shd w:val="clear" w:color="auto" w:fill="auto"/>
            <w:vAlign w:val="center"/>
          </w:tcPr>
          <w:p w14:paraId="6DB4918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Interpretation</w:t>
            </w:r>
          </w:p>
        </w:tc>
      </w:tr>
      <w:tr w14:paraId="5DA7A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A904D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 Four-Factor Model (Hypothesized)</w:t>
            </w:r>
          </w:p>
        </w:tc>
        <w:tc>
          <w:tcPr>
            <w:tcW w:w="0" w:type="auto"/>
            <w:tcBorders>
              <w:top w:val="nil"/>
              <w:left w:val="nil"/>
              <w:bottom w:val="nil"/>
              <w:right w:val="nil"/>
            </w:tcBorders>
            <w:shd w:val="clear" w:color="auto" w:fill="auto"/>
            <w:vAlign w:val="center"/>
          </w:tcPr>
          <w:p w14:paraId="1A2C46A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2.34</w:t>
            </w:r>
          </w:p>
        </w:tc>
        <w:tc>
          <w:tcPr>
            <w:tcW w:w="0" w:type="auto"/>
            <w:tcBorders>
              <w:top w:val="nil"/>
              <w:left w:val="nil"/>
              <w:bottom w:val="nil"/>
              <w:right w:val="nil"/>
            </w:tcBorders>
            <w:shd w:val="clear" w:color="auto" w:fill="auto"/>
            <w:vAlign w:val="center"/>
          </w:tcPr>
          <w:p w14:paraId="6F67E5B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0.94</w:t>
            </w:r>
          </w:p>
        </w:tc>
        <w:tc>
          <w:tcPr>
            <w:tcW w:w="0" w:type="auto"/>
            <w:tcBorders>
              <w:top w:val="nil"/>
              <w:left w:val="nil"/>
              <w:bottom w:val="nil"/>
              <w:right w:val="nil"/>
            </w:tcBorders>
            <w:shd w:val="clear" w:color="auto" w:fill="auto"/>
            <w:vAlign w:val="center"/>
          </w:tcPr>
          <w:p w14:paraId="0370CC8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0.93</w:t>
            </w:r>
          </w:p>
        </w:tc>
        <w:tc>
          <w:tcPr>
            <w:tcW w:w="0" w:type="auto"/>
            <w:tcBorders>
              <w:top w:val="nil"/>
              <w:left w:val="nil"/>
              <w:bottom w:val="nil"/>
              <w:right w:val="nil"/>
            </w:tcBorders>
            <w:shd w:val="clear" w:color="auto" w:fill="auto"/>
            <w:vAlign w:val="center"/>
          </w:tcPr>
          <w:p w14:paraId="6752A5A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0.048</w:t>
            </w:r>
          </w:p>
        </w:tc>
        <w:tc>
          <w:tcPr>
            <w:tcW w:w="0" w:type="auto"/>
            <w:tcBorders>
              <w:top w:val="nil"/>
              <w:left w:val="nil"/>
              <w:bottom w:val="nil"/>
              <w:right w:val="nil"/>
            </w:tcBorders>
            <w:shd w:val="clear" w:color="auto" w:fill="auto"/>
            <w:vAlign w:val="center"/>
          </w:tcPr>
          <w:p w14:paraId="26D1C19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0.051</w:t>
            </w:r>
          </w:p>
        </w:tc>
        <w:tc>
          <w:tcPr>
            <w:tcW w:w="8242" w:type="dxa"/>
            <w:tcBorders>
              <w:top w:val="nil"/>
              <w:left w:val="nil"/>
              <w:bottom w:val="nil"/>
              <w:right w:val="nil"/>
            </w:tcBorders>
            <w:shd w:val="clear" w:color="auto" w:fill="auto"/>
            <w:vAlign w:val="center"/>
          </w:tcPr>
          <w:p w14:paraId="7308E0E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Baseline model with acceptable fit.</w:t>
            </w:r>
          </w:p>
        </w:tc>
      </w:tr>
      <w:tr w14:paraId="29817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65EC1C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 One-Factor Model (Harman's Single-Factor)</w:t>
            </w:r>
          </w:p>
        </w:tc>
        <w:tc>
          <w:tcPr>
            <w:tcW w:w="0" w:type="auto"/>
            <w:tcBorders>
              <w:top w:val="nil"/>
              <w:left w:val="nil"/>
              <w:bottom w:val="nil"/>
              <w:right w:val="nil"/>
            </w:tcBorders>
            <w:shd w:val="clear" w:color="auto" w:fill="auto"/>
            <w:vAlign w:val="center"/>
          </w:tcPr>
          <w:p w14:paraId="2BBA5D8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6.87</w:t>
            </w:r>
          </w:p>
        </w:tc>
        <w:tc>
          <w:tcPr>
            <w:tcW w:w="0" w:type="auto"/>
            <w:tcBorders>
              <w:top w:val="nil"/>
              <w:left w:val="nil"/>
              <w:bottom w:val="nil"/>
              <w:right w:val="nil"/>
            </w:tcBorders>
            <w:shd w:val="clear" w:color="auto" w:fill="auto"/>
            <w:vAlign w:val="center"/>
          </w:tcPr>
          <w:p w14:paraId="46F3B2D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0.68</w:t>
            </w:r>
          </w:p>
        </w:tc>
        <w:tc>
          <w:tcPr>
            <w:tcW w:w="0" w:type="auto"/>
            <w:tcBorders>
              <w:top w:val="nil"/>
              <w:left w:val="nil"/>
              <w:bottom w:val="nil"/>
              <w:right w:val="nil"/>
            </w:tcBorders>
            <w:shd w:val="clear" w:color="auto" w:fill="auto"/>
            <w:vAlign w:val="center"/>
          </w:tcPr>
          <w:p w14:paraId="3E89610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0.64</w:t>
            </w:r>
          </w:p>
        </w:tc>
        <w:tc>
          <w:tcPr>
            <w:tcW w:w="0" w:type="auto"/>
            <w:tcBorders>
              <w:top w:val="nil"/>
              <w:left w:val="nil"/>
              <w:bottom w:val="nil"/>
              <w:right w:val="nil"/>
            </w:tcBorders>
            <w:shd w:val="clear" w:color="auto" w:fill="auto"/>
            <w:vAlign w:val="center"/>
          </w:tcPr>
          <w:p w14:paraId="639164B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0.102</w:t>
            </w:r>
          </w:p>
        </w:tc>
        <w:tc>
          <w:tcPr>
            <w:tcW w:w="0" w:type="auto"/>
            <w:tcBorders>
              <w:top w:val="nil"/>
              <w:left w:val="nil"/>
              <w:bottom w:val="nil"/>
              <w:right w:val="nil"/>
            </w:tcBorders>
            <w:shd w:val="clear" w:color="auto" w:fill="auto"/>
            <w:vAlign w:val="center"/>
          </w:tcPr>
          <w:p w14:paraId="3D1198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0.128</w:t>
            </w:r>
          </w:p>
        </w:tc>
        <w:tc>
          <w:tcPr>
            <w:tcW w:w="8242" w:type="dxa"/>
            <w:tcBorders>
              <w:top w:val="nil"/>
              <w:left w:val="nil"/>
              <w:bottom w:val="nil"/>
              <w:right w:val="nil"/>
            </w:tcBorders>
            <w:shd w:val="clear" w:color="auto" w:fill="auto"/>
            <w:vAlign w:val="center"/>
          </w:tcPr>
          <w:p w14:paraId="7704B3A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Poor fit suggests no dominant common method factor.</w:t>
            </w:r>
          </w:p>
        </w:tc>
      </w:tr>
      <w:tr w14:paraId="07B2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272F63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 Four-Factor + Latent Method Factor</w:t>
            </w:r>
          </w:p>
        </w:tc>
        <w:tc>
          <w:tcPr>
            <w:tcW w:w="0" w:type="auto"/>
            <w:tcBorders>
              <w:top w:val="nil"/>
              <w:left w:val="nil"/>
              <w:bottom w:val="nil"/>
              <w:right w:val="nil"/>
            </w:tcBorders>
            <w:shd w:val="clear" w:color="auto" w:fill="auto"/>
            <w:vAlign w:val="center"/>
          </w:tcPr>
          <w:p w14:paraId="1E7709F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2.28</w:t>
            </w:r>
          </w:p>
        </w:tc>
        <w:tc>
          <w:tcPr>
            <w:tcW w:w="0" w:type="auto"/>
            <w:tcBorders>
              <w:top w:val="nil"/>
              <w:left w:val="nil"/>
              <w:bottom w:val="nil"/>
              <w:right w:val="nil"/>
            </w:tcBorders>
            <w:shd w:val="clear" w:color="auto" w:fill="auto"/>
            <w:vAlign w:val="center"/>
          </w:tcPr>
          <w:p w14:paraId="6AD2009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0.95</w:t>
            </w:r>
          </w:p>
        </w:tc>
        <w:tc>
          <w:tcPr>
            <w:tcW w:w="0" w:type="auto"/>
            <w:tcBorders>
              <w:top w:val="nil"/>
              <w:left w:val="nil"/>
              <w:bottom w:val="nil"/>
              <w:right w:val="nil"/>
            </w:tcBorders>
            <w:shd w:val="clear" w:color="auto" w:fill="auto"/>
            <w:vAlign w:val="center"/>
          </w:tcPr>
          <w:p w14:paraId="7B30FE2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0.94</w:t>
            </w:r>
          </w:p>
        </w:tc>
        <w:tc>
          <w:tcPr>
            <w:tcW w:w="0" w:type="auto"/>
            <w:tcBorders>
              <w:top w:val="nil"/>
              <w:left w:val="nil"/>
              <w:bottom w:val="nil"/>
              <w:right w:val="nil"/>
            </w:tcBorders>
            <w:shd w:val="clear" w:color="auto" w:fill="auto"/>
            <w:vAlign w:val="center"/>
          </w:tcPr>
          <w:p w14:paraId="2828DD7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0.046</w:t>
            </w:r>
          </w:p>
        </w:tc>
        <w:tc>
          <w:tcPr>
            <w:tcW w:w="0" w:type="auto"/>
            <w:tcBorders>
              <w:top w:val="nil"/>
              <w:left w:val="nil"/>
              <w:bottom w:val="nil"/>
              <w:right w:val="nil"/>
            </w:tcBorders>
            <w:shd w:val="clear" w:color="auto" w:fill="auto"/>
            <w:vAlign w:val="center"/>
          </w:tcPr>
          <w:p w14:paraId="5222730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0.048</w:t>
            </w:r>
          </w:p>
        </w:tc>
        <w:tc>
          <w:tcPr>
            <w:tcW w:w="8242" w:type="dxa"/>
            <w:tcBorders>
              <w:top w:val="nil"/>
              <w:left w:val="nil"/>
              <w:bottom w:val="nil"/>
              <w:right w:val="nil"/>
            </w:tcBorders>
            <w:shd w:val="clear" w:color="auto" w:fill="auto"/>
            <w:vAlign w:val="center"/>
          </w:tcPr>
          <w:p w14:paraId="3560C65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Fit improvement is minimal.</w:t>
            </w:r>
          </w:p>
        </w:tc>
      </w:tr>
      <w:tr w14:paraId="03F6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52" w:type="dxa"/>
            <w:tcBorders>
              <w:top w:val="nil"/>
              <w:left w:val="nil"/>
              <w:bottom w:val="single" w:color="000000" w:sz="8" w:space="0"/>
              <w:right w:val="single" w:color="000000" w:sz="8" w:space="0"/>
            </w:tcBorders>
            <w:shd w:val="clear" w:color="auto" w:fill="auto"/>
            <w:vAlign w:val="center"/>
          </w:tcPr>
          <w:p w14:paraId="07D1EE8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 Change in Standardized Path Coefficients (Model 3 vs Model 1)</w:t>
            </w:r>
          </w:p>
        </w:tc>
        <w:tc>
          <w:tcPr>
            <w:tcW w:w="507" w:type="dxa"/>
            <w:tcBorders>
              <w:top w:val="nil"/>
              <w:left w:val="nil"/>
              <w:bottom w:val="single" w:color="000000" w:sz="8" w:space="0"/>
              <w:right w:val="nil"/>
            </w:tcBorders>
            <w:shd w:val="clear" w:color="auto" w:fill="auto"/>
            <w:vAlign w:val="center"/>
          </w:tcPr>
          <w:p w14:paraId="7922A94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480" w:type="dxa"/>
            <w:tcBorders>
              <w:top w:val="nil"/>
              <w:left w:val="nil"/>
              <w:bottom w:val="single" w:color="000000" w:sz="8" w:space="0"/>
              <w:right w:val="nil"/>
            </w:tcBorders>
            <w:shd w:val="clear" w:color="auto" w:fill="auto"/>
            <w:vAlign w:val="center"/>
          </w:tcPr>
          <w:p w14:paraId="5394CF6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480" w:type="dxa"/>
            <w:tcBorders>
              <w:top w:val="nil"/>
              <w:left w:val="nil"/>
              <w:bottom w:val="single" w:color="000000" w:sz="8" w:space="0"/>
              <w:right w:val="nil"/>
            </w:tcBorders>
            <w:shd w:val="clear" w:color="auto" w:fill="auto"/>
            <w:vAlign w:val="center"/>
          </w:tcPr>
          <w:p w14:paraId="3B254B0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793" w:type="dxa"/>
            <w:tcBorders>
              <w:top w:val="nil"/>
              <w:left w:val="nil"/>
              <w:bottom w:val="single" w:color="000000" w:sz="8" w:space="0"/>
              <w:right w:val="nil"/>
            </w:tcBorders>
            <w:shd w:val="clear" w:color="auto" w:fill="auto"/>
            <w:vAlign w:val="center"/>
          </w:tcPr>
          <w:p w14:paraId="45432CA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793" w:type="dxa"/>
            <w:tcBorders>
              <w:top w:val="nil"/>
              <w:left w:val="nil"/>
              <w:bottom w:val="single" w:color="000000" w:sz="8" w:space="0"/>
              <w:right w:val="nil"/>
            </w:tcBorders>
            <w:shd w:val="clear" w:color="auto" w:fill="auto"/>
            <w:vAlign w:val="center"/>
          </w:tcPr>
          <w:p w14:paraId="332F6A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242" w:type="dxa"/>
            <w:tcBorders>
              <w:top w:val="nil"/>
              <w:left w:val="nil"/>
              <w:bottom w:val="single" w:color="000000" w:sz="8" w:space="0"/>
              <w:right w:val="nil"/>
            </w:tcBorders>
            <w:shd w:val="clear" w:color="auto" w:fill="auto"/>
            <w:vAlign w:val="center"/>
          </w:tcPr>
          <w:p w14:paraId="121FD55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Maximum absolute change in standardized beta &lt; 0.02, indicating that the addition of a method factor does not materially alter the substantive conclusions.</w:t>
            </w:r>
          </w:p>
        </w:tc>
      </w:tr>
    </w:tbl>
    <w:p w14:paraId="0F919657">
      <w:pPr>
        <w:pStyle w:val="165"/>
        <w:widowControl/>
      </w:pPr>
      <w:r>
        <w:rPr>
          <w:rFonts w:ascii="Times New Roman" w:hAnsi="Times New Roman" w:eastAsia="Times New Roman"/>
          <w:i/>
          <w:color w:val="000000"/>
          <w:sz w:val="17"/>
        </w:rPr>
        <w:t xml:space="preserve">Note. </w:t>
      </w:r>
      <w:r>
        <w:rPr>
          <w:rFonts w:ascii="Times New Roman" w:hAnsi="Times New Roman" w:eastAsia="Times New Roman"/>
          <w:color w:val="000000"/>
          <w:sz w:val="17"/>
        </w:rPr>
        <w:t>CFI = Comparative Fit Index; TLI = Tucker-Lewis Index; RMSEA = Root Mean Square Error of Approximation; SRMR = Standardized Root Mean Square Residual. These results indicate that common method bias is unlikely to be a significant threat to the validity of our findings.</w:t>
      </w:r>
    </w:p>
    <w:p w14:paraId="03A63227">
      <w:pPr>
        <w:widowControl/>
      </w:pPr>
      <w:r>
        <w:br w:type="page"/>
      </w:r>
    </w:p>
    <w:p w14:paraId="11904866">
      <w:pPr>
        <w:pStyle w:val="164"/>
        <w:keepNext/>
        <w:widowControl/>
      </w:pPr>
      <w:r>
        <w:rPr>
          <w:rFonts w:ascii="Times New Roman" w:hAnsi="Times New Roman" w:eastAsia="Times New Roman"/>
          <w:b/>
          <w:color w:val="000000"/>
          <w:sz w:val="20"/>
        </w:rPr>
        <w:t>Supplementary Table S4. Item-Level Standardized Loadings from the Measurement Model (CFA)</w:t>
      </w:r>
    </w:p>
    <w:tbl>
      <w:tblPr>
        <w:tblStyle w:val="32"/>
        <w:tblW w:w="154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5"/>
        <w:gridCol w:w="5210"/>
        <w:gridCol w:w="2023"/>
        <w:gridCol w:w="900"/>
        <w:gridCol w:w="1325"/>
      </w:tblGrid>
      <w:tr w14:paraId="14D4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2F22172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Construct</w:t>
            </w:r>
          </w:p>
        </w:tc>
        <w:tc>
          <w:tcPr>
            <w:tcW w:w="0" w:type="auto"/>
            <w:tcBorders>
              <w:top w:val="single" w:color="000000" w:sz="8" w:space="0"/>
              <w:left w:val="nil"/>
              <w:bottom w:val="single" w:color="000000" w:sz="8" w:space="0"/>
              <w:right w:val="nil"/>
            </w:tcBorders>
            <w:shd w:val="clear" w:color="auto" w:fill="auto"/>
            <w:vAlign w:val="center"/>
          </w:tcPr>
          <w:p w14:paraId="503FDCA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Item/Indicator</w:t>
            </w:r>
          </w:p>
        </w:tc>
        <w:tc>
          <w:tcPr>
            <w:tcW w:w="0" w:type="auto"/>
            <w:tcBorders>
              <w:top w:val="single" w:color="000000" w:sz="8" w:space="0"/>
              <w:left w:val="nil"/>
              <w:bottom w:val="single" w:color="000000" w:sz="8" w:space="0"/>
              <w:right w:val="nil"/>
            </w:tcBorders>
            <w:shd w:val="clear" w:color="auto" w:fill="auto"/>
            <w:vAlign w:val="center"/>
          </w:tcPr>
          <w:p w14:paraId="1D4796F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Std. Loading</w:t>
            </w:r>
          </w:p>
        </w:tc>
        <w:tc>
          <w:tcPr>
            <w:tcW w:w="0" w:type="auto"/>
            <w:tcBorders>
              <w:top w:val="single" w:color="000000" w:sz="8" w:space="0"/>
              <w:left w:val="nil"/>
              <w:bottom w:val="single" w:color="000000" w:sz="8" w:space="0"/>
              <w:right w:val="nil"/>
            </w:tcBorders>
            <w:shd w:val="clear" w:color="auto" w:fill="auto"/>
            <w:vAlign w:val="center"/>
          </w:tcPr>
          <w:p w14:paraId="72354A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SE</w:t>
            </w:r>
          </w:p>
        </w:tc>
        <w:tc>
          <w:tcPr>
            <w:tcW w:w="1325" w:type="dxa"/>
            <w:tcBorders>
              <w:top w:val="single" w:color="000000" w:sz="8" w:space="0"/>
              <w:left w:val="nil"/>
              <w:bottom w:val="single" w:color="000000" w:sz="8" w:space="0"/>
              <w:right w:val="nil"/>
            </w:tcBorders>
            <w:shd w:val="clear" w:color="auto" w:fill="auto"/>
            <w:vAlign w:val="center"/>
          </w:tcPr>
          <w:p w14:paraId="52DB2F9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7"/>
                <w:szCs w:val="17"/>
                <w:u w:val="none"/>
              </w:rPr>
            </w:pPr>
            <w:r>
              <w:rPr>
                <w:rFonts w:hint="default" w:ascii="Times New Roman" w:hAnsi="Times New Roman" w:eastAsia="宋体" w:cs="Times New Roman"/>
                <w:b/>
                <w:bCs/>
                <w:i w:val="0"/>
                <w:iCs w:val="0"/>
                <w:color w:val="000000"/>
                <w:kern w:val="0"/>
                <w:sz w:val="17"/>
                <w:szCs w:val="17"/>
                <w:u w:val="none"/>
                <w:lang w:val="en-US" w:eastAsia="zh-CN" w:bidi="ar"/>
              </w:rPr>
              <w:t>p-value</w:t>
            </w:r>
          </w:p>
        </w:tc>
      </w:tr>
      <w:tr w14:paraId="6BEAE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E9133D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Workplace Violence (WPV)</w:t>
            </w:r>
          </w:p>
        </w:tc>
        <w:tc>
          <w:tcPr>
            <w:tcW w:w="0" w:type="auto"/>
            <w:tcBorders>
              <w:top w:val="nil"/>
              <w:left w:val="nil"/>
              <w:bottom w:val="nil"/>
              <w:right w:val="nil"/>
            </w:tcBorders>
            <w:shd w:val="clear" w:color="auto" w:fill="auto"/>
            <w:vAlign w:val="center"/>
          </w:tcPr>
          <w:p w14:paraId="2AD0CC9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WPV1 (Verbal Violence)</w:t>
            </w:r>
          </w:p>
        </w:tc>
        <w:tc>
          <w:tcPr>
            <w:tcW w:w="0" w:type="auto"/>
            <w:tcBorders>
              <w:top w:val="nil"/>
              <w:left w:val="nil"/>
              <w:bottom w:val="nil"/>
              <w:right w:val="nil"/>
            </w:tcBorders>
            <w:shd w:val="clear" w:color="auto" w:fill="auto"/>
            <w:vAlign w:val="center"/>
          </w:tcPr>
          <w:p w14:paraId="2FC8FDB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0.75</w:t>
            </w:r>
          </w:p>
        </w:tc>
        <w:tc>
          <w:tcPr>
            <w:tcW w:w="0" w:type="auto"/>
            <w:tcBorders>
              <w:top w:val="nil"/>
              <w:left w:val="nil"/>
              <w:bottom w:val="nil"/>
              <w:right w:val="nil"/>
            </w:tcBorders>
            <w:shd w:val="clear" w:color="auto" w:fill="auto"/>
            <w:vAlign w:val="center"/>
          </w:tcPr>
          <w:p w14:paraId="387E828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6E09437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5888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B612968">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6A3AC57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WPV2 (Verbal Violence)</w:t>
            </w:r>
          </w:p>
        </w:tc>
        <w:tc>
          <w:tcPr>
            <w:tcW w:w="0" w:type="auto"/>
            <w:tcBorders>
              <w:top w:val="nil"/>
              <w:left w:val="nil"/>
              <w:bottom w:val="nil"/>
              <w:right w:val="nil"/>
            </w:tcBorders>
            <w:shd w:val="clear" w:color="auto" w:fill="auto"/>
            <w:vAlign w:val="center"/>
          </w:tcPr>
          <w:p w14:paraId="073750D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0.72</w:t>
            </w:r>
          </w:p>
        </w:tc>
        <w:tc>
          <w:tcPr>
            <w:tcW w:w="0" w:type="auto"/>
            <w:tcBorders>
              <w:top w:val="nil"/>
              <w:left w:val="nil"/>
              <w:bottom w:val="nil"/>
              <w:right w:val="nil"/>
            </w:tcBorders>
            <w:shd w:val="clear" w:color="auto" w:fill="auto"/>
            <w:vAlign w:val="center"/>
          </w:tcPr>
          <w:p w14:paraId="3E74A9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120096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179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6F91DA7">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F333C5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WPV3 (Verbal Violence)</w:t>
            </w:r>
          </w:p>
        </w:tc>
        <w:tc>
          <w:tcPr>
            <w:tcW w:w="0" w:type="auto"/>
            <w:tcBorders>
              <w:top w:val="nil"/>
              <w:left w:val="nil"/>
              <w:bottom w:val="nil"/>
              <w:right w:val="nil"/>
            </w:tcBorders>
            <w:shd w:val="clear" w:color="auto" w:fill="auto"/>
            <w:vAlign w:val="center"/>
          </w:tcPr>
          <w:p w14:paraId="3F287B8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0.68</w:t>
            </w:r>
          </w:p>
        </w:tc>
        <w:tc>
          <w:tcPr>
            <w:tcW w:w="0" w:type="auto"/>
            <w:tcBorders>
              <w:top w:val="nil"/>
              <w:left w:val="nil"/>
              <w:bottom w:val="nil"/>
              <w:right w:val="nil"/>
            </w:tcBorders>
            <w:shd w:val="clear" w:color="auto" w:fill="auto"/>
            <w:vAlign w:val="center"/>
          </w:tcPr>
          <w:p w14:paraId="08C9654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199F698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2646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C340C1D">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22489B1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WPV4 (Verbal Violence)</w:t>
            </w:r>
          </w:p>
        </w:tc>
        <w:tc>
          <w:tcPr>
            <w:tcW w:w="0" w:type="auto"/>
            <w:tcBorders>
              <w:top w:val="nil"/>
              <w:left w:val="nil"/>
              <w:bottom w:val="nil"/>
              <w:right w:val="nil"/>
            </w:tcBorders>
            <w:shd w:val="clear" w:color="auto" w:fill="auto"/>
            <w:vAlign w:val="center"/>
          </w:tcPr>
          <w:p w14:paraId="61C575B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0.71</w:t>
            </w:r>
          </w:p>
        </w:tc>
        <w:tc>
          <w:tcPr>
            <w:tcW w:w="0" w:type="auto"/>
            <w:tcBorders>
              <w:top w:val="nil"/>
              <w:left w:val="nil"/>
              <w:bottom w:val="nil"/>
              <w:right w:val="nil"/>
            </w:tcBorders>
            <w:shd w:val="clear" w:color="auto" w:fill="auto"/>
            <w:vAlign w:val="center"/>
          </w:tcPr>
          <w:p w14:paraId="470FC02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3BACB9F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7C3A6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1A143F2">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5F1C90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WPV5 (Physical Violence)</w:t>
            </w:r>
          </w:p>
        </w:tc>
        <w:tc>
          <w:tcPr>
            <w:tcW w:w="0" w:type="auto"/>
            <w:tcBorders>
              <w:top w:val="nil"/>
              <w:left w:val="nil"/>
              <w:bottom w:val="nil"/>
              <w:right w:val="nil"/>
            </w:tcBorders>
            <w:shd w:val="clear" w:color="auto" w:fill="auto"/>
            <w:vAlign w:val="center"/>
          </w:tcPr>
          <w:p w14:paraId="64C3C4F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0.58</w:t>
            </w:r>
          </w:p>
        </w:tc>
        <w:tc>
          <w:tcPr>
            <w:tcW w:w="0" w:type="auto"/>
            <w:tcBorders>
              <w:top w:val="nil"/>
              <w:left w:val="nil"/>
              <w:bottom w:val="nil"/>
              <w:right w:val="nil"/>
            </w:tcBorders>
            <w:shd w:val="clear" w:color="auto" w:fill="auto"/>
            <w:vAlign w:val="center"/>
          </w:tcPr>
          <w:p w14:paraId="7E50546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2EEC28F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78DE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3EC071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0E3BF7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WPV6 (Physical Violence)</w:t>
            </w:r>
          </w:p>
        </w:tc>
        <w:tc>
          <w:tcPr>
            <w:tcW w:w="0" w:type="auto"/>
            <w:tcBorders>
              <w:top w:val="nil"/>
              <w:left w:val="nil"/>
              <w:bottom w:val="nil"/>
              <w:right w:val="nil"/>
            </w:tcBorders>
            <w:shd w:val="clear" w:color="auto" w:fill="auto"/>
            <w:vAlign w:val="center"/>
          </w:tcPr>
          <w:p w14:paraId="1FAFAF0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0.63</w:t>
            </w:r>
          </w:p>
        </w:tc>
        <w:tc>
          <w:tcPr>
            <w:tcW w:w="0" w:type="auto"/>
            <w:tcBorders>
              <w:top w:val="nil"/>
              <w:left w:val="nil"/>
              <w:bottom w:val="nil"/>
              <w:right w:val="nil"/>
            </w:tcBorders>
            <w:shd w:val="clear" w:color="auto" w:fill="auto"/>
            <w:vAlign w:val="center"/>
          </w:tcPr>
          <w:p w14:paraId="30DF5E3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2C9AC9F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7E33B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A10F06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ED3452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WPV7 (Physical Violence)</w:t>
            </w:r>
          </w:p>
        </w:tc>
        <w:tc>
          <w:tcPr>
            <w:tcW w:w="0" w:type="auto"/>
            <w:tcBorders>
              <w:top w:val="nil"/>
              <w:left w:val="nil"/>
              <w:bottom w:val="nil"/>
              <w:right w:val="nil"/>
            </w:tcBorders>
            <w:shd w:val="clear" w:color="auto" w:fill="auto"/>
            <w:vAlign w:val="center"/>
          </w:tcPr>
          <w:p w14:paraId="3996308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0.61</w:t>
            </w:r>
          </w:p>
        </w:tc>
        <w:tc>
          <w:tcPr>
            <w:tcW w:w="0" w:type="auto"/>
            <w:tcBorders>
              <w:top w:val="nil"/>
              <w:left w:val="nil"/>
              <w:bottom w:val="nil"/>
              <w:right w:val="nil"/>
            </w:tcBorders>
            <w:shd w:val="clear" w:color="auto" w:fill="auto"/>
            <w:vAlign w:val="center"/>
          </w:tcPr>
          <w:p w14:paraId="3F35559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0E95B9D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03FE6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E5F84FD">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0F9913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WPV8 (Physical Violence)</w:t>
            </w:r>
          </w:p>
        </w:tc>
        <w:tc>
          <w:tcPr>
            <w:tcW w:w="0" w:type="auto"/>
            <w:tcBorders>
              <w:top w:val="nil"/>
              <w:left w:val="nil"/>
              <w:bottom w:val="nil"/>
              <w:right w:val="nil"/>
            </w:tcBorders>
            <w:shd w:val="clear" w:color="auto" w:fill="auto"/>
            <w:vAlign w:val="center"/>
          </w:tcPr>
          <w:p w14:paraId="6815EDD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0.59</w:t>
            </w:r>
          </w:p>
        </w:tc>
        <w:tc>
          <w:tcPr>
            <w:tcW w:w="0" w:type="auto"/>
            <w:tcBorders>
              <w:top w:val="nil"/>
              <w:left w:val="nil"/>
              <w:bottom w:val="nil"/>
              <w:right w:val="nil"/>
            </w:tcBorders>
            <w:shd w:val="clear" w:color="auto" w:fill="auto"/>
            <w:vAlign w:val="center"/>
          </w:tcPr>
          <w:p w14:paraId="3E760A4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1FC1BB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31F2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FD6B90A">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23CF19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WPV9 (Sexual Harassment)</w:t>
            </w:r>
          </w:p>
        </w:tc>
        <w:tc>
          <w:tcPr>
            <w:tcW w:w="0" w:type="auto"/>
            <w:tcBorders>
              <w:top w:val="nil"/>
              <w:left w:val="nil"/>
              <w:bottom w:val="nil"/>
              <w:right w:val="nil"/>
            </w:tcBorders>
            <w:shd w:val="clear" w:color="auto" w:fill="auto"/>
            <w:vAlign w:val="center"/>
          </w:tcPr>
          <w:p w14:paraId="6F1D8A0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0.65</w:t>
            </w:r>
          </w:p>
        </w:tc>
        <w:tc>
          <w:tcPr>
            <w:tcW w:w="0" w:type="auto"/>
            <w:tcBorders>
              <w:top w:val="nil"/>
              <w:left w:val="nil"/>
              <w:bottom w:val="nil"/>
              <w:right w:val="nil"/>
            </w:tcBorders>
            <w:shd w:val="clear" w:color="auto" w:fill="auto"/>
            <w:vAlign w:val="center"/>
          </w:tcPr>
          <w:p w14:paraId="1AD350F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50191D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F71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64B6E09">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4145AB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WPV10 (Sexual Harassment)</w:t>
            </w:r>
          </w:p>
        </w:tc>
        <w:tc>
          <w:tcPr>
            <w:tcW w:w="0" w:type="auto"/>
            <w:tcBorders>
              <w:top w:val="nil"/>
              <w:left w:val="nil"/>
              <w:bottom w:val="nil"/>
              <w:right w:val="nil"/>
            </w:tcBorders>
            <w:shd w:val="clear" w:color="auto" w:fill="auto"/>
            <w:vAlign w:val="center"/>
          </w:tcPr>
          <w:p w14:paraId="0AFCA04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0.62</w:t>
            </w:r>
          </w:p>
        </w:tc>
        <w:tc>
          <w:tcPr>
            <w:tcW w:w="0" w:type="auto"/>
            <w:tcBorders>
              <w:top w:val="nil"/>
              <w:left w:val="nil"/>
              <w:bottom w:val="nil"/>
              <w:right w:val="nil"/>
            </w:tcBorders>
            <w:shd w:val="clear" w:color="auto" w:fill="auto"/>
            <w:vAlign w:val="center"/>
          </w:tcPr>
          <w:p w14:paraId="5468D91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41A0FF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779C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1855795">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03AF0D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WPV11 (Complaint/Online Aggression)</w:t>
            </w:r>
          </w:p>
        </w:tc>
        <w:tc>
          <w:tcPr>
            <w:tcW w:w="0" w:type="auto"/>
            <w:tcBorders>
              <w:top w:val="nil"/>
              <w:left w:val="nil"/>
              <w:bottom w:val="nil"/>
              <w:right w:val="nil"/>
            </w:tcBorders>
            <w:shd w:val="clear" w:color="auto" w:fill="auto"/>
            <w:vAlign w:val="center"/>
          </w:tcPr>
          <w:p w14:paraId="57FA117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0.79</w:t>
            </w:r>
          </w:p>
        </w:tc>
        <w:tc>
          <w:tcPr>
            <w:tcW w:w="0" w:type="auto"/>
            <w:tcBorders>
              <w:top w:val="nil"/>
              <w:left w:val="nil"/>
              <w:bottom w:val="nil"/>
              <w:right w:val="nil"/>
            </w:tcBorders>
            <w:shd w:val="clear" w:color="auto" w:fill="auto"/>
            <w:vAlign w:val="center"/>
          </w:tcPr>
          <w:p w14:paraId="5C93B20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5BBFB1D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4C9E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3C2A898">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FA659A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WPV12 (Complaint/Online Aggression)</w:t>
            </w:r>
          </w:p>
        </w:tc>
        <w:tc>
          <w:tcPr>
            <w:tcW w:w="0" w:type="auto"/>
            <w:tcBorders>
              <w:top w:val="nil"/>
              <w:left w:val="nil"/>
              <w:bottom w:val="nil"/>
              <w:right w:val="nil"/>
            </w:tcBorders>
            <w:shd w:val="clear" w:color="auto" w:fill="auto"/>
            <w:vAlign w:val="center"/>
          </w:tcPr>
          <w:p w14:paraId="33BEBB6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0.76</w:t>
            </w:r>
          </w:p>
        </w:tc>
        <w:tc>
          <w:tcPr>
            <w:tcW w:w="0" w:type="auto"/>
            <w:tcBorders>
              <w:top w:val="nil"/>
              <w:left w:val="nil"/>
              <w:bottom w:val="nil"/>
              <w:right w:val="nil"/>
            </w:tcBorders>
            <w:shd w:val="clear" w:color="auto" w:fill="auto"/>
            <w:vAlign w:val="center"/>
          </w:tcPr>
          <w:p w14:paraId="719D428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49131A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560B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44BDCF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Perceived Anti-Violence Safety Climate (PSC)</w:t>
            </w:r>
          </w:p>
        </w:tc>
        <w:tc>
          <w:tcPr>
            <w:tcW w:w="0" w:type="auto"/>
            <w:tcBorders>
              <w:top w:val="nil"/>
              <w:left w:val="nil"/>
              <w:bottom w:val="nil"/>
              <w:right w:val="nil"/>
            </w:tcBorders>
            <w:shd w:val="clear" w:color="auto" w:fill="auto"/>
            <w:vAlign w:val="center"/>
          </w:tcPr>
          <w:p w14:paraId="35B7D97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 (Leadership)</w:t>
            </w:r>
          </w:p>
        </w:tc>
        <w:tc>
          <w:tcPr>
            <w:tcW w:w="0" w:type="auto"/>
            <w:tcBorders>
              <w:top w:val="nil"/>
              <w:left w:val="nil"/>
              <w:bottom w:val="nil"/>
              <w:right w:val="nil"/>
            </w:tcBorders>
            <w:shd w:val="clear" w:color="auto" w:fill="auto"/>
            <w:vAlign w:val="center"/>
          </w:tcPr>
          <w:p w14:paraId="48B78C7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0.75</w:t>
            </w:r>
          </w:p>
        </w:tc>
        <w:tc>
          <w:tcPr>
            <w:tcW w:w="0" w:type="auto"/>
            <w:tcBorders>
              <w:top w:val="nil"/>
              <w:left w:val="nil"/>
              <w:bottom w:val="nil"/>
              <w:right w:val="nil"/>
            </w:tcBorders>
            <w:shd w:val="clear" w:color="auto" w:fill="auto"/>
            <w:vAlign w:val="center"/>
          </w:tcPr>
          <w:p w14:paraId="5678D29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07BFA2A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03455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4A6225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2823626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PSC2 (Leadership)</w:t>
            </w:r>
          </w:p>
        </w:tc>
        <w:tc>
          <w:tcPr>
            <w:tcW w:w="0" w:type="auto"/>
            <w:tcBorders>
              <w:top w:val="nil"/>
              <w:left w:val="nil"/>
              <w:bottom w:val="nil"/>
              <w:right w:val="nil"/>
            </w:tcBorders>
            <w:shd w:val="clear" w:color="auto" w:fill="auto"/>
            <w:vAlign w:val="center"/>
          </w:tcPr>
          <w:p w14:paraId="2A386CA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0.81</w:t>
            </w:r>
          </w:p>
        </w:tc>
        <w:tc>
          <w:tcPr>
            <w:tcW w:w="0" w:type="auto"/>
            <w:tcBorders>
              <w:top w:val="nil"/>
              <w:left w:val="nil"/>
              <w:bottom w:val="nil"/>
              <w:right w:val="nil"/>
            </w:tcBorders>
            <w:shd w:val="clear" w:color="auto" w:fill="auto"/>
            <w:vAlign w:val="center"/>
          </w:tcPr>
          <w:p w14:paraId="5E2D74F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5B5AC6E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7AC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CA3933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F141B2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PSC3 (Leadership)</w:t>
            </w:r>
          </w:p>
        </w:tc>
        <w:tc>
          <w:tcPr>
            <w:tcW w:w="0" w:type="auto"/>
            <w:tcBorders>
              <w:top w:val="nil"/>
              <w:left w:val="nil"/>
              <w:bottom w:val="nil"/>
              <w:right w:val="nil"/>
            </w:tcBorders>
            <w:shd w:val="clear" w:color="auto" w:fill="auto"/>
            <w:vAlign w:val="center"/>
          </w:tcPr>
          <w:p w14:paraId="523D279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0.78</w:t>
            </w:r>
          </w:p>
        </w:tc>
        <w:tc>
          <w:tcPr>
            <w:tcW w:w="0" w:type="auto"/>
            <w:tcBorders>
              <w:top w:val="nil"/>
              <w:left w:val="nil"/>
              <w:bottom w:val="nil"/>
              <w:right w:val="nil"/>
            </w:tcBorders>
            <w:shd w:val="clear" w:color="auto" w:fill="auto"/>
            <w:vAlign w:val="center"/>
          </w:tcPr>
          <w:p w14:paraId="46E094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7FCEA88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1A9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CA3BE06">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04572E0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PSC4 (Reporting)</w:t>
            </w:r>
          </w:p>
        </w:tc>
        <w:tc>
          <w:tcPr>
            <w:tcW w:w="0" w:type="auto"/>
            <w:tcBorders>
              <w:top w:val="nil"/>
              <w:left w:val="nil"/>
              <w:bottom w:val="nil"/>
              <w:right w:val="nil"/>
            </w:tcBorders>
            <w:shd w:val="clear" w:color="auto" w:fill="auto"/>
            <w:vAlign w:val="center"/>
          </w:tcPr>
          <w:p w14:paraId="72E9471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0.69</w:t>
            </w:r>
          </w:p>
        </w:tc>
        <w:tc>
          <w:tcPr>
            <w:tcW w:w="0" w:type="auto"/>
            <w:tcBorders>
              <w:top w:val="nil"/>
              <w:left w:val="nil"/>
              <w:bottom w:val="nil"/>
              <w:right w:val="nil"/>
            </w:tcBorders>
            <w:shd w:val="clear" w:color="auto" w:fill="auto"/>
            <w:vAlign w:val="center"/>
          </w:tcPr>
          <w:p w14:paraId="2BD7CF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4381116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6F4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9D9ABE3">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0B88E5E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PSC5 (Reporting)</w:t>
            </w:r>
          </w:p>
        </w:tc>
        <w:tc>
          <w:tcPr>
            <w:tcW w:w="0" w:type="auto"/>
            <w:tcBorders>
              <w:top w:val="nil"/>
              <w:left w:val="nil"/>
              <w:bottom w:val="nil"/>
              <w:right w:val="nil"/>
            </w:tcBorders>
            <w:shd w:val="clear" w:color="auto" w:fill="auto"/>
            <w:vAlign w:val="center"/>
          </w:tcPr>
          <w:p w14:paraId="3ACD98F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0.72</w:t>
            </w:r>
          </w:p>
        </w:tc>
        <w:tc>
          <w:tcPr>
            <w:tcW w:w="0" w:type="auto"/>
            <w:tcBorders>
              <w:top w:val="nil"/>
              <w:left w:val="nil"/>
              <w:bottom w:val="nil"/>
              <w:right w:val="nil"/>
            </w:tcBorders>
            <w:shd w:val="clear" w:color="auto" w:fill="auto"/>
            <w:vAlign w:val="center"/>
          </w:tcPr>
          <w:p w14:paraId="30D729B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20EC527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7267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60C3AA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3AEE244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PSC6 (Reporting)</w:t>
            </w:r>
          </w:p>
        </w:tc>
        <w:tc>
          <w:tcPr>
            <w:tcW w:w="0" w:type="auto"/>
            <w:tcBorders>
              <w:top w:val="nil"/>
              <w:left w:val="nil"/>
              <w:bottom w:val="nil"/>
              <w:right w:val="nil"/>
            </w:tcBorders>
            <w:shd w:val="clear" w:color="auto" w:fill="auto"/>
            <w:vAlign w:val="center"/>
          </w:tcPr>
          <w:p w14:paraId="0B64C9A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0.68</w:t>
            </w:r>
          </w:p>
        </w:tc>
        <w:tc>
          <w:tcPr>
            <w:tcW w:w="0" w:type="auto"/>
            <w:tcBorders>
              <w:top w:val="nil"/>
              <w:left w:val="nil"/>
              <w:bottom w:val="nil"/>
              <w:right w:val="nil"/>
            </w:tcBorders>
            <w:shd w:val="clear" w:color="auto" w:fill="auto"/>
            <w:vAlign w:val="center"/>
          </w:tcPr>
          <w:p w14:paraId="180E0CA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600ED19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09D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FB85751">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687CE3F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PSC7 (Non-blame)</w:t>
            </w:r>
          </w:p>
        </w:tc>
        <w:tc>
          <w:tcPr>
            <w:tcW w:w="0" w:type="auto"/>
            <w:tcBorders>
              <w:top w:val="nil"/>
              <w:left w:val="nil"/>
              <w:bottom w:val="nil"/>
              <w:right w:val="nil"/>
            </w:tcBorders>
            <w:shd w:val="clear" w:color="auto" w:fill="auto"/>
            <w:vAlign w:val="center"/>
          </w:tcPr>
          <w:p w14:paraId="6B9CF22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0.84</w:t>
            </w:r>
          </w:p>
        </w:tc>
        <w:tc>
          <w:tcPr>
            <w:tcW w:w="0" w:type="auto"/>
            <w:tcBorders>
              <w:top w:val="nil"/>
              <w:left w:val="nil"/>
              <w:bottom w:val="nil"/>
              <w:right w:val="nil"/>
            </w:tcBorders>
            <w:shd w:val="clear" w:color="auto" w:fill="auto"/>
            <w:vAlign w:val="center"/>
          </w:tcPr>
          <w:p w14:paraId="6DD8073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26DFBC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18C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C78F89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9855EC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PSC8 (Non-blame)</w:t>
            </w:r>
          </w:p>
        </w:tc>
        <w:tc>
          <w:tcPr>
            <w:tcW w:w="0" w:type="auto"/>
            <w:tcBorders>
              <w:top w:val="nil"/>
              <w:left w:val="nil"/>
              <w:bottom w:val="nil"/>
              <w:right w:val="nil"/>
            </w:tcBorders>
            <w:shd w:val="clear" w:color="auto" w:fill="auto"/>
            <w:vAlign w:val="center"/>
          </w:tcPr>
          <w:p w14:paraId="0DCC1DE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0.8</w:t>
            </w:r>
          </w:p>
        </w:tc>
        <w:tc>
          <w:tcPr>
            <w:tcW w:w="0" w:type="auto"/>
            <w:tcBorders>
              <w:top w:val="nil"/>
              <w:left w:val="nil"/>
              <w:bottom w:val="nil"/>
              <w:right w:val="nil"/>
            </w:tcBorders>
            <w:shd w:val="clear" w:color="auto" w:fill="auto"/>
            <w:vAlign w:val="center"/>
          </w:tcPr>
          <w:p w14:paraId="2FE1F68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33EF8EB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39C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FDE7D7E">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85EA2B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PSC9 (Non-blame)</w:t>
            </w:r>
          </w:p>
        </w:tc>
        <w:tc>
          <w:tcPr>
            <w:tcW w:w="0" w:type="auto"/>
            <w:tcBorders>
              <w:top w:val="nil"/>
              <w:left w:val="nil"/>
              <w:bottom w:val="nil"/>
              <w:right w:val="nil"/>
            </w:tcBorders>
            <w:shd w:val="clear" w:color="auto" w:fill="auto"/>
            <w:vAlign w:val="center"/>
          </w:tcPr>
          <w:p w14:paraId="3BC6626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0.77</w:t>
            </w:r>
          </w:p>
        </w:tc>
        <w:tc>
          <w:tcPr>
            <w:tcW w:w="0" w:type="auto"/>
            <w:tcBorders>
              <w:top w:val="nil"/>
              <w:left w:val="nil"/>
              <w:bottom w:val="nil"/>
              <w:right w:val="nil"/>
            </w:tcBorders>
            <w:shd w:val="clear" w:color="auto" w:fill="auto"/>
            <w:vAlign w:val="center"/>
          </w:tcPr>
          <w:p w14:paraId="1866050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7D876AF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5D5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8F715E2">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43BDF22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PSC10 (Response)</w:t>
            </w:r>
          </w:p>
        </w:tc>
        <w:tc>
          <w:tcPr>
            <w:tcW w:w="0" w:type="auto"/>
            <w:tcBorders>
              <w:top w:val="nil"/>
              <w:left w:val="nil"/>
              <w:bottom w:val="nil"/>
              <w:right w:val="nil"/>
            </w:tcBorders>
            <w:shd w:val="clear" w:color="auto" w:fill="auto"/>
            <w:vAlign w:val="center"/>
          </w:tcPr>
          <w:p w14:paraId="5104485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w:t>
            </w:r>
          </w:p>
        </w:tc>
        <w:tc>
          <w:tcPr>
            <w:tcW w:w="0" w:type="auto"/>
            <w:tcBorders>
              <w:top w:val="nil"/>
              <w:left w:val="nil"/>
              <w:bottom w:val="nil"/>
              <w:right w:val="nil"/>
            </w:tcBorders>
            <w:shd w:val="clear" w:color="auto" w:fill="auto"/>
            <w:vAlign w:val="center"/>
          </w:tcPr>
          <w:p w14:paraId="1DF6D30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40A38F1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F96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FE6AB8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39A5A83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PSC11 (Response)</w:t>
            </w:r>
          </w:p>
        </w:tc>
        <w:tc>
          <w:tcPr>
            <w:tcW w:w="0" w:type="auto"/>
            <w:tcBorders>
              <w:top w:val="nil"/>
              <w:left w:val="nil"/>
              <w:bottom w:val="nil"/>
              <w:right w:val="nil"/>
            </w:tcBorders>
            <w:shd w:val="clear" w:color="auto" w:fill="auto"/>
            <w:vAlign w:val="center"/>
          </w:tcPr>
          <w:p w14:paraId="076015C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0.73</w:t>
            </w:r>
          </w:p>
        </w:tc>
        <w:tc>
          <w:tcPr>
            <w:tcW w:w="0" w:type="auto"/>
            <w:tcBorders>
              <w:top w:val="nil"/>
              <w:left w:val="nil"/>
              <w:bottom w:val="nil"/>
              <w:right w:val="nil"/>
            </w:tcBorders>
            <w:shd w:val="clear" w:color="auto" w:fill="auto"/>
            <w:vAlign w:val="center"/>
          </w:tcPr>
          <w:p w14:paraId="61CBF22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154BC14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766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DEC1CA6">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2A15B3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PSC12 (Response)</w:t>
            </w:r>
          </w:p>
        </w:tc>
        <w:tc>
          <w:tcPr>
            <w:tcW w:w="0" w:type="auto"/>
            <w:tcBorders>
              <w:top w:val="nil"/>
              <w:left w:val="nil"/>
              <w:bottom w:val="nil"/>
              <w:right w:val="nil"/>
            </w:tcBorders>
            <w:shd w:val="clear" w:color="auto" w:fill="auto"/>
            <w:vAlign w:val="center"/>
          </w:tcPr>
          <w:p w14:paraId="01E7C98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0.65</w:t>
            </w:r>
          </w:p>
        </w:tc>
        <w:tc>
          <w:tcPr>
            <w:tcW w:w="0" w:type="auto"/>
            <w:tcBorders>
              <w:top w:val="nil"/>
              <w:left w:val="nil"/>
              <w:bottom w:val="nil"/>
              <w:right w:val="nil"/>
            </w:tcBorders>
            <w:shd w:val="clear" w:color="auto" w:fill="auto"/>
            <w:vAlign w:val="center"/>
          </w:tcPr>
          <w:p w14:paraId="6686948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64EC477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618BB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291239E">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2A0DAC6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PSC13 (Training)</w:t>
            </w:r>
          </w:p>
        </w:tc>
        <w:tc>
          <w:tcPr>
            <w:tcW w:w="0" w:type="auto"/>
            <w:tcBorders>
              <w:top w:val="nil"/>
              <w:left w:val="nil"/>
              <w:bottom w:val="nil"/>
              <w:right w:val="nil"/>
            </w:tcBorders>
            <w:shd w:val="clear" w:color="auto" w:fill="auto"/>
            <w:vAlign w:val="center"/>
          </w:tcPr>
          <w:p w14:paraId="0D0CFA4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w:t>
            </w:r>
          </w:p>
        </w:tc>
        <w:tc>
          <w:tcPr>
            <w:tcW w:w="0" w:type="auto"/>
            <w:tcBorders>
              <w:top w:val="nil"/>
              <w:left w:val="nil"/>
              <w:bottom w:val="nil"/>
              <w:right w:val="nil"/>
            </w:tcBorders>
            <w:shd w:val="clear" w:color="auto" w:fill="auto"/>
            <w:vAlign w:val="center"/>
          </w:tcPr>
          <w:p w14:paraId="67AB1D9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6B26EFD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438D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832682C">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E4A5E4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PSC14 (Training)</w:t>
            </w:r>
          </w:p>
        </w:tc>
        <w:tc>
          <w:tcPr>
            <w:tcW w:w="0" w:type="auto"/>
            <w:tcBorders>
              <w:top w:val="nil"/>
              <w:left w:val="nil"/>
              <w:bottom w:val="nil"/>
              <w:right w:val="nil"/>
            </w:tcBorders>
            <w:shd w:val="clear" w:color="auto" w:fill="auto"/>
            <w:vAlign w:val="center"/>
          </w:tcPr>
          <w:p w14:paraId="3D505ED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0.63</w:t>
            </w:r>
          </w:p>
        </w:tc>
        <w:tc>
          <w:tcPr>
            <w:tcW w:w="0" w:type="auto"/>
            <w:tcBorders>
              <w:top w:val="nil"/>
              <w:left w:val="nil"/>
              <w:bottom w:val="nil"/>
              <w:right w:val="nil"/>
            </w:tcBorders>
            <w:shd w:val="clear" w:color="auto" w:fill="auto"/>
            <w:vAlign w:val="center"/>
          </w:tcPr>
          <w:p w14:paraId="1D81C6E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62C4F18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BE29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DD9BD49">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C3705D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PSC15 (Training)</w:t>
            </w:r>
          </w:p>
        </w:tc>
        <w:tc>
          <w:tcPr>
            <w:tcW w:w="0" w:type="auto"/>
            <w:tcBorders>
              <w:top w:val="nil"/>
              <w:left w:val="nil"/>
              <w:bottom w:val="nil"/>
              <w:right w:val="nil"/>
            </w:tcBorders>
            <w:shd w:val="clear" w:color="auto" w:fill="auto"/>
            <w:vAlign w:val="center"/>
          </w:tcPr>
          <w:p w14:paraId="581FF66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0.66</w:t>
            </w:r>
          </w:p>
        </w:tc>
        <w:tc>
          <w:tcPr>
            <w:tcW w:w="0" w:type="auto"/>
            <w:tcBorders>
              <w:top w:val="nil"/>
              <w:left w:val="nil"/>
              <w:bottom w:val="nil"/>
              <w:right w:val="nil"/>
            </w:tcBorders>
            <w:shd w:val="clear" w:color="auto" w:fill="auto"/>
            <w:vAlign w:val="center"/>
          </w:tcPr>
          <w:p w14:paraId="06123B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1410BD1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F77D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EF4443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Burnout (MBI-GS)</w:t>
            </w:r>
          </w:p>
        </w:tc>
        <w:tc>
          <w:tcPr>
            <w:tcW w:w="0" w:type="auto"/>
            <w:tcBorders>
              <w:top w:val="nil"/>
              <w:left w:val="nil"/>
              <w:bottom w:val="nil"/>
              <w:right w:val="nil"/>
            </w:tcBorders>
            <w:shd w:val="clear" w:color="auto" w:fill="auto"/>
            <w:vAlign w:val="center"/>
          </w:tcPr>
          <w:p w14:paraId="1BB4190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Exhaustion 1</w:t>
            </w:r>
          </w:p>
        </w:tc>
        <w:tc>
          <w:tcPr>
            <w:tcW w:w="0" w:type="auto"/>
            <w:tcBorders>
              <w:top w:val="nil"/>
              <w:left w:val="nil"/>
              <w:bottom w:val="nil"/>
              <w:right w:val="nil"/>
            </w:tcBorders>
            <w:shd w:val="clear" w:color="auto" w:fill="auto"/>
            <w:vAlign w:val="center"/>
          </w:tcPr>
          <w:p w14:paraId="040DDFE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0.75</w:t>
            </w:r>
          </w:p>
        </w:tc>
        <w:tc>
          <w:tcPr>
            <w:tcW w:w="0" w:type="auto"/>
            <w:tcBorders>
              <w:top w:val="nil"/>
              <w:left w:val="nil"/>
              <w:bottom w:val="nil"/>
              <w:right w:val="nil"/>
            </w:tcBorders>
            <w:shd w:val="clear" w:color="auto" w:fill="auto"/>
            <w:vAlign w:val="center"/>
          </w:tcPr>
          <w:p w14:paraId="14BB3C7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6B78B46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67854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EE123B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34DAB77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Exhaustion 2</w:t>
            </w:r>
          </w:p>
        </w:tc>
        <w:tc>
          <w:tcPr>
            <w:tcW w:w="0" w:type="auto"/>
            <w:tcBorders>
              <w:top w:val="nil"/>
              <w:left w:val="nil"/>
              <w:bottom w:val="nil"/>
              <w:right w:val="nil"/>
            </w:tcBorders>
            <w:shd w:val="clear" w:color="auto" w:fill="auto"/>
            <w:vAlign w:val="center"/>
          </w:tcPr>
          <w:p w14:paraId="75C044B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0.82</w:t>
            </w:r>
          </w:p>
        </w:tc>
        <w:tc>
          <w:tcPr>
            <w:tcW w:w="0" w:type="auto"/>
            <w:tcBorders>
              <w:top w:val="nil"/>
              <w:left w:val="nil"/>
              <w:bottom w:val="nil"/>
              <w:right w:val="nil"/>
            </w:tcBorders>
            <w:shd w:val="clear" w:color="auto" w:fill="auto"/>
            <w:vAlign w:val="center"/>
          </w:tcPr>
          <w:p w14:paraId="2CAA5AE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4A368A9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251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DB8ECF2">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24C06E2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Exhaustion 3</w:t>
            </w:r>
          </w:p>
        </w:tc>
        <w:tc>
          <w:tcPr>
            <w:tcW w:w="0" w:type="auto"/>
            <w:tcBorders>
              <w:top w:val="nil"/>
              <w:left w:val="nil"/>
              <w:bottom w:val="nil"/>
              <w:right w:val="nil"/>
            </w:tcBorders>
            <w:shd w:val="clear" w:color="auto" w:fill="auto"/>
            <w:vAlign w:val="center"/>
          </w:tcPr>
          <w:p w14:paraId="05B3A77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0.79</w:t>
            </w:r>
          </w:p>
        </w:tc>
        <w:tc>
          <w:tcPr>
            <w:tcW w:w="0" w:type="auto"/>
            <w:tcBorders>
              <w:top w:val="nil"/>
              <w:left w:val="nil"/>
              <w:bottom w:val="nil"/>
              <w:right w:val="nil"/>
            </w:tcBorders>
            <w:shd w:val="clear" w:color="auto" w:fill="auto"/>
            <w:vAlign w:val="center"/>
          </w:tcPr>
          <w:p w14:paraId="63A89A0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4B0F3A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950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07AA2BC">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109075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Exhaustion 4</w:t>
            </w:r>
          </w:p>
        </w:tc>
        <w:tc>
          <w:tcPr>
            <w:tcW w:w="0" w:type="auto"/>
            <w:tcBorders>
              <w:top w:val="nil"/>
              <w:left w:val="nil"/>
              <w:bottom w:val="nil"/>
              <w:right w:val="nil"/>
            </w:tcBorders>
            <w:shd w:val="clear" w:color="auto" w:fill="auto"/>
            <w:vAlign w:val="center"/>
          </w:tcPr>
          <w:p w14:paraId="5373D9F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0.71</w:t>
            </w:r>
          </w:p>
        </w:tc>
        <w:tc>
          <w:tcPr>
            <w:tcW w:w="0" w:type="auto"/>
            <w:tcBorders>
              <w:top w:val="nil"/>
              <w:left w:val="nil"/>
              <w:bottom w:val="nil"/>
              <w:right w:val="nil"/>
            </w:tcBorders>
            <w:shd w:val="clear" w:color="auto" w:fill="auto"/>
            <w:vAlign w:val="center"/>
          </w:tcPr>
          <w:p w14:paraId="706243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18C269F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3091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43A9A48">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0349431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Exhaustion 5</w:t>
            </w:r>
          </w:p>
        </w:tc>
        <w:tc>
          <w:tcPr>
            <w:tcW w:w="0" w:type="auto"/>
            <w:tcBorders>
              <w:top w:val="nil"/>
              <w:left w:val="nil"/>
              <w:bottom w:val="nil"/>
              <w:right w:val="nil"/>
            </w:tcBorders>
            <w:shd w:val="clear" w:color="auto" w:fill="auto"/>
            <w:vAlign w:val="center"/>
          </w:tcPr>
          <w:p w14:paraId="20DF2CF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0.68</w:t>
            </w:r>
          </w:p>
        </w:tc>
        <w:tc>
          <w:tcPr>
            <w:tcW w:w="0" w:type="auto"/>
            <w:tcBorders>
              <w:top w:val="nil"/>
              <w:left w:val="nil"/>
              <w:bottom w:val="nil"/>
              <w:right w:val="nil"/>
            </w:tcBorders>
            <w:shd w:val="clear" w:color="auto" w:fill="auto"/>
            <w:vAlign w:val="center"/>
          </w:tcPr>
          <w:p w14:paraId="16B624D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55DB507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01837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57524AC">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68EA73B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Cynicism 1</w:t>
            </w:r>
          </w:p>
        </w:tc>
        <w:tc>
          <w:tcPr>
            <w:tcW w:w="0" w:type="auto"/>
            <w:tcBorders>
              <w:top w:val="nil"/>
              <w:left w:val="nil"/>
              <w:bottom w:val="nil"/>
              <w:right w:val="nil"/>
            </w:tcBorders>
            <w:shd w:val="clear" w:color="auto" w:fill="auto"/>
            <w:vAlign w:val="center"/>
          </w:tcPr>
          <w:p w14:paraId="1B4DCD1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0.78</w:t>
            </w:r>
          </w:p>
        </w:tc>
        <w:tc>
          <w:tcPr>
            <w:tcW w:w="0" w:type="auto"/>
            <w:tcBorders>
              <w:top w:val="nil"/>
              <w:left w:val="nil"/>
              <w:bottom w:val="nil"/>
              <w:right w:val="nil"/>
            </w:tcBorders>
            <w:shd w:val="clear" w:color="auto" w:fill="auto"/>
            <w:vAlign w:val="center"/>
          </w:tcPr>
          <w:p w14:paraId="6F923CD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0.02</w:t>
            </w:r>
          </w:p>
        </w:tc>
        <w:tc>
          <w:tcPr>
            <w:tcW w:w="1325" w:type="dxa"/>
            <w:tcBorders>
              <w:top w:val="nil"/>
              <w:left w:val="nil"/>
              <w:bottom w:val="nil"/>
              <w:right w:val="nil"/>
            </w:tcBorders>
            <w:shd w:val="clear" w:color="auto" w:fill="auto"/>
            <w:vAlign w:val="center"/>
          </w:tcPr>
          <w:p w14:paraId="1A5AC21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1DC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60F1E10">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AA0F1B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Cynicism 2</w:t>
            </w:r>
          </w:p>
        </w:tc>
        <w:tc>
          <w:tcPr>
            <w:tcW w:w="0" w:type="auto"/>
            <w:tcBorders>
              <w:top w:val="nil"/>
              <w:left w:val="nil"/>
              <w:bottom w:val="nil"/>
              <w:right w:val="nil"/>
            </w:tcBorders>
            <w:shd w:val="clear" w:color="auto" w:fill="auto"/>
            <w:vAlign w:val="center"/>
          </w:tcPr>
          <w:p w14:paraId="171EFCF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0.74</w:t>
            </w:r>
          </w:p>
        </w:tc>
        <w:tc>
          <w:tcPr>
            <w:tcW w:w="0" w:type="auto"/>
            <w:tcBorders>
              <w:top w:val="nil"/>
              <w:left w:val="nil"/>
              <w:bottom w:val="nil"/>
              <w:right w:val="nil"/>
            </w:tcBorders>
            <w:shd w:val="clear" w:color="auto" w:fill="auto"/>
            <w:vAlign w:val="center"/>
          </w:tcPr>
          <w:p w14:paraId="1A561CD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0B8773F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724E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AE85A21">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B1AD43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Cynicism 3</w:t>
            </w:r>
          </w:p>
        </w:tc>
        <w:tc>
          <w:tcPr>
            <w:tcW w:w="0" w:type="auto"/>
            <w:tcBorders>
              <w:top w:val="nil"/>
              <w:left w:val="nil"/>
              <w:bottom w:val="nil"/>
              <w:right w:val="nil"/>
            </w:tcBorders>
            <w:shd w:val="clear" w:color="auto" w:fill="auto"/>
            <w:vAlign w:val="center"/>
          </w:tcPr>
          <w:p w14:paraId="15EEAF8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w:t>
            </w:r>
          </w:p>
        </w:tc>
        <w:tc>
          <w:tcPr>
            <w:tcW w:w="0" w:type="auto"/>
            <w:tcBorders>
              <w:top w:val="nil"/>
              <w:left w:val="nil"/>
              <w:bottom w:val="nil"/>
              <w:right w:val="nil"/>
            </w:tcBorders>
            <w:shd w:val="clear" w:color="auto" w:fill="auto"/>
            <w:vAlign w:val="center"/>
          </w:tcPr>
          <w:p w14:paraId="28F01D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1568164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63D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F3794A5">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304FAB3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Cynicism 4</w:t>
            </w:r>
          </w:p>
        </w:tc>
        <w:tc>
          <w:tcPr>
            <w:tcW w:w="0" w:type="auto"/>
            <w:tcBorders>
              <w:top w:val="nil"/>
              <w:left w:val="nil"/>
              <w:bottom w:val="nil"/>
              <w:right w:val="nil"/>
            </w:tcBorders>
            <w:shd w:val="clear" w:color="auto" w:fill="auto"/>
            <w:vAlign w:val="center"/>
          </w:tcPr>
          <w:p w14:paraId="6209EDC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0.72</w:t>
            </w:r>
          </w:p>
        </w:tc>
        <w:tc>
          <w:tcPr>
            <w:tcW w:w="0" w:type="auto"/>
            <w:tcBorders>
              <w:top w:val="nil"/>
              <w:left w:val="nil"/>
              <w:bottom w:val="nil"/>
              <w:right w:val="nil"/>
            </w:tcBorders>
            <w:shd w:val="clear" w:color="auto" w:fill="auto"/>
            <w:vAlign w:val="center"/>
          </w:tcPr>
          <w:p w14:paraId="22BEA4D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4644315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97D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E15E46D">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A08FAA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Cynicism 5</w:t>
            </w:r>
          </w:p>
        </w:tc>
        <w:tc>
          <w:tcPr>
            <w:tcW w:w="0" w:type="auto"/>
            <w:tcBorders>
              <w:top w:val="nil"/>
              <w:left w:val="nil"/>
              <w:bottom w:val="nil"/>
              <w:right w:val="nil"/>
            </w:tcBorders>
            <w:shd w:val="clear" w:color="auto" w:fill="auto"/>
            <w:vAlign w:val="center"/>
          </w:tcPr>
          <w:p w14:paraId="0FFDFEED">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0.65</w:t>
            </w:r>
          </w:p>
        </w:tc>
        <w:tc>
          <w:tcPr>
            <w:tcW w:w="0" w:type="auto"/>
            <w:tcBorders>
              <w:top w:val="nil"/>
              <w:left w:val="nil"/>
              <w:bottom w:val="nil"/>
              <w:right w:val="nil"/>
            </w:tcBorders>
            <w:shd w:val="clear" w:color="auto" w:fill="auto"/>
            <w:vAlign w:val="center"/>
          </w:tcPr>
          <w:p w14:paraId="558E639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7C624CB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6850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02F857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DD7EEF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1</w:t>
            </w:r>
          </w:p>
        </w:tc>
        <w:tc>
          <w:tcPr>
            <w:tcW w:w="0" w:type="auto"/>
            <w:tcBorders>
              <w:top w:val="nil"/>
              <w:left w:val="nil"/>
              <w:bottom w:val="nil"/>
              <w:right w:val="nil"/>
            </w:tcBorders>
            <w:shd w:val="clear" w:color="auto" w:fill="auto"/>
            <w:vAlign w:val="center"/>
          </w:tcPr>
          <w:p w14:paraId="04F7EB0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0.55</w:t>
            </w:r>
          </w:p>
        </w:tc>
        <w:tc>
          <w:tcPr>
            <w:tcW w:w="0" w:type="auto"/>
            <w:tcBorders>
              <w:top w:val="nil"/>
              <w:left w:val="nil"/>
              <w:bottom w:val="nil"/>
              <w:right w:val="nil"/>
            </w:tcBorders>
            <w:shd w:val="clear" w:color="auto" w:fill="auto"/>
            <w:vAlign w:val="center"/>
          </w:tcPr>
          <w:p w14:paraId="74F71EE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566CDF4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FE82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BF32ECE">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391DC73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2</w:t>
            </w:r>
          </w:p>
        </w:tc>
        <w:tc>
          <w:tcPr>
            <w:tcW w:w="0" w:type="auto"/>
            <w:tcBorders>
              <w:top w:val="nil"/>
              <w:left w:val="nil"/>
              <w:bottom w:val="nil"/>
              <w:right w:val="nil"/>
            </w:tcBorders>
            <w:shd w:val="clear" w:color="auto" w:fill="auto"/>
            <w:vAlign w:val="center"/>
          </w:tcPr>
          <w:p w14:paraId="35594D9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0.58</w:t>
            </w:r>
          </w:p>
        </w:tc>
        <w:tc>
          <w:tcPr>
            <w:tcW w:w="0" w:type="auto"/>
            <w:tcBorders>
              <w:top w:val="nil"/>
              <w:left w:val="nil"/>
              <w:bottom w:val="nil"/>
              <w:right w:val="nil"/>
            </w:tcBorders>
            <w:shd w:val="clear" w:color="auto" w:fill="auto"/>
            <w:vAlign w:val="center"/>
          </w:tcPr>
          <w:p w14:paraId="33F713A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339D801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A10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57E0CF4">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5CAB92D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3</w:t>
            </w:r>
          </w:p>
        </w:tc>
        <w:tc>
          <w:tcPr>
            <w:tcW w:w="0" w:type="auto"/>
            <w:tcBorders>
              <w:top w:val="nil"/>
              <w:left w:val="nil"/>
              <w:bottom w:val="nil"/>
              <w:right w:val="nil"/>
            </w:tcBorders>
            <w:shd w:val="clear" w:color="auto" w:fill="auto"/>
            <w:vAlign w:val="center"/>
          </w:tcPr>
          <w:p w14:paraId="23E5976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0.64</w:t>
            </w:r>
          </w:p>
        </w:tc>
        <w:tc>
          <w:tcPr>
            <w:tcW w:w="0" w:type="auto"/>
            <w:tcBorders>
              <w:top w:val="nil"/>
              <w:left w:val="nil"/>
              <w:bottom w:val="nil"/>
              <w:right w:val="nil"/>
            </w:tcBorders>
            <w:shd w:val="clear" w:color="auto" w:fill="auto"/>
            <w:vAlign w:val="center"/>
          </w:tcPr>
          <w:p w14:paraId="3DE8EF2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13A0C4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5F90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6599519">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085A8292">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4</w:t>
            </w:r>
          </w:p>
        </w:tc>
        <w:tc>
          <w:tcPr>
            <w:tcW w:w="0" w:type="auto"/>
            <w:tcBorders>
              <w:top w:val="nil"/>
              <w:left w:val="nil"/>
              <w:bottom w:val="nil"/>
              <w:right w:val="nil"/>
            </w:tcBorders>
            <w:shd w:val="clear" w:color="auto" w:fill="auto"/>
            <w:vAlign w:val="center"/>
          </w:tcPr>
          <w:p w14:paraId="10FE62C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0.62</w:t>
            </w:r>
          </w:p>
        </w:tc>
        <w:tc>
          <w:tcPr>
            <w:tcW w:w="0" w:type="auto"/>
            <w:tcBorders>
              <w:top w:val="nil"/>
              <w:left w:val="nil"/>
              <w:bottom w:val="nil"/>
              <w:right w:val="nil"/>
            </w:tcBorders>
            <w:shd w:val="clear" w:color="auto" w:fill="auto"/>
            <w:vAlign w:val="center"/>
          </w:tcPr>
          <w:p w14:paraId="4A7C5E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1557F1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7B4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05CCFAD0">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6F9E4DE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5</w:t>
            </w:r>
          </w:p>
        </w:tc>
        <w:tc>
          <w:tcPr>
            <w:tcW w:w="0" w:type="auto"/>
            <w:tcBorders>
              <w:top w:val="nil"/>
              <w:left w:val="nil"/>
              <w:bottom w:val="nil"/>
              <w:right w:val="nil"/>
            </w:tcBorders>
            <w:shd w:val="clear" w:color="auto" w:fill="auto"/>
            <w:vAlign w:val="center"/>
          </w:tcPr>
          <w:p w14:paraId="15CAA70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0.57</w:t>
            </w:r>
          </w:p>
        </w:tc>
        <w:tc>
          <w:tcPr>
            <w:tcW w:w="0" w:type="auto"/>
            <w:tcBorders>
              <w:top w:val="nil"/>
              <w:left w:val="nil"/>
              <w:bottom w:val="nil"/>
              <w:right w:val="nil"/>
            </w:tcBorders>
            <w:shd w:val="clear" w:color="auto" w:fill="auto"/>
            <w:vAlign w:val="center"/>
          </w:tcPr>
          <w:p w14:paraId="696C926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0.05</w:t>
            </w:r>
          </w:p>
        </w:tc>
        <w:tc>
          <w:tcPr>
            <w:tcW w:w="1325" w:type="dxa"/>
            <w:tcBorders>
              <w:top w:val="nil"/>
              <w:left w:val="nil"/>
              <w:bottom w:val="nil"/>
              <w:right w:val="nil"/>
            </w:tcBorders>
            <w:shd w:val="clear" w:color="auto" w:fill="auto"/>
            <w:vAlign w:val="center"/>
          </w:tcPr>
          <w:p w14:paraId="50E724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B8E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2D66B8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3E89AC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Reduced Efficacy 6</w:t>
            </w:r>
          </w:p>
        </w:tc>
        <w:tc>
          <w:tcPr>
            <w:tcW w:w="0" w:type="auto"/>
            <w:tcBorders>
              <w:top w:val="nil"/>
              <w:left w:val="nil"/>
              <w:bottom w:val="nil"/>
              <w:right w:val="nil"/>
            </w:tcBorders>
            <w:shd w:val="clear" w:color="auto" w:fill="auto"/>
            <w:vAlign w:val="center"/>
          </w:tcPr>
          <w:p w14:paraId="4794616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w:t>
            </w:r>
          </w:p>
        </w:tc>
        <w:tc>
          <w:tcPr>
            <w:tcW w:w="0" w:type="auto"/>
            <w:tcBorders>
              <w:top w:val="nil"/>
              <w:left w:val="nil"/>
              <w:bottom w:val="nil"/>
              <w:right w:val="nil"/>
            </w:tcBorders>
            <w:shd w:val="clear" w:color="auto" w:fill="auto"/>
            <w:vAlign w:val="center"/>
          </w:tcPr>
          <w:p w14:paraId="4103F51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6204B86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DB63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93E0F3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 Intention</w:t>
            </w:r>
          </w:p>
        </w:tc>
        <w:tc>
          <w:tcPr>
            <w:tcW w:w="0" w:type="auto"/>
            <w:tcBorders>
              <w:top w:val="nil"/>
              <w:left w:val="nil"/>
              <w:bottom w:val="nil"/>
              <w:right w:val="nil"/>
            </w:tcBorders>
            <w:shd w:val="clear" w:color="auto" w:fill="auto"/>
            <w:vAlign w:val="center"/>
          </w:tcPr>
          <w:p w14:paraId="639C81D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Turnover-Department 1</w:t>
            </w:r>
          </w:p>
        </w:tc>
        <w:tc>
          <w:tcPr>
            <w:tcW w:w="0" w:type="auto"/>
            <w:tcBorders>
              <w:top w:val="nil"/>
              <w:left w:val="nil"/>
              <w:bottom w:val="nil"/>
              <w:right w:val="nil"/>
            </w:tcBorders>
            <w:shd w:val="clear" w:color="auto" w:fill="auto"/>
            <w:vAlign w:val="center"/>
          </w:tcPr>
          <w:p w14:paraId="587841D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w:t>
            </w:r>
          </w:p>
        </w:tc>
        <w:tc>
          <w:tcPr>
            <w:tcW w:w="0" w:type="auto"/>
            <w:tcBorders>
              <w:top w:val="nil"/>
              <w:left w:val="nil"/>
              <w:bottom w:val="nil"/>
              <w:right w:val="nil"/>
            </w:tcBorders>
            <w:shd w:val="clear" w:color="auto" w:fill="auto"/>
            <w:vAlign w:val="center"/>
          </w:tcPr>
          <w:p w14:paraId="764A980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7D6E142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58E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58D2D5E">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08C926B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Turnover-Department 2</w:t>
            </w:r>
          </w:p>
        </w:tc>
        <w:tc>
          <w:tcPr>
            <w:tcW w:w="0" w:type="auto"/>
            <w:tcBorders>
              <w:top w:val="nil"/>
              <w:left w:val="nil"/>
              <w:bottom w:val="nil"/>
              <w:right w:val="nil"/>
            </w:tcBorders>
            <w:shd w:val="clear" w:color="auto" w:fill="auto"/>
            <w:vAlign w:val="center"/>
          </w:tcPr>
          <w:p w14:paraId="70BB8F7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0.78</w:t>
            </w:r>
          </w:p>
        </w:tc>
        <w:tc>
          <w:tcPr>
            <w:tcW w:w="0" w:type="auto"/>
            <w:tcBorders>
              <w:top w:val="nil"/>
              <w:left w:val="nil"/>
              <w:bottom w:val="nil"/>
              <w:right w:val="nil"/>
            </w:tcBorders>
            <w:shd w:val="clear" w:color="auto" w:fill="auto"/>
            <w:vAlign w:val="center"/>
          </w:tcPr>
          <w:p w14:paraId="6E6D5F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6582EF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D86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C7E6B4F">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92F2EC3">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Turnover-Department 3</w:t>
            </w:r>
          </w:p>
        </w:tc>
        <w:tc>
          <w:tcPr>
            <w:tcW w:w="0" w:type="auto"/>
            <w:tcBorders>
              <w:top w:val="nil"/>
              <w:left w:val="nil"/>
              <w:bottom w:val="nil"/>
              <w:right w:val="nil"/>
            </w:tcBorders>
            <w:shd w:val="clear" w:color="auto" w:fill="auto"/>
            <w:vAlign w:val="center"/>
          </w:tcPr>
          <w:p w14:paraId="21F36D8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0.74</w:t>
            </w:r>
          </w:p>
        </w:tc>
        <w:tc>
          <w:tcPr>
            <w:tcW w:w="0" w:type="auto"/>
            <w:tcBorders>
              <w:top w:val="nil"/>
              <w:left w:val="nil"/>
              <w:bottom w:val="nil"/>
              <w:right w:val="nil"/>
            </w:tcBorders>
            <w:shd w:val="clear" w:color="auto" w:fill="auto"/>
            <w:vAlign w:val="center"/>
          </w:tcPr>
          <w:p w14:paraId="0C89983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30489D7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28EC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782AFEEB">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31CE56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Turnover-Hospital 1</w:t>
            </w:r>
          </w:p>
        </w:tc>
        <w:tc>
          <w:tcPr>
            <w:tcW w:w="0" w:type="auto"/>
            <w:tcBorders>
              <w:top w:val="nil"/>
              <w:left w:val="nil"/>
              <w:bottom w:val="nil"/>
              <w:right w:val="nil"/>
            </w:tcBorders>
            <w:shd w:val="clear" w:color="auto" w:fill="auto"/>
            <w:vAlign w:val="center"/>
          </w:tcPr>
          <w:p w14:paraId="1A92F55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0.68</w:t>
            </w:r>
          </w:p>
        </w:tc>
        <w:tc>
          <w:tcPr>
            <w:tcW w:w="0" w:type="auto"/>
            <w:tcBorders>
              <w:top w:val="nil"/>
              <w:left w:val="nil"/>
              <w:bottom w:val="nil"/>
              <w:right w:val="nil"/>
            </w:tcBorders>
            <w:shd w:val="clear" w:color="auto" w:fill="auto"/>
            <w:vAlign w:val="center"/>
          </w:tcPr>
          <w:p w14:paraId="775D27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03FC14F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7EDA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F7851FE">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493C77FB">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Turnover-Hospital 2</w:t>
            </w:r>
          </w:p>
        </w:tc>
        <w:tc>
          <w:tcPr>
            <w:tcW w:w="0" w:type="auto"/>
            <w:tcBorders>
              <w:top w:val="nil"/>
              <w:left w:val="nil"/>
              <w:bottom w:val="nil"/>
              <w:right w:val="nil"/>
            </w:tcBorders>
            <w:shd w:val="clear" w:color="auto" w:fill="auto"/>
            <w:vAlign w:val="center"/>
          </w:tcPr>
          <w:p w14:paraId="3FB9D5C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0.65</w:t>
            </w:r>
          </w:p>
        </w:tc>
        <w:tc>
          <w:tcPr>
            <w:tcW w:w="0" w:type="auto"/>
            <w:tcBorders>
              <w:top w:val="nil"/>
              <w:left w:val="nil"/>
              <w:bottom w:val="nil"/>
              <w:right w:val="nil"/>
            </w:tcBorders>
            <w:shd w:val="clear" w:color="auto" w:fill="auto"/>
            <w:vAlign w:val="center"/>
          </w:tcPr>
          <w:p w14:paraId="04933F0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12890C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1DC24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DDCABDF">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134C372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Turnover-Hospital 3</w:t>
            </w:r>
          </w:p>
        </w:tc>
        <w:tc>
          <w:tcPr>
            <w:tcW w:w="0" w:type="auto"/>
            <w:tcBorders>
              <w:top w:val="nil"/>
              <w:left w:val="nil"/>
              <w:bottom w:val="nil"/>
              <w:right w:val="nil"/>
            </w:tcBorders>
            <w:shd w:val="clear" w:color="auto" w:fill="auto"/>
            <w:vAlign w:val="center"/>
          </w:tcPr>
          <w:p w14:paraId="0A80EE7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0.7</w:t>
            </w:r>
          </w:p>
        </w:tc>
        <w:tc>
          <w:tcPr>
            <w:tcW w:w="0" w:type="auto"/>
            <w:tcBorders>
              <w:top w:val="nil"/>
              <w:left w:val="nil"/>
              <w:bottom w:val="nil"/>
              <w:right w:val="nil"/>
            </w:tcBorders>
            <w:shd w:val="clear" w:color="auto" w:fill="auto"/>
            <w:vAlign w:val="center"/>
          </w:tcPr>
          <w:p w14:paraId="222893E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0.03</w:t>
            </w:r>
          </w:p>
        </w:tc>
        <w:tc>
          <w:tcPr>
            <w:tcW w:w="1325" w:type="dxa"/>
            <w:tcBorders>
              <w:top w:val="nil"/>
              <w:left w:val="nil"/>
              <w:bottom w:val="nil"/>
              <w:right w:val="nil"/>
            </w:tcBorders>
            <w:shd w:val="clear" w:color="auto" w:fill="auto"/>
            <w:vAlign w:val="center"/>
          </w:tcPr>
          <w:p w14:paraId="2DC1DDF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5B714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273311D">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454EEA9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Turnover-Profession 1</w:t>
            </w:r>
          </w:p>
        </w:tc>
        <w:tc>
          <w:tcPr>
            <w:tcW w:w="0" w:type="auto"/>
            <w:tcBorders>
              <w:top w:val="nil"/>
              <w:left w:val="nil"/>
              <w:bottom w:val="nil"/>
              <w:right w:val="nil"/>
            </w:tcBorders>
            <w:shd w:val="clear" w:color="auto" w:fill="auto"/>
            <w:vAlign w:val="center"/>
          </w:tcPr>
          <w:p w14:paraId="1620B381">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0.59</w:t>
            </w:r>
          </w:p>
        </w:tc>
        <w:tc>
          <w:tcPr>
            <w:tcW w:w="0" w:type="auto"/>
            <w:tcBorders>
              <w:top w:val="nil"/>
              <w:left w:val="nil"/>
              <w:bottom w:val="nil"/>
              <w:right w:val="nil"/>
            </w:tcBorders>
            <w:shd w:val="clear" w:color="auto" w:fill="auto"/>
            <w:vAlign w:val="center"/>
          </w:tcPr>
          <w:p w14:paraId="677C109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2998298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E321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37A0EC0">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0" w:type="auto"/>
            <w:tcBorders>
              <w:top w:val="nil"/>
              <w:left w:val="nil"/>
              <w:bottom w:val="nil"/>
              <w:right w:val="nil"/>
            </w:tcBorders>
            <w:shd w:val="clear" w:color="auto" w:fill="auto"/>
            <w:vAlign w:val="center"/>
          </w:tcPr>
          <w:p w14:paraId="761B350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Turnover-Profession 2</w:t>
            </w:r>
          </w:p>
        </w:tc>
        <w:tc>
          <w:tcPr>
            <w:tcW w:w="0" w:type="auto"/>
            <w:tcBorders>
              <w:top w:val="nil"/>
              <w:left w:val="nil"/>
              <w:bottom w:val="nil"/>
              <w:right w:val="nil"/>
            </w:tcBorders>
            <w:shd w:val="clear" w:color="auto" w:fill="auto"/>
            <w:vAlign w:val="center"/>
          </w:tcPr>
          <w:p w14:paraId="5FCD0B6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0.65</w:t>
            </w:r>
          </w:p>
        </w:tc>
        <w:tc>
          <w:tcPr>
            <w:tcW w:w="0" w:type="auto"/>
            <w:tcBorders>
              <w:top w:val="nil"/>
              <w:left w:val="nil"/>
              <w:bottom w:val="nil"/>
              <w:right w:val="nil"/>
            </w:tcBorders>
            <w:shd w:val="clear" w:color="auto" w:fill="auto"/>
            <w:vAlign w:val="center"/>
          </w:tcPr>
          <w:p w14:paraId="577613E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nil"/>
              <w:right w:val="nil"/>
            </w:tcBorders>
            <w:shd w:val="clear" w:color="auto" w:fill="auto"/>
            <w:vAlign w:val="center"/>
          </w:tcPr>
          <w:p w14:paraId="355ACB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r w14:paraId="3901A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005" w:type="dxa"/>
            <w:tcBorders>
              <w:top w:val="nil"/>
              <w:left w:val="nil"/>
              <w:bottom w:val="single" w:color="000000" w:sz="8" w:space="0"/>
              <w:right w:val="single" w:color="000000" w:sz="8" w:space="0"/>
            </w:tcBorders>
            <w:shd w:val="clear" w:color="auto" w:fill="auto"/>
            <w:vAlign w:val="center"/>
          </w:tcPr>
          <w:p w14:paraId="0E0489F8">
            <w:pPr>
              <w:snapToGrid w:val="0"/>
              <w:ind w:left="0" w:leftChars="0" w:right="0" w:rightChars="0" w:firstLine="0" w:firstLineChars="0"/>
              <w:jc w:val="center"/>
              <w:rPr>
                <w:rFonts w:hint="default" w:ascii="Times New Roman" w:hAnsi="Times New Roman" w:eastAsia="宋体" w:cs="Times New Roman"/>
                <w:i w:val="0"/>
                <w:iCs w:val="0"/>
                <w:color w:val="000000"/>
                <w:sz w:val="17"/>
                <w:szCs w:val="22"/>
                <w:u w:val="none"/>
              </w:rPr>
            </w:pPr>
          </w:p>
        </w:tc>
        <w:tc>
          <w:tcPr>
            <w:tcW w:w="5210" w:type="dxa"/>
            <w:tcBorders>
              <w:top w:val="nil"/>
              <w:left w:val="nil"/>
              <w:bottom w:val="single" w:color="000000" w:sz="8" w:space="0"/>
              <w:right w:val="nil"/>
            </w:tcBorders>
            <w:shd w:val="clear" w:color="auto" w:fill="auto"/>
            <w:vAlign w:val="center"/>
          </w:tcPr>
          <w:p w14:paraId="7C98BBFC">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Turnover-Profession 3</w:t>
            </w:r>
          </w:p>
        </w:tc>
        <w:tc>
          <w:tcPr>
            <w:tcW w:w="2023" w:type="dxa"/>
            <w:tcBorders>
              <w:top w:val="nil"/>
              <w:left w:val="nil"/>
              <w:bottom w:val="single" w:color="000000" w:sz="8" w:space="0"/>
              <w:right w:val="nil"/>
            </w:tcBorders>
            <w:shd w:val="clear" w:color="auto" w:fill="auto"/>
            <w:vAlign w:val="center"/>
          </w:tcPr>
          <w:p w14:paraId="7857AE6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0.62</w:t>
            </w:r>
          </w:p>
        </w:tc>
        <w:tc>
          <w:tcPr>
            <w:tcW w:w="900" w:type="dxa"/>
            <w:tcBorders>
              <w:top w:val="nil"/>
              <w:left w:val="nil"/>
              <w:bottom w:val="single" w:color="000000" w:sz="8" w:space="0"/>
              <w:right w:val="nil"/>
            </w:tcBorders>
            <w:shd w:val="clear" w:color="auto" w:fill="auto"/>
            <w:vAlign w:val="center"/>
          </w:tcPr>
          <w:p w14:paraId="5475419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0.04</w:t>
            </w:r>
          </w:p>
        </w:tc>
        <w:tc>
          <w:tcPr>
            <w:tcW w:w="1325" w:type="dxa"/>
            <w:tcBorders>
              <w:top w:val="nil"/>
              <w:left w:val="nil"/>
              <w:bottom w:val="single" w:color="000000" w:sz="8" w:space="0"/>
              <w:right w:val="nil"/>
            </w:tcBorders>
            <w:shd w:val="clear" w:color="auto" w:fill="auto"/>
            <w:vAlign w:val="center"/>
          </w:tcPr>
          <w:p w14:paraId="0409F5B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7"/>
                <w:szCs w:val="17"/>
                <w:u w:val="none"/>
              </w:rPr>
            </w:pPr>
            <w:r>
              <w:rPr>
                <w:rFonts w:hint="default" w:ascii="Times New Roman" w:hAnsi="Times New Roman" w:eastAsia="宋体" w:cs="Times New Roman"/>
                <w:i w:val="0"/>
                <w:iCs w:val="0"/>
                <w:color w:val="000000"/>
                <w:kern w:val="0"/>
                <w:sz w:val="17"/>
                <w:szCs w:val="17"/>
                <w:u w:val="none"/>
                <w:lang w:val="en-US" w:eastAsia="zh-CN" w:bidi="ar"/>
              </w:rPr>
              <w:t>&lt;0.001</w:t>
            </w:r>
          </w:p>
        </w:tc>
      </w:tr>
    </w:tbl>
    <w:p w14:paraId="5B07D97C">
      <w:pPr>
        <w:pStyle w:val="165"/>
        <w:widowControl/>
      </w:pPr>
      <w:r>
        <w:rPr>
          <w:rFonts w:ascii="Times New Roman" w:hAnsi="Times New Roman"/>
          <w:i/>
          <w:color w:val="000000"/>
          <w:sz w:val="17"/>
        </w:rPr>
        <w:t>Note. All loadings are standardized and statistically significant at p &lt; 0.001. SE = Standard Error. The Maslach Burnout Inventory–General Survey (MBI-GS) is copyrighted by Christina Maslach, Michael P. Leiter, and Susan E. Jackson and is published by Mind Garden, Inc. The MBI-GS indicator labels shown in this table are analytical labels only; no proprietary item wording or scoring keys are reproduced. Any MBI-GS material is third-party content, is excluded from the article’s CC BY license, and requires separate permission from the copyright holder for reuse.</w:t>
      </w:r>
    </w:p>
    <w:p w14:paraId="589A6309">
      <w:pPr>
        <w:widowControl/>
      </w:pPr>
      <w:r>
        <w:br w:type="page"/>
      </w:r>
    </w:p>
    <w:p w14:paraId="4EC8A9E0">
      <w:pPr>
        <w:pStyle w:val="164"/>
        <w:keepNext/>
        <w:widowControl/>
      </w:pPr>
      <w:r>
        <w:rPr>
          <w:rFonts w:ascii="Times New Roman" w:hAnsi="Times New Roman" w:eastAsia="Times New Roman"/>
          <w:b/>
          <w:color w:val="000000"/>
          <w:sz w:val="20"/>
        </w:rPr>
        <w:t>Supplementary Table S5. Robustness Checks and Sensitivity Analyses</w:t>
      </w:r>
    </w:p>
    <w:tbl>
      <w:tblPr>
        <w:tblStyle w:val="32"/>
        <w:tblW w:w="154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0"/>
        <w:gridCol w:w="4031"/>
        <w:gridCol w:w="2474"/>
        <w:gridCol w:w="6418"/>
      </w:tblGrid>
      <w:tr w14:paraId="2487A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8" w:space="0"/>
              <w:left w:val="nil"/>
              <w:bottom w:val="single" w:color="000000" w:sz="8" w:space="0"/>
              <w:right w:val="single" w:color="000000" w:sz="8" w:space="0"/>
            </w:tcBorders>
            <w:shd w:val="clear" w:color="auto" w:fill="auto"/>
            <w:vAlign w:val="center"/>
          </w:tcPr>
          <w:p w14:paraId="1B6D7AA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Analysis / Subgroup</w:t>
            </w:r>
          </w:p>
        </w:tc>
        <w:tc>
          <w:tcPr>
            <w:tcW w:w="4031" w:type="dxa"/>
            <w:tcBorders>
              <w:top w:val="single" w:color="000000" w:sz="8" w:space="0"/>
              <w:left w:val="nil"/>
              <w:bottom w:val="single" w:color="000000" w:sz="8" w:space="0"/>
              <w:right w:val="nil"/>
            </w:tcBorders>
            <w:shd w:val="clear" w:color="auto" w:fill="auto"/>
            <w:vAlign w:val="center"/>
          </w:tcPr>
          <w:p w14:paraId="30427B1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15"/>
                <w:szCs w:val="15"/>
                <w:u w:val="none"/>
                <w:lang w:val="en-US" w:eastAsia="zh-CN" w:bidi="ar"/>
              </w:rPr>
            </w:pPr>
            <w:r>
              <w:rPr>
                <w:rFonts w:hint="default" w:ascii="Times New Roman" w:hAnsi="Times New Roman" w:eastAsia="宋体" w:cs="Times New Roman"/>
                <w:b/>
                <w:bCs/>
                <w:i w:val="0"/>
                <w:iCs w:val="0"/>
                <w:color w:val="000000"/>
                <w:kern w:val="0"/>
                <w:sz w:val="15"/>
                <w:szCs w:val="15"/>
                <w:u w:val="none"/>
                <w:lang w:val="en-US" w:eastAsia="zh-CN" w:bidi="ar"/>
              </w:rPr>
              <w:t xml:space="preserve">Unstandardized Conditional Indirect Effect at Mean PSC </w:t>
            </w:r>
          </w:p>
          <w:p w14:paraId="19A282F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(95% CI)</w:t>
            </w:r>
          </w:p>
        </w:tc>
        <w:tc>
          <w:tcPr>
            <w:tcW w:w="2474" w:type="dxa"/>
            <w:tcBorders>
              <w:top w:val="single" w:color="000000" w:sz="8" w:space="0"/>
              <w:left w:val="nil"/>
              <w:bottom w:val="single" w:color="000000" w:sz="8" w:space="0"/>
              <w:right w:val="nil"/>
            </w:tcBorders>
            <w:shd w:val="clear" w:color="auto" w:fill="auto"/>
            <w:vAlign w:val="center"/>
          </w:tcPr>
          <w:p w14:paraId="2AAE2EB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15"/>
                <w:szCs w:val="15"/>
                <w:u w:val="none"/>
                <w:lang w:val="en-US" w:eastAsia="zh-CN" w:bidi="ar"/>
              </w:rPr>
            </w:pPr>
            <w:r>
              <w:rPr>
                <w:rFonts w:hint="default" w:ascii="Times New Roman" w:hAnsi="Times New Roman" w:eastAsia="宋体" w:cs="Times New Roman"/>
                <w:b/>
                <w:bCs/>
                <w:i w:val="0"/>
                <w:iCs w:val="0"/>
                <w:color w:val="000000"/>
                <w:kern w:val="0"/>
                <w:sz w:val="15"/>
                <w:szCs w:val="15"/>
                <w:u w:val="none"/>
                <w:lang w:val="en-US" w:eastAsia="zh-CN" w:bidi="ar"/>
              </w:rPr>
              <w:t xml:space="preserve">Index of Moderated Mediation </w:t>
            </w:r>
          </w:p>
          <w:p w14:paraId="5047382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(95% CI)</w:t>
            </w:r>
          </w:p>
        </w:tc>
        <w:tc>
          <w:tcPr>
            <w:tcW w:w="6418" w:type="dxa"/>
            <w:tcBorders>
              <w:top w:val="single" w:color="000000" w:sz="8" w:space="0"/>
              <w:left w:val="nil"/>
              <w:bottom w:val="single" w:color="000000" w:sz="8" w:space="0"/>
              <w:right w:val="nil"/>
            </w:tcBorders>
            <w:shd w:val="clear" w:color="auto" w:fill="auto"/>
            <w:vAlign w:val="center"/>
          </w:tcPr>
          <w:p w14:paraId="350CCC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Interpretation</w:t>
            </w:r>
          </w:p>
        </w:tc>
      </w:tr>
      <w:tr w14:paraId="533F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266E2A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Main Model (Total WPV)</w:t>
            </w:r>
          </w:p>
        </w:tc>
        <w:tc>
          <w:tcPr>
            <w:tcW w:w="4031" w:type="dxa"/>
            <w:tcBorders>
              <w:top w:val="nil"/>
              <w:left w:val="nil"/>
              <w:bottom w:val="nil"/>
              <w:right w:val="nil"/>
            </w:tcBorders>
            <w:shd w:val="clear" w:color="auto" w:fill="auto"/>
            <w:vAlign w:val="center"/>
          </w:tcPr>
          <w:p w14:paraId="12EA4395">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0.146 (0.098, 0.200)</w:t>
            </w:r>
          </w:p>
        </w:tc>
        <w:tc>
          <w:tcPr>
            <w:tcW w:w="2474" w:type="dxa"/>
            <w:tcBorders>
              <w:top w:val="nil"/>
              <w:left w:val="nil"/>
              <w:bottom w:val="nil"/>
              <w:right w:val="nil"/>
            </w:tcBorders>
            <w:shd w:val="clear" w:color="auto" w:fill="auto"/>
            <w:vAlign w:val="center"/>
          </w:tcPr>
          <w:p w14:paraId="4D8A6E3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-0.061 (-0.102, -0.027)</w:t>
            </w:r>
          </w:p>
        </w:tc>
        <w:tc>
          <w:tcPr>
            <w:tcW w:w="6418" w:type="dxa"/>
            <w:tcBorders>
              <w:top w:val="nil"/>
              <w:left w:val="nil"/>
              <w:bottom w:val="nil"/>
              <w:right w:val="nil"/>
            </w:tcBorders>
            <w:shd w:val="clear" w:color="auto" w:fill="auto"/>
            <w:vAlign w:val="center"/>
          </w:tcPr>
          <w:p w14:paraId="154A81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sz w:val="15"/>
                <w:szCs w:val="15"/>
                <w:u w:val="none"/>
              </w:rPr>
            </w:pPr>
            <w:r>
              <w:rPr>
                <w:rFonts w:hint="default" w:ascii="Times New Roman" w:hAnsi="Times New Roman" w:eastAsia="宋体" w:cs="Times New Roman"/>
                <w:b/>
                <w:bCs/>
                <w:i w:val="0"/>
                <w:iCs w:val="0"/>
                <w:color w:val="000000"/>
                <w:kern w:val="0"/>
                <w:sz w:val="15"/>
                <w:szCs w:val="15"/>
                <w:u w:val="none"/>
                <w:lang w:val="en-US" w:eastAsia="zh-CN" w:bidi="ar"/>
              </w:rPr>
              <w:t>Results support H1–H6.</w:t>
            </w:r>
          </w:p>
        </w:tc>
      </w:tr>
      <w:tr w14:paraId="0D3E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865AD7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Violence Subtype: Verbal Violence</w:t>
            </w:r>
          </w:p>
        </w:tc>
        <w:tc>
          <w:tcPr>
            <w:tcW w:w="4031" w:type="dxa"/>
            <w:tcBorders>
              <w:top w:val="nil"/>
              <w:left w:val="nil"/>
              <w:bottom w:val="nil"/>
              <w:right w:val="nil"/>
            </w:tcBorders>
            <w:shd w:val="clear" w:color="auto" w:fill="auto"/>
            <w:vAlign w:val="center"/>
          </w:tcPr>
          <w:p w14:paraId="60AA5784">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0.135 (0.091, 0.185)</w:t>
            </w:r>
          </w:p>
        </w:tc>
        <w:tc>
          <w:tcPr>
            <w:tcW w:w="2474" w:type="dxa"/>
            <w:tcBorders>
              <w:top w:val="nil"/>
              <w:left w:val="nil"/>
              <w:bottom w:val="nil"/>
              <w:right w:val="nil"/>
            </w:tcBorders>
            <w:shd w:val="clear" w:color="auto" w:fill="auto"/>
            <w:vAlign w:val="center"/>
          </w:tcPr>
          <w:p w14:paraId="6E7D74C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-0.059 (-0.099, -0.024)</w:t>
            </w:r>
          </w:p>
        </w:tc>
        <w:tc>
          <w:tcPr>
            <w:tcW w:w="6418" w:type="dxa"/>
            <w:tcBorders>
              <w:top w:val="nil"/>
              <w:left w:val="nil"/>
              <w:bottom w:val="nil"/>
              <w:right w:val="nil"/>
            </w:tcBorders>
            <w:shd w:val="clear" w:color="auto" w:fill="auto"/>
            <w:vAlign w:val="center"/>
          </w:tcPr>
          <w:p w14:paraId="0F12BB3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Conclusions are robust when using verbal violence.</w:t>
            </w:r>
          </w:p>
        </w:tc>
      </w:tr>
      <w:tr w14:paraId="235B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39617F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Violence Subtype: Physical Violence</w:t>
            </w:r>
          </w:p>
        </w:tc>
        <w:tc>
          <w:tcPr>
            <w:tcW w:w="4031" w:type="dxa"/>
            <w:tcBorders>
              <w:top w:val="nil"/>
              <w:left w:val="nil"/>
              <w:bottom w:val="nil"/>
              <w:right w:val="nil"/>
            </w:tcBorders>
            <w:shd w:val="clear" w:color="auto" w:fill="auto"/>
            <w:vAlign w:val="center"/>
          </w:tcPr>
          <w:p w14:paraId="47A742EE">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0.041 (-0.012, 0.098)</w:t>
            </w:r>
          </w:p>
        </w:tc>
        <w:tc>
          <w:tcPr>
            <w:tcW w:w="2474" w:type="dxa"/>
            <w:tcBorders>
              <w:top w:val="nil"/>
              <w:left w:val="nil"/>
              <w:bottom w:val="nil"/>
              <w:right w:val="nil"/>
            </w:tcBorders>
            <w:shd w:val="clear" w:color="auto" w:fill="auto"/>
            <w:vAlign w:val="center"/>
          </w:tcPr>
          <w:p w14:paraId="5EEF54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-0.022 (-0.058, 0.010)</w:t>
            </w:r>
          </w:p>
        </w:tc>
        <w:tc>
          <w:tcPr>
            <w:tcW w:w="6418" w:type="dxa"/>
            <w:tcBorders>
              <w:top w:val="nil"/>
              <w:left w:val="nil"/>
              <w:bottom w:val="nil"/>
              <w:right w:val="nil"/>
            </w:tcBorders>
            <w:shd w:val="clear" w:color="auto" w:fill="auto"/>
            <w:vAlign w:val="center"/>
          </w:tcPr>
          <w:p w14:paraId="46C93B6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Indirect effect is not significant. Physical violence is less frequent and its impact may be more immediate or context-specific.</w:t>
            </w:r>
          </w:p>
        </w:tc>
      </w:tr>
      <w:tr w14:paraId="06E67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739727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Burnout Subtype: Emotional Exhaustion</w:t>
            </w:r>
          </w:p>
        </w:tc>
        <w:tc>
          <w:tcPr>
            <w:tcW w:w="4031" w:type="dxa"/>
            <w:tcBorders>
              <w:top w:val="nil"/>
              <w:left w:val="nil"/>
              <w:bottom w:val="nil"/>
              <w:right w:val="nil"/>
            </w:tcBorders>
            <w:shd w:val="clear" w:color="auto" w:fill="auto"/>
            <w:vAlign w:val="center"/>
          </w:tcPr>
          <w:p w14:paraId="3BA50C6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0.132 (0.087, 0.182)</w:t>
            </w:r>
          </w:p>
        </w:tc>
        <w:tc>
          <w:tcPr>
            <w:tcW w:w="2474" w:type="dxa"/>
            <w:tcBorders>
              <w:top w:val="nil"/>
              <w:left w:val="nil"/>
              <w:bottom w:val="nil"/>
              <w:right w:val="nil"/>
            </w:tcBorders>
            <w:shd w:val="clear" w:color="auto" w:fill="auto"/>
            <w:vAlign w:val="center"/>
          </w:tcPr>
          <w:p w14:paraId="6BE5F7F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-0.055 (-0.096, -0.019)</w:t>
            </w:r>
          </w:p>
        </w:tc>
        <w:tc>
          <w:tcPr>
            <w:tcW w:w="6418" w:type="dxa"/>
            <w:tcBorders>
              <w:top w:val="nil"/>
              <w:left w:val="nil"/>
              <w:bottom w:val="nil"/>
              <w:right w:val="nil"/>
            </w:tcBorders>
            <w:shd w:val="clear" w:color="auto" w:fill="auto"/>
            <w:vAlign w:val="center"/>
          </w:tcPr>
          <w:p w14:paraId="4598412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Conclusions are robust when using emotional exhaustion as the mediator.</w:t>
            </w:r>
          </w:p>
        </w:tc>
      </w:tr>
      <w:tr w14:paraId="0265D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64A57F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Turnover Level: Department-Level</w:t>
            </w:r>
          </w:p>
        </w:tc>
        <w:tc>
          <w:tcPr>
            <w:tcW w:w="4031" w:type="dxa"/>
            <w:tcBorders>
              <w:top w:val="nil"/>
              <w:left w:val="nil"/>
              <w:bottom w:val="nil"/>
              <w:right w:val="nil"/>
            </w:tcBorders>
            <w:shd w:val="clear" w:color="auto" w:fill="auto"/>
            <w:vAlign w:val="center"/>
          </w:tcPr>
          <w:p w14:paraId="60D2CAD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0.171 (0.115, 0.232)</w:t>
            </w:r>
          </w:p>
        </w:tc>
        <w:tc>
          <w:tcPr>
            <w:tcW w:w="2474" w:type="dxa"/>
            <w:tcBorders>
              <w:top w:val="nil"/>
              <w:left w:val="nil"/>
              <w:bottom w:val="nil"/>
              <w:right w:val="nil"/>
            </w:tcBorders>
            <w:shd w:val="clear" w:color="auto" w:fill="auto"/>
            <w:vAlign w:val="center"/>
          </w:tcPr>
          <w:p w14:paraId="6280FD4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-0.068 (-0.115, -0.031)</w:t>
            </w:r>
          </w:p>
        </w:tc>
        <w:tc>
          <w:tcPr>
            <w:tcW w:w="6418" w:type="dxa"/>
            <w:tcBorders>
              <w:top w:val="nil"/>
              <w:left w:val="nil"/>
              <w:bottom w:val="nil"/>
              <w:right w:val="nil"/>
            </w:tcBorders>
            <w:shd w:val="clear" w:color="auto" w:fill="auto"/>
            <w:vAlign w:val="center"/>
          </w:tcPr>
          <w:p w14:paraId="79DB66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Strongest pathway, suggesting withdrawal cognitions begin locally.</w:t>
            </w:r>
          </w:p>
        </w:tc>
      </w:tr>
      <w:tr w14:paraId="30458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6E5FFDE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Turnover Level: Hospital-Level</w:t>
            </w:r>
          </w:p>
        </w:tc>
        <w:tc>
          <w:tcPr>
            <w:tcW w:w="4031" w:type="dxa"/>
            <w:tcBorders>
              <w:top w:val="nil"/>
              <w:left w:val="nil"/>
              <w:bottom w:val="nil"/>
              <w:right w:val="nil"/>
            </w:tcBorders>
            <w:shd w:val="clear" w:color="auto" w:fill="auto"/>
            <w:vAlign w:val="center"/>
          </w:tcPr>
          <w:p w14:paraId="5BAC5B80">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0.118 (0.072, 0.171)</w:t>
            </w:r>
          </w:p>
        </w:tc>
        <w:tc>
          <w:tcPr>
            <w:tcW w:w="2474" w:type="dxa"/>
            <w:tcBorders>
              <w:top w:val="nil"/>
              <w:left w:val="nil"/>
              <w:bottom w:val="nil"/>
              <w:right w:val="nil"/>
            </w:tcBorders>
            <w:shd w:val="clear" w:color="auto" w:fill="auto"/>
            <w:vAlign w:val="center"/>
          </w:tcPr>
          <w:p w14:paraId="3FB9559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-0.052 (-0.093, -0.021)</w:t>
            </w:r>
          </w:p>
        </w:tc>
        <w:tc>
          <w:tcPr>
            <w:tcW w:w="6418" w:type="dxa"/>
            <w:tcBorders>
              <w:top w:val="nil"/>
              <w:left w:val="nil"/>
              <w:bottom w:val="nil"/>
              <w:right w:val="nil"/>
            </w:tcBorders>
            <w:shd w:val="clear" w:color="auto" w:fill="auto"/>
            <w:vAlign w:val="center"/>
          </w:tcPr>
          <w:p w14:paraId="62A85A3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Significant, but weaker than department-level.</w:t>
            </w:r>
          </w:p>
        </w:tc>
      </w:tr>
      <w:tr w14:paraId="3B636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2C4C48D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Turnover Level: Profession-Level</w:t>
            </w:r>
          </w:p>
        </w:tc>
        <w:tc>
          <w:tcPr>
            <w:tcW w:w="4031" w:type="dxa"/>
            <w:tcBorders>
              <w:top w:val="nil"/>
              <w:left w:val="nil"/>
              <w:bottom w:val="nil"/>
              <w:right w:val="nil"/>
            </w:tcBorders>
            <w:shd w:val="clear" w:color="auto" w:fill="auto"/>
            <w:vAlign w:val="center"/>
          </w:tcPr>
          <w:p w14:paraId="3EAEC616">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0.093 (0.045, 0.148)</w:t>
            </w:r>
          </w:p>
        </w:tc>
        <w:tc>
          <w:tcPr>
            <w:tcW w:w="2474" w:type="dxa"/>
            <w:tcBorders>
              <w:top w:val="nil"/>
              <w:left w:val="nil"/>
              <w:bottom w:val="nil"/>
              <w:right w:val="nil"/>
            </w:tcBorders>
            <w:shd w:val="clear" w:color="auto" w:fill="auto"/>
            <w:vAlign w:val="center"/>
          </w:tcPr>
          <w:p w14:paraId="35DAF04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-0.043 (-0.081, -0.015)</w:t>
            </w:r>
          </w:p>
        </w:tc>
        <w:tc>
          <w:tcPr>
            <w:tcW w:w="6418" w:type="dxa"/>
            <w:tcBorders>
              <w:top w:val="nil"/>
              <w:left w:val="nil"/>
              <w:bottom w:val="nil"/>
              <w:right w:val="nil"/>
            </w:tcBorders>
            <w:shd w:val="clear" w:color="auto" w:fill="auto"/>
            <w:vAlign w:val="center"/>
          </w:tcPr>
          <w:p w14:paraId="6745B88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Significant, but weaker; indicates a broader crisis of confidence.</w:t>
            </w:r>
          </w:p>
        </w:tc>
      </w:tr>
      <w:tr w14:paraId="0954F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F601BA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Department Type: Acute/Security-Sensitive</w:t>
            </w:r>
          </w:p>
        </w:tc>
        <w:tc>
          <w:tcPr>
            <w:tcW w:w="4031" w:type="dxa"/>
            <w:tcBorders>
              <w:top w:val="nil"/>
              <w:left w:val="nil"/>
              <w:bottom w:val="nil"/>
              <w:right w:val="nil"/>
            </w:tcBorders>
            <w:shd w:val="clear" w:color="auto" w:fill="auto"/>
            <w:vAlign w:val="center"/>
          </w:tcPr>
          <w:p w14:paraId="57EB7068">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0.169 (0.112, 0.232)</w:t>
            </w:r>
          </w:p>
        </w:tc>
        <w:tc>
          <w:tcPr>
            <w:tcW w:w="2474" w:type="dxa"/>
            <w:tcBorders>
              <w:top w:val="nil"/>
              <w:left w:val="nil"/>
              <w:bottom w:val="nil"/>
              <w:right w:val="nil"/>
            </w:tcBorders>
            <w:shd w:val="clear" w:color="auto" w:fill="auto"/>
            <w:vAlign w:val="center"/>
          </w:tcPr>
          <w:p w14:paraId="35B8C9A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-0.069 (-0.114, -0.028)</w:t>
            </w:r>
          </w:p>
        </w:tc>
        <w:tc>
          <w:tcPr>
            <w:tcW w:w="6418" w:type="dxa"/>
            <w:tcBorders>
              <w:top w:val="nil"/>
              <w:left w:val="nil"/>
              <w:bottom w:val="nil"/>
              <w:right w:val="nil"/>
            </w:tcBorders>
            <w:shd w:val="clear" w:color="auto" w:fill="auto"/>
            <w:vAlign w:val="center"/>
          </w:tcPr>
          <w:p w14:paraId="35A8C24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Stronger pathway in high-risk departments.</w:t>
            </w:r>
          </w:p>
        </w:tc>
      </w:tr>
      <w:tr w14:paraId="1205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59CD145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Department Type: Other Departments</w:t>
            </w:r>
          </w:p>
        </w:tc>
        <w:tc>
          <w:tcPr>
            <w:tcW w:w="4031" w:type="dxa"/>
            <w:tcBorders>
              <w:top w:val="nil"/>
              <w:left w:val="nil"/>
              <w:bottom w:val="nil"/>
              <w:right w:val="nil"/>
            </w:tcBorders>
            <w:shd w:val="clear" w:color="auto" w:fill="auto"/>
            <w:vAlign w:val="center"/>
          </w:tcPr>
          <w:p w14:paraId="14A71BE7">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0.118 (0.072, 0.173)</w:t>
            </w:r>
          </w:p>
        </w:tc>
        <w:tc>
          <w:tcPr>
            <w:tcW w:w="2474" w:type="dxa"/>
            <w:tcBorders>
              <w:top w:val="nil"/>
              <w:left w:val="nil"/>
              <w:bottom w:val="nil"/>
              <w:right w:val="nil"/>
            </w:tcBorders>
            <w:shd w:val="clear" w:color="auto" w:fill="auto"/>
            <w:vAlign w:val="center"/>
          </w:tcPr>
          <w:p w14:paraId="262D04D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-0.052 (-0.094, -0.019)</w:t>
            </w:r>
          </w:p>
        </w:tc>
        <w:tc>
          <w:tcPr>
            <w:tcW w:w="6418" w:type="dxa"/>
            <w:tcBorders>
              <w:top w:val="nil"/>
              <w:left w:val="nil"/>
              <w:bottom w:val="nil"/>
              <w:right w:val="nil"/>
            </w:tcBorders>
            <w:shd w:val="clear" w:color="auto" w:fill="auto"/>
            <w:vAlign w:val="center"/>
          </w:tcPr>
          <w:p w14:paraId="25EE65D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Significant, but attenuated compared to high-risk depts.</w:t>
            </w:r>
          </w:p>
        </w:tc>
      </w:tr>
      <w:tr w14:paraId="46C4C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1438FEC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Occupation: Nurses</w:t>
            </w:r>
          </w:p>
        </w:tc>
        <w:tc>
          <w:tcPr>
            <w:tcW w:w="4031" w:type="dxa"/>
            <w:tcBorders>
              <w:top w:val="nil"/>
              <w:left w:val="nil"/>
              <w:bottom w:val="nil"/>
              <w:right w:val="nil"/>
            </w:tcBorders>
            <w:shd w:val="clear" w:color="auto" w:fill="auto"/>
            <w:vAlign w:val="center"/>
          </w:tcPr>
          <w:p w14:paraId="5AF847BA">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0.142 (0.095, 0.195)</w:t>
            </w:r>
          </w:p>
        </w:tc>
        <w:tc>
          <w:tcPr>
            <w:tcW w:w="2474" w:type="dxa"/>
            <w:tcBorders>
              <w:top w:val="nil"/>
              <w:left w:val="nil"/>
              <w:bottom w:val="nil"/>
              <w:right w:val="nil"/>
            </w:tcBorders>
            <w:shd w:val="clear" w:color="auto" w:fill="auto"/>
            <w:vAlign w:val="center"/>
          </w:tcPr>
          <w:p w14:paraId="0AB4BFA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-0.062 (-0.107, -0.022)</w:t>
            </w:r>
          </w:p>
        </w:tc>
        <w:tc>
          <w:tcPr>
            <w:tcW w:w="6418" w:type="dxa"/>
            <w:tcBorders>
              <w:top w:val="nil"/>
              <w:left w:val="nil"/>
              <w:bottom w:val="nil"/>
              <w:right w:val="nil"/>
            </w:tcBorders>
            <w:shd w:val="clear" w:color="auto" w:fill="auto"/>
            <w:vAlign w:val="center"/>
          </w:tcPr>
          <w:p w14:paraId="486545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Conclusions are robust for the nursing sub-sample.</w:t>
            </w:r>
          </w:p>
        </w:tc>
      </w:tr>
      <w:tr w14:paraId="3D6F8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single" w:color="000000" w:sz="8" w:space="0"/>
            </w:tcBorders>
            <w:shd w:val="clear" w:color="auto" w:fill="auto"/>
            <w:vAlign w:val="center"/>
          </w:tcPr>
          <w:p w14:paraId="46157ED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Occupation: Physicians</w:t>
            </w:r>
          </w:p>
        </w:tc>
        <w:tc>
          <w:tcPr>
            <w:tcW w:w="4031" w:type="dxa"/>
            <w:tcBorders>
              <w:top w:val="nil"/>
              <w:left w:val="nil"/>
              <w:bottom w:val="nil"/>
              <w:right w:val="nil"/>
            </w:tcBorders>
            <w:shd w:val="clear" w:color="auto" w:fill="auto"/>
            <w:vAlign w:val="center"/>
          </w:tcPr>
          <w:p w14:paraId="6E0E827F">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0.121 (0.062, 0.188)</w:t>
            </w:r>
          </w:p>
        </w:tc>
        <w:tc>
          <w:tcPr>
            <w:tcW w:w="2474" w:type="dxa"/>
            <w:tcBorders>
              <w:top w:val="nil"/>
              <w:left w:val="nil"/>
              <w:bottom w:val="nil"/>
              <w:right w:val="nil"/>
            </w:tcBorders>
            <w:shd w:val="clear" w:color="auto" w:fill="auto"/>
            <w:vAlign w:val="center"/>
          </w:tcPr>
          <w:p w14:paraId="293022B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-0.056 (-0.099, -0.018)</w:t>
            </w:r>
          </w:p>
        </w:tc>
        <w:tc>
          <w:tcPr>
            <w:tcW w:w="6418" w:type="dxa"/>
            <w:tcBorders>
              <w:top w:val="nil"/>
              <w:left w:val="nil"/>
              <w:bottom w:val="nil"/>
              <w:right w:val="nil"/>
            </w:tcBorders>
            <w:shd w:val="clear" w:color="auto" w:fill="auto"/>
            <w:vAlign w:val="center"/>
          </w:tcPr>
          <w:p w14:paraId="631F623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Conclusions are robust for the physician sub-sample.</w:t>
            </w:r>
          </w:p>
        </w:tc>
      </w:tr>
      <w:tr w14:paraId="73CB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40" w:type="dxa"/>
            <w:tcBorders>
              <w:top w:val="nil"/>
              <w:left w:val="nil"/>
              <w:bottom w:val="single" w:color="000000" w:sz="8" w:space="0"/>
              <w:right w:val="single" w:color="000000" w:sz="8" w:space="0"/>
            </w:tcBorders>
            <w:shd w:val="clear" w:color="auto" w:fill="auto"/>
            <w:vAlign w:val="center"/>
          </w:tcPr>
          <w:p w14:paraId="784A2F6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Missing Data: Multiple Imputation (n=688)</w:t>
            </w:r>
          </w:p>
        </w:tc>
        <w:tc>
          <w:tcPr>
            <w:tcW w:w="4031" w:type="dxa"/>
            <w:tcBorders>
              <w:top w:val="nil"/>
              <w:left w:val="nil"/>
              <w:bottom w:val="single" w:color="000000" w:sz="8" w:space="0"/>
              <w:right w:val="nil"/>
            </w:tcBorders>
            <w:shd w:val="clear" w:color="auto" w:fill="auto"/>
            <w:vAlign w:val="center"/>
          </w:tcPr>
          <w:p w14:paraId="53180519">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0.151 (0.102, 0.208)</w:t>
            </w:r>
          </w:p>
        </w:tc>
        <w:tc>
          <w:tcPr>
            <w:tcW w:w="2474" w:type="dxa"/>
            <w:tcBorders>
              <w:top w:val="nil"/>
              <w:left w:val="nil"/>
              <w:bottom w:val="single" w:color="000000" w:sz="8" w:space="0"/>
              <w:right w:val="nil"/>
            </w:tcBorders>
            <w:shd w:val="clear" w:color="auto" w:fill="auto"/>
            <w:vAlign w:val="center"/>
          </w:tcPr>
          <w:p w14:paraId="0DFBD84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-0.062 (-0.105, -0.025)</w:t>
            </w:r>
          </w:p>
        </w:tc>
        <w:tc>
          <w:tcPr>
            <w:tcW w:w="6418" w:type="dxa"/>
            <w:tcBorders>
              <w:top w:val="nil"/>
              <w:left w:val="nil"/>
              <w:bottom w:val="single" w:color="000000" w:sz="8" w:space="0"/>
              <w:right w:val="nil"/>
            </w:tcBorders>
            <w:shd w:val="clear" w:color="auto" w:fill="auto"/>
            <w:vAlign w:val="center"/>
          </w:tcPr>
          <w:p w14:paraId="5B6C2F2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Using the full T3 matched sample with MI yields consistent results.</w:t>
            </w:r>
          </w:p>
        </w:tc>
      </w:tr>
    </w:tbl>
    <w:p w14:paraId="19B48198">
      <w:pPr>
        <w:pStyle w:val="165"/>
        <w:widowControl/>
      </w:pPr>
      <w:r>
        <w:rPr>
          <w:rFonts w:ascii="Times New Roman" w:hAnsi="Times New Roman" w:eastAsia="Times New Roman"/>
          <w:i/>
          <w:color w:val="000000"/>
          <w:sz w:val="17"/>
        </w:rPr>
        <w:t xml:space="preserve">Note. </w:t>
      </w:r>
      <w:r>
        <w:rPr>
          <w:rFonts w:ascii="Times New Roman" w:hAnsi="Times New Roman" w:eastAsia="Times New Roman"/>
          <w:color w:val="000000"/>
          <w:sz w:val="17"/>
        </w:rPr>
        <w:t>All models control for the standard set of covariates unless the analysis is a subgroup. WPV = Workplace Violence; PSC = Perceived Safety Climate; CI = Confidence Interval. Bold text highlights key results. The indirect effect for physical violence is not significant, but the index of moderated mediation is not strictly zero. This suggests that in departments where physical violence is more common, the conditional effect might be significant, but the overall sample lacks power to detect it.</w:t>
      </w:r>
    </w:p>
    <w:sectPr>
      <w:footerReference r:id="rId6" w:type="default"/>
      <w:pgSz w:w="16834" w:h="11909" w:orient="landscape"/>
      <w:pgMar w:top="792" w:right="792" w:bottom="792" w:left="792" w:header="432" w:footer="43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3C852">
    <w:pPr>
      <w:pStyle w:val="24"/>
      <w:jc w:val="center"/>
    </w:pPr>
    <w:r>
      <w:rPr>
        <w:rFonts w:ascii="Times New Roman" w:hAnsi="Times New Roman" w:eastAsia="Times New Roman"/>
        <w:color w:val="000000"/>
        <w:sz w:val="18"/>
      </w:rPr>
      <w:t xml:space="preserve">Supplementary Material  |  </w:t>
    </w:r>
    <w:r>
      <w:rPr>
        <w:rFonts w:ascii="Times New Roman" w:hAnsi="Times New Roman" w:eastAsia="Times New Roman"/>
        <w:color w:val="000000"/>
        <w:sz w:val="18"/>
      </w:rPr>
      <w:fldChar w:fldCharType="begin"/>
    </w:r>
    <w:r>
      <w:rPr>
        <w:rFonts w:ascii="Times New Roman" w:hAnsi="Times New Roman" w:eastAsia="Times New Roman"/>
        <w:color w:val="000000"/>
        <w:sz w:val="18"/>
      </w:rPr>
      <w:instrText xml:space="preserve">PAGE</w:instrText>
    </w:r>
    <w:r>
      <w:rPr>
        <w:rFonts w:ascii="Times New Roman" w:hAnsi="Times New Roman" w:eastAsia="Times New Roman"/>
        <w:color w:val="000000"/>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9EA9D">
    <w:pPr>
      <w:pStyle w:val="24"/>
      <w:jc w:val="center"/>
    </w:pPr>
    <w:r>
      <w:rPr>
        <w:rFonts w:ascii="Times New Roman" w:hAnsi="Times New Roman" w:eastAsia="Times New Roman"/>
        <w:color w:val="000000"/>
        <w:sz w:val="18"/>
      </w:rPr>
      <w:t xml:space="preserve">Supplementary Material  |  </w:t>
    </w:r>
    <w:r>
      <w:rPr>
        <w:rFonts w:ascii="Times New Roman" w:hAnsi="Times New Roman" w:eastAsia="Times New Roman"/>
        <w:color w:val="000000"/>
        <w:sz w:val="18"/>
      </w:rPr>
      <w:fldChar w:fldCharType="begin"/>
    </w:r>
    <w:r>
      <w:rPr>
        <w:rFonts w:ascii="Times New Roman" w:hAnsi="Times New Roman" w:eastAsia="Times New Roman"/>
        <w:color w:val="000000"/>
        <w:sz w:val="18"/>
      </w:rPr>
      <w:instrText xml:space="preserve">PAGE</w:instrText>
    </w:r>
    <w:r>
      <w:rPr>
        <w:rFonts w:ascii="Times New Roman" w:hAnsi="Times New Roman" w:eastAsia="Times New Roman"/>
        <w:color w:val="000000"/>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C124CCE"/>
    <w:rsid w:val="17361014"/>
    <w:rsid w:val="26E854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jc w:val="both"/>
    </w:pPr>
    <w:rPr>
      <w:rFonts w:ascii="Times New Roman" w:hAnsi="Times New Roman" w:eastAsia="Times New Roman" w:cstheme="minorBidi"/>
      <w:sz w:val="22"/>
      <w:szCs w:val="22"/>
      <w:lang w:val="en-US" w:eastAsia="en-US" w:bidi="ar-SA"/>
    </w:rPr>
  </w:style>
  <w:style w:type="paragraph" w:styleId="3">
    <w:name w:val="heading 1"/>
    <w:basedOn w:val="1"/>
    <w:next w:val="1"/>
    <w:link w:val="138"/>
    <w:qFormat/>
    <w:uiPriority w:val="9"/>
    <w:pPr>
      <w:keepNext/>
      <w:keepLines/>
      <w:spacing w:before="160" w:after="160"/>
      <w:jc w:val="left"/>
      <w:outlineLvl w:val="0"/>
    </w:pPr>
    <w:rPr>
      <w:rFonts w:asciiTheme="majorHAnsi" w:hAnsiTheme="majorHAnsi" w:eastAsiaTheme="majorEastAsia" w:cstheme="majorBidi"/>
      <w:b/>
      <w:bCs/>
      <w:color w:val="000000"/>
      <w:sz w:val="24"/>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before="160" w:after="160" w:line="240" w:lineRule="auto"/>
      <w:contextualSpacing/>
      <w:jc w:val="center"/>
    </w:pPr>
    <w:rPr>
      <w:rFonts w:asciiTheme="majorHAnsi" w:hAnsiTheme="majorHAnsi" w:eastAsiaTheme="majorEastAsia" w:cstheme="majorBidi"/>
      <w:b/>
      <w:color w:val="000000"/>
      <w:spacing w:val="5"/>
      <w:kern w:val="28"/>
      <w:sz w:val="30"/>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Table Caption"/>
    <w:qFormat/>
    <w:uiPriority w:val="0"/>
    <w:pPr>
      <w:spacing w:before="160" w:after="80" w:line="276" w:lineRule="auto"/>
    </w:pPr>
    <w:rPr>
      <w:rFonts w:ascii="Times New Roman" w:hAnsi="Times New Roman" w:eastAsia="Times New Roman" w:cstheme="minorBidi"/>
      <w:b/>
      <w:color w:val="000000"/>
      <w:sz w:val="20"/>
      <w:szCs w:val="22"/>
      <w:lang w:val="en-US" w:eastAsia="en-US" w:bidi="ar-SA"/>
    </w:rPr>
  </w:style>
  <w:style w:type="paragraph" w:customStyle="1" w:styleId="165">
    <w:name w:val="Table Note"/>
    <w:qFormat/>
    <w:uiPriority w:val="0"/>
    <w:pPr>
      <w:spacing w:before="60" w:after="160" w:line="240" w:lineRule="auto"/>
    </w:pPr>
    <w:rPr>
      <w:rFonts w:ascii="Times New Roman" w:hAnsi="Times New Roman" w:eastAsia="Times New Roman" w:cstheme="minorBidi"/>
      <w:color w:val="000000"/>
      <w:sz w:val="17"/>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993</Words>
  <Characters>5500</Characters>
  <Lines>0</Lines>
  <Paragraphs>0</Paragraphs>
  <TotalTime>3</TotalTime>
  <ScaleCrop>false</ScaleCrop>
  <LinksUpToDate>false</LinksUpToDate>
  <CharactersWithSpaces>6179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乔治</dc:creator>
  <dc:description>generated by python-docx</dc:description>
  <cp:keywords>supplementary material; moderated mediation; workplace violence; burnout; turnover intention</cp:keywords>
  <cp:lastModifiedBy>Prisoner</cp:lastModifiedBy>
  <dcterms:modified xsi:type="dcterms:W3CDTF">2026-07-27T04:06:36Z</dcterms:modified>
  <dc:subject>Workplace Violence, Burnout, and Turnover Intention in Healthcare</dc:subject>
  <dc:title>Supplementary Methods and Tables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eyJoZGlkIjoiYWU3NDRlMzg3ODFiYWFkYjEyN2EyNzdlNWE0ZTFlNjkiLCJ1c2VySWQiOiI1NzQyNjUwMzAifQ==</vt:lpwstr>
  </property>
  <property fmtid="{D5CDD505-2E9C-101B-9397-08002B2CF9AE}" pid="3" name="KSOProductBuildVer">
    <vt:lpwstr>2052-12.1.0.26895</vt:lpwstr>
  </property>
  <property fmtid="{D5CDD505-2E9C-101B-9397-08002B2CF9AE}" pid="4" name="ICV">
    <vt:lpwstr>19EB536F3CF04366B325FBB302B7793E_13</vt:lpwstr>
  </property>
</Properties>
</file>