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6DB9">
      <w:pPr>
        <w:ind w:firstLine="2160" w:firstLineChars="600"/>
        <w:rPr>
          <w:szCs w:val="24"/>
        </w:rPr>
      </w:pPr>
      <w:r>
        <w:rPr>
          <w:bCs/>
          <w:sz w:val="36"/>
          <w:szCs w:val="36"/>
        </w:rPr>
        <w:t>Supporting Information</w:t>
      </w:r>
    </w:p>
    <w:p w14:paraId="51BEDC70">
      <w:pPr>
        <w:spacing w:beforeLines="0" w:afterLines="0"/>
        <w:ind w:left="2088" w:hanging="2088" w:hangingChars="400"/>
        <w:rPr>
          <w:rFonts w:hint="default"/>
          <w:b/>
          <w:sz w:val="32"/>
          <w:szCs w:val="32"/>
        </w:rPr>
      </w:pPr>
      <w:r>
        <w:rPr>
          <w:rFonts w:hint="default"/>
          <w:b/>
          <w:sz w:val="52"/>
          <w:szCs w:val="52"/>
        </w:rPr>
        <w:t xml:space="preserve"> </w:t>
      </w:r>
      <w:r>
        <w:rPr>
          <w:rFonts w:hint="default"/>
          <w:b/>
          <w:sz w:val="32"/>
          <w:szCs w:val="32"/>
        </w:rPr>
        <w:t>Enhanced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High-Rate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Capability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of LiNi</w:t>
      </w:r>
      <w:r>
        <w:rPr>
          <w:rFonts w:hint="default"/>
          <w:b/>
          <w:sz w:val="32"/>
          <w:szCs w:val="32"/>
          <w:vertAlign w:val="subscript"/>
        </w:rPr>
        <w:t>0.83</w:t>
      </w:r>
      <w:r>
        <w:rPr>
          <w:rFonts w:hint="default"/>
          <w:b/>
          <w:sz w:val="32"/>
          <w:szCs w:val="32"/>
        </w:rPr>
        <w:t>Co</w:t>
      </w:r>
      <w:r>
        <w:rPr>
          <w:rFonts w:hint="default"/>
          <w:b/>
          <w:sz w:val="32"/>
          <w:szCs w:val="32"/>
          <w:vertAlign w:val="subscript"/>
        </w:rPr>
        <w:t>0.11</w:t>
      </w:r>
      <w:r>
        <w:rPr>
          <w:rFonts w:hint="default"/>
          <w:b/>
          <w:sz w:val="32"/>
          <w:szCs w:val="32"/>
        </w:rPr>
        <w:t>Mn</w:t>
      </w:r>
      <w:r>
        <w:rPr>
          <w:rFonts w:hint="default"/>
          <w:b/>
          <w:sz w:val="32"/>
          <w:szCs w:val="32"/>
          <w:vertAlign w:val="subscript"/>
        </w:rPr>
        <w:t>0.06</w:t>
      </w:r>
      <w:r>
        <w:rPr>
          <w:rFonts w:hint="default"/>
          <w:b/>
          <w:sz w:val="32"/>
          <w:szCs w:val="32"/>
        </w:rPr>
        <w:t>O</w:t>
      </w:r>
      <w:r>
        <w:rPr>
          <w:rFonts w:hint="default"/>
          <w:b/>
          <w:sz w:val="32"/>
          <w:szCs w:val="32"/>
          <w:vertAlign w:val="subscript"/>
        </w:rPr>
        <w:t>2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Cathodes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by Homogeneous Sr</w:t>
      </w:r>
      <w:r>
        <w:rPr>
          <w:rFonts w:hint="default"/>
          <w:b/>
          <w:sz w:val="32"/>
          <w:szCs w:val="32"/>
          <w:vertAlign w:val="superscript"/>
        </w:rPr>
        <w:t>2+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</w:rPr>
        <w:t>Doping</w:t>
      </w:r>
    </w:p>
    <w:p w14:paraId="43CAF546">
      <w:pPr>
        <w:spacing w:beforeLines="0" w:afterLines="0"/>
        <w:rPr>
          <w:rFonts w:hint="default"/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</w:rPr>
        <w:t>Teng Ma</w:t>
      </w:r>
      <w:r>
        <w:rPr>
          <w:rFonts w:hint="eastAsia"/>
          <w:b/>
          <w:i/>
          <w:iCs/>
          <w:sz w:val="24"/>
          <w:szCs w:val="24"/>
          <w:vertAlign w:val="superscript"/>
        </w:rPr>
        <w:t>1</w:t>
      </w:r>
      <w:r>
        <w:rPr>
          <w:rFonts w:hint="default"/>
          <w:b/>
          <w:i/>
          <w:iCs/>
          <w:sz w:val="24"/>
          <w:szCs w:val="24"/>
        </w:rPr>
        <w:t xml:space="preserve">, </w:t>
      </w:r>
      <w:r>
        <w:rPr>
          <w:rFonts w:hint="eastAsia"/>
          <w:b/>
          <w:i/>
          <w:iCs/>
          <w:sz w:val="24"/>
          <w:szCs w:val="24"/>
        </w:rPr>
        <w:t>Zhikun Zhang</w:t>
      </w:r>
      <w:r>
        <w:rPr>
          <w:rFonts w:hint="eastAsia"/>
          <w:b/>
          <w:i/>
          <w:iCs/>
          <w:sz w:val="24"/>
          <w:szCs w:val="24"/>
          <w:vertAlign w:val="superscript"/>
        </w:rPr>
        <w:t>1</w:t>
      </w:r>
      <w:r>
        <w:rPr>
          <w:rFonts w:hint="eastAsia"/>
          <w:b/>
          <w:i/>
          <w:iCs/>
          <w:sz w:val="24"/>
          <w:szCs w:val="24"/>
        </w:rPr>
        <w:t xml:space="preserve">, </w:t>
      </w:r>
      <w:r>
        <w:rPr>
          <w:rFonts w:hint="default"/>
          <w:b/>
          <w:i/>
          <w:iCs/>
          <w:sz w:val="24"/>
          <w:szCs w:val="24"/>
        </w:rPr>
        <w:t>Junjie Zhang</w:t>
      </w:r>
      <w:r>
        <w:rPr>
          <w:rFonts w:hint="eastAsia"/>
          <w:b/>
          <w:i/>
          <w:iCs/>
          <w:sz w:val="24"/>
          <w:szCs w:val="24"/>
          <w:vertAlign w:val="superscript"/>
        </w:rPr>
        <w:t>1</w:t>
      </w:r>
      <w:r>
        <w:rPr>
          <w:rFonts w:hint="default"/>
          <w:b/>
          <w:i/>
          <w:iCs/>
          <w:sz w:val="24"/>
          <w:szCs w:val="24"/>
        </w:rPr>
        <w:t>,</w:t>
      </w:r>
      <w:r>
        <w:rPr>
          <w:rFonts w:hint="eastAsia"/>
          <w:b/>
          <w:i/>
          <w:iCs/>
          <w:sz w:val="24"/>
          <w:szCs w:val="24"/>
        </w:rPr>
        <w:t xml:space="preserve"> Shuaijie Li</w:t>
      </w:r>
      <w:r>
        <w:rPr>
          <w:rFonts w:hint="eastAsia"/>
          <w:b/>
          <w:i/>
          <w:iCs/>
          <w:sz w:val="24"/>
          <w:szCs w:val="24"/>
          <w:vertAlign w:val="superscript"/>
        </w:rPr>
        <w:t>1</w:t>
      </w:r>
      <w:r>
        <w:rPr>
          <w:rFonts w:hint="default"/>
          <w:b/>
          <w:i/>
          <w:iCs/>
          <w:sz w:val="24"/>
          <w:szCs w:val="24"/>
        </w:rPr>
        <w:t>,</w:t>
      </w:r>
      <w:r>
        <w:rPr>
          <w:rFonts w:hint="eastAsia"/>
          <w:b/>
          <w:i/>
          <w:iCs/>
          <w:sz w:val="24"/>
          <w:szCs w:val="24"/>
        </w:rPr>
        <w:t xml:space="preserve"> Renfei Liu</w:t>
      </w:r>
      <w:r>
        <w:rPr>
          <w:rFonts w:hint="eastAsia"/>
          <w:b/>
          <w:i/>
          <w:iCs/>
          <w:sz w:val="24"/>
          <w:szCs w:val="24"/>
          <w:vertAlign w:val="superscript"/>
        </w:rPr>
        <w:t>1</w:t>
      </w:r>
      <w:r>
        <w:rPr>
          <w:rFonts w:hint="eastAsia"/>
          <w:b/>
          <w:i/>
          <w:iCs/>
          <w:sz w:val="24"/>
          <w:szCs w:val="24"/>
        </w:rPr>
        <w:t>, fang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chun</w:t>
      </w:r>
      <w:r>
        <w:rPr>
          <w:rFonts w:hint="eastAsia"/>
          <w:b/>
          <w:i/>
          <w:iCs/>
          <w:sz w:val="24"/>
          <w:szCs w:val="24"/>
        </w:rPr>
        <w:t xml:space="preserve"> Luo</w:t>
      </w:r>
      <w:r>
        <w:rPr>
          <w:rFonts w:hint="eastAsia"/>
          <w:b/>
          <w:i/>
          <w:iCs/>
          <w:sz w:val="24"/>
          <w:szCs w:val="24"/>
          <w:vertAlign w:val="superscript"/>
        </w:rPr>
        <w:t>2</w:t>
      </w:r>
      <w:r>
        <w:rPr>
          <w:rFonts w:hint="eastAsia"/>
          <w:b/>
          <w:i/>
          <w:iCs/>
          <w:sz w:val="24"/>
          <w:szCs w:val="24"/>
        </w:rPr>
        <w:t>, Lili Zhang</w:t>
      </w:r>
      <w:r>
        <w:rPr>
          <w:rFonts w:hint="eastAsia"/>
          <w:b/>
          <w:i/>
          <w:iCs/>
          <w:sz w:val="24"/>
          <w:szCs w:val="24"/>
          <w:vertAlign w:val="superscript"/>
        </w:rPr>
        <w:t>3</w:t>
      </w:r>
      <w:r>
        <w:rPr>
          <w:rFonts w:hint="eastAsia"/>
          <w:b/>
          <w:i/>
          <w:iCs/>
          <w:sz w:val="24"/>
          <w:szCs w:val="24"/>
        </w:rPr>
        <w:t>, Zhen Xu</w:t>
      </w:r>
      <w:r>
        <w:rPr>
          <w:rFonts w:hint="eastAsia"/>
          <w:b/>
          <w:i/>
          <w:iCs/>
          <w:sz w:val="24"/>
          <w:szCs w:val="24"/>
          <w:vertAlign w:val="superscript"/>
        </w:rPr>
        <w:t>1</w:t>
      </w:r>
      <w:r>
        <w:rPr>
          <w:rFonts w:hint="eastAsia"/>
          <w:b/>
          <w:i/>
          <w:iCs/>
          <w:sz w:val="24"/>
          <w:szCs w:val="24"/>
        </w:rPr>
        <w:t xml:space="preserve">, </w:t>
      </w:r>
      <w:r>
        <w:rPr>
          <w:rFonts w:hint="default"/>
          <w:b/>
          <w:i/>
          <w:iCs/>
          <w:sz w:val="24"/>
          <w:szCs w:val="24"/>
        </w:rPr>
        <w:t>Fuqiang Guo</w:t>
      </w:r>
      <w:r>
        <w:rPr>
          <w:rFonts w:hint="eastAsia"/>
          <w:b/>
          <w:i/>
          <w:iCs/>
          <w:sz w:val="24"/>
          <w:szCs w:val="24"/>
          <w:vertAlign w:val="superscript"/>
        </w:rPr>
        <w:t>1*</w:t>
      </w:r>
      <w:r>
        <w:rPr>
          <w:rFonts w:hint="eastAsia"/>
          <w:b/>
          <w:i/>
          <w:iCs/>
          <w:sz w:val="24"/>
          <w:szCs w:val="24"/>
        </w:rPr>
        <w:t xml:space="preserve">, </w:t>
      </w:r>
      <w:r>
        <w:rPr>
          <w:rFonts w:hint="default"/>
          <w:b/>
          <w:i/>
          <w:iCs/>
          <w:sz w:val="24"/>
          <w:szCs w:val="24"/>
        </w:rPr>
        <w:t>Baohua Zhang</w:t>
      </w:r>
      <w:r>
        <w:rPr>
          <w:rFonts w:hint="eastAsia"/>
          <w:b/>
          <w:i/>
          <w:iCs/>
          <w:sz w:val="24"/>
          <w:szCs w:val="24"/>
          <w:vertAlign w:val="superscript"/>
        </w:rPr>
        <w:t>1*</w:t>
      </w:r>
    </w:p>
    <w:p w14:paraId="0BC38A07">
      <w:pPr>
        <w:tabs>
          <w:tab w:val="left" w:pos="1114"/>
        </w:tabs>
        <w:spacing w:beforeLines="0" w:afterLines="0"/>
        <w:jc w:val="center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</w:rPr>
        <w:t>1. Xinjiang</w:t>
      </w:r>
      <w:r>
        <w:rPr>
          <w:rFonts w:hint="default"/>
          <w:sz w:val="21"/>
          <w:szCs w:val="21"/>
        </w:rPr>
        <w:t xml:space="preserve"> Key Laboratory of </w:t>
      </w:r>
      <w:r>
        <w:rPr>
          <w:rFonts w:hint="eastAsia"/>
          <w:sz w:val="21"/>
          <w:szCs w:val="21"/>
        </w:rPr>
        <w:t>High Value</w:t>
      </w:r>
      <w:r>
        <w:rPr>
          <w:rFonts w:hint="default"/>
          <w:sz w:val="21"/>
          <w:szCs w:val="21"/>
        </w:rPr>
        <w:t xml:space="preserve"> Green Utilization of</w:t>
      </w:r>
      <w:r>
        <w:rPr>
          <w:rFonts w:hint="eastAsia"/>
          <w:sz w:val="21"/>
          <w:szCs w:val="21"/>
        </w:rPr>
        <w:t xml:space="preserve"> </w:t>
      </w:r>
      <w:r>
        <w:rPr>
          <w:rFonts w:hint="default"/>
          <w:sz w:val="21"/>
          <w:szCs w:val="21"/>
        </w:rPr>
        <w:t>Low-rank Coal</w:t>
      </w:r>
      <w:r>
        <w:rPr>
          <w:rFonts w:hint="eastAsia"/>
          <w:sz w:val="21"/>
          <w:szCs w:val="21"/>
        </w:rPr>
        <w:t>,</w:t>
      </w:r>
    </w:p>
    <w:p w14:paraId="0683BBB9">
      <w:pPr>
        <w:tabs>
          <w:tab w:val="left" w:pos="1114"/>
        </w:tabs>
        <w:spacing w:beforeLines="0" w:afterLines="0"/>
        <w:jc w:val="center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School of Physics and Materials Science, Changji University, Xinjiang, Changji</w:t>
      </w:r>
    </w:p>
    <w:p w14:paraId="55AA3BE6">
      <w:pPr>
        <w:tabs>
          <w:tab w:val="left" w:pos="1114"/>
        </w:tabs>
        <w:spacing w:beforeLines="0" w:afterLines="0"/>
        <w:jc w:val="center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831100, Chi</w:t>
      </w:r>
      <w:bookmarkStart w:id="4" w:name="_GoBack"/>
      <w:bookmarkEnd w:id="4"/>
      <w:r>
        <w:rPr>
          <w:rFonts w:hint="default"/>
          <w:sz w:val="21"/>
          <w:szCs w:val="21"/>
        </w:rPr>
        <w:t>na</w:t>
      </w:r>
    </w:p>
    <w:p w14:paraId="618A78E9">
      <w:pPr>
        <w:numPr>
          <w:ilvl w:val="0"/>
          <w:numId w:val="1"/>
        </w:numPr>
        <w:tabs>
          <w:tab w:val="left" w:pos="1114"/>
        </w:tabs>
        <w:spacing w:beforeLines="0" w:afterLines="0"/>
        <w:jc w:val="center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</w:rPr>
        <w:t>School of Foreign Languages, Changji University, Xinjiang, Changji 831100, China</w:t>
      </w:r>
    </w:p>
    <w:p w14:paraId="35FEA4C6">
      <w:pPr>
        <w:numPr>
          <w:ilvl w:val="0"/>
          <w:numId w:val="1"/>
        </w:numPr>
        <w:tabs>
          <w:tab w:val="left" w:pos="1114"/>
        </w:tabs>
        <w:spacing w:beforeLines="0" w:afterLines="0"/>
        <w:jc w:val="center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</w:rPr>
        <w:t>Xinjiang Key Laboratory of Phase Transitions and Microstructures in Condensed Matters, College of Physical Science and Technology, Yili Normal University, Xinjiang, Yining 835000, China</w:t>
      </w:r>
    </w:p>
    <w:p w14:paraId="10EA0F8C">
      <w:pPr>
        <w:adjustRightInd w:val="0"/>
        <w:snapToGrid w:val="0"/>
        <w:spacing w:beforeLines="0" w:afterLines="0" w:line="480" w:lineRule="auto"/>
        <w:rPr>
          <w:rFonts w:hint="default"/>
          <w:sz w:val="22"/>
          <w:szCs w:val="22"/>
        </w:rPr>
      </w:pPr>
      <w:r>
        <w:rPr>
          <w:rFonts w:hint="eastAsia"/>
          <w:sz w:val="21"/>
          <w:szCs w:val="21"/>
        </w:rPr>
        <w:t>*</w:t>
      </w:r>
      <w:r>
        <w:rPr>
          <w:rFonts w:hint="default"/>
          <w:sz w:val="22"/>
          <w:szCs w:val="22"/>
          <w:lang w:eastAsia="en-US"/>
        </w:rPr>
        <w:t>Corresponding authors</w:t>
      </w:r>
      <w:r>
        <w:rPr>
          <w:rFonts w:hint="eastAsia"/>
          <w:sz w:val="22"/>
          <w:szCs w:val="22"/>
        </w:rPr>
        <w:t xml:space="preserve">. </w:t>
      </w:r>
    </w:p>
    <w:p w14:paraId="313A18F8">
      <w:pPr>
        <w:adjustRightInd w:val="0"/>
        <w:snapToGrid w:val="0"/>
        <w:spacing w:beforeLines="0" w:afterLines="0" w:line="480" w:lineRule="auto"/>
        <w:rPr>
          <w:rFonts w:hint="default"/>
          <w:sz w:val="22"/>
          <w:szCs w:val="22"/>
        </w:rPr>
      </w:pPr>
      <w:r>
        <w:rPr>
          <w:rFonts w:hint="eastAsia"/>
          <w:sz w:val="22"/>
          <w:szCs w:val="22"/>
        </w:rPr>
        <w:t>*</w:t>
      </w:r>
      <w:r>
        <w:rPr>
          <w:rFonts w:hint="default"/>
          <w:sz w:val="22"/>
          <w:szCs w:val="22"/>
        </w:rPr>
        <w:t>E-mail:</w:t>
      </w:r>
      <w:r>
        <w:rPr>
          <w:rFonts w:hint="eastAsia"/>
          <w:sz w:val="22"/>
          <w:szCs w:val="22"/>
        </w:rPr>
        <w:t xml:space="preserve"> </w:t>
      </w:r>
      <w:r>
        <w:rPr>
          <w:rFonts w:hint="default"/>
          <w:sz w:val="24"/>
          <w:szCs w:val="22"/>
        </w:rPr>
        <w:t>cjxyedu@163.com</w:t>
      </w:r>
      <w:r>
        <w:rPr>
          <w:rFonts w:hint="eastAsia" w:eastAsia="等线"/>
          <w:sz w:val="22"/>
          <w:szCs w:val="22"/>
        </w:rPr>
        <w:t xml:space="preserve"> (Prof. </w:t>
      </w:r>
      <w:r>
        <w:rPr>
          <w:rFonts w:hint="default"/>
          <w:sz w:val="24"/>
          <w:szCs w:val="24"/>
        </w:rPr>
        <w:t>Fuqiang Guo</w:t>
      </w:r>
      <w:r>
        <w:rPr>
          <w:rFonts w:hint="eastAsia" w:eastAsia="等线"/>
          <w:sz w:val="22"/>
          <w:szCs w:val="22"/>
        </w:rPr>
        <w:t>),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4"/>
          <w:szCs w:val="22"/>
        </w:rPr>
        <w:t xml:space="preserve">zbhcjxy@163.com </w:t>
      </w:r>
      <w:r>
        <w:rPr>
          <w:rFonts w:hint="default"/>
          <w:sz w:val="22"/>
          <w:szCs w:val="22"/>
        </w:rPr>
        <w:t>(</w:t>
      </w:r>
      <w:r>
        <w:rPr>
          <w:rFonts w:hint="default"/>
          <w:sz w:val="24"/>
          <w:szCs w:val="24"/>
        </w:rPr>
        <w:t>Baohua Zhang</w:t>
      </w:r>
      <w:r>
        <w:rPr>
          <w:rFonts w:hint="default"/>
          <w:sz w:val="22"/>
          <w:szCs w:val="22"/>
        </w:rPr>
        <w:t>)</w:t>
      </w:r>
      <w:r>
        <w:rPr>
          <w:rFonts w:hint="eastAsia"/>
          <w:sz w:val="22"/>
          <w:szCs w:val="22"/>
        </w:rPr>
        <w:t>.</w:t>
      </w:r>
    </w:p>
    <w:p w14:paraId="629836A9">
      <w:pPr>
        <w:rPr>
          <w:sz w:val="22"/>
          <w:lang w:eastAsia="en-US"/>
        </w:rPr>
      </w:pPr>
    </w:p>
    <w:p w14:paraId="7F1A1711">
      <w:pPr>
        <w:rPr>
          <w:sz w:val="22"/>
        </w:rPr>
      </w:pPr>
    </w:p>
    <w:p w14:paraId="38C20A68">
      <w:pPr>
        <w:rPr>
          <w:sz w:val="22"/>
        </w:rPr>
      </w:pPr>
    </w:p>
    <w:p w14:paraId="659B1DF5">
      <w:pPr>
        <w:rPr>
          <w:sz w:val="22"/>
        </w:rPr>
      </w:pPr>
    </w:p>
    <w:p w14:paraId="023D7DBA">
      <w:pPr>
        <w:rPr>
          <w:sz w:val="22"/>
        </w:rPr>
      </w:pPr>
    </w:p>
    <w:p w14:paraId="524CC5AD">
      <w:pPr>
        <w:rPr>
          <w:sz w:val="22"/>
        </w:rPr>
      </w:pPr>
    </w:p>
    <w:p w14:paraId="738502A3">
      <w:pPr>
        <w:rPr>
          <w:sz w:val="22"/>
        </w:rPr>
      </w:pPr>
    </w:p>
    <w:p w14:paraId="6A531F9D">
      <w:pPr>
        <w:rPr>
          <w:sz w:val="22"/>
        </w:rPr>
      </w:pPr>
    </w:p>
    <w:p w14:paraId="59892600">
      <w:pPr>
        <w:rPr>
          <w:sz w:val="22"/>
        </w:rPr>
      </w:pPr>
    </w:p>
    <w:p w14:paraId="40BBFE67">
      <w:pPr>
        <w:rPr>
          <w:sz w:val="22"/>
        </w:rPr>
      </w:pPr>
    </w:p>
    <w:p w14:paraId="49A98DC0">
      <w:pPr>
        <w:rPr>
          <w:sz w:val="22"/>
        </w:rPr>
      </w:pPr>
    </w:p>
    <w:p w14:paraId="5B09C210">
      <w:pPr>
        <w:rPr>
          <w:sz w:val="22"/>
        </w:rPr>
      </w:pPr>
    </w:p>
    <w:p w14:paraId="230669A6">
      <w:pPr>
        <w:rPr>
          <w:sz w:val="22"/>
        </w:rPr>
      </w:pPr>
    </w:p>
    <w:p w14:paraId="7CE8F8C4">
      <w:pPr>
        <w:rPr>
          <w:sz w:val="22"/>
        </w:rPr>
      </w:pPr>
    </w:p>
    <w:p w14:paraId="77B1D264">
      <w:pPr>
        <w:spacing w:line="48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PartⅠ: Supporting Figures</w:t>
      </w:r>
    </w:p>
    <w:p w14:paraId="350E5FF5">
      <w:pPr>
        <w:jc w:val="center"/>
      </w:pPr>
      <w:r>
        <w:rPr>
          <w14:ligatures w14:val="none"/>
        </w:rPr>
        <w:drawing>
          <wp:inline distT="0" distB="0" distL="0" distR="0">
            <wp:extent cx="2159635" cy="1455420"/>
            <wp:effectExtent l="0" t="0" r="0" b="0"/>
            <wp:docPr id="1208476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76823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5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B8E1">
      <w:pPr>
        <w:jc w:val="center"/>
        <w:rPr>
          <w:rFonts w:cs="Times New Roman"/>
          <w:sz w:val="21"/>
          <w:szCs w:val="21"/>
          <w:shd w:val="clear" w:color="auto" w:fill="FFFFFF"/>
        </w:rPr>
      </w:pPr>
      <w:r>
        <w:rPr>
          <w:rFonts w:hint="eastAsia" w:cs="Times New Roman"/>
          <w:b/>
          <w:bCs/>
          <w:sz w:val="21"/>
          <w:szCs w:val="21"/>
          <w:shd w:val="clear" w:color="auto" w:fill="FFFFFF"/>
        </w:rPr>
        <w:t>Fig. S1</w:t>
      </w:r>
      <w:r>
        <w:rPr>
          <w:rFonts w:hint="eastAsia" w:cs="Times New Roman"/>
          <w:sz w:val="21"/>
          <w:szCs w:val="21"/>
          <w:shd w:val="clear" w:color="auto" w:fill="FFFFFF"/>
        </w:rPr>
        <w:t xml:space="preserve"> </w:t>
      </w:r>
      <w:r>
        <w:rPr>
          <w:rFonts w:cs="Times New Roman"/>
          <w:sz w:val="21"/>
          <w:szCs w:val="21"/>
          <w:shd w:val="clear" w:color="auto" w:fill="FFFFFF"/>
        </w:rPr>
        <w:t>(</w:t>
      </w:r>
      <w:r>
        <w:rPr>
          <w:rFonts w:hint="eastAsia" w:cs="Times New Roman"/>
          <w:sz w:val="21"/>
          <w:szCs w:val="21"/>
          <w:shd w:val="clear" w:color="auto" w:fill="FFFFFF"/>
        </w:rPr>
        <w:t>a</w:t>
      </w:r>
      <w:r>
        <w:rPr>
          <w:rFonts w:cs="Times New Roman"/>
          <w:sz w:val="21"/>
          <w:szCs w:val="21"/>
          <w:shd w:val="clear" w:color="auto" w:fill="FFFFFF"/>
        </w:rPr>
        <w:t>) (003) peaks</w:t>
      </w:r>
      <w:r>
        <w:rPr>
          <w:rFonts w:hint="eastAsia" w:cs="Times New Roman"/>
          <w:sz w:val="21"/>
          <w:szCs w:val="21"/>
          <w:shd w:val="clear" w:color="auto" w:fill="FFFFFF"/>
        </w:rPr>
        <w:t>,</w:t>
      </w:r>
      <w:r>
        <w:rPr>
          <w:rFonts w:cs="Times New Roman"/>
          <w:sz w:val="21"/>
          <w:szCs w:val="21"/>
          <w:shd w:val="clear" w:color="auto" w:fill="FFFFFF"/>
        </w:rPr>
        <w:t xml:space="preserve"> (</w:t>
      </w:r>
      <w:r>
        <w:rPr>
          <w:rFonts w:hint="eastAsia" w:cs="Times New Roman"/>
          <w:sz w:val="21"/>
          <w:szCs w:val="21"/>
          <w:shd w:val="clear" w:color="auto" w:fill="FFFFFF"/>
        </w:rPr>
        <w:t>b</w:t>
      </w:r>
      <w:r>
        <w:rPr>
          <w:rFonts w:cs="Times New Roman"/>
          <w:sz w:val="21"/>
          <w:szCs w:val="21"/>
          <w:shd w:val="clear" w:color="auto" w:fill="FFFFFF"/>
        </w:rPr>
        <w:t>) (104) peaks.</w:t>
      </w:r>
    </w:p>
    <w:p w14:paraId="38B26FAF">
      <w:pPr>
        <w:jc w:val="center"/>
      </w:pPr>
      <w:r>
        <w:rPr>
          <w:rFonts w:hint="eastAsia"/>
          <w14:ligatures w14:val="none"/>
        </w:rPr>
        <w:drawing>
          <wp:inline distT="0" distB="0" distL="0" distR="0">
            <wp:extent cx="2159635" cy="2751455"/>
            <wp:effectExtent l="0" t="0" r="0" b="0"/>
            <wp:docPr id="8769358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35885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7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F7599">
      <w:pPr>
        <w:ind w:firstLine="422" w:firstLineChars="200"/>
        <w:jc w:val="center"/>
        <w:rPr>
          <w:rFonts w:cs="Times New Roman"/>
          <w:sz w:val="21"/>
          <w:szCs w:val="21"/>
          <w:shd w:val="clear" w:color="auto" w:fill="FFFFFF"/>
        </w:rPr>
      </w:pPr>
      <w:r>
        <w:rPr>
          <w:rFonts w:hint="eastAsia" w:cs="Times New Roman"/>
          <w:b/>
          <w:bCs/>
          <w:sz w:val="21"/>
          <w:szCs w:val="21"/>
          <w:shd w:val="clear" w:color="auto" w:fill="FFFFFF"/>
        </w:rPr>
        <w:t>Fig.S2</w:t>
      </w:r>
      <w:r>
        <w:rPr>
          <w:rFonts w:hint="eastAsia" w:cs="Times New Roman"/>
          <w:sz w:val="21"/>
          <w:szCs w:val="21"/>
          <w:shd w:val="clear" w:color="auto" w:fill="FFFFFF"/>
        </w:rPr>
        <w:t xml:space="preserve"> </w:t>
      </w:r>
      <w:r>
        <w:rPr>
          <w:rFonts w:cs="Times New Roman"/>
          <w:sz w:val="21"/>
          <w:szCs w:val="21"/>
          <w:shd w:val="clear" w:color="auto" w:fill="FFFFFF"/>
        </w:rPr>
        <w:t>EDS mapping results for NCM-Sr-0 (</w:t>
      </w:r>
      <w:r>
        <w:rPr>
          <w:rFonts w:hint="eastAsia" w:cs="Times New Roman"/>
          <w:sz w:val="21"/>
          <w:szCs w:val="21"/>
          <w:shd w:val="clear" w:color="auto" w:fill="FFFFFF"/>
        </w:rPr>
        <w:t>a</w:t>
      </w:r>
      <w:r>
        <w:rPr>
          <w:rFonts w:cs="Times New Roman"/>
          <w:sz w:val="21"/>
          <w:szCs w:val="21"/>
          <w:shd w:val="clear" w:color="auto" w:fill="FFFFFF"/>
        </w:rPr>
        <w:t>); EDS mapping results for NCM-Sr-0.7 (</w:t>
      </w:r>
      <w:r>
        <w:rPr>
          <w:rFonts w:hint="eastAsia" w:cs="Times New Roman"/>
          <w:sz w:val="21"/>
          <w:szCs w:val="21"/>
          <w:shd w:val="clear" w:color="auto" w:fill="FFFFFF"/>
        </w:rPr>
        <w:t>b</w:t>
      </w:r>
      <w:r>
        <w:rPr>
          <w:rFonts w:cs="Times New Roman"/>
          <w:sz w:val="21"/>
          <w:szCs w:val="21"/>
          <w:shd w:val="clear" w:color="auto" w:fill="FFFFFF"/>
        </w:rPr>
        <w:t>).</w:t>
      </w:r>
    </w:p>
    <w:p w14:paraId="71C47C3F">
      <w:pPr>
        <w:jc w:val="center"/>
      </w:pPr>
      <w:r>
        <w:rPr>
          <w:rFonts w:hint="eastAsia"/>
          <w14:ligatures w14:val="none"/>
        </w:rPr>
        <w:drawing>
          <wp:inline distT="0" distB="0" distL="0" distR="0">
            <wp:extent cx="3094990" cy="2092325"/>
            <wp:effectExtent l="0" t="0" r="0" b="3175"/>
            <wp:docPr id="18151708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70820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12" cy="209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F9E9">
      <w:pPr>
        <w:spacing w:line="240" w:lineRule="auto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hint="eastAsia" w:cs="Times New Roman"/>
          <w:sz w:val="18"/>
          <w:szCs w:val="18"/>
          <w:shd w:val="clear" w:color="auto" w:fill="FFFFFF"/>
        </w:rPr>
        <w:t xml:space="preserve">Fig.S3 </w:t>
      </w:r>
      <w:r>
        <w:rPr>
          <w:rFonts w:cs="Times New Roman"/>
          <w:sz w:val="18"/>
          <w:szCs w:val="18"/>
          <w:shd w:val="clear" w:color="auto" w:fill="FFFFFF"/>
        </w:rPr>
        <w:t xml:space="preserve">long multiplicity performance  of </w:t>
      </w:r>
      <w:r>
        <w:rPr>
          <w:rFonts w:hint="eastAsia" w:cs="Times New Roman"/>
          <w:sz w:val="18"/>
          <w:szCs w:val="18"/>
          <w:shd w:val="clear" w:color="auto" w:fill="FFFFFF"/>
        </w:rPr>
        <w:t xml:space="preserve"> </w:t>
      </w:r>
      <w:r>
        <w:rPr>
          <w:rFonts w:cs="Times New Roman"/>
          <w:sz w:val="18"/>
          <w:szCs w:val="18"/>
          <w:shd w:val="clear" w:color="auto" w:fill="FFFFFF"/>
        </w:rPr>
        <w:t>NCM-Sr-X</w:t>
      </w:r>
      <w:r>
        <w:rPr>
          <w:rFonts w:hint="eastAsia" w:cs="Times New Roman"/>
          <w:sz w:val="18"/>
          <w:szCs w:val="18"/>
          <w:shd w:val="clear" w:color="auto" w:fill="FFFFFF"/>
        </w:rPr>
        <w:t xml:space="preserve"> at 10C</w:t>
      </w:r>
    </w:p>
    <w:p w14:paraId="52513A4F">
      <w:pPr>
        <w:ind w:firstLine="240" w:firstLineChars="100"/>
        <w:jc w:val="center"/>
        <w:rPr>
          <w:rFonts w:cs="Times New Roman"/>
          <w:b/>
          <w:bCs/>
          <w:sz w:val="21"/>
          <w:szCs w:val="21"/>
          <w:shd w:val="clear" w:color="auto" w:fill="FFFFFF"/>
        </w:rPr>
      </w:pPr>
      <w:r>
        <w:rPr>
          <w14:ligatures w14:val="none"/>
        </w:rPr>
        <w:drawing>
          <wp:inline distT="0" distB="0" distL="0" distR="0">
            <wp:extent cx="3837305" cy="1546860"/>
            <wp:effectExtent l="0" t="0" r="0" b="0"/>
            <wp:docPr id="4181504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50430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435" cy="155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2E43">
      <w:pPr>
        <w:ind w:firstLine="211" w:firstLineChars="100"/>
        <w:jc w:val="center"/>
        <w:rPr>
          <w:rFonts w:cs="Times New Roman"/>
          <w:sz w:val="21"/>
          <w:szCs w:val="21"/>
          <w:shd w:val="clear" w:color="auto" w:fill="FFFFFF"/>
        </w:rPr>
      </w:pPr>
      <w:r>
        <w:rPr>
          <w:rFonts w:hint="eastAsia" w:cs="Times New Roman"/>
          <w:b/>
          <w:bCs/>
          <w:sz w:val="21"/>
          <w:szCs w:val="21"/>
          <w:shd w:val="clear" w:color="auto" w:fill="FFFFFF"/>
        </w:rPr>
        <w:t>Fig.S4</w:t>
      </w:r>
      <w:r>
        <w:rPr>
          <w:rFonts w:hint="eastAsia" w:cs="Times New Roman"/>
          <w:sz w:val="21"/>
          <w:szCs w:val="21"/>
          <w:shd w:val="clear" w:color="auto" w:fill="FFFFFF"/>
        </w:rPr>
        <w:t xml:space="preserve"> </w:t>
      </w:r>
      <w:r>
        <w:rPr>
          <w:rFonts w:cs="Times New Roman"/>
          <w:sz w:val="21"/>
          <w:szCs w:val="21"/>
          <w:shd w:val="clear" w:color="auto" w:fill="FFFFFF"/>
        </w:rPr>
        <w:t>(</w:t>
      </w:r>
      <w:r>
        <w:rPr>
          <w:rFonts w:hint="eastAsia" w:cs="Times New Roman"/>
          <w:sz w:val="21"/>
          <w:szCs w:val="21"/>
          <w:shd w:val="clear" w:color="auto" w:fill="FFFFFF"/>
        </w:rPr>
        <w:t>a</w:t>
      </w:r>
      <w:r>
        <w:rPr>
          <w:rFonts w:cs="Times New Roman"/>
          <w:sz w:val="21"/>
          <w:szCs w:val="21"/>
          <w:shd w:val="clear" w:color="auto" w:fill="FFFFFF"/>
        </w:rPr>
        <w:t>) NCM-Sr-0-GITT  and (</w:t>
      </w:r>
      <w:r>
        <w:rPr>
          <w:rFonts w:hint="eastAsia" w:cs="Times New Roman"/>
          <w:sz w:val="21"/>
          <w:szCs w:val="21"/>
          <w:shd w:val="clear" w:color="auto" w:fill="FFFFFF"/>
        </w:rPr>
        <w:t>b</w:t>
      </w:r>
      <w:r>
        <w:rPr>
          <w:rFonts w:cs="Times New Roman"/>
          <w:sz w:val="21"/>
          <w:szCs w:val="21"/>
          <w:shd w:val="clear" w:color="auto" w:fill="FFFFFF"/>
        </w:rPr>
        <w:t>) NCM-Sr-0.7-GITT charging curve .</w:t>
      </w:r>
    </w:p>
    <w:p w14:paraId="223E6C41">
      <w:pPr>
        <w:ind w:firstLine="210" w:firstLineChars="100"/>
        <w:jc w:val="center"/>
        <w:rPr>
          <w:rFonts w:cs="Times New Roman"/>
          <w:sz w:val="21"/>
          <w:szCs w:val="21"/>
          <w:shd w:val="clear" w:color="auto" w:fill="FFFFFF"/>
        </w:rPr>
      </w:pPr>
    </w:p>
    <w:p w14:paraId="560C6881">
      <w:pPr>
        <w:ind w:firstLine="540" w:firstLineChars="30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hint="eastAsia" w:cs="Times New Roman"/>
          <w:sz w:val="18"/>
          <w:szCs w:val="18"/>
          <w:shd w:val="clear" w:color="auto" w:fill="FFFFFF"/>
        </w:rPr>
        <w:drawing>
          <wp:inline distT="0" distB="0" distL="0" distR="0">
            <wp:extent cx="2301240" cy="1951990"/>
            <wp:effectExtent l="0" t="0" r="3810" b="10160"/>
            <wp:docPr id="17768900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90033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7844">
      <w:pPr>
        <w:spacing w:line="240" w:lineRule="auto"/>
        <w:jc w:val="center"/>
        <w:rPr>
          <w:rFonts w:hint="eastAsia" w:cs="Times New Roman"/>
          <w:sz w:val="21"/>
          <w:szCs w:val="21"/>
          <w:shd w:val="clear" w:color="auto" w:fill="FFFFFF"/>
        </w:rPr>
      </w:pPr>
      <w:bookmarkStart w:id="0" w:name="_Hlk187196982"/>
      <w:r>
        <w:rPr>
          <w:rFonts w:cs="Times New Roman"/>
          <w:b/>
          <w:bCs/>
          <w:sz w:val="21"/>
          <w:szCs w:val="21"/>
          <w:shd w:val="clear" w:color="auto" w:fill="FFFFFF"/>
        </w:rPr>
        <w:t xml:space="preserve">Fig. </w:t>
      </w:r>
      <w:r>
        <w:rPr>
          <w:rFonts w:hint="eastAsia" w:cs="Times New Roman"/>
          <w:b/>
          <w:bCs/>
          <w:sz w:val="21"/>
          <w:szCs w:val="21"/>
          <w:shd w:val="clear" w:color="auto" w:fill="FFFFFF"/>
        </w:rPr>
        <w:t>S5</w:t>
      </w:r>
      <w:r>
        <w:rPr>
          <w:rFonts w:cs="Times New Roman"/>
          <w:sz w:val="21"/>
          <w:szCs w:val="21"/>
          <w:shd w:val="clear" w:color="auto" w:fill="FFFFFF"/>
        </w:rPr>
        <w:t>. NCM-Sr-0 and NCM-Sr-0.7-GITT charging curve .</w:t>
      </w:r>
      <w:bookmarkEnd w:id="0"/>
    </w:p>
    <w:p w14:paraId="2D077B06">
      <w:pPr>
        <w:adjustRightInd w:val="0"/>
        <w:snapToGrid w:val="0"/>
        <w:spacing w:line="480" w:lineRule="auto"/>
        <w:ind w:firstLine="480" w:firstLineChars="200"/>
        <w:rPr>
          <w:bCs/>
        </w:rPr>
      </w:pPr>
      <w:r>
        <w:rPr>
          <w:bCs/>
        </w:rPr>
        <w:t>Fo</w:t>
      </w:r>
      <w:r>
        <w:rPr>
          <w:rFonts w:hint="eastAsia"/>
          <w:bCs/>
        </w:rPr>
        <w:t>r</w:t>
      </w:r>
      <w:r>
        <w:rPr>
          <w:bCs/>
        </w:rPr>
        <w:t xml:space="preserve"> the GITT measurement, the assembled coin-type half-cells were firstly galvanostatic charge/discharged at a constant current of 0.1C for </w:t>
      </w:r>
      <w:r>
        <w:rPr>
          <w:rFonts w:hint="eastAsia"/>
          <w:bCs/>
        </w:rPr>
        <w:t>3</w:t>
      </w:r>
      <w:r>
        <w:rPr>
          <w:bCs/>
        </w:rPr>
        <w:t xml:space="preserve"> cycles. Su</w:t>
      </w:r>
      <w:r>
        <w:rPr>
          <w:rFonts w:hint="eastAsia"/>
          <w:bCs/>
        </w:rPr>
        <w:t>b</w:t>
      </w:r>
      <w:r>
        <w:rPr>
          <w:bCs/>
        </w:rPr>
        <w:t xml:space="preserve">sequently, the charging interval was set, and the open circuit lasted </w:t>
      </w:r>
      <w:r>
        <w:rPr>
          <w:rFonts w:hint="eastAsia"/>
          <w:bCs/>
        </w:rPr>
        <w:t>4</w:t>
      </w:r>
      <w:r>
        <w:rPr>
          <w:bCs/>
        </w:rPr>
        <w:t xml:space="preserve"> h to allow the cell voltage to relax to its quasi-equilibrium state. The change in the steady-state voltage ΔE</w:t>
      </w:r>
      <w:r>
        <w:rPr>
          <w:bCs/>
          <w:vertAlign w:val="subscript"/>
        </w:rPr>
        <w:t>s</w:t>
      </w:r>
      <w:r>
        <w:rPr>
          <w:bCs/>
        </w:rPr>
        <w:t xml:space="preserve"> is obtained by subtracting the original voltage (E</w:t>
      </w:r>
      <w:r>
        <w:rPr>
          <w:bCs/>
          <w:vertAlign w:val="subscript"/>
        </w:rPr>
        <w:t>0</w:t>
      </w:r>
      <w:r>
        <w:rPr>
          <w:bCs/>
        </w:rPr>
        <w:t>) from the steady-state voltage (E</w:t>
      </w:r>
      <w:r>
        <w:rPr>
          <w:bCs/>
          <w:vertAlign w:val="subscript"/>
        </w:rPr>
        <w:t>s</w:t>
      </w:r>
      <w:r>
        <w:rPr>
          <w:bCs/>
        </w:rPr>
        <w:t>). The cell voltage increases during the current flux and the total change of cell voltage ΔE</w:t>
      </w:r>
      <w:r>
        <w:rPr>
          <w:bCs/>
          <w:vertAlign w:val="subscript"/>
        </w:rPr>
        <w:t>τ</w:t>
      </w:r>
      <w:r>
        <w:rPr>
          <w:bCs/>
        </w:rPr>
        <w:t xml:space="preserve"> can be obtained by calculating the voltage drop. Meanwhile, the process of the chemical diffusion is assumed to obey Fick’s second law of diffusion. With a series of simplifications, for sufficient time interval (τ&lt;&lt;L</w:t>
      </w:r>
      <w:r>
        <w:rPr>
          <w:bCs/>
          <w:vertAlign w:val="superscript"/>
        </w:rPr>
        <w:t>2</w:t>
      </w:r>
      <w:r>
        <w:rPr>
          <w:bCs/>
        </w:rPr>
        <w:t>/D</w:t>
      </w:r>
      <w:r>
        <w:rPr>
          <w:bCs/>
          <w:vertAlign w:val="subscript"/>
        </w:rPr>
        <w:t>Li</w:t>
      </w:r>
      <w:r>
        <w:rPr>
          <w:bCs/>
          <w:vertAlign w:val="superscript"/>
        </w:rPr>
        <w:t>+</w:t>
      </w:r>
      <w:r>
        <w:rPr>
          <w:bCs/>
        </w:rPr>
        <w:t>), the equation of D</w:t>
      </w:r>
      <w:r>
        <w:rPr>
          <w:bCs/>
          <w:vertAlign w:val="subscript"/>
        </w:rPr>
        <w:t>Li</w:t>
      </w:r>
      <w:r>
        <w:rPr>
          <w:bCs/>
          <w:vertAlign w:val="superscript"/>
        </w:rPr>
        <w:t>+</w:t>
      </w:r>
      <w:r>
        <w:rPr>
          <w:bCs/>
        </w:rPr>
        <w:t xml:space="preserve"> can be written as (Equation 1):</w:t>
      </w:r>
    </w:p>
    <w:p w14:paraId="13076C66">
      <w:pPr>
        <w:adjustRightInd w:val="0"/>
        <w:snapToGrid w:val="0"/>
        <w:spacing w:line="480" w:lineRule="auto"/>
        <w:ind w:firstLine="480" w:firstLineChars="2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m:oMath>
        <m:sSub>
          <w:bookmarkStart w:id="1" w:name="OLE_LINK3"/>
          <w:bookmarkStart w:id="2" w:name="OLE_LINK340"/>
          <m:sSubPr>
            <m:ctrlPr>
              <w:rPr>
                <w:rFonts w:ascii="Cambria Math" w:hAnsi="Cambria Math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D</m:t>
            </m:r>
            <m:ctrlPr>
              <w:rPr>
                <w:rFonts w:ascii="Cambria Math" w:hAnsi="Cambria Math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Li</m:t>
                </m:r>
                <m:ctrlPr>
                  <w:rPr>
                    <w:rFonts w:ascii="Cambria Math" w:hAnsi="Cambria Math"/>
                    <w:i/>
                    <w:iCs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+</m:t>
                </m:r>
                <m:ctrlPr>
                  <w:rPr>
                    <w:rFonts w:ascii="Cambria Math" w:hAnsi="Cambria Math"/>
                    <w:i/>
                    <w:iCs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w:bookmarkEnd w:id="1"/>
            <m:ctrlPr>
              <w:rPr>
                <w:rFonts w:ascii="Cambria Math" w:hAnsi="Cambria Math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nor/>
            <m:sty m:val="p"/>
          </m:rPr>
          <w:rPr>
            <w:b w:val="0"/>
            <w:i w:val="0"/>
            <w:color w:val="000000" w:themeColor="text1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en>
        </m:f>
        <m:sSup>
          <m:s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eastAsia"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V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sSup>
          <m:sSup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s</m:t>
                        </m: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τ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ascii="Cambria Math" w:hAnsi="Cambria Math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m:t>E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Fonts w:ascii="Cambria Math" w:hAnsi="Cambria Math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m:t>τ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m:ctrlPr>
                              </m:radPr>
                              <m:deg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m:ctrlPr>
                              </m:deg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m:t>τ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m:ctrlPr>
                              </m:e>
                            </m:rad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τ≪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L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D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Li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+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n>
            </m:f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 xml:space="preserve">         (1)</m:t>
        </m:r>
      </m:oMath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DBBEEA1">
      <w:pPr>
        <w:adjustRightInd w:val="0"/>
        <w:snapToGrid w:val="0"/>
        <w:spacing w:line="480" w:lineRule="auto"/>
        <w:rPr>
          <w:bCs/>
        </w:rPr>
      </w:pPr>
      <w:r>
        <w:rPr>
          <w:bCs/>
        </w:rPr>
        <w:t>where V</w:t>
      </w:r>
      <w:r>
        <w:rPr>
          <w:bCs/>
          <w:vertAlign w:val="subscript"/>
        </w:rPr>
        <w:t>m</w:t>
      </w:r>
      <w:r>
        <w:rPr>
          <w:bCs/>
        </w:rPr>
        <w:t xml:space="preserve"> is the molar volume of active materials, M</w:t>
      </w:r>
      <w:r>
        <w:rPr>
          <w:bCs/>
          <w:vertAlign w:val="subscript"/>
        </w:rPr>
        <w:t>B</w:t>
      </w:r>
      <w:r>
        <w:rPr>
          <w:bCs/>
        </w:rPr>
        <w:t xml:space="preserve"> and m</w:t>
      </w:r>
      <w:r>
        <w:rPr>
          <w:bCs/>
          <w:vertAlign w:val="subscript"/>
        </w:rPr>
        <w:t>B</w:t>
      </w:r>
      <w:r>
        <w:rPr>
          <w:bCs/>
        </w:rPr>
        <w:t xml:space="preserve"> are the molecular weight and mass of the host oxide, respectively, and A is the total contact area between the electrolyte and the electrode, L is the thickness of the electrode. If sufficiently small currents and short time intervals are employed, the cell voltage is a linear function of the square root of τ, Equation 1 can be further simplified as (Equation 2):</w:t>
      </w:r>
    </w:p>
    <w:p w14:paraId="41998930">
      <w:pPr>
        <w:ind w:firstLine="960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/>
                <w:rPr>
                  <w:rFonts w:ascii="Cambria Math" w:hAnsi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D</m:t>
              </m:r>
              <m:ctrlPr>
                <w:rPr>
                  <w:rFonts w:ascii="Cambria Math" w:hAnsi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Li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+</m:t>
                  </m: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iC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b w:val="0"/>
              <w:i w:val="0"/>
              <w:color w:val="000000" w:themeColor="text1"/>
              <w14:textFill>
                <w14:solidFill>
                  <w14:schemeClr w14:val="tx1"/>
                </w14:solidFill>
              </w14:textFill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4L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r>
                <m:rPr/>
                <w:rPr>
                  <w:rFonts w:ascii="Cambria Math" w:hAnsi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πτ</m:t>
              </m:r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sSup>
            <m:sSupPr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s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τ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ascii="Cambria Math" w:hAnsi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d>
            <m:dPr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/>
                <w:rPr>
                  <w:rFonts w:ascii="Cambria Math" w:hAnsi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τ≪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L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Li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m:t>+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ctrlPr>
                <w:rPr>
                  <w:rFonts w:ascii="Cambria Math" w:hAnsi="Cambria Math"/>
                  <w:i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/>
            <w:rPr>
              <w:rFonts w:ascii="Cambria Math" w:hAnsi="Cambria Math"/>
              <w:color w:val="000000" w:themeColor="text1"/>
              <w14:textFill>
                <w14:solidFill>
                  <w14:schemeClr w14:val="tx1"/>
                </w14:solidFill>
              </w14:textFill>
            </w:rPr>
            <m:t xml:space="preserve">                             (2)</m:t>
          </m:r>
        </m:oMath>
      </m:oMathPara>
    </w:p>
    <w:p w14:paraId="4DBE579A">
      <w:pPr>
        <w:adjustRightInd w:val="0"/>
        <w:snapToGrid w:val="0"/>
        <w:spacing w:line="480" w:lineRule="auto"/>
        <w:ind w:firstLine="480" w:firstLineChars="2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2"/>
    <w:p w14:paraId="61CC6E59">
      <w:pPr>
        <w:rPr>
          <w:bCs/>
        </w:rPr>
      </w:pPr>
      <w:r>
        <w:rPr>
          <w:bCs/>
        </w:rPr>
        <w:t xml:space="preserve">where </w:t>
      </w:r>
      <w:r>
        <w:t>ΔE</w:t>
      </w:r>
      <w:r>
        <w:rPr>
          <w:vertAlign w:val="subscript"/>
        </w:rPr>
        <w:t>s</w:t>
      </w:r>
      <w:r>
        <w:t xml:space="preserve"> is the value of subtracting the original voltage (E</w:t>
      </w:r>
      <w:r>
        <w:rPr>
          <w:vertAlign w:val="subscript"/>
        </w:rPr>
        <w:t>0</w:t>
      </w:r>
      <w:r>
        <w:t>) from the steady-state voltage (E</w:t>
      </w:r>
      <w:r>
        <w:rPr>
          <w:vertAlign w:val="subscript"/>
        </w:rPr>
        <w:t>s</w:t>
      </w:r>
      <w:r>
        <w:t>). ΔE</w:t>
      </w:r>
      <w:bookmarkStart w:id="3" w:name="OLE_LINK4"/>
      <w:r>
        <w:rPr>
          <w:vertAlign w:val="subscript"/>
        </w:rPr>
        <w:t>τ</w:t>
      </w:r>
      <w:bookmarkEnd w:id="3"/>
      <w:r>
        <w:t xml:space="preserve"> is the change in the total temporary potential during the application of current in τ</w:t>
      </w:r>
      <w:r>
        <w:rPr>
          <w:bCs/>
        </w:rPr>
        <w:t>, L is the thickness of the electrode.</w:t>
      </w:r>
    </w:p>
    <w:p w14:paraId="60B28BD9">
      <w:pPr>
        <w:ind w:firstLine="240" w:firstLineChars="100"/>
        <w:jc w:val="center"/>
        <w:rPr>
          <w:rFonts w:cs="Times New Roman"/>
          <w:sz w:val="21"/>
          <w:szCs w:val="21"/>
          <w14:ligatures w14:val="none"/>
        </w:rPr>
      </w:pPr>
      <w:r>
        <w:rPr>
          <w:bCs/>
          <w14:ligatures w14:val="none"/>
        </w:rPr>
        <w:drawing>
          <wp:inline distT="0" distB="0" distL="0" distR="0">
            <wp:extent cx="5274310" cy="2058035"/>
            <wp:effectExtent l="0" t="0" r="2540" b="0"/>
            <wp:docPr id="18921567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5672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1"/>
          <w:szCs w:val="21"/>
          <w:highlight w:val="none"/>
          <w14:ligatures w14:val="none"/>
        </w:rPr>
        <w:t xml:space="preserve"> </w:t>
      </w:r>
      <w:r>
        <w:rPr>
          <w:rFonts w:cs="Times New Roman"/>
          <w:b/>
          <w:bCs/>
          <w:sz w:val="21"/>
          <w:szCs w:val="21"/>
          <w14:ligatures w14:val="none"/>
        </w:rPr>
        <w:t xml:space="preserve">Fig. </w:t>
      </w:r>
      <w:r>
        <w:rPr>
          <w:rFonts w:hint="eastAsia" w:cs="Times New Roman"/>
          <w:b/>
          <w:bCs/>
          <w:sz w:val="21"/>
          <w:szCs w:val="21"/>
          <w14:ligatures w14:val="none"/>
        </w:rPr>
        <w:t>S5</w:t>
      </w:r>
      <w:r>
        <w:rPr>
          <w:rFonts w:cs="Times New Roman"/>
          <w:b/>
          <w:bCs/>
          <w:sz w:val="21"/>
          <w:szCs w:val="21"/>
          <w14:ligatures w14:val="none"/>
        </w:rPr>
        <w:t xml:space="preserve">. </w:t>
      </w:r>
      <w:r>
        <w:rPr>
          <w:rFonts w:cs="Times New Roman"/>
          <w:sz w:val="21"/>
          <w:szCs w:val="21"/>
          <w14:ligatures w14:val="none"/>
        </w:rPr>
        <w:t>the</w:t>
      </w:r>
      <w:r>
        <w:rPr>
          <w:rFonts w:hint="eastAsia" w:cs="Times New Roman"/>
          <w:sz w:val="21"/>
          <w:szCs w:val="21"/>
          <w14:ligatures w14:val="none"/>
        </w:rPr>
        <w:t xml:space="preserve"> </w:t>
      </w:r>
      <w:r>
        <w:rPr>
          <w:rFonts w:cs="Times New Roman"/>
          <w:sz w:val="21"/>
          <w:szCs w:val="21"/>
          <w14:ligatures w14:val="none"/>
        </w:rPr>
        <w:t>SEM</w:t>
      </w:r>
      <w:r>
        <w:rPr>
          <w:rFonts w:hint="eastAsia" w:cs="Times New Roman"/>
          <w:sz w:val="21"/>
          <w:szCs w:val="21"/>
          <w14:ligatures w14:val="none"/>
        </w:rPr>
        <w:t xml:space="preserve"> </w:t>
      </w:r>
      <w:r>
        <w:rPr>
          <w:rFonts w:cs="Times New Roman"/>
          <w:sz w:val="21"/>
          <w:szCs w:val="21"/>
          <w14:ligatures w14:val="none"/>
        </w:rPr>
        <w:t>images</w:t>
      </w:r>
      <w:r>
        <w:rPr>
          <w:rFonts w:hint="eastAsia" w:cs="Times New Roman"/>
          <w:sz w:val="21"/>
          <w:szCs w:val="21"/>
          <w14:ligatures w14:val="none"/>
        </w:rPr>
        <w:t xml:space="preserve"> Of </w:t>
      </w:r>
      <w:r>
        <w:rPr>
          <w:rFonts w:cs="Times New Roman"/>
          <w:sz w:val="21"/>
          <w:szCs w:val="21"/>
          <w14:ligatures w14:val="none"/>
        </w:rPr>
        <w:t>(</w:t>
      </w:r>
      <w:r>
        <w:rPr>
          <w:rFonts w:hint="eastAsia" w:cs="Times New Roman"/>
          <w:sz w:val="21"/>
          <w:szCs w:val="21"/>
          <w14:ligatures w14:val="none"/>
        </w:rPr>
        <w:t>a</w:t>
      </w:r>
      <w:r>
        <w:rPr>
          <w:rFonts w:cs="Times New Roman"/>
          <w:sz w:val="21"/>
          <w:szCs w:val="21"/>
          <w14:ligatures w14:val="none"/>
        </w:rPr>
        <w:t xml:space="preserve">) NCM-Sr-0 </w:t>
      </w:r>
      <w:r>
        <w:rPr>
          <w:rFonts w:hint="eastAsia" w:cs="Times New Roman"/>
          <w:sz w:val="21"/>
          <w:szCs w:val="21"/>
          <w14:ligatures w14:val="none"/>
        </w:rPr>
        <w:t>and (b)</w:t>
      </w:r>
      <w:r>
        <w:rPr>
          <w:rFonts w:cs="Times New Roman"/>
          <w:sz w:val="21"/>
          <w:szCs w:val="21"/>
          <w14:ligatures w14:val="none"/>
        </w:rPr>
        <w:t>NCM-Sr-0.7</w:t>
      </w:r>
      <w:r>
        <w:rPr>
          <w:rFonts w:hint="eastAsia" w:cs="Times New Roman"/>
          <w:sz w:val="21"/>
          <w:szCs w:val="21"/>
          <w14:ligatures w14:val="none"/>
        </w:rPr>
        <w:t xml:space="preserve"> after 100</w:t>
      </w:r>
      <w:r>
        <w:rPr>
          <w:rFonts w:cs="Times New Roman"/>
          <w:sz w:val="21"/>
          <w:szCs w:val="21"/>
          <w14:ligatures w14:val="none"/>
        </w:rPr>
        <w:t xml:space="preserve"> </w:t>
      </w:r>
      <w:r>
        <w:rPr>
          <w:rFonts w:hint="eastAsia" w:cs="Times New Roman"/>
          <w:sz w:val="21"/>
          <w:szCs w:val="21"/>
          <w14:ligatures w14:val="none"/>
        </w:rPr>
        <w:t>cycles;</w:t>
      </w:r>
    </w:p>
    <w:p w14:paraId="4D272092">
      <w:pPr>
        <w:ind w:firstLine="210" w:firstLineChars="100"/>
        <w:jc w:val="center"/>
        <w:rPr>
          <w:rFonts w:cs="Times New Roman"/>
          <w:sz w:val="21"/>
          <w:szCs w:val="21"/>
          <w14:ligatures w14:val="none"/>
        </w:rPr>
      </w:pPr>
    </w:p>
    <w:p w14:paraId="28EDE263">
      <w:pPr>
        <w:ind w:firstLine="1265" w:firstLineChars="600"/>
        <w:jc w:val="left"/>
        <w:rPr>
          <w:rFonts w:cs="Times New Roman"/>
          <w:b/>
          <w:bCs/>
          <w:sz w:val="21"/>
          <w:szCs w:val="21"/>
          <w:shd w:val="clear" w:color="auto" w:fill="FFFFFF"/>
          <w14:ligatures w14:val="none"/>
        </w:rPr>
      </w:pPr>
    </w:p>
    <w:p w14:paraId="5B5D1C4E">
      <w:pPr>
        <w:ind w:firstLine="1265" w:firstLineChars="600"/>
        <w:jc w:val="left"/>
        <w:rPr>
          <w:rFonts w:cs="Times New Roman"/>
          <w:sz w:val="21"/>
          <w:szCs w:val="21"/>
          <w:highlight w:val="green"/>
          <w:shd w:val="clear" w:color="auto" w:fill="FFFFFF"/>
          <w14:ligatures w14:val="none"/>
        </w:rPr>
      </w:pPr>
      <w:r>
        <w:rPr>
          <w:rFonts w:cs="Times New Roman"/>
          <w:b/>
          <w:bCs/>
          <w:sz w:val="21"/>
          <w:szCs w:val="21"/>
          <w:shd w:val="clear" w:color="auto" w:fill="FFFFFF"/>
          <w14:ligatures w14:val="none"/>
        </w:rPr>
        <w:t>Table</w:t>
      </w:r>
      <w:r>
        <w:rPr>
          <w:rFonts w:hint="eastAsia" w:cs="Times New Roman"/>
          <w:b/>
          <w:bCs/>
          <w:sz w:val="21"/>
          <w:szCs w:val="21"/>
          <w:shd w:val="clear" w:color="auto" w:fill="FFFFFF"/>
          <w14:ligatures w14:val="none"/>
        </w:rPr>
        <w:t>. S</w:t>
      </w:r>
      <w:r>
        <w:rPr>
          <w:rFonts w:cs="Times New Roman"/>
          <w:b/>
          <w:bCs/>
          <w:sz w:val="21"/>
          <w:szCs w:val="21"/>
          <w:shd w:val="clear" w:color="auto" w:fill="FFFFFF"/>
          <w14:ligatures w14:val="none"/>
        </w:rPr>
        <w:t xml:space="preserve">2 </w:t>
      </w:r>
      <w:r>
        <w:rPr>
          <w:rFonts w:cs="Times New Roman"/>
          <w:sz w:val="21"/>
          <w:szCs w:val="21"/>
          <w:shd w:val="clear" w:color="auto" w:fill="FFFFFF"/>
          <w14:ligatures w14:val="none"/>
        </w:rPr>
        <w:t>Precise impedance parameters of raw and Sr samples after different number of cycles.</w:t>
      </w:r>
    </w:p>
    <w:tbl>
      <w:tblPr>
        <w:tblStyle w:val="12"/>
        <w:tblW w:w="8301" w:type="dxa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38"/>
        <w:gridCol w:w="1010"/>
        <w:gridCol w:w="1010"/>
        <w:gridCol w:w="1284"/>
        <w:gridCol w:w="847"/>
        <w:gridCol w:w="1074"/>
        <w:gridCol w:w="1011"/>
      </w:tblGrid>
      <w:tr w14:paraId="1549B22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373" w:hRule="atLeast"/>
        </w:trPr>
        <w:tc>
          <w:tcPr>
            <w:tcW w:w="1090" w:type="dxa"/>
          </w:tcPr>
          <w:p w14:paraId="1E13BEDE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NCM-Sr-0</w:t>
            </w:r>
          </w:p>
        </w:tc>
        <w:tc>
          <w:tcPr>
            <w:tcW w:w="969" w:type="dxa"/>
          </w:tcPr>
          <w:p w14:paraId="768E1F04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Rs</w:t>
            </w:r>
          </w:p>
        </w:tc>
        <w:tc>
          <w:tcPr>
            <w:tcW w:w="1050" w:type="dxa"/>
          </w:tcPr>
          <w:p w14:paraId="4548CA86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R</w:t>
            </w: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:vertAlign w:val="subscript"/>
                <w14:ligatures w14:val="none"/>
              </w:rPr>
              <w:t>f</w:t>
            </w:r>
          </w:p>
        </w:tc>
        <w:tc>
          <w:tcPr>
            <w:tcW w:w="1050" w:type="dxa"/>
          </w:tcPr>
          <w:p w14:paraId="148E4A14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R</w:t>
            </w: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:vertAlign w:val="subscript"/>
                <w14:ligatures w14:val="none"/>
              </w:rPr>
              <w:t>ct</w:t>
            </w:r>
          </w:p>
        </w:tc>
        <w:tc>
          <w:tcPr>
            <w:tcW w:w="1091" w:type="dxa"/>
          </w:tcPr>
          <w:p w14:paraId="31BC9B1D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NCM-Sr-0.7</w:t>
            </w:r>
          </w:p>
        </w:tc>
        <w:tc>
          <w:tcPr>
            <w:tcW w:w="893" w:type="dxa"/>
          </w:tcPr>
          <w:p w14:paraId="2B9763B4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Rs</w:t>
            </w:r>
          </w:p>
        </w:tc>
        <w:tc>
          <w:tcPr>
            <w:tcW w:w="1108" w:type="dxa"/>
          </w:tcPr>
          <w:p w14:paraId="69D8C4C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R</w:t>
            </w: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:vertAlign w:val="subscript"/>
                <w14:ligatures w14:val="none"/>
              </w:rPr>
              <w:t>f</w:t>
            </w:r>
          </w:p>
        </w:tc>
        <w:tc>
          <w:tcPr>
            <w:tcW w:w="1050" w:type="dxa"/>
          </w:tcPr>
          <w:p w14:paraId="3C01348C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R</w:t>
            </w: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:vertAlign w:val="subscript"/>
                <w14:ligatures w14:val="none"/>
              </w:rPr>
              <w:t>ct</w:t>
            </w:r>
          </w:p>
        </w:tc>
      </w:tr>
      <w:tr w14:paraId="7A092E9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90" w:type="dxa"/>
          </w:tcPr>
          <w:p w14:paraId="474567F3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3th</w:t>
            </w:r>
          </w:p>
        </w:tc>
        <w:tc>
          <w:tcPr>
            <w:tcW w:w="969" w:type="dxa"/>
          </w:tcPr>
          <w:p w14:paraId="4CB1BBEE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4.113</w:t>
            </w:r>
          </w:p>
        </w:tc>
        <w:tc>
          <w:tcPr>
            <w:tcW w:w="1050" w:type="dxa"/>
          </w:tcPr>
          <w:p w14:paraId="59836D74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12.19</w:t>
            </w:r>
          </w:p>
        </w:tc>
        <w:tc>
          <w:tcPr>
            <w:tcW w:w="1050" w:type="dxa"/>
          </w:tcPr>
          <w:p w14:paraId="220AECBC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12.19</w:t>
            </w:r>
          </w:p>
        </w:tc>
        <w:tc>
          <w:tcPr>
            <w:tcW w:w="1091" w:type="dxa"/>
          </w:tcPr>
          <w:p w14:paraId="1828A9DD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3th</w:t>
            </w:r>
          </w:p>
        </w:tc>
        <w:tc>
          <w:tcPr>
            <w:tcW w:w="893" w:type="dxa"/>
          </w:tcPr>
          <w:p w14:paraId="6B093449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4.1</w:t>
            </w:r>
          </w:p>
        </w:tc>
        <w:tc>
          <w:tcPr>
            <w:tcW w:w="1108" w:type="dxa"/>
          </w:tcPr>
          <w:p w14:paraId="5B27CCC7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12.125</w:t>
            </w:r>
          </w:p>
        </w:tc>
        <w:tc>
          <w:tcPr>
            <w:tcW w:w="1050" w:type="dxa"/>
          </w:tcPr>
          <w:p w14:paraId="20E7DCAA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12.46</w:t>
            </w:r>
          </w:p>
        </w:tc>
      </w:tr>
      <w:tr w14:paraId="40E7572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90" w:type="dxa"/>
          </w:tcPr>
          <w:p w14:paraId="4D4D1F9C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50th</w:t>
            </w:r>
          </w:p>
        </w:tc>
        <w:tc>
          <w:tcPr>
            <w:tcW w:w="969" w:type="dxa"/>
          </w:tcPr>
          <w:p w14:paraId="22C28BE6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4.432</w:t>
            </w:r>
          </w:p>
        </w:tc>
        <w:tc>
          <w:tcPr>
            <w:tcW w:w="1050" w:type="dxa"/>
          </w:tcPr>
          <w:p w14:paraId="1C7DC36F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8.725</w:t>
            </w:r>
          </w:p>
        </w:tc>
        <w:tc>
          <w:tcPr>
            <w:tcW w:w="1050" w:type="dxa"/>
          </w:tcPr>
          <w:p w14:paraId="1FBF3ABD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24.22</w:t>
            </w:r>
          </w:p>
        </w:tc>
        <w:tc>
          <w:tcPr>
            <w:tcW w:w="1091" w:type="dxa"/>
          </w:tcPr>
          <w:p w14:paraId="063D2E18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50th</w:t>
            </w:r>
          </w:p>
        </w:tc>
        <w:tc>
          <w:tcPr>
            <w:tcW w:w="893" w:type="dxa"/>
          </w:tcPr>
          <w:p w14:paraId="741E027E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4.2</w:t>
            </w:r>
          </w:p>
        </w:tc>
        <w:tc>
          <w:tcPr>
            <w:tcW w:w="1108" w:type="dxa"/>
          </w:tcPr>
          <w:p w14:paraId="3E528952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7.055</w:t>
            </w:r>
          </w:p>
        </w:tc>
        <w:tc>
          <w:tcPr>
            <w:tcW w:w="1050" w:type="dxa"/>
          </w:tcPr>
          <w:p w14:paraId="7F6AD7D7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36.73</w:t>
            </w:r>
          </w:p>
        </w:tc>
      </w:tr>
      <w:tr w14:paraId="6168D86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90" w:type="dxa"/>
          </w:tcPr>
          <w:p w14:paraId="060668EE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100th</w:t>
            </w:r>
          </w:p>
        </w:tc>
        <w:tc>
          <w:tcPr>
            <w:tcW w:w="969" w:type="dxa"/>
          </w:tcPr>
          <w:p w14:paraId="3EF42111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5.364</w:t>
            </w:r>
          </w:p>
        </w:tc>
        <w:tc>
          <w:tcPr>
            <w:tcW w:w="1050" w:type="dxa"/>
          </w:tcPr>
          <w:p w14:paraId="36A56244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10.38</w:t>
            </w:r>
          </w:p>
        </w:tc>
        <w:tc>
          <w:tcPr>
            <w:tcW w:w="1050" w:type="dxa"/>
          </w:tcPr>
          <w:p w14:paraId="01B7A36C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46.43</w:t>
            </w:r>
          </w:p>
        </w:tc>
        <w:tc>
          <w:tcPr>
            <w:tcW w:w="1091" w:type="dxa"/>
          </w:tcPr>
          <w:p w14:paraId="7D051C1B">
            <w:pPr>
              <w:jc w:val="center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100th</w:t>
            </w:r>
          </w:p>
        </w:tc>
        <w:tc>
          <w:tcPr>
            <w:tcW w:w="893" w:type="dxa"/>
          </w:tcPr>
          <w:p w14:paraId="481428A7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5.6</w:t>
            </w:r>
          </w:p>
        </w:tc>
        <w:tc>
          <w:tcPr>
            <w:tcW w:w="1108" w:type="dxa"/>
          </w:tcPr>
          <w:p w14:paraId="48686E5A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12.43</w:t>
            </w:r>
          </w:p>
        </w:tc>
        <w:tc>
          <w:tcPr>
            <w:tcW w:w="1050" w:type="dxa"/>
          </w:tcPr>
          <w:p w14:paraId="695E4ACF">
            <w:pPr>
              <w:widowControl/>
              <w:spacing w:line="240" w:lineRule="auto"/>
              <w:jc w:val="left"/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  <w:r>
              <w:rPr>
                <w:rFonts w:cs="Times New Roman"/>
                <w:kern w:val="0"/>
                <w:sz w:val="21"/>
                <w:szCs w:val="21"/>
                <w:shd w:val="clear" w:color="auto" w:fill="FFFFFF"/>
                <w14:ligatures w14:val="none"/>
              </w:rPr>
              <w:t>62.86</w:t>
            </w:r>
          </w:p>
        </w:tc>
      </w:tr>
    </w:tbl>
    <w:p w14:paraId="5EEB4CA3">
      <w:pPr>
        <w:ind w:firstLine="210" w:firstLineChars="100"/>
        <w:jc w:val="center"/>
        <w:rPr>
          <w:rFonts w:cs="Times New Roman"/>
          <w:sz w:val="21"/>
          <w:szCs w:val="21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FB4B0"/>
    <w:multiLevelType w:val="multilevel"/>
    <w:tmpl w:val="FC4FB4B0"/>
    <w:lvl w:ilvl="0" w:tentative="0">
      <w:start w:val="2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932"/>
    <w:rsid w:val="00013080"/>
    <w:rsid w:val="001A13F3"/>
    <w:rsid w:val="00431B1E"/>
    <w:rsid w:val="004409F7"/>
    <w:rsid w:val="004C445F"/>
    <w:rsid w:val="004C6A6F"/>
    <w:rsid w:val="004E2881"/>
    <w:rsid w:val="00501D49"/>
    <w:rsid w:val="0052398D"/>
    <w:rsid w:val="005344F6"/>
    <w:rsid w:val="005538EB"/>
    <w:rsid w:val="005958B8"/>
    <w:rsid w:val="00667365"/>
    <w:rsid w:val="0071013A"/>
    <w:rsid w:val="0071616C"/>
    <w:rsid w:val="00753954"/>
    <w:rsid w:val="007C693C"/>
    <w:rsid w:val="0084189D"/>
    <w:rsid w:val="0086134D"/>
    <w:rsid w:val="0087106C"/>
    <w:rsid w:val="008A15F1"/>
    <w:rsid w:val="008C5CDF"/>
    <w:rsid w:val="00935B2C"/>
    <w:rsid w:val="009551FB"/>
    <w:rsid w:val="00977C0A"/>
    <w:rsid w:val="00AC487E"/>
    <w:rsid w:val="00AE6951"/>
    <w:rsid w:val="00AF4DED"/>
    <w:rsid w:val="00B20927"/>
    <w:rsid w:val="00B316D0"/>
    <w:rsid w:val="00B9490E"/>
    <w:rsid w:val="00BC0CE7"/>
    <w:rsid w:val="00CC712C"/>
    <w:rsid w:val="00CF3388"/>
    <w:rsid w:val="00D43896"/>
    <w:rsid w:val="00D7215D"/>
    <w:rsid w:val="00D807AA"/>
    <w:rsid w:val="00DE65D5"/>
    <w:rsid w:val="00E1520C"/>
    <w:rsid w:val="00E62253"/>
    <w:rsid w:val="00FB2A77"/>
    <w:rsid w:val="30F6409E"/>
    <w:rsid w:val="44A05B28"/>
    <w:rsid w:val="4B667DDC"/>
    <w:rsid w:val="4DD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  <w14:ligatures w14:val="none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  <w14:ligatures w14:val="none"/>
    </w:rPr>
  </w:style>
  <w:style w:type="character" w:styleId="7">
    <w:name w:val="Hyperlink"/>
    <w:basedOn w:val="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文字 字符"/>
    <w:basedOn w:val="6"/>
    <w:link w:val="2"/>
    <w:uiPriority w:val="99"/>
    <w:rPr>
      <w:rFonts w:ascii="Times New Roman" w:hAnsi="Times New Roman" w:eastAsia="宋体"/>
      <w:sz w:val="24"/>
      <w14:ligatures w14:val="standardContextual"/>
    </w:rPr>
  </w:style>
  <w:style w:type="character" w:customStyle="1" w:styleId="11">
    <w:name w:val="fontstyle01"/>
    <w:uiPriority w:val="0"/>
    <w:rPr>
      <w:rFonts w:hint="default" w:ascii="TimesNewRomanPS-BoldMT" w:hAnsi="TimesNewRomanPS-BoldMT"/>
      <w:b/>
      <w:bCs/>
      <w:color w:val="000000"/>
      <w:sz w:val="28"/>
      <w:szCs w:val="28"/>
    </w:rPr>
  </w:style>
  <w:style w:type="table" w:customStyle="1" w:styleId="12">
    <w:name w:val="网格型浅色1"/>
    <w:basedOn w:val="5"/>
    <w:qFormat/>
    <w:uiPriority w:val="40"/>
    <w:rPr>
      <w:rFonts w:cs="Times New Roman"/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502</Words>
  <Characters>2529</Characters>
  <Lines>113</Lines>
  <Paragraphs>71</Paragraphs>
  <TotalTime>59</TotalTime>
  <ScaleCrop>false</ScaleCrop>
  <LinksUpToDate>false</LinksUpToDate>
  <CharactersWithSpaces>2970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2025-01-07T11:22:00Z</dcterms:created>
  <dc:creator>志坤 张</dc:creator>
  <cp:lastModifiedBy>回忆</cp:lastModifiedBy>
  <dcterms:modified xsi:type="dcterms:W3CDTF">2026-07-06T03:20:44Z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eyJoZGlkIjoiMTY1YWUzNGE3MjgyOTYzMzQwODhmOWRiYzBlOGNjNjAiLCJ1c2VySWQiOiIzOTMwMzA0ODgifQ==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2A50B37AF4554684B32A12F7CEB86340_12</vt:lpwstr>
  </property>
</Properties>
</file>