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04045" w14:textId="77777777" w:rsidR="003015B9" w:rsidRDefault="003015B9" w:rsidP="003015B9">
      <w:pPr>
        <w:pStyle w:val="paragraph"/>
        <w:spacing w:before="0" w:beforeAutospacing="0" w:after="0" w:afterAutospacing="0" w:line="259" w:lineRule="auto"/>
        <w:rPr>
          <w:rFonts w:asciiTheme="minorHAnsi" w:eastAsiaTheme="minorEastAsia" w:hAnsiTheme="minorHAnsi" w:cstheme="minorBidi"/>
          <w:b/>
          <w:bCs/>
          <w:color w:val="000000" w:themeColor="text1"/>
        </w:rPr>
      </w:pPr>
      <w:r w:rsidRPr="2E968012">
        <w:rPr>
          <w:rFonts w:asciiTheme="minorHAnsi" w:eastAsiaTheme="minorEastAsia" w:hAnsiTheme="minorHAnsi" w:cstheme="minorBidi"/>
          <w:b/>
          <w:bCs/>
          <w:color w:val="000000" w:themeColor="text1"/>
        </w:rPr>
        <w:t>Table 3. GP-nominated resource and system gaps in antenatal CMV screening</w:t>
      </w:r>
    </w:p>
    <w:p w14:paraId="5C4E6F41" w14:textId="77777777" w:rsidR="003015B9" w:rsidRDefault="003015B9" w:rsidP="003015B9">
      <w:pPr>
        <w:pStyle w:val="paragraph"/>
        <w:spacing w:before="0" w:beforeAutospacing="0" w:after="0" w:afterAutospacing="0"/>
        <w:rPr>
          <w:rFonts w:asciiTheme="minorHAnsi" w:eastAsiaTheme="minorEastAsia" w:hAnsiTheme="minorHAnsi" w:cstheme="minorBidi"/>
          <w:color w:val="000000" w:themeColor="text1"/>
        </w:rPr>
      </w:pPr>
    </w:p>
    <w:tbl>
      <w:tblPr>
        <w:tblStyle w:val="TableGrid"/>
        <w:tblW w:w="8926" w:type="dxa"/>
        <w:tblLook w:val="04A0" w:firstRow="1" w:lastRow="0" w:firstColumn="1" w:lastColumn="0" w:noHBand="0" w:noVBand="1"/>
      </w:tblPr>
      <w:tblGrid>
        <w:gridCol w:w="7035"/>
        <w:gridCol w:w="1891"/>
      </w:tblGrid>
      <w:tr w:rsidR="003015B9" w14:paraId="1293CBAC" w14:textId="77777777" w:rsidTr="007938DD">
        <w:trPr>
          <w:trHeight w:val="525"/>
        </w:trPr>
        <w:tc>
          <w:tcPr>
            <w:tcW w:w="7035" w:type="dxa"/>
            <w:tcBorders>
              <w:right w:val="nil"/>
            </w:tcBorders>
            <w:vAlign w:val="center"/>
          </w:tcPr>
          <w:p w14:paraId="480F08CC" w14:textId="77777777" w:rsidR="003015B9" w:rsidRDefault="003015B9" w:rsidP="007938DD">
            <w:pPr>
              <w:pStyle w:val="paragraph"/>
              <w:rPr>
                <w:rFonts w:asciiTheme="minorHAnsi" w:eastAsiaTheme="minorEastAsia" w:hAnsiTheme="minorHAnsi" w:cstheme="minorBidi"/>
                <w:b/>
                <w:bCs/>
                <w:color w:val="000000" w:themeColor="text1"/>
              </w:rPr>
            </w:pPr>
            <w:r w:rsidRPr="2E968012">
              <w:rPr>
                <w:rFonts w:asciiTheme="minorHAnsi" w:eastAsiaTheme="minorEastAsia" w:hAnsiTheme="minorHAnsi" w:cstheme="minorBidi"/>
                <w:b/>
                <w:bCs/>
                <w:color w:val="000000" w:themeColor="text1"/>
              </w:rPr>
              <w:t>Survey items</w:t>
            </w:r>
          </w:p>
        </w:tc>
        <w:tc>
          <w:tcPr>
            <w:tcW w:w="1891" w:type="dxa"/>
            <w:tcBorders>
              <w:left w:val="nil"/>
            </w:tcBorders>
            <w:vAlign w:val="center"/>
          </w:tcPr>
          <w:p w14:paraId="03D16171" w14:textId="77777777" w:rsidR="003015B9" w:rsidRDefault="003015B9" w:rsidP="007938DD">
            <w:pPr>
              <w:pStyle w:val="paragraph"/>
              <w:spacing w:line="259" w:lineRule="auto"/>
              <w:jc w:val="center"/>
              <w:rPr>
                <w:rFonts w:asciiTheme="minorHAnsi" w:eastAsiaTheme="minorEastAsia" w:hAnsiTheme="minorHAnsi" w:cstheme="minorBidi"/>
                <w:b/>
                <w:bCs/>
                <w:color w:val="000000" w:themeColor="text1"/>
              </w:rPr>
            </w:pPr>
          </w:p>
        </w:tc>
      </w:tr>
      <w:tr w:rsidR="003015B9" w14:paraId="5FF80B81" w14:textId="77777777" w:rsidTr="007938DD">
        <w:trPr>
          <w:trHeight w:val="360"/>
        </w:trPr>
        <w:tc>
          <w:tcPr>
            <w:tcW w:w="7035" w:type="dxa"/>
            <w:tcBorders>
              <w:bottom w:val="single" w:sz="4" w:space="0" w:color="auto"/>
              <w:right w:val="nil"/>
            </w:tcBorders>
            <w:shd w:val="clear" w:color="auto" w:fill="E7E6E6" w:themeFill="background2"/>
            <w:vAlign w:val="center"/>
          </w:tcPr>
          <w:p w14:paraId="4AF951FC" w14:textId="77777777" w:rsidR="003015B9" w:rsidRDefault="003015B9" w:rsidP="007938DD">
            <w:pPr>
              <w:pStyle w:val="paragraph"/>
              <w:rPr>
                <w:rFonts w:asciiTheme="minorHAnsi" w:eastAsiaTheme="minorEastAsia" w:hAnsiTheme="minorHAnsi" w:cstheme="minorBidi"/>
                <w:b/>
                <w:bCs/>
                <w:color w:val="000000" w:themeColor="text1"/>
              </w:rPr>
            </w:pPr>
            <w:r w:rsidRPr="2E968012">
              <w:rPr>
                <w:rFonts w:asciiTheme="minorHAnsi" w:eastAsiaTheme="minorEastAsia" w:hAnsiTheme="minorHAnsi" w:cstheme="minorBidi"/>
                <w:b/>
                <w:bCs/>
                <w:color w:val="000000" w:themeColor="text1"/>
              </w:rPr>
              <w:t xml:space="preserve">What would assist you in feeling more confident providing patients with information regarding CMV screening? (n=247 respondents) </w:t>
            </w:r>
          </w:p>
        </w:tc>
        <w:tc>
          <w:tcPr>
            <w:tcW w:w="1891" w:type="dxa"/>
            <w:tcBorders>
              <w:left w:val="nil"/>
              <w:bottom w:val="single" w:sz="4" w:space="0" w:color="auto"/>
            </w:tcBorders>
            <w:shd w:val="clear" w:color="auto" w:fill="E7E6E6" w:themeFill="background2"/>
            <w:vAlign w:val="center"/>
          </w:tcPr>
          <w:p w14:paraId="59CB1BD8" w14:textId="77777777" w:rsidR="003015B9" w:rsidRDefault="003015B9" w:rsidP="007938DD">
            <w:pPr>
              <w:pStyle w:val="paragraph"/>
              <w:jc w:val="center"/>
              <w:rPr>
                <w:rFonts w:asciiTheme="minorHAnsi" w:eastAsiaTheme="minorEastAsia" w:hAnsiTheme="minorHAnsi" w:cstheme="minorBidi"/>
                <w:color w:val="000000" w:themeColor="text1"/>
              </w:rPr>
            </w:pPr>
            <w:r w:rsidRPr="2E968012">
              <w:rPr>
                <w:rFonts w:asciiTheme="minorHAnsi" w:eastAsiaTheme="minorEastAsia" w:hAnsiTheme="minorHAnsi" w:cstheme="minorBidi"/>
                <w:b/>
                <w:bCs/>
                <w:color w:val="000000" w:themeColor="text1"/>
              </w:rPr>
              <w:t>n (</w:t>
            </w:r>
            <w:proofErr w:type="gramStart"/>
            <w:r w:rsidRPr="2E968012">
              <w:rPr>
                <w:rFonts w:asciiTheme="minorHAnsi" w:eastAsiaTheme="minorEastAsia" w:hAnsiTheme="minorHAnsi" w:cstheme="minorBidi"/>
                <w:b/>
                <w:bCs/>
                <w:color w:val="000000" w:themeColor="text1"/>
              </w:rPr>
              <w:t>%)*</w:t>
            </w:r>
            <w:proofErr w:type="gramEnd"/>
          </w:p>
        </w:tc>
      </w:tr>
      <w:tr w:rsidR="003015B9" w14:paraId="6E89A37F" w14:textId="77777777" w:rsidTr="007938DD">
        <w:trPr>
          <w:trHeight w:val="360"/>
        </w:trPr>
        <w:tc>
          <w:tcPr>
            <w:tcW w:w="7035" w:type="dxa"/>
            <w:tcBorders>
              <w:bottom w:val="nil"/>
              <w:right w:val="nil"/>
            </w:tcBorders>
            <w:vAlign w:val="center"/>
          </w:tcPr>
          <w:p w14:paraId="49DE2C21" w14:textId="77777777" w:rsidR="003015B9" w:rsidRDefault="003015B9" w:rsidP="007938DD">
            <w:pPr>
              <w:pStyle w:val="paragraph"/>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Guidelines from RANZCOG/ RACGP</w:t>
            </w:r>
          </w:p>
        </w:tc>
        <w:tc>
          <w:tcPr>
            <w:tcW w:w="1891" w:type="dxa"/>
            <w:tcBorders>
              <w:left w:val="nil"/>
              <w:bottom w:val="nil"/>
            </w:tcBorders>
            <w:vAlign w:val="center"/>
          </w:tcPr>
          <w:p w14:paraId="6B4FC6C7" w14:textId="77777777" w:rsidR="003015B9" w:rsidRDefault="003015B9" w:rsidP="007938DD">
            <w:pPr>
              <w:pStyle w:val="paragraph"/>
              <w:jc w:val="center"/>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201 (81.4)</w:t>
            </w:r>
          </w:p>
        </w:tc>
      </w:tr>
      <w:tr w:rsidR="003015B9" w14:paraId="3D93D77B" w14:textId="77777777" w:rsidTr="007938DD">
        <w:trPr>
          <w:trHeight w:val="360"/>
        </w:trPr>
        <w:tc>
          <w:tcPr>
            <w:tcW w:w="7035" w:type="dxa"/>
            <w:tcBorders>
              <w:top w:val="nil"/>
              <w:bottom w:val="nil"/>
              <w:right w:val="nil"/>
            </w:tcBorders>
            <w:vAlign w:val="center"/>
          </w:tcPr>
          <w:p w14:paraId="31522BDC" w14:textId="77777777" w:rsidR="003015B9" w:rsidRPr="48957889" w:rsidRDefault="003015B9" w:rsidP="007938DD">
            <w:pPr>
              <w:pStyle w:val="paragraph"/>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 xml:space="preserve">Clinical guidance included in </w:t>
            </w:r>
            <w:proofErr w:type="spellStart"/>
            <w:r w:rsidRPr="2E968012">
              <w:rPr>
                <w:rFonts w:asciiTheme="minorHAnsi" w:eastAsiaTheme="minorEastAsia" w:hAnsiTheme="minorHAnsi" w:cstheme="minorBidi"/>
                <w:color w:val="000000" w:themeColor="text1"/>
              </w:rPr>
              <w:t>HealthPathways</w:t>
            </w:r>
            <w:proofErr w:type="spellEnd"/>
          </w:p>
        </w:tc>
        <w:tc>
          <w:tcPr>
            <w:tcW w:w="1891" w:type="dxa"/>
            <w:tcBorders>
              <w:top w:val="nil"/>
              <w:left w:val="nil"/>
              <w:bottom w:val="nil"/>
            </w:tcBorders>
            <w:vAlign w:val="center"/>
          </w:tcPr>
          <w:p w14:paraId="38695FFA" w14:textId="77777777" w:rsidR="003015B9" w:rsidRPr="48957889" w:rsidRDefault="003015B9" w:rsidP="007938DD">
            <w:pPr>
              <w:pStyle w:val="paragraph"/>
              <w:jc w:val="center"/>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174 (70.5)</w:t>
            </w:r>
          </w:p>
        </w:tc>
      </w:tr>
      <w:tr w:rsidR="003015B9" w14:paraId="0FEB603F" w14:textId="77777777" w:rsidTr="007938DD">
        <w:trPr>
          <w:trHeight w:val="360"/>
        </w:trPr>
        <w:tc>
          <w:tcPr>
            <w:tcW w:w="7035" w:type="dxa"/>
            <w:tcBorders>
              <w:top w:val="nil"/>
              <w:bottom w:val="nil"/>
              <w:right w:val="nil"/>
            </w:tcBorders>
            <w:vAlign w:val="center"/>
          </w:tcPr>
          <w:p w14:paraId="6BBE6578" w14:textId="77777777" w:rsidR="003015B9" w:rsidRDefault="003015B9" w:rsidP="007938DD">
            <w:pPr>
              <w:pStyle w:val="paragraph"/>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More GP-specific education</w:t>
            </w:r>
          </w:p>
        </w:tc>
        <w:tc>
          <w:tcPr>
            <w:tcW w:w="1891" w:type="dxa"/>
            <w:tcBorders>
              <w:top w:val="nil"/>
              <w:left w:val="nil"/>
              <w:bottom w:val="nil"/>
            </w:tcBorders>
            <w:vAlign w:val="center"/>
          </w:tcPr>
          <w:p w14:paraId="024799FE" w14:textId="77777777" w:rsidR="003015B9" w:rsidRDefault="003015B9" w:rsidP="007938DD">
            <w:pPr>
              <w:pStyle w:val="paragraph"/>
              <w:jc w:val="center"/>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164 (66.4)</w:t>
            </w:r>
          </w:p>
        </w:tc>
      </w:tr>
      <w:tr w:rsidR="003015B9" w14:paraId="769DC3EC" w14:textId="77777777" w:rsidTr="007938DD">
        <w:trPr>
          <w:trHeight w:val="360"/>
        </w:trPr>
        <w:tc>
          <w:tcPr>
            <w:tcW w:w="7035" w:type="dxa"/>
            <w:tcBorders>
              <w:top w:val="nil"/>
              <w:bottom w:val="nil"/>
              <w:right w:val="nil"/>
            </w:tcBorders>
            <w:vAlign w:val="center"/>
          </w:tcPr>
          <w:p w14:paraId="53D8027E" w14:textId="77777777" w:rsidR="003015B9" w:rsidRDefault="003015B9" w:rsidP="007938DD">
            <w:pPr>
              <w:pStyle w:val="paragraph"/>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Patient information pamphlets</w:t>
            </w:r>
          </w:p>
        </w:tc>
        <w:tc>
          <w:tcPr>
            <w:tcW w:w="1891" w:type="dxa"/>
            <w:tcBorders>
              <w:top w:val="nil"/>
              <w:left w:val="nil"/>
              <w:bottom w:val="nil"/>
            </w:tcBorders>
            <w:vAlign w:val="center"/>
          </w:tcPr>
          <w:p w14:paraId="20E46FB2" w14:textId="77777777" w:rsidR="003015B9" w:rsidRDefault="003015B9" w:rsidP="007938DD">
            <w:pPr>
              <w:pStyle w:val="paragraph"/>
              <w:jc w:val="center"/>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 xml:space="preserve">162 (65.6) </w:t>
            </w:r>
          </w:p>
        </w:tc>
      </w:tr>
      <w:tr w:rsidR="003015B9" w14:paraId="14ADC878" w14:textId="77777777" w:rsidTr="007938DD">
        <w:trPr>
          <w:trHeight w:val="360"/>
        </w:trPr>
        <w:tc>
          <w:tcPr>
            <w:tcW w:w="7035" w:type="dxa"/>
            <w:tcBorders>
              <w:top w:val="nil"/>
              <w:bottom w:val="nil"/>
              <w:right w:val="nil"/>
            </w:tcBorders>
            <w:vAlign w:val="center"/>
          </w:tcPr>
          <w:p w14:paraId="1D7220C9" w14:textId="77777777" w:rsidR="003015B9" w:rsidRDefault="003015B9" w:rsidP="007938DD">
            <w:pPr>
              <w:pStyle w:val="paragraph"/>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Clinical guidance on the CMV serology report</w:t>
            </w:r>
          </w:p>
        </w:tc>
        <w:tc>
          <w:tcPr>
            <w:tcW w:w="1891" w:type="dxa"/>
            <w:tcBorders>
              <w:top w:val="nil"/>
              <w:left w:val="nil"/>
              <w:bottom w:val="nil"/>
            </w:tcBorders>
            <w:vAlign w:val="center"/>
          </w:tcPr>
          <w:p w14:paraId="3E606FCC" w14:textId="77777777" w:rsidR="003015B9" w:rsidRDefault="003015B9" w:rsidP="007938DD">
            <w:pPr>
              <w:pStyle w:val="paragraph"/>
              <w:jc w:val="center"/>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150 (60.7)</w:t>
            </w:r>
          </w:p>
        </w:tc>
      </w:tr>
      <w:tr w:rsidR="003015B9" w14:paraId="63E49818" w14:textId="77777777" w:rsidTr="007938DD">
        <w:trPr>
          <w:trHeight w:val="360"/>
        </w:trPr>
        <w:tc>
          <w:tcPr>
            <w:tcW w:w="7035" w:type="dxa"/>
            <w:tcBorders>
              <w:top w:val="nil"/>
              <w:bottom w:val="nil"/>
              <w:right w:val="nil"/>
            </w:tcBorders>
            <w:vAlign w:val="center"/>
          </w:tcPr>
          <w:p w14:paraId="69F05186" w14:textId="77777777" w:rsidR="003015B9" w:rsidRDefault="003015B9" w:rsidP="007938DD">
            <w:pPr>
              <w:pStyle w:val="paragraph"/>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Clear dedicated timely referral pathways</w:t>
            </w:r>
          </w:p>
        </w:tc>
        <w:tc>
          <w:tcPr>
            <w:tcW w:w="1891" w:type="dxa"/>
            <w:tcBorders>
              <w:top w:val="nil"/>
              <w:left w:val="nil"/>
              <w:bottom w:val="nil"/>
            </w:tcBorders>
            <w:vAlign w:val="center"/>
          </w:tcPr>
          <w:p w14:paraId="437468C8" w14:textId="77777777" w:rsidR="003015B9" w:rsidRDefault="003015B9" w:rsidP="007938DD">
            <w:pPr>
              <w:pStyle w:val="paragraph"/>
              <w:jc w:val="center"/>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140 (56.7)</w:t>
            </w:r>
          </w:p>
        </w:tc>
      </w:tr>
      <w:tr w:rsidR="003015B9" w14:paraId="437A7198" w14:textId="77777777" w:rsidTr="007938DD">
        <w:trPr>
          <w:trHeight w:val="360"/>
        </w:trPr>
        <w:tc>
          <w:tcPr>
            <w:tcW w:w="7035" w:type="dxa"/>
            <w:tcBorders>
              <w:top w:val="nil"/>
              <w:bottom w:val="nil"/>
              <w:right w:val="nil"/>
            </w:tcBorders>
            <w:vAlign w:val="center"/>
          </w:tcPr>
          <w:p w14:paraId="53ABCFF2" w14:textId="77777777" w:rsidR="003015B9" w:rsidRDefault="003015B9" w:rsidP="007938DD">
            <w:pPr>
              <w:pStyle w:val="paragraph"/>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Patient information in languages other than English or appropriate for those with low literacy levels</w:t>
            </w:r>
          </w:p>
        </w:tc>
        <w:tc>
          <w:tcPr>
            <w:tcW w:w="1891" w:type="dxa"/>
            <w:tcBorders>
              <w:top w:val="nil"/>
              <w:left w:val="nil"/>
              <w:bottom w:val="nil"/>
            </w:tcBorders>
            <w:vAlign w:val="center"/>
          </w:tcPr>
          <w:p w14:paraId="01556117" w14:textId="77777777" w:rsidR="003015B9" w:rsidRDefault="003015B9" w:rsidP="007938DD">
            <w:pPr>
              <w:pStyle w:val="paragraph"/>
              <w:jc w:val="center"/>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101 (40.9)</w:t>
            </w:r>
          </w:p>
        </w:tc>
      </w:tr>
      <w:tr w:rsidR="003015B9" w14:paraId="41C815EB" w14:textId="77777777" w:rsidTr="007938DD">
        <w:trPr>
          <w:trHeight w:val="360"/>
        </w:trPr>
        <w:tc>
          <w:tcPr>
            <w:tcW w:w="7035" w:type="dxa"/>
            <w:tcBorders>
              <w:top w:val="nil"/>
              <w:bottom w:val="nil"/>
              <w:right w:val="nil"/>
            </w:tcBorders>
            <w:vAlign w:val="center"/>
          </w:tcPr>
          <w:p w14:paraId="4B649D93" w14:textId="77777777" w:rsidR="003015B9" w:rsidRDefault="003015B9" w:rsidP="007938DD">
            <w:pPr>
              <w:pStyle w:val="paragraph"/>
              <w:spacing w:before="0" w:beforeAutospacing="0" w:after="0" w:afterAutospacing="0"/>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Website or online videos for patients</w:t>
            </w:r>
          </w:p>
        </w:tc>
        <w:tc>
          <w:tcPr>
            <w:tcW w:w="1891" w:type="dxa"/>
            <w:tcBorders>
              <w:top w:val="nil"/>
              <w:left w:val="nil"/>
              <w:bottom w:val="nil"/>
            </w:tcBorders>
            <w:vAlign w:val="center"/>
          </w:tcPr>
          <w:p w14:paraId="6DFDEF09" w14:textId="77777777" w:rsidR="003015B9" w:rsidRDefault="003015B9" w:rsidP="007938DD">
            <w:pPr>
              <w:pStyle w:val="paragraph"/>
              <w:spacing w:before="0" w:beforeAutospacing="0" w:after="0" w:afterAutospacing="0"/>
              <w:jc w:val="center"/>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96 (38.9)</w:t>
            </w:r>
          </w:p>
        </w:tc>
      </w:tr>
      <w:tr w:rsidR="003015B9" w14:paraId="516228B6" w14:textId="77777777" w:rsidTr="007938DD">
        <w:trPr>
          <w:trHeight w:val="500"/>
        </w:trPr>
        <w:tc>
          <w:tcPr>
            <w:tcW w:w="7035" w:type="dxa"/>
            <w:tcBorders>
              <w:top w:val="nil"/>
              <w:right w:val="nil"/>
            </w:tcBorders>
            <w:vAlign w:val="center"/>
          </w:tcPr>
          <w:p w14:paraId="33FDB6B5" w14:textId="77777777" w:rsidR="003015B9" w:rsidRDefault="003015B9" w:rsidP="007938DD">
            <w:pPr>
              <w:pStyle w:val="paragraph"/>
              <w:spacing w:before="0" w:beforeAutospacing="0" w:after="0" w:afterAutospacing="0"/>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Other (please specify)</w:t>
            </w:r>
          </w:p>
        </w:tc>
        <w:tc>
          <w:tcPr>
            <w:tcW w:w="1891" w:type="dxa"/>
            <w:tcBorders>
              <w:top w:val="nil"/>
              <w:left w:val="nil"/>
            </w:tcBorders>
            <w:vAlign w:val="center"/>
          </w:tcPr>
          <w:p w14:paraId="27570B88" w14:textId="77777777" w:rsidR="003015B9" w:rsidRDefault="003015B9" w:rsidP="007938DD">
            <w:pPr>
              <w:pStyle w:val="paragraph"/>
              <w:spacing w:before="0" w:beforeAutospacing="0" w:after="0" w:afterAutospacing="0"/>
              <w:jc w:val="center"/>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4 (1.6)</w:t>
            </w:r>
          </w:p>
        </w:tc>
      </w:tr>
      <w:tr w:rsidR="003015B9" w14:paraId="1CC54763" w14:textId="77777777" w:rsidTr="007938DD">
        <w:trPr>
          <w:trHeight w:val="360"/>
        </w:trPr>
        <w:tc>
          <w:tcPr>
            <w:tcW w:w="7035" w:type="dxa"/>
            <w:tcBorders>
              <w:bottom w:val="single" w:sz="4" w:space="0" w:color="000000" w:themeColor="text1"/>
              <w:right w:val="nil"/>
            </w:tcBorders>
            <w:shd w:val="clear" w:color="auto" w:fill="E7E6E6" w:themeFill="background2"/>
            <w:vAlign w:val="center"/>
          </w:tcPr>
          <w:p w14:paraId="3DC0B2D2" w14:textId="77777777" w:rsidR="003015B9" w:rsidRDefault="003015B9" w:rsidP="007938DD">
            <w:pPr>
              <w:pStyle w:val="paragraph"/>
              <w:rPr>
                <w:rFonts w:asciiTheme="minorHAnsi" w:eastAsiaTheme="minorEastAsia" w:hAnsiTheme="minorHAnsi" w:cstheme="minorBidi"/>
                <w:b/>
                <w:bCs/>
                <w:color w:val="000000" w:themeColor="text1"/>
              </w:rPr>
            </w:pPr>
            <w:r w:rsidRPr="2E968012">
              <w:rPr>
                <w:rFonts w:asciiTheme="minorHAnsi" w:eastAsiaTheme="minorEastAsia" w:hAnsiTheme="minorHAnsi" w:cstheme="minorBidi"/>
                <w:b/>
                <w:bCs/>
                <w:color w:val="000000" w:themeColor="text1"/>
              </w:rPr>
              <w:t>Based on your prior experience, are you confident that your current tertiary maternity service would facilitate appropriate specialist review within 10 days of referral (face to face or via telehealth)? (n=243)</w:t>
            </w:r>
          </w:p>
        </w:tc>
        <w:tc>
          <w:tcPr>
            <w:tcW w:w="1891" w:type="dxa"/>
            <w:tcBorders>
              <w:left w:val="nil"/>
              <w:bottom w:val="single" w:sz="4" w:space="0" w:color="000000" w:themeColor="text1"/>
            </w:tcBorders>
            <w:shd w:val="clear" w:color="auto" w:fill="E7E6E6" w:themeFill="background2"/>
            <w:vAlign w:val="center"/>
          </w:tcPr>
          <w:p w14:paraId="249900ED" w14:textId="77777777" w:rsidR="003015B9" w:rsidRDefault="003015B9" w:rsidP="007938DD">
            <w:pPr>
              <w:pStyle w:val="paragraph"/>
              <w:jc w:val="center"/>
              <w:rPr>
                <w:rFonts w:asciiTheme="minorHAnsi" w:eastAsiaTheme="minorEastAsia" w:hAnsiTheme="minorHAnsi" w:cstheme="minorBidi"/>
                <w:color w:val="000000" w:themeColor="text1"/>
              </w:rPr>
            </w:pPr>
            <w:r w:rsidRPr="2E968012">
              <w:rPr>
                <w:rFonts w:asciiTheme="minorHAnsi" w:eastAsiaTheme="minorEastAsia" w:hAnsiTheme="minorHAnsi" w:cstheme="minorBidi"/>
                <w:b/>
                <w:bCs/>
                <w:color w:val="000000" w:themeColor="text1"/>
              </w:rPr>
              <w:t>n (%)</w:t>
            </w:r>
          </w:p>
        </w:tc>
      </w:tr>
      <w:tr w:rsidR="003015B9" w14:paraId="63814441" w14:textId="77777777" w:rsidTr="007938DD">
        <w:trPr>
          <w:trHeight w:val="360"/>
        </w:trPr>
        <w:tc>
          <w:tcPr>
            <w:tcW w:w="7035" w:type="dxa"/>
            <w:tcBorders>
              <w:top w:val="single" w:sz="4" w:space="0" w:color="000000" w:themeColor="text1"/>
              <w:left w:val="single" w:sz="4" w:space="0" w:color="000000" w:themeColor="text1"/>
              <w:bottom w:val="none" w:sz="4" w:space="0" w:color="000000" w:themeColor="text1"/>
              <w:right w:val="nil"/>
            </w:tcBorders>
            <w:vAlign w:val="center"/>
          </w:tcPr>
          <w:p w14:paraId="575058C9" w14:textId="77777777" w:rsidR="003015B9" w:rsidRDefault="003015B9" w:rsidP="007938DD">
            <w:pPr>
              <w:pStyle w:val="paragraph"/>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Strongly agree</w:t>
            </w:r>
          </w:p>
        </w:tc>
        <w:tc>
          <w:tcPr>
            <w:tcW w:w="1891" w:type="dxa"/>
            <w:tcBorders>
              <w:top w:val="single" w:sz="4" w:space="0" w:color="000000" w:themeColor="text1"/>
              <w:left w:val="nil"/>
              <w:bottom w:val="none" w:sz="4" w:space="0" w:color="000000" w:themeColor="text1"/>
              <w:right w:val="single" w:sz="4" w:space="0" w:color="000000" w:themeColor="text1"/>
            </w:tcBorders>
            <w:vAlign w:val="center"/>
          </w:tcPr>
          <w:p w14:paraId="406AFD39" w14:textId="77777777" w:rsidR="003015B9" w:rsidRDefault="003015B9" w:rsidP="007938DD">
            <w:pPr>
              <w:pStyle w:val="paragraph"/>
              <w:spacing w:line="259" w:lineRule="auto"/>
              <w:jc w:val="center"/>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42 (17.3)</w:t>
            </w:r>
          </w:p>
        </w:tc>
      </w:tr>
      <w:tr w:rsidR="003015B9" w14:paraId="2DB64645" w14:textId="77777777" w:rsidTr="007938DD">
        <w:trPr>
          <w:trHeight w:val="360"/>
        </w:trPr>
        <w:tc>
          <w:tcPr>
            <w:tcW w:w="7035" w:type="dxa"/>
            <w:tcBorders>
              <w:top w:val="none" w:sz="4" w:space="0" w:color="000000" w:themeColor="text1"/>
              <w:left w:val="single" w:sz="4" w:space="0" w:color="000000" w:themeColor="text1"/>
              <w:bottom w:val="none" w:sz="4" w:space="0" w:color="000000" w:themeColor="text1"/>
              <w:right w:val="nil"/>
            </w:tcBorders>
            <w:vAlign w:val="center"/>
          </w:tcPr>
          <w:p w14:paraId="71245591" w14:textId="77777777" w:rsidR="003015B9" w:rsidRDefault="003015B9" w:rsidP="007938DD">
            <w:pPr>
              <w:pStyle w:val="paragraph"/>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Agree</w:t>
            </w:r>
          </w:p>
        </w:tc>
        <w:tc>
          <w:tcPr>
            <w:tcW w:w="1891" w:type="dxa"/>
            <w:tcBorders>
              <w:top w:val="none" w:sz="4" w:space="0" w:color="000000" w:themeColor="text1"/>
              <w:left w:val="nil"/>
              <w:bottom w:val="none" w:sz="4" w:space="0" w:color="000000" w:themeColor="text1"/>
              <w:right w:val="single" w:sz="4" w:space="0" w:color="000000" w:themeColor="text1"/>
            </w:tcBorders>
            <w:vAlign w:val="center"/>
          </w:tcPr>
          <w:p w14:paraId="19F3815B" w14:textId="77777777" w:rsidR="003015B9" w:rsidRDefault="003015B9" w:rsidP="007938DD">
            <w:pPr>
              <w:pStyle w:val="paragraph"/>
              <w:jc w:val="center"/>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73 (30.0)</w:t>
            </w:r>
          </w:p>
        </w:tc>
      </w:tr>
      <w:tr w:rsidR="003015B9" w14:paraId="317097F8" w14:textId="77777777" w:rsidTr="007938DD">
        <w:trPr>
          <w:trHeight w:val="360"/>
        </w:trPr>
        <w:tc>
          <w:tcPr>
            <w:tcW w:w="7035" w:type="dxa"/>
            <w:tcBorders>
              <w:top w:val="none" w:sz="4" w:space="0" w:color="000000" w:themeColor="text1"/>
              <w:left w:val="single" w:sz="4" w:space="0" w:color="000000" w:themeColor="text1"/>
              <w:bottom w:val="none" w:sz="4" w:space="0" w:color="000000" w:themeColor="text1"/>
              <w:right w:val="nil"/>
            </w:tcBorders>
            <w:vAlign w:val="center"/>
          </w:tcPr>
          <w:p w14:paraId="44B2801C" w14:textId="77777777" w:rsidR="003015B9" w:rsidRDefault="003015B9" w:rsidP="007938DD">
            <w:pPr>
              <w:pStyle w:val="paragraph"/>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Neutral</w:t>
            </w:r>
          </w:p>
        </w:tc>
        <w:tc>
          <w:tcPr>
            <w:tcW w:w="1891" w:type="dxa"/>
            <w:tcBorders>
              <w:top w:val="none" w:sz="4" w:space="0" w:color="000000" w:themeColor="text1"/>
              <w:left w:val="nil"/>
              <w:bottom w:val="none" w:sz="4" w:space="0" w:color="000000" w:themeColor="text1"/>
              <w:right w:val="single" w:sz="4" w:space="0" w:color="000000" w:themeColor="text1"/>
            </w:tcBorders>
            <w:vAlign w:val="center"/>
          </w:tcPr>
          <w:p w14:paraId="0EE9911C" w14:textId="77777777" w:rsidR="003015B9" w:rsidRDefault="003015B9" w:rsidP="007938DD">
            <w:pPr>
              <w:pStyle w:val="paragraph"/>
              <w:jc w:val="center"/>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71 (29.2)</w:t>
            </w:r>
          </w:p>
        </w:tc>
      </w:tr>
      <w:tr w:rsidR="003015B9" w14:paraId="50EE073D" w14:textId="77777777" w:rsidTr="007938DD">
        <w:trPr>
          <w:trHeight w:val="360"/>
        </w:trPr>
        <w:tc>
          <w:tcPr>
            <w:tcW w:w="7035" w:type="dxa"/>
            <w:tcBorders>
              <w:top w:val="none" w:sz="4" w:space="0" w:color="000000" w:themeColor="text1"/>
              <w:left w:val="single" w:sz="4" w:space="0" w:color="000000" w:themeColor="text1"/>
              <w:bottom w:val="none" w:sz="4" w:space="0" w:color="000000" w:themeColor="text1"/>
              <w:right w:val="nil"/>
            </w:tcBorders>
            <w:vAlign w:val="center"/>
          </w:tcPr>
          <w:p w14:paraId="4782D2CB" w14:textId="77777777" w:rsidR="003015B9" w:rsidRDefault="003015B9" w:rsidP="007938DD">
            <w:pPr>
              <w:pStyle w:val="paragraph"/>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Disagree</w:t>
            </w:r>
          </w:p>
        </w:tc>
        <w:tc>
          <w:tcPr>
            <w:tcW w:w="1891" w:type="dxa"/>
            <w:tcBorders>
              <w:top w:val="none" w:sz="4" w:space="0" w:color="000000" w:themeColor="text1"/>
              <w:left w:val="nil"/>
              <w:bottom w:val="none" w:sz="4" w:space="0" w:color="000000" w:themeColor="text1"/>
              <w:right w:val="single" w:sz="4" w:space="0" w:color="000000" w:themeColor="text1"/>
            </w:tcBorders>
            <w:vAlign w:val="center"/>
          </w:tcPr>
          <w:p w14:paraId="00DD9D73" w14:textId="77777777" w:rsidR="003015B9" w:rsidRDefault="003015B9" w:rsidP="007938DD">
            <w:pPr>
              <w:pStyle w:val="paragraph"/>
              <w:jc w:val="center"/>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38 (16)</w:t>
            </w:r>
          </w:p>
        </w:tc>
      </w:tr>
      <w:tr w:rsidR="003015B9" w14:paraId="13AF51A4" w14:textId="77777777" w:rsidTr="007938DD">
        <w:trPr>
          <w:trHeight w:val="360"/>
        </w:trPr>
        <w:tc>
          <w:tcPr>
            <w:tcW w:w="7035" w:type="dxa"/>
            <w:tcBorders>
              <w:top w:val="none" w:sz="4" w:space="0" w:color="000000" w:themeColor="text1"/>
              <w:left w:val="single" w:sz="4" w:space="0" w:color="000000" w:themeColor="text1"/>
              <w:bottom w:val="single" w:sz="4" w:space="0" w:color="000000" w:themeColor="text1"/>
              <w:right w:val="nil"/>
            </w:tcBorders>
            <w:vAlign w:val="center"/>
          </w:tcPr>
          <w:p w14:paraId="56988D6C" w14:textId="77777777" w:rsidR="003015B9" w:rsidRDefault="003015B9" w:rsidP="007938DD">
            <w:pPr>
              <w:pStyle w:val="paragraph"/>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Strongly disagree</w:t>
            </w:r>
          </w:p>
        </w:tc>
        <w:tc>
          <w:tcPr>
            <w:tcW w:w="1891" w:type="dxa"/>
            <w:tcBorders>
              <w:top w:val="none" w:sz="4" w:space="0" w:color="000000" w:themeColor="text1"/>
              <w:left w:val="nil"/>
              <w:bottom w:val="single" w:sz="4" w:space="0" w:color="000000" w:themeColor="text1"/>
              <w:right w:val="single" w:sz="4" w:space="0" w:color="000000" w:themeColor="text1"/>
            </w:tcBorders>
            <w:vAlign w:val="center"/>
          </w:tcPr>
          <w:p w14:paraId="35763A82" w14:textId="77777777" w:rsidR="003015B9" w:rsidRDefault="003015B9" w:rsidP="007938DD">
            <w:pPr>
              <w:pStyle w:val="paragraph"/>
              <w:jc w:val="center"/>
              <w:rPr>
                <w:rFonts w:asciiTheme="minorHAnsi" w:eastAsiaTheme="minorEastAsia" w:hAnsiTheme="minorHAnsi" w:cstheme="minorBidi"/>
                <w:color w:val="000000" w:themeColor="text1"/>
              </w:rPr>
            </w:pPr>
            <w:r w:rsidRPr="2E968012">
              <w:rPr>
                <w:rFonts w:asciiTheme="minorHAnsi" w:eastAsiaTheme="minorEastAsia" w:hAnsiTheme="minorHAnsi" w:cstheme="minorBidi"/>
                <w:color w:val="000000" w:themeColor="text1"/>
              </w:rPr>
              <w:t>19 (7.8)</w:t>
            </w:r>
          </w:p>
        </w:tc>
      </w:tr>
    </w:tbl>
    <w:p w14:paraId="47DBADD6" w14:textId="77777777" w:rsidR="003015B9" w:rsidRDefault="003015B9" w:rsidP="003015B9">
      <w:pPr>
        <w:pStyle w:val="paragraph"/>
        <w:spacing w:before="0" w:beforeAutospacing="0" w:after="0" w:afterAutospacing="0"/>
        <w:rPr>
          <w:rStyle w:val="normaltextrun"/>
          <w:rFonts w:asciiTheme="minorHAnsi" w:eastAsiaTheme="minorEastAsia" w:hAnsiTheme="minorHAnsi" w:cstheme="minorBidi"/>
          <w:color w:val="000000" w:themeColor="text1"/>
        </w:rPr>
      </w:pPr>
      <w:r w:rsidRPr="2E968012">
        <w:rPr>
          <w:rStyle w:val="normaltextrun"/>
          <w:rFonts w:asciiTheme="minorHAnsi" w:eastAsiaTheme="minorEastAsia" w:hAnsiTheme="minorHAnsi" w:cstheme="minorBidi"/>
          <w:color w:val="000000" w:themeColor="text1"/>
        </w:rPr>
        <w:t>*</w:t>
      </w:r>
      <w:proofErr w:type="gramStart"/>
      <w:r w:rsidRPr="2E968012">
        <w:rPr>
          <w:rStyle w:val="normaltextrun"/>
          <w:rFonts w:asciiTheme="minorHAnsi" w:eastAsiaTheme="minorEastAsia" w:hAnsiTheme="minorHAnsi" w:cstheme="minorBidi"/>
          <w:color w:val="000000" w:themeColor="text1"/>
        </w:rPr>
        <w:t>more</w:t>
      </w:r>
      <w:proofErr w:type="gramEnd"/>
      <w:r w:rsidRPr="2E968012">
        <w:rPr>
          <w:rStyle w:val="normaltextrun"/>
          <w:rFonts w:asciiTheme="minorHAnsi" w:eastAsiaTheme="minorEastAsia" w:hAnsiTheme="minorHAnsi" w:cstheme="minorBidi"/>
          <w:color w:val="000000" w:themeColor="text1"/>
        </w:rPr>
        <w:t xml:space="preserve"> than one response could be selected hence total sum &gt; 100%</w:t>
      </w:r>
    </w:p>
    <w:p w14:paraId="51A8B97E" w14:textId="77777777" w:rsidR="003015B9" w:rsidRDefault="003015B9" w:rsidP="003015B9">
      <w:pPr>
        <w:pStyle w:val="paragraph"/>
        <w:spacing w:before="0" w:beforeAutospacing="0" w:after="0" w:afterAutospacing="0"/>
        <w:rPr>
          <w:rStyle w:val="normaltextrun"/>
          <w:rFonts w:asciiTheme="minorHAnsi" w:hAnsiTheme="minorHAnsi" w:cstheme="minorBidi"/>
          <w:color w:val="000000" w:themeColor="text1"/>
        </w:rPr>
      </w:pPr>
    </w:p>
    <w:p w14:paraId="16A1F0BE" w14:textId="77777777" w:rsidR="003015B9" w:rsidRDefault="003015B9"/>
    <w:sectPr w:rsidR="003015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5B9"/>
    <w:rsid w:val="003015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BD80ACD"/>
  <w15:chartTrackingRefBased/>
  <w15:docId w15:val="{BBB74494-690E-D441-9DD0-AC7FCF4FA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5B9"/>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015B9"/>
    <w:pPr>
      <w:spacing w:before="100" w:beforeAutospacing="1" w:after="100" w:afterAutospacing="1"/>
    </w:pPr>
  </w:style>
  <w:style w:type="character" w:customStyle="1" w:styleId="normaltextrun">
    <w:name w:val="normaltextrun"/>
    <w:basedOn w:val="DefaultParagraphFont"/>
    <w:rsid w:val="003015B9"/>
  </w:style>
  <w:style w:type="table" w:styleId="TableGrid">
    <w:name w:val="Table Grid"/>
    <w:basedOn w:val="TableNormal"/>
    <w:uiPriority w:val="39"/>
    <w:rsid w:val="00301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943</Characters>
  <Application>Microsoft Office Word</Application>
  <DocSecurity>0</DocSecurity>
  <Lines>7</Lines>
  <Paragraphs>2</Paragraphs>
  <ScaleCrop>false</ScaleCrop>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Rode</dc:creator>
  <cp:keywords/>
  <dc:description/>
  <cp:lastModifiedBy>Natalia Rode</cp:lastModifiedBy>
  <cp:revision>1</cp:revision>
  <dcterms:created xsi:type="dcterms:W3CDTF">2026-04-24T00:30:00Z</dcterms:created>
  <dcterms:modified xsi:type="dcterms:W3CDTF">2026-04-24T00:30:00Z</dcterms:modified>
</cp:coreProperties>
</file>