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7F88" w:rsidRPr="00E37F88" w:rsidRDefault="00E37F88">
      <w:pPr>
        <w:spacing w:after="120"/>
        <w:rPr>
          <w:rFonts w:ascii="Calibri" w:eastAsia="Calibri" w:hAnsi="Calibri" w:cs="Calibri"/>
          <w:b/>
          <w:bCs/>
          <w:szCs w:val="22"/>
        </w:rPr>
      </w:pPr>
      <w:bookmarkStart w:id="0" w:name="_GoBack"/>
      <w:bookmarkEnd w:id="0"/>
    </w:p>
    <w:p w:rsidR="00E37F88" w:rsidRPr="00E37F88" w:rsidRDefault="00E37F88" w:rsidP="00E37F88">
      <w:pPr>
        <w:pStyle w:val="Nagwek1"/>
        <w:rPr>
          <w:color w:val="auto"/>
          <w:sz w:val="28"/>
        </w:rPr>
      </w:pPr>
      <w:bookmarkStart w:id="1" w:name="electronic-supplementary-material"/>
      <w:r w:rsidRPr="00E37F88">
        <w:rPr>
          <w:color w:val="auto"/>
          <w:sz w:val="28"/>
        </w:rPr>
        <w:t>Electronic Supplementary Material</w:t>
      </w:r>
      <w:bookmarkEnd w:id="1"/>
    </w:p>
    <w:p w:rsidR="00E37F88" w:rsidRPr="00E37F88" w:rsidRDefault="00E37F88" w:rsidP="00E37F88">
      <w:pPr>
        <w:pStyle w:val="Tekstpodstawowy"/>
        <w:rPr>
          <w:rFonts w:ascii="Times New Roman" w:hAnsi="Times New Roman" w:cs="Times New Roman"/>
          <w:b/>
          <w:sz w:val="22"/>
        </w:rPr>
      </w:pPr>
      <w:r w:rsidRPr="00E37F88">
        <w:rPr>
          <w:rFonts w:ascii="Times New Roman" w:hAnsi="Times New Roman" w:cs="Times New Roman"/>
          <w:b/>
          <w:sz w:val="22"/>
        </w:rPr>
        <w:t>Quantifying Farm Resilience to Climate and Market Shocks: The RAFT Method</w:t>
      </w:r>
    </w:p>
    <w:p w:rsidR="00E37F88" w:rsidRPr="00E37F88" w:rsidRDefault="00E37F88" w:rsidP="00E37F88">
      <w:pPr>
        <w:pStyle w:val="Tekstpodstawowy"/>
        <w:rPr>
          <w:rFonts w:ascii="Times New Roman" w:hAnsi="Times New Roman" w:cs="Times New Roman"/>
          <w:sz w:val="22"/>
        </w:rPr>
      </w:pPr>
      <w:r w:rsidRPr="00E37F88">
        <w:rPr>
          <w:rFonts w:ascii="Times New Roman" w:hAnsi="Times New Roman" w:cs="Times New Roman"/>
          <w:sz w:val="22"/>
        </w:rPr>
        <w:t>Adam Berbeć, Institute of Soil Science and Plant Cultivation – State Research Institute (IUNG-PIB), Poland</w:t>
      </w:r>
    </w:p>
    <w:p w:rsidR="0015140E" w:rsidRDefault="00E37F88">
      <w:pPr>
        <w:spacing w:after="120"/>
      </w:pPr>
      <w:r>
        <w:rPr>
          <w:rFonts w:ascii="Calibri" w:eastAsia="Calibri" w:hAnsi="Calibri" w:cs="Calibri"/>
          <w:b/>
          <w:bCs/>
          <w:sz w:val="22"/>
          <w:szCs w:val="22"/>
        </w:rPr>
        <w:t xml:space="preserve">Supplementary </w:t>
      </w:r>
      <w:r>
        <w:rPr>
          <w:rFonts w:ascii="Calibri" w:eastAsia="Calibri" w:hAnsi="Calibri" w:cs="Calibri"/>
          <w:b/>
          <w:bCs/>
          <w:sz w:val="22"/>
          <w:szCs w:val="22"/>
        </w:rPr>
        <w:t>Table S3. Profiles and validation results of the ten virtual farms (VF1–VF10) used to test the RAFT model.</w:t>
      </w:r>
    </w:p>
    <w:tbl>
      <w:tblPr>
        <w:tblStyle w:val="Zwykatabela5"/>
        <w:tblW w:w="15398" w:type="dxa"/>
        <w:tblLook w:val="04A0" w:firstRow="1" w:lastRow="0" w:firstColumn="1" w:lastColumn="0" w:noHBand="0" w:noVBand="1"/>
      </w:tblPr>
      <w:tblGrid>
        <w:gridCol w:w="818"/>
        <w:gridCol w:w="1499"/>
        <w:gridCol w:w="2398"/>
        <w:gridCol w:w="5472"/>
        <w:gridCol w:w="700"/>
        <w:gridCol w:w="700"/>
        <w:gridCol w:w="700"/>
        <w:gridCol w:w="915"/>
        <w:gridCol w:w="2196"/>
      </w:tblGrid>
      <w:tr w:rsidR="0015140E" w:rsidTr="00E37F8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20" w:type="dxa"/>
          </w:tcPr>
          <w:p w:rsidR="0015140E" w:rsidRDefault="00E37F88" w:rsidP="00E37F88">
            <w:pPr>
              <w:spacing w:line="230" w:lineRule="auto"/>
            </w:pPr>
            <w:proofErr w:type="spellStart"/>
            <w:r>
              <w:rPr>
                <w:rFonts w:ascii="Calibri" w:eastAsia="Calibri" w:hAnsi="Calibri" w:cs="Calibri"/>
                <w:b/>
                <w:bCs/>
                <w:color w:val="FFFFFF"/>
                <w:sz w:val="17"/>
                <w:szCs w:val="17"/>
              </w:rPr>
              <w:t>F</w:t>
            </w:r>
            <w:r>
              <w:rPr>
                <w:rFonts w:ascii="Calibri" w:eastAsia="Calibri" w:hAnsi="Calibri" w:cs="Calibri"/>
                <w:b/>
                <w:bCs/>
                <w:color w:val="FFFFFF"/>
                <w:sz w:val="17"/>
                <w:szCs w:val="17"/>
              </w:rPr>
              <w:t>m</w:t>
            </w:r>
            <w:proofErr w:type="spellEnd"/>
          </w:p>
        </w:tc>
        <w:tc>
          <w:tcPr>
            <w:tcW w:w="1500" w:type="dxa"/>
          </w:tcPr>
          <w:p w:rsidR="0015140E" w:rsidRDefault="00E37F88">
            <w:pPr>
              <w:spacing w:line="230" w:lineRule="auto"/>
              <w:cnfStyle w:val="100000000000" w:firstRow="1" w:lastRow="0" w:firstColumn="0" w:lastColumn="0" w:oddVBand="0" w:evenVBand="0" w:oddHBand="0" w:evenHBand="0" w:firstRowFirstColumn="0" w:firstRowLastColumn="0" w:lastRowFirstColumn="0" w:lastRowLastColumn="0"/>
            </w:pPr>
            <w:r>
              <w:rPr>
                <w:rFonts w:ascii="Calibri" w:eastAsia="Calibri" w:hAnsi="Calibri" w:cs="Calibri"/>
                <w:b/>
                <w:bCs/>
                <w:color w:val="FFFFFF"/>
                <w:sz w:val="17"/>
                <w:szCs w:val="17"/>
              </w:rPr>
              <w:t>Country — region</w:t>
            </w:r>
          </w:p>
        </w:tc>
        <w:tc>
          <w:tcPr>
            <w:tcW w:w="2400" w:type="dxa"/>
          </w:tcPr>
          <w:p w:rsidR="0015140E" w:rsidRDefault="00E37F88">
            <w:pPr>
              <w:spacing w:line="230" w:lineRule="auto"/>
              <w:cnfStyle w:val="100000000000" w:firstRow="1" w:lastRow="0" w:firstColumn="0" w:lastColumn="0" w:oddVBand="0" w:evenVBand="0" w:oddHBand="0" w:evenHBand="0" w:firstRowFirstColumn="0" w:firstRowLastColumn="0" w:lastRowFirstColumn="0" w:lastRowLastColumn="0"/>
            </w:pPr>
            <w:r>
              <w:rPr>
                <w:rFonts w:ascii="Calibri" w:eastAsia="Calibri" w:hAnsi="Calibri" w:cs="Calibri"/>
                <w:b/>
                <w:bCs/>
                <w:color w:val="FFFFFF"/>
                <w:sz w:val="17"/>
                <w:szCs w:val="17"/>
              </w:rPr>
              <w:t>Production type &amp; UAA</w:t>
            </w:r>
          </w:p>
        </w:tc>
        <w:tc>
          <w:tcPr>
            <w:tcW w:w="5480" w:type="dxa"/>
          </w:tcPr>
          <w:p w:rsidR="0015140E" w:rsidRDefault="00E37F88">
            <w:pPr>
              <w:spacing w:line="230" w:lineRule="auto"/>
              <w:cnfStyle w:val="100000000000" w:firstRow="1" w:lastRow="0" w:firstColumn="0" w:lastColumn="0" w:oddVBand="0" w:evenVBand="0" w:oddHBand="0" w:evenHBand="0" w:firstRowFirstColumn="0" w:firstRowLastColumn="0" w:lastRowFirstColumn="0" w:lastRowLastColumn="0"/>
            </w:pPr>
            <w:r>
              <w:rPr>
                <w:rFonts w:ascii="Calibri" w:eastAsia="Calibri" w:hAnsi="Calibri" w:cs="Calibri"/>
                <w:b/>
                <w:bCs/>
                <w:color w:val="FFFFFF"/>
                <w:sz w:val="17"/>
                <w:szCs w:val="17"/>
              </w:rPr>
              <w:t>Description (structure, management, economics, climate exposure)</w:t>
            </w:r>
          </w:p>
        </w:tc>
        <w:tc>
          <w:tcPr>
            <w:tcW w:w="700" w:type="dxa"/>
          </w:tcPr>
          <w:p w:rsidR="0015140E" w:rsidRDefault="00E37F88">
            <w:pPr>
              <w:spacing w:line="230" w:lineRule="auto"/>
              <w:jc w:val="center"/>
              <w:cnfStyle w:val="100000000000" w:firstRow="1" w:lastRow="0" w:firstColumn="0" w:lastColumn="0" w:oddVBand="0" w:evenVBand="0" w:oddHBand="0" w:evenHBand="0" w:firstRowFirstColumn="0" w:firstRowLastColumn="0" w:lastRowFirstColumn="0" w:lastRowLastColumn="0"/>
            </w:pPr>
            <w:r>
              <w:rPr>
                <w:rFonts w:ascii="Calibri" w:eastAsia="Calibri" w:hAnsi="Calibri" w:cs="Calibri"/>
                <w:b/>
                <w:bCs/>
                <w:color w:val="FFFFFF"/>
                <w:sz w:val="17"/>
                <w:szCs w:val="17"/>
              </w:rPr>
              <w:t>R (%)</w:t>
            </w:r>
          </w:p>
        </w:tc>
        <w:tc>
          <w:tcPr>
            <w:tcW w:w="700" w:type="dxa"/>
          </w:tcPr>
          <w:p w:rsidR="0015140E" w:rsidRDefault="00E37F88">
            <w:pPr>
              <w:spacing w:line="230" w:lineRule="auto"/>
              <w:jc w:val="center"/>
              <w:cnfStyle w:val="100000000000" w:firstRow="1" w:lastRow="0" w:firstColumn="0" w:lastColumn="0" w:oddVBand="0" w:evenVBand="0" w:oddHBand="0" w:evenHBand="0" w:firstRowFirstColumn="0" w:firstRowLastColumn="0" w:lastRowFirstColumn="0" w:lastRowLastColumn="0"/>
            </w:pPr>
            <w:r>
              <w:rPr>
                <w:rFonts w:ascii="Calibri" w:eastAsia="Calibri" w:hAnsi="Calibri" w:cs="Calibri"/>
                <w:b/>
                <w:bCs/>
                <w:color w:val="FFFFFF"/>
                <w:sz w:val="17"/>
                <w:szCs w:val="17"/>
              </w:rPr>
              <w:t>A (%)</w:t>
            </w:r>
          </w:p>
        </w:tc>
        <w:tc>
          <w:tcPr>
            <w:tcW w:w="700" w:type="dxa"/>
          </w:tcPr>
          <w:p w:rsidR="0015140E" w:rsidRDefault="00E37F88">
            <w:pPr>
              <w:spacing w:line="230" w:lineRule="auto"/>
              <w:jc w:val="center"/>
              <w:cnfStyle w:val="100000000000" w:firstRow="1" w:lastRow="0" w:firstColumn="0" w:lastColumn="0" w:oddVBand="0" w:evenVBand="0" w:oddHBand="0" w:evenHBand="0" w:firstRowFirstColumn="0" w:firstRowLastColumn="0" w:lastRowFirstColumn="0" w:lastRowLastColumn="0"/>
            </w:pPr>
            <w:r>
              <w:rPr>
                <w:rFonts w:ascii="Calibri" w:eastAsia="Calibri" w:hAnsi="Calibri" w:cs="Calibri"/>
                <w:b/>
                <w:bCs/>
                <w:color w:val="FFFFFF"/>
                <w:sz w:val="17"/>
                <w:szCs w:val="17"/>
              </w:rPr>
              <w:t>T (%)</w:t>
            </w:r>
          </w:p>
        </w:tc>
        <w:tc>
          <w:tcPr>
            <w:tcW w:w="900" w:type="dxa"/>
          </w:tcPr>
          <w:p w:rsidR="0015140E" w:rsidRDefault="00E37F88">
            <w:pPr>
              <w:spacing w:line="230" w:lineRule="auto"/>
              <w:jc w:val="center"/>
              <w:cnfStyle w:val="100000000000" w:firstRow="1" w:lastRow="0" w:firstColumn="0" w:lastColumn="0" w:oddVBand="0" w:evenVBand="0" w:oddHBand="0" w:evenHBand="0" w:firstRowFirstColumn="0" w:firstRowLastColumn="0" w:lastRowFirstColumn="0" w:lastRowLastColumn="0"/>
            </w:pPr>
            <w:r>
              <w:rPr>
                <w:rFonts w:ascii="Calibri" w:eastAsia="Calibri" w:hAnsi="Calibri" w:cs="Calibri"/>
                <w:b/>
                <w:bCs/>
                <w:color w:val="FFFFFF"/>
                <w:sz w:val="17"/>
                <w:szCs w:val="17"/>
              </w:rPr>
              <w:t>Resilience (%)</w:t>
            </w:r>
          </w:p>
        </w:tc>
        <w:tc>
          <w:tcPr>
            <w:tcW w:w="2198" w:type="dxa"/>
          </w:tcPr>
          <w:p w:rsidR="0015140E" w:rsidRDefault="00E37F88">
            <w:pPr>
              <w:spacing w:line="230" w:lineRule="auto"/>
              <w:cnfStyle w:val="100000000000" w:firstRow="1" w:lastRow="0" w:firstColumn="0" w:lastColumn="0" w:oddVBand="0" w:evenVBand="0" w:oddHBand="0" w:evenHBand="0" w:firstRowFirstColumn="0" w:firstRowLastColumn="0" w:lastRowFirstColumn="0" w:lastRowLastColumn="0"/>
            </w:pPr>
            <w:r>
              <w:rPr>
                <w:rFonts w:ascii="Calibri" w:eastAsia="Calibri" w:hAnsi="Calibri" w:cs="Calibri"/>
                <w:b/>
                <w:bCs/>
                <w:color w:val="FFFFFF"/>
                <w:sz w:val="17"/>
                <w:szCs w:val="17"/>
              </w:rPr>
              <w:t>Resilience profile</w:t>
            </w:r>
          </w:p>
        </w:tc>
      </w:tr>
      <w:tr w:rsidR="0015140E" w:rsidTr="00E37F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 w:type="dxa"/>
          </w:tcPr>
          <w:p w:rsidR="0015140E" w:rsidRDefault="00E37F88">
            <w:pPr>
              <w:spacing w:line="230" w:lineRule="auto"/>
              <w:jc w:val="center"/>
            </w:pPr>
            <w:r>
              <w:rPr>
                <w:rFonts w:ascii="Calibri" w:eastAsia="Calibri" w:hAnsi="Calibri" w:cs="Calibri"/>
                <w:b/>
                <w:bCs/>
                <w:color w:val="000000"/>
                <w:sz w:val="17"/>
                <w:szCs w:val="17"/>
              </w:rPr>
              <w:t>VF1</w:t>
            </w:r>
          </w:p>
        </w:tc>
        <w:tc>
          <w:tcPr>
            <w:tcW w:w="1500" w:type="dxa"/>
          </w:tcPr>
          <w:p w:rsidR="0015140E" w:rsidRDefault="00E37F88">
            <w:pPr>
              <w:spacing w:line="230" w:lineRule="auto"/>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 xml:space="preserve">PL — </w:t>
            </w:r>
            <w:proofErr w:type="spellStart"/>
            <w:r>
              <w:rPr>
                <w:rFonts w:ascii="Calibri" w:eastAsia="Calibri" w:hAnsi="Calibri" w:cs="Calibri"/>
                <w:color w:val="000000"/>
                <w:sz w:val="17"/>
                <w:szCs w:val="17"/>
              </w:rPr>
              <w:t>Kujawy</w:t>
            </w:r>
            <w:proofErr w:type="spellEnd"/>
          </w:p>
        </w:tc>
        <w:tc>
          <w:tcPr>
            <w:tcW w:w="2400" w:type="dxa"/>
          </w:tcPr>
          <w:p w:rsidR="0015140E" w:rsidRDefault="00E37F88">
            <w:pPr>
              <w:spacing w:line="230" w:lineRule="auto"/>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Large intensive cereal (wheat / oilseed rape) — 450 ha</w:t>
            </w:r>
          </w:p>
        </w:tc>
        <w:tc>
          <w:tcPr>
            <w:tcW w:w="5480" w:type="dxa"/>
          </w:tcPr>
          <w:p w:rsidR="0015140E" w:rsidRDefault="00E37F88">
            <w:pPr>
              <w:spacing w:line="230" w:lineRule="auto"/>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 xml:space="preserve">Three-generation family farm focused on yield </w:t>
            </w:r>
            <w:proofErr w:type="spellStart"/>
            <w:r>
              <w:rPr>
                <w:rFonts w:ascii="Calibri" w:eastAsia="Calibri" w:hAnsi="Calibri" w:cs="Calibri"/>
                <w:color w:val="000000"/>
                <w:sz w:val="17"/>
                <w:szCs w:val="17"/>
              </w:rPr>
              <w:t>maximisation</w:t>
            </w:r>
            <w:proofErr w:type="spellEnd"/>
            <w:r>
              <w:rPr>
                <w:rFonts w:ascii="Calibri" w:eastAsia="Calibri" w:hAnsi="Calibri" w:cs="Calibri"/>
                <w:color w:val="000000"/>
                <w:sz w:val="17"/>
                <w:szCs w:val="17"/>
              </w:rPr>
              <w:t>. Modern machinery, 2 000 t storage and grain drying; no irrigation. Revenue ~PLN 1.2 M, &gt;</w:t>
            </w:r>
            <w:r>
              <w:rPr>
                <w:rFonts w:ascii="Calibri" w:eastAsia="Calibri" w:hAnsi="Calibri" w:cs="Calibri"/>
                <w:color w:val="000000"/>
                <w:sz w:val="17"/>
                <w:szCs w:val="17"/>
              </w:rPr>
              <w:t>95% from cereals sold to a few large buyers (mills, feed producers); debt ~30%. Hit by the 2022–2023 drought (~15% yield loss) and the 2022 oilseed-rape price crisis; responses are intuitive, with no formal adaptation plan.</w:t>
            </w:r>
          </w:p>
        </w:tc>
        <w:tc>
          <w:tcPr>
            <w:tcW w:w="700" w:type="dxa"/>
          </w:tcPr>
          <w:p w:rsidR="0015140E" w:rsidRDefault="00E37F88">
            <w:pPr>
              <w:spacing w:line="230" w:lineRule="auto"/>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72.5</w:t>
            </w:r>
          </w:p>
        </w:tc>
        <w:tc>
          <w:tcPr>
            <w:tcW w:w="700" w:type="dxa"/>
          </w:tcPr>
          <w:p w:rsidR="0015140E" w:rsidRDefault="00E37F88">
            <w:pPr>
              <w:spacing w:line="230" w:lineRule="auto"/>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52.8</w:t>
            </w:r>
          </w:p>
        </w:tc>
        <w:tc>
          <w:tcPr>
            <w:tcW w:w="700" w:type="dxa"/>
          </w:tcPr>
          <w:p w:rsidR="0015140E" w:rsidRDefault="00E37F88">
            <w:pPr>
              <w:spacing w:line="230" w:lineRule="auto"/>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42.4</w:t>
            </w:r>
          </w:p>
        </w:tc>
        <w:tc>
          <w:tcPr>
            <w:tcW w:w="900" w:type="dxa"/>
          </w:tcPr>
          <w:p w:rsidR="0015140E" w:rsidRDefault="00E37F88">
            <w:pPr>
              <w:spacing w:line="230" w:lineRule="auto"/>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b/>
                <w:bCs/>
                <w:color w:val="000000"/>
                <w:sz w:val="17"/>
                <w:szCs w:val="17"/>
              </w:rPr>
              <w:t>55.9</w:t>
            </w:r>
          </w:p>
        </w:tc>
        <w:tc>
          <w:tcPr>
            <w:tcW w:w="2198" w:type="dxa"/>
          </w:tcPr>
          <w:p w:rsidR="0015140E" w:rsidRDefault="00E37F88">
            <w:pPr>
              <w:spacing w:line="230" w:lineRule="auto"/>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High robustness from solid infrastructure and stable income, but low transformability and only moderate adaptability; stable under normal conditions yet exposed to market and climate shocks that require systemic change.</w:t>
            </w:r>
          </w:p>
        </w:tc>
      </w:tr>
      <w:tr w:rsidR="0015140E" w:rsidTr="00E37F88">
        <w:tc>
          <w:tcPr>
            <w:cnfStyle w:val="001000000000" w:firstRow="0" w:lastRow="0" w:firstColumn="1" w:lastColumn="0" w:oddVBand="0" w:evenVBand="0" w:oddHBand="0" w:evenHBand="0" w:firstRowFirstColumn="0" w:firstRowLastColumn="0" w:lastRowFirstColumn="0" w:lastRowLastColumn="0"/>
            <w:tcW w:w="820" w:type="dxa"/>
          </w:tcPr>
          <w:p w:rsidR="0015140E" w:rsidRDefault="00E37F88">
            <w:pPr>
              <w:spacing w:line="230" w:lineRule="auto"/>
              <w:jc w:val="center"/>
            </w:pPr>
            <w:r>
              <w:rPr>
                <w:rFonts w:ascii="Calibri" w:eastAsia="Calibri" w:hAnsi="Calibri" w:cs="Calibri"/>
                <w:b/>
                <w:bCs/>
                <w:color w:val="000000"/>
                <w:sz w:val="17"/>
                <w:szCs w:val="17"/>
              </w:rPr>
              <w:t>VF2</w:t>
            </w:r>
          </w:p>
        </w:tc>
        <w:tc>
          <w:tcPr>
            <w:tcW w:w="1500" w:type="dxa"/>
          </w:tcPr>
          <w:p w:rsidR="0015140E" w:rsidRDefault="00E37F88">
            <w:pPr>
              <w:spacing w:line="230" w:lineRule="auto"/>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 xml:space="preserve">PL — </w:t>
            </w:r>
            <w:proofErr w:type="spellStart"/>
            <w:r>
              <w:rPr>
                <w:rFonts w:ascii="Calibri" w:eastAsia="Calibri" w:hAnsi="Calibri" w:cs="Calibri"/>
                <w:color w:val="000000"/>
                <w:sz w:val="17"/>
                <w:szCs w:val="17"/>
              </w:rPr>
              <w:t>Małopolska</w:t>
            </w:r>
            <w:proofErr w:type="spellEnd"/>
          </w:p>
        </w:tc>
        <w:tc>
          <w:tcPr>
            <w:tcW w:w="2400" w:type="dxa"/>
          </w:tcPr>
          <w:p w:rsidR="0015140E" w:rsidRDefault="00E37F88">
            <w:pPr>
              <w:spacing w:line="230" w:lineRule="auto"/>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Small organic m</w:t>
            </w:r>
            <w:r>
              <w:rPr>
                <w:rFonts w:ascii="Calibri" w:eastAsia="Calibri" w:hAnsi="Calibri" w:cs="Calibri"/>
                <w:color w:val="000000"/>
                <w:sz w:val="17"/>
                <w:szCs w:val="17"/>
              </w:rPr>
              <w:t xml:space="preserve">ixed (vegetables + poultry + </w:t>
            </w:r>
            <w:proofErr w:type="spellStart"/>
            <w:r>
              <w:rPr>
                <w:rFonts w:ascii="Calibri" w:eastAsia="Calibri" w:hAnsi="Calibri" w:cs="Calibri"/>
                <w:color w:val="000000"/>
                <w:sz w:val="17"/>
                <w:szCs w:val="17"/>
              </w:rPr>
              <w:t>agritourism</w:t>
            </w:r>
            <w:proofErr w:type="spellEnd"/>
            <w:r>
              <w:rPr>
                <w:rFonts w:ascii="Calibri" w:eastAsia="Calibri" w:hAnsi="Calibri" w:cs="Calibri"/>
                <w:color w:val="000000"/>
                <w:sz w:val="17"/>
                <w:szCs w:val="17"/>
              </w:rPr>
              <w:t>) — 18 ha</w:t>
            </w:r>
          </w:p>
        </w:tc>
        <w:tc>
          <w:tcPr>
            <w:tcW w:w="5480" w:type="dxa"/>
          </w:tcPr>
          <w:p w:rsidR="0015140E" w:rsidRDefault="00E37F88">
            <w:pPr>
              <w:spacing w:line="230" w:lineRule="auto"/>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 xml:space="preserve">Diversified smallholding: organic vegetables (~2 ha, drip-irrigated), 200 laying hens, a small fish pond and holiday </w:t>
            </w:r>
            <w:proofErr w:type="spellStart"/>
            <w:r>
              <w:rPr>
                <w:rFonts w:ascii="Calibri" w:eastAsia="Calibri" w:hAnsi="Calibri" w:cs="Calibri"/>
                <w:color w:val="000000"/>
                <w:sz w:val="17"/>
                <w:szCs w:val="17"/>
              </w:rPr>
              <w:t>agritourism</w:t>
            </w:r>
            <w:proofErr w:type="spellEnd"/>
            <w:r>
              <w:rPr>
                <w:rFonts w:ascii="Calibri" w:eastAsia="Calibri" w:hAnsi="Calibri" w:cs="Calibri"/>
                <w:color w:val="000000"/>
                <w:sz w:val="17"/>
                <w:szCs w:val="17"/>
              </w:rPr>
              <w:t>; work is manual. Run by a couple (35–45) active in organic-farming networks a</w:t>
            </w:r>
            <w:r>
              <w:rPr>
                <w:rFonts w:ascii="Calibri" w:eastAsia="Calibri" w:hAnsi="Calibri" w:cs="Calibri"/>
                <w:color w:val="000000"/>
                <w:sz w:val="17"/>
                <w:szCs w:val="17"/>
              </w:rPr>
              <w:t>nd training. Revenue ~PLN 120 k split across vegetables, poultry and tourism, sold direct and to local restaurants; negligible debt. Exposed to late frosts; main worry is tourism stability rather than climate.</w:t>
            </w:r>
          </w:p>
        </w:tc>
        <w:tc>
          <w:tcPr>
            <w:tcW w:w="700" w:type="dxa"/>
          </w:tcPr>
          <w:p w:rsidR="0015140E" w:rsidRDefault="00E37F88">
            <w:pPr>
              <w:spacing w:line="230" w:lineRule="auto"/>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48.2</w:t>
            </w:r>
          </w:p>
        </w:tc>
        <w:tc>
          <w:tcPr>
            <w:tcW w:w="700" w:type="dxa"/>
          </w:tcPr>
          <w:p w:rsidR="0015140E" w:rsidRDefault="00E37F88">
            <w:pPr>
              <w:spacing w:line="230" w:lineRule="auto"/>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67.2</w:t>
            </w:r>
          </w:p>
        </w:tc>
        <w:tc>
          <w:tcPr>
            <w:tcW w:w="700" w:type="dxa"/>
          </w:tcPr>
          <w:p w:rsidR="0015140E" w:rsidRDefault="00E37F88">
            <w:pPr>
              <w:spacing w:line="230" w:lineRule="auto"/>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72.8</w:t>
            </w:r>
          </w:p>
        </w:tc>
        <w:tc>
          <w:tcPr>
            <w:tcW w:w="900" w:type="dxa"/>
          </w:tcPr>
          <w:p w:rsidR="0015140E" w:rsidRDefault="00E37F88">
            <w:pPr>
              <w:spacing w:line="230" w:lineRule="auto"/>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b/>
                <w:bCs/>
                <w:color w:val="000000"/>
                <w:sz w:val="17"/>
                <w:szCs w:val="17"/>
              </w:rPr>
              <w:t>62.8</w:t>
            </w:r>
          </w:p>
        </w:tc>
        <w:tc>
          <w:tcPr>
            <w:tcW w:w="2198" w:type="dxa"/>
          </w:tcPr>
          <w:p w:rsidR="0015140E" w:rsidRDefault="00E37F88">
            <w:pPr>
              <w:spacing w:line="230" w:lineRule="auto"/>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 xml:space="preserve">Weak robustness (little infrastructure, low baseline income) but very high adaptability and transformability; vulnerable to shocks yet able to change quickly, with room to grow by scaling organic production and </w:t>
            </w:r>
            <w:proofErr w:type="spellStart"/>
            <w:r>
              <w:rPr>
                <w:rFonts w:ascii="Calibri" w:eastAsia="Calibri" w:hAnsi="Calibri" w:cs="Calibri"/>
                <w:color w:val="000000"/>
                <w:sz w:val="17"/>
                <w:szCs w:val="17"/>
              </w:rPr>
              <w:t>agritourism</w:t>
            </w:r>
            <w:proofErr w:type="spellEnd"/>
            <w:r>
              <w:rPr>
                <w:rFonts w:ascii="Calibri" w:eastAsia="Calibri" w:hAnsi="Calibri" w:cs="Calibri"/>
                <w:color w:val="000000"/>
                <w:sz w:val="17"/>
                <w:szCs w:val="17"/>
              </w:rPr>
              <w:t>.</w:t>
            </w:r>
          </w:p>
        </w:tc>
      </w:tr>
      <w:tr w:rsidR="0015140E" w:rsidTr="00E37F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 w:type="dxa"/>
          </w:tcPr>
          <w:p w:rsidR="0015140E" w:rsidRDefault="00E37F88">
            <w:pPr>
              <w:spacing w:line="230" w:lineRule="auto"/>
              <w:jc w:val="center"/>
            </w:pPr>
            <w:r>
              <w:rPr>
                <w:rFonts w:ascii="Calibri" w:eastAsia="Calibri" w:hAnsi="Calibri" w:cs="Calibri"/>
                <w:b/>
                <w:bCs/>
                <w:color w:val="000000"/>
                <w:sz w:val="17"/>
                <w:szCs w:val="17"/>
              </w:rPr>
              <w:t>VF3</w:t>
            </w:r>
          </w:p>
        </w:tc>
        <w:tc>
          <w:tcPr>
            <w:tcW w:w="1500" w:type="dxa"/>
          </w:tcPr>
          <w:p w:rsidR="0015140E" w:rsidRDefault="00E37F88">
            <w:pPr>
              <w:spacing w:line="230" w:lineRule="auto"/>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 xml:space="preserve">PL — </w:t>
            </w:r>
            <w:proofErr w:type="spellStart"/>
            <w:r>
              <w:rPr>
                <w:rFonts w:ascii="Calibri" w:eastAsia="Calibri" w:hAnsi="Calibri" w:cs="Calibri"/>
                <w:color w:val="000000"/>
                <w:sz w:val="17"/>
                <w:szCs w:val="17"/>
              </w:rPr>
              <w:t>Podlasie</w:t>
            </w:r>
            <w:proofErr w:type="spellEnd"/>
          </w:p>
        </w:tc>
        <w:tc>
          <w:tcPr>
            <w:tcW w:w="2400" w:type="dxa"/>
          </w:tcPr>
          <w:p w:rsidR="0015140E" w:rsidRDefault="00E37F88">
            <w:pPr>
              <w:spacing w:line="230" w:lineRule="auto"/>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Medium dairy (60 cows + some arable) — 130 ha</w:t>
            </w:r>
          </w:p>
        </w:tc>
        <w:tc>
          <w:tcPr>
            <w:tcW w:w="5480" w:type="dxa"/>
          </w:tcPr>
          <w:p w:rsidR="0015140E" w:rsidRDefault="00E37F88">
            <w:pPr>
              <w:spacing w:line="230" w:lineRule="auto"/>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 xml:space="preserve">Two-generation dairy: 2010 barn, automatic milking, 150 t silo; ~80 ha fodder, ~50 ha cereals for sale. Member of a dairy cooperative and farmer circle (father traditionalist, son open to change). Revenue ~PLN </w:t>
            </w:r>
            <w:r>
              <w:rPr>
                <w:rFonts w:ascii="Calibri" w:eastAsia="Calibri" w:hAnsi="Calibri" w:cs="Calibri"/>
                <w:color w:val="000000"/>
                <w:sz w:val="17"/>
                <w:szCs w:val="17"/>
              </w:rPr>
              <w:t>600 k (milk ~450 k, cereals ~150 k), milk price set by the cooperative; debt ~40%. Good water access but a declining groundwater trend; hit by the 2015–2016 milk-price fall.</w:t>
            </w:r>
          </w:p>
        </w:tc>
        <w:tc>
          <w:tcPr>
            <w:tcW w:w="700" w:type="dxa"/>
          </w:tcPr>
          <w:p w:rsidR="0015140E" w:rsidRDefault="00E37F88">
            <w:pPr>
              <w:spacing w:line="230" w:lineRule="auto"/>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57.3</w:t>
            </w:r>
          </w:p>
        </w:tc>
        <w:tc>
          <w:tcPr>
            <w:tcW w:w="700" w:type="dxa"/>
          </w:tcPr>
          <w:p w:rsidR="0015140E" w:rsidRDefault="00E37F88">
            <w:pPr>
              <w:spacing w:line="230" w:lineRule="auto"/>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50.4</w:t>
            </w:r>
          </w:p>
        </w:tc>
        <w:tc>
          <w:tcPr>
            <w:tcW w:w="700" w:type="dxa"/>
          </w:tcPr>
          <w:p w:rsidR="0015140E" w:rsidRDefault="00E37F88">
            <w:pPr>
              <w:spacing w:line="230" w:lineRule="auto"/>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53.9</w:t>
            </w:r>
          </w:p>
        </w:tc>
        <w:tc>
          <w:tcPr>
            <w:tcW w:w="900" w:type="dxa"/>
          </w:tcPr>
          <w:p w:rsidR="0015140E" w:rsidRDefault="00E37F88">
            <w:pPr>
              <w:spacing w:line="230" w:lineRule="auto"/>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b/>
                <w:bCs/>
                <w:color w:val="000000"/>
                <w:sz w:val="17"/>
                <w:szCs w:val="17"/>
              </w:rPr>
              <w:t>53.8</w:t>
            </w:r>
          </w:p>
        </w:tc>
        <w:tc>
          <w:tcPr>
            <w:tcW w:w="2198" w:type="dxa"/>
          </w:tcPr>
          <w:p w:rsidR="0015140E" w:rsidRDefault="00E37F88">
            <w:pPr>
              <w:spacing w:line="230" w:lineRule="auto"/>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Moderate across all three capacities — a typical intermediate profile: stable enough to survive but without clear strengths; upside from better adaptation (younger generation) and income diversification.</w:t>
            </w:r>
          </w:p>
        </w:tc>
      </w:tr>
      <w:tr w:rsidR="0015140E" w:rsidTr="00E37F88">
        <w:tc>
          <w:tcPr>
            <w:cnfStyle w:val="001000000000" w:firstRow="0" w:lastRow="0" w:firstColumn="1" w:lastColumn="0" w:oddVBand="0" w:evenVBand="0" w:oddHBand="0" w:evenHBand="0" w:firstRowFirstColumn="0" w:firstRowLastColumn="0" w:lastRowFirstColumn="0" w:lastRowLastColumn="0"/>
            <w:tcW w:w="820" w:type="dxa"/>
          </w:tcPr>
          <w:p w:rsidR="0015140E" w:rsidRDefault="00E37F88">
            <w:pPr>
              <w:spacing w:line="230" w:lineRule="auto"/>
              <w:jc w:val="center"/>
            </w:pPr>
            <w:r>
              <w:rPr>
                <w:rFonts w:ascii="Calibri" w:eastAsia="Calibri" w:hAnsi="Calibri" w:cs="Calibri"/>
                <w:b/>
                <w:bCs/>
                <w:color w:val="000000"/>
                <w:sz w:val="17"/>
                <w:szCs w:val="17"/>
              </w:rPr>
              <w:t>VF4</w:t>
            </w:r>
          </w:p>
        </w:tc>
        <w:tc>
          <w:tcPr>
            <w:tcW w:w="1500" w:type="dxa"/>
          </w:tcPr>
          <w:p w:rsidR="0015140E" w:rsidRDefault="00E37F88">
            <w:pPr>
              <w:spacing w:line="230" w:lineRule="auto"/>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DE — Brandenburg</w:t>
            </w:r>
          </w:p>
        </w:tc>
        <w:tc>
          <w:tcPr>
            <w:tcW w:w="2400" w:type="dxa"/>
          </w:tcPr>
          <w:p w:rsidR="0015140E" w:rsidRDefault="00E37F88">
            <w:pPr>
              <w:spacing w:line="230" w:lineRule="auto"/>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Large intensive arable (wheat monoculture) — 600 ha</w:t>
            </w:r>
          </w:p>
        </w:tc>
        <w:tc>
          <w:tcPr>
            <w:tcW w:w="5480" w:type="dxa"/>
          </w:tcPr>
          <w:p w:rsidR="0015140E" w:rsidRDefault="00E37F88">
            <w:pPr>
              <w:spacing w:line="230" w:lineRule="auto"/>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Business-oriented family farm with one of the region's largest machinery fleets and 3 000 t modern storage; no irrigation yet. Owner is an agricultural engineer employing 5 staff, keen on precision farmin</w:t>
            </w:r>
            <w:r>
              <w:rPr>
                <w:rFonts w:ascii="Calibri" w:eastAsia="Calibri" w:hAnsi="Calibri" w:cs="Calibri"/>
                <w:color w:val="000000"/>
                <w:sz w:val="17"/>
                <w:szCs w:val="17"/>
              </w:rPr>
              <w:t>g and data-driven decisions. Revenue ~EUR 1.5 M, mainly cereal export and mill contracts; debt ~35%. Worsening droughts caused 30–40% yield losses in 2018 and 2022; irrigation planned but costly.</w:t>
            </w:r>
          </w:p>
        </w:tc>
        <w:tc>
          <w:tcPr>
            <w:tcW w:w="700" w:type="dxa"/>
          </w:tcPr>
          <w:p w:rsidR="0015140E" w:rsidRDefault="00E37F88">
            <w:pPr>
              <w:spacing w:line="230" w:lineRule="auto"/>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71.9</w:t>
            </w:r>
          </w:p>
        </w:tc>
        <w:tc>
          <w:tcPr>
            <w:tcW w:w="700" w:type="dxa"/>
          </w:tcPr>
          <w:p w:rsidR="0015140E" w:rsidRDefault="00E37F88">
            <w:pPr>
              <w:spacing w:line="230" w:lineRule="auto"/>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52.9</w:t>
            </w:r>
          </w:p>
        </w:tc>
        <w:tc>
          <w:tcPr>
            <w:tcW w:w="700" w:type="dxa"/>
          </w:tcPr>
          <w:p w:rsidR="0015140E" w:rsidRDefault="00E37F88">
            <w:pPr>
              <w:spacing w:line="230" w:lineRule="auto"/>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46.2</w:t>
            </w:r>
          </w:p>
        </w:tc>
        <w:tc>
          <w:tcPr>
            <w:tcW w:w="900" w:type="dxa"/>
          </w:tcPr>
          <w:p w:rsidR="0015140E" w:rsidRDefault="00E37F88">
            <w:pPr>
              <w:spacing w:line="230" w:lineRule="auto"/>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b/>
                <w:bCs/>
                <w:color w:val="000000"/>
                <w:sz w:val="17"/>
                <w:szCs w:val="17"/>
              </w:rPr>
              <w:t>57.0</w:t>
            </w:r>
          </w:p>
        </w:tc>
        <w:tc>
          <w:tcPr>
            <w:tcW w:w="2198" w:type="dxa"/>
          </w:tcPr>
          <w:p w:rsidR="0015140E" w:rsidRDefault="00E37F88">
            <w:pPr>
              <w:spacing w:line="230" w:lineRule="auto"/>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Similar to VF1 but under harsher (drough</w:t>
            </w:r>
            <w:r>
              <w:rPr>
                <w:rFonts w:ascii="Calibri" w:eastAsia="Calibri" w:hAnsi="Calibri" w:cs="Calibri"/>
                <w:color w:val="000000"/>
                <w:sz w:val="17"/>
                <w:szCs w:val="17"/>
              </w:rPr>
              <w:t>t) conditions: high robustness backed by modern technology, low transformability; needs a shift from monoculture to a more diversified model.</w:t>
            </w:r>
          </w:p>
        </w:tc>
      </w:tr>
      <w:tr w:rsidR="0015140E" w:rsidTr="00E37F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 w:type="dxa"/>
          </w:tcPr>
          <w:p w:rsidR="0015140E" w:rsidRDefault="00E37F88">
            <w:pPr>
              <w:spacing w:line="230" w:lineRule="auto"/>
              <w:jc w:val="center"/>
            </w:pPr>
            <w:r>
              <w:rPr>
                <w:rFonts w:ascii="Calibri" w:eastAsia="Calibri" w:hAnsi="Calibri" w:cs="Calibri"/>
                <w:b/>
                <w:bCs/>
                <w:color w:val="000000"/>
                <w:sz w:val="17"/>
                <w:szCs w:val="17"/>
              </w:rPr>
              <w:t>VF5</w:t>
            </w:r>
          </w:p>
        </w:tc>
        <w:tc>
          <w:tcPr>
            <w:tcW w:w="1500" w:type="dxa"/>
          </w:tcPr>
          <w:p w:rsidR="0015140E" w:rsidRDefault="00E37F88">
            <w:pPr>
              <w:spacing w:line="230" w:lineRule="auto"/>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RO — Transylvania</w:t>
            </w:r>
          </w:p>
        </w:tc>
        <w:tc>
          <w:tcPr>
            <w:tcW w:w="2400" w:type="dxa"/>
          </w:tcPr>
          <w:p w:rsidR="0015140E" w:rsidRDefault="00E37F88">
            <w:pPr>
              <w:spacing w:line="230" w:lineRule="auto"/>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Small traditional subsistence family farm — 6 ha</w:t>
            </w:r>
          </w:p>
        </w:tc>
        <w:tc>
          <w:tcPr>
            <w:tcW w:w="5480" w:type="dxa"/>
          </w:tcPr>
          <w:p w:rsidR="0015140E" w:rsidRDefault="00E37F88">
            <w:pPr>
              <w:spacing w:line="230" w:lineRule="auto"/>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Near-subsistence holding: kitchen garden, 5–6 dairy goats, poultry and small produce for the local market. Minimal infrastructure (old house, wooden sheds, hand-dug well); all work manual. Elderly couple and their son; isolated from advice, training and ne</w:t>
            </w:r>
            <w:r>
              <w:rPr>
                <w:rFonts w:ascii="Calibri" w:eastAsia="Calibri" w:hAnsi="Calibri" w:cs="Calibri"/>
                <w:color w:val="000000"/>
                <w:sz w:val="17"/>
                <w:szCs w:val="17"/>
              </w:rPr>
              <w:t>tworks. Revenue ~PLN 8–10 k with subsidies the main income; no debt but no credit access; conditions near poverty. Exposed to late frosts and drought; a 2019 livestock die-off cut the herd.</w:t>
            </w:r>
          </w:p>
        </w:tc>
        <w:tc>
          <w:tcPr>
            <w:tcW w:w="700" w:type="dxa"/>
          </w:tcPr>
          <w:p w:rsidR="0015140E" w:rsidRDefault="00E37F88">
            <w:pPr>
              <w:spacing w:line="230" w:lineRule="auto"/>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31.3</w:t>
            </w:r>
          </w:p>
        </w:tc>
        <w:tc>
          <w:tcPr>
            <w:tcW w:w="700" w:type="dxa"/>
          </w:tcPr>
          <w:p w:rsidR="0015140E" w:rsidRDefault="00E37F88">
            <w:pPr>
              <w:spacing w:line="230" w:lineRule="auto"/>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43.7</w:t>
            </w:r>
          </w:p>
        </w:tc>
        <w:tc>
          <w:tcPr>
            <w:tcW w:w="700" w:type="dxa"/>
          </w:tcPr>
          <w:p w:rsidR="0015140E" w:rsidRDefault="00E37F88">
            <w:pPr>
              <w:spacing w:line="230" w:lineRule="auto"/>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26.9</w:t>
            </w:r>
          </w:p>
        </w:tc>
        <w:tc>
          <w:tcPr>
            <w:tcW w:w="900" w:type="dxa"/>
          </w:tcPr>
          <w:p w:rsidR="0015140E" w:rsidRDefault="00E37F88">
            <w:pPr>
              <w:spacing w:line="230" w:lineRule="auto"/>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b/>
                <w:bCs/>
                <w:color w:val="000000"/>
                <w:sz w:val="17"/>
                <w:szCs w:val="17"/>
              </w:rPr>
              <w:t>34.0</w:t>
            </w:r>
          </w:p>
        </w:tc>
        <w:tc>
          <w:tcPr>
            <w:tcW w:w="2198" w:type="dxa"/>
          </w:tcPr>
          <w:p w:rsidR="0015140E" w:rsidRDefault="00E37F88">
            <w:pPr>
              <w:spacing w:line="230" w:lineRule="auto"/>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 xml:space="preserve">Lowest resilience of all farms; limited resources and infrastructure give weak scores throughout. Adaptability is naturally somewhat higher out of necessity, but </w:t>
            </w:r>
            <w:r>
              <w:rPr>
                <w:rFonts w:ascii="Calibri" w:eastAsia="Calibri" w:hAnsi="Calibri" w:cs="Calibri"/>
                <w:color w:val="000000"/>
                <w:sz w:val="17"/>
                <w:szCs w:val="17"/>
              </w:rPr>
              <w:lastRenderedPageBreak/>
              <w:t>transformability is very low as change pathways are inaccessible to this structure.</w:t>
            </w:r>
          </w:p>
        </w:tc>
      </w:tr>
      <w:tr w:rsidR="0015140E" w:rsidTr="00E37F88">
        <w:tc>
          <w:tcPr>
            <w:cnfStyle w:val="001000000000" w:firstRow="0" w:lastRow="0" w:firstColumn="1" w:lastColumn="0" w:oddVBand="0" w:evenVBand="0" w:oddHBand="0" w:evenHBand="0" w:firstRowFirstColumn="0" w:firstRowLastColumn="0" w:lastRowFirstColumn="0" w:lastRowLastColumn="0"/>
            <w:tcW w:w="820" w:type="dxa"/>
          </w:tcPr>
          <w:p w:rsidR="0015140E" w:rsidRDefault="00E37F88">
            <w:pPr>
              <w:spacing w:line="230" w:lineRule="auto"/>
              <w:jc w:val="center"/>
            </w:pPr>
            <w:r>
              <w:rPr>
                <w:rFonts w:ascii="Calibri" w:eastAsia="Calibri" w:hAnsi="Calibri" w:cs="Calibri"/>
                <w:b/>
                <w:bCs/>
                <w:color w:val="000000"/>
                <w:sz w:val="17"/>
                <w:szCs w:val="17"/>
              </w:rPr>
              <w:lastRenderedPageBreak/>
              <w:t>VF6</w:t>
            </w:r>
          </w:p>
        </w:tc>
        <w:tc>
          <w:tcPr>
            <w:tcW w:w="1500" w:type="dxa"/>
          </w:tcPr>
          <w:p w:rsidR="0015140E" w:rsidRDefault="00E37F88">
            <w:pPr>
              <w:spacing w:line="230" w:lineRule="auto"/>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 xml:space="preserve">PL — </w:t>
            </w:r>
            <w:proofErr w:type="spellStart"/>
            <w:r>
              <w:rPr>
                <w:rFonts w:ascii="Calibri" w:eastAsia="Calibri" w:hAnsi="Calibri" w:cs="Calibri"/>
                <w:color w:val="000000"/>
                <w:sz w:val="17"/>
                <w:szCs w:val="17"/>
              </w:rPr>
              <w:t>Grójec</w:t>
            </w:r>
            <w:proofErr w:type="spellEnd"/>
          </w:p>
        </w:tc>
        <w:tc>
          <w:tcPr>
            <w:tcW w:w="2400" w:type="dxa"/>
          </w:tcPr>
          <w:p w:rsidR="0015140E" w:rsidRDefault="00E37F88">
            <w:pPr>
              <w:spacing w:line="230" w:lineRule="auto"/>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Medium apple orchard (monoculture) — 45 ha</w:t>
            </w:r>
          </w:p>
        </w:tc>
        <w:tc>
          <w:tcPr>
            <w:tcW w:w="5480" w:type="dxa"/>
          </w:tcPr>
          <w:p w:rsidR="0015140E" w:rsidRDefault="00E37F88">
            <w:pPr>
              <w:spacing w:line="230" w:lineRule="auto"/>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Third-generation orchard in Poland's main apple region: mostly apples (</w:t>
            </w:r>
            <w:proofErr w:type="spellStart"/>
            <w:r>
              <w:rPr>
                <w:rFonts w:ascii="Calibri" w:eastAsia="Calibri" w:hAnsi="Calibri" w:cs="Calibri"/>
                <w:color w:val="000000"/>
                <w:sz w:val="17"/>
                <w:szCs w:val="17"/>
              </w:rPr>
              <w:t>Idared</w:t>
            </w:r>
            <w:proofErr w:type="spellEnd"/>
            <w:r>
              <w:rPr>
                <w:rFonts w:ascii="Calibri" w:eastAsia="Calibri" w:hAnsi="Calibri" w:cs="Calibri"/>
                <w:color w:val="000000"/>
                <w:sz w:val="17"/>
                <w:szCs w:val="17"/>
              </w:rPr>
              <w:t>, Gala) plus ~5 ha pears. Intensive orchards with support systems, a 300 t cold store (2015) and small packing unit; mostly manua</w:t>
            </w:r>
            <w:r>
              <w:rPr>
                <w:rFonts w:ascii="Calibri" w:eastAsia="Calibri" w:hAnsi="Calibri" w:cs="Calibri"/>
                <w:color w:val="000000"/>
                <w:sz w:val="17"/>
                <w:szCs w:val="17"/>
              </w:rPr>
              <w:t xml:space="preserve">l work. Member of a fruit-producer group, quality- and certification-focused. Revenue ~PLN 300 k via retail chains and export to </w:t>
            </w:r>
            <w:proofErr w:type="spellStart"/>
            <w:r>
              <w:rPr>
                <w:rFonts w:ascii="Calibri" w:eastAsia="Calibri" w:hAnsi="Calibri" w:cs="Calibri"/>
                <w:color w:val="000000"/>
                <w:sz w:val="17"/>
                <w:szCs w:val="17"/>
              </w:rPr>
              <w:t>Czechia</w:t>
            </w:r>
            <w:proofErr w:type="spellEnd"/>
            <w:r>
              <w:rPr>
                <w:rFonts w:ascii="Calibri" w:eastAsia="Calibri" w:hAnsi="Calibri" w:cs="Calibri"/>
                <w:color w:val="000000"/>
                <w:sz w:val="17"/>
                <w:szCs w:val="17"/>
              </w:rPr>
              <w:t xml:space="preserve"> / Germany; margins squeezed by imports; debt ~30%. Recurrent spring frosts (2017, 2019: 50–80% crop loss) and earlier f</w:t>
            </w:r>
            <w:r>
              <w:rPr>
                <w:rFonts w:ascii="Calibri" w:eastAsia="Calibri" w:hAnsi="Calibri" w:cs="Calibri"/>
                <w:color w:val="000000"/>
                <w:sz w:val="17"/>
                <w:szCs w:val="17"/>
              </w:rPr>
              <w:t>lowering raise frost risk.</w:t>
            </w:r>
          </w:p>
        </w:tc>
        <w:tc>
          <w:tcPr>
            <w:tcW w:w="700" w:type="dxa"/>
          </w:tcPr>
          <w:p w:rsidR="0015140E" w:rsidRDefault="00E37F88">
            <w:pPr>
              <w:spacing w:line="230" w:lineRule="auto"/>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69.2</w:t>
            </w:r>
          </w:p>
        </w:tc>
        <w:tc>
          <w:tcPr>
            <w:tcW w:w="700" w:type="dxa"/>
          </w:tcPr>
          <w:p w:rsidR="0015140E" w:rsidRDefault="00E37F88">
            <w:pPr>
              <w:spacing w:line="230" w:lineRule="auto"/>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47.6</w:t>
            </w:r>
          </w:p>
        </w:tc>
        <w:tc>
          <w:tcPr>
            <w:tcW w:w="700" w:type="dxa"/>
          </w:tcPr>
          <w:p w:rsidR="0015140E" w:rsidRDefault="00E37F88">
            <w:pPr>
              <w:spacing w:line="230" w:lineRule="auto"/>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45.5</w:t>
            </w:r>
          </w:p>
        </w:tc>
        <w:tc>
          <w:tcPr>
            <w:tcW w:w="900" w:type="dxa"/>
          </w:tcPr>
          <w:p w:rsidR="0015140E" w:rsidRDefault="00E37F88">
            <w:pPr>
              <w:spacing w:line="230" w:lineRule="auto"/>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b/>
                <w:bCs/>
                <w:color w:val="000000"/>
                <w:sz w:val="17"/>
                <w:szCs w:val="17"/>
              </w:rPr>
              <w:t>54.1</w:t>
            </w:r>
          </w:p>
        </w:tc>
        <w:tc>
          <w:tcPr>
            <w:tcW w:w="2198" w:type="dxa"/>
          </w:tcPr>
          <w:p w:rsidR="0015140E" w:rsidRDefault="00E37F88">
            <w:pPr>
              <w:spacing w:line="230" w:lineRule="auto"/>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 xml:space="preserve">Close to VF1 / VF4 — high robustness from infrastructure and tradition, low transformability; </w:t>
            </w:r>
            <w:proofErr w:type="spellStart"/>
            <w:r>
              <w:rPr>
                <w:rFonts w:ascii="Calibri" w:eastAsia="Calibri" w:hAnsi="Calibri" w:cs="Calibri"/>
                <w:color w:val="000000"/>
                <w:sz w:val="17"/>
                <w:szCs w:val="17"/>
              </w:rPr>
              <w:t>orcharding</w:t>
            </w:r>
            <w:proofErr w:type="spellEnd"/>
            <w:r>
              <w:rPr>
                <w:rFonts w:ascii="Calibri" w:eastAsia="Calibri" w:hAnsi="Calibri" w:cs="Calibri"/>
                <w:color w:val="000000"/>
                <w:sz w:val="17"/>
                <w:szCs w:val="17"/>
              </w:rPr>
              <w:t xml:space="preserve"> is inherently rigid (5–10 years to establish new orchards), so the challenge is adapting to climate change without fundamental restructuring.</w:t>
            </w:r>
          </w:p>
        </w:tc>
      </w:tr>
      <w:tr w:rsidR="0015140E" w:rsidTr="00E37F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 w:type="dxa"/>
          </w:tcPr>
          <w:p w:rsidR="0015140E" w:rsidRDefault="00E37F88">
            <w:pPr>
              <w:spacing w:line="230" w:lineRule="auto"/>
              <w:jc w:val="center"/>
            </w:pPr>
            <w:r>
              <w:rPr>
                <w:rFonts w:ascii="Calibri" w:eastAsia="Calibri" w:hAnsi="Calibri" w:cs="Calibri"/>
                <w:b/>
                <w:bCs/>
                <w:color w:val="000000"/>
                <w:sz w:val="17"/>
                <w:szCs w:val="17"/>
              </w:rPr>
              <w:t>VF7</w:t>
            </w:r>
          </w:p>
        </w:tc>
        <w:tc>
          <w:tcPr>
            <w:tcW w:w="1500" w:type="dxa"/>
          </w:tcPr>
          <w:p w:rsidR="0015140E" w:rsidRDefault="00E37F88">
            <w:pPr>
              <w:spacing w:line="230" w:lineRule="auto"/>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 xml:space="preserve">PL — </w:t>
            </w:r>
            <w:proofErr w:type="spellStart"/>
            <w:r>
              <w:rPr>
                <w:rFonts w:ascii="Calibri" w:eastAsia="Calibri" w:hAnsi="Calibri" w:cs="Calibri"/>
                <w:color w:val="000000"/>
                <w:sz w:val="17"/>
                <w:szCs w:val="17"/>
              </w:rPr>
              <w:t>Wielkopolska</w:t>
            </w:r>
            <w:proofErr w:type="spellEnd"/>
          </w:p>
        </w:tc>
        <w:tc>
          <w:tcPr>
            <w:tcW w:w="2400" w:type="dxa"/>
          </w:tcPr>
          <w:p w:rsidR="0015140E" w:rsidRDefault="00E37F88">
            <w:pPr>
              <w:spacing w:line="230" w:lineRule="auto"/>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Large mixed arable + pigs — 320 ha</w:t>
            </w:r>
          </w:p>
        </w:tc>
        <w:tc>
          <w:tcPr>
            <w:tcW w:w="5480" w:type="dxa"/>
          </w:tcPr>
          <w:p w:rsidR="0015140E" w:rsidRDefault="00E37F88">
            <w:pPr>
              <w:spacing w:line="230" w:lineRule="auto"/>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Well-diversified three-generation farm: cereals (~150 ha), maize (~60 ha), oilseed rape (~50 ha) and ~500 pigs. 2005 pig barn, 200 t silo, grain stores, a fish pond as reservoir; land across six municipa</w:t>
            </w:r>
            <w:r>
              <w:rPr>
                <w:rFonts w:ascii="Calibri" w:eastAsia="Calibri" w:hAnsi="Calibri" w:cs="Calibri"/>
                <w:color w:val="000000"/>
                <w:sz w:val="17"/>
                <w:szCs w:val="17"/>
              </w:rPr>
              <w:t>lities. Very active in cooperatives and producer groups. Revenue ~PLN 1.2 M (pigs ~600 k, cereals ~400 k), diversified channels; debt ~35%. Climatically stable region but rising variability; actively planning rotations and more sustainable production.</w:t>
            </w:r>
          </w:p>
        </w:tc>
        <w:tc>
          <w:tcPr>
            <w:tcW w:w="700" w:type="dxa"/>
          </w:tcPr>
          <w:p w:rsidR="0015140E" w:rsidRDefault="00E37F88">
            <w:pPr>
              <w:spacing w:line="230" w:lineRule="auto"/>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74.9</w:t>
            </w:r>
          </w:p>
        </w:tc>
        <w:tc>
          <w:tcPr>
            <w:tcW w:w="700" w:type="dxa"/>
          </w:tcPr>
          <w:p w:rsidR="0015140E" w:rsidRDefault="00E37F88">
            <w:pPr>
              <w:spacing w:line="230" w:lineRule="auto"/>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67.1</w:t>
            </w:r>
          </w:p>
        </w:tc>
        <w:tc>
          <w:tcPr>
            <w:tcW w:w="700" w:type="dxa"/>
          </w:tcPr>
          <w:p w:rsidR="0015140E" w:rsidRDefault="00E37F88">
            <w:pPr>
              <w:spacing w:line="230" w:lineRule="auto"/>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54.4</w:t>
            </w:r>
          </w:p>
        </w:tc>
        <w:tc>
          <w:tcPr>
            <w:tcW w:w="900" w:type="dxa"/>
          </w:tcPr>
          <w:p w:rsidR="0015140E" w:rsidRDefault="00E37F88">
            <w:pPr>
              <w:spacing w:line="230" w:lineRule="auto"/>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b/>
                <w:bCs/>
                <w:color w:val="000000"/>
                <w:sz w:val="17"/>
                <w:szCs w:val="17"/>
              </w:rPr>
              <w:t>65.4</w:t>
            </w:r>
          </w:p>
        </w:tc>
        <w:tc>
          <w:tcPr>
            <w:tcW w:w="2198" w:type="dxa"/>
          </w:tcPr>
          <w:p w:rsidR="0015140E" w:rsidRDefault="00E37F88">
            <w:pPr>
              <w:spacing w:line="230" w:lineRule="auto"/>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Highest resilience among the arable farms; diversified production and strong network engagement give high robustness and adaptability, with moderate transformability as the farm awaits the right moment to transition.</w:t>
            </w:r>
          </w:p>
        </w:tc>
      </w:tr>
      <w:tr w:rsidR="0015140E" w:rsidTr="00E37F88">
        <w:tc>
          <w:tcPr>
            <w:cnfStyle w:val="001000000000" w:firstRow="0" w:lastRow="0" w:firstColumn="1" w:lastColumn="0" w:oddVBand="0" w:evenVBand="0" w:oddHBand="0" w:evenHBand="0" w:firstRowFirstColumn="0" w:firstRowLastColumn="0" w:lastRowFirstColumn="0" w:lastRowLastColumn="0"/>
            <w:tcW w:w="820" w:type="dxa"/>
          </w:tcPr>
          <w:p w:rsidR="0015140E" w:rsidRDefault="00E37F88">
            <w:pPr>
              <w:spacing w:line="230" w:lineRule="auto"/>
              <w:jc w:val="center"/>
            </w:pPr>
            <w:r>
              <w:rPr>
                <w:rFonts w:ascii="Calibri" w:eastAsia="Calibri" w:hAnsi="Calibri" w:cs="Calibri"/>
                <w:b/>
                <w:bCs/>
                <w:color w:val="000000"/>
                <w:sz w:val="17"/>
                <w:szCs w:val="17"/>
              </w:rPr>
              <w:t>VF8</w:t>
            </w:r>
          </w:p>
        </w:tc>
        <w:tc>
          <w:tcPr>
            <w:tcW w:w="1500" w:type="dxa"/>
          </w:tcPr>
          <w:p w:rsidR="0015140E" w:rsidRDefault="00E37F88">
            <w:pPr>
              <w:spacing w:line="230" w:lineRule="auto"/>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DE — Bavaria</w:t>
            </w:r>
          </w:p>
        </w:tc>
        <w:tc>
          <w:tcPr>
            <w:tcW w:w="2400" w:type="dxa"/>
          </w:tcPr>
          <w:p w:rsidR="0015140E" w:rsidRDefault="00E37F88">
            <w:pPr>
              <w:spacing w:line="230" w:lineRule="auto"/>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Small regenerative organic (high biodiversity) — 35 ha</w:t>
            </w:r>
          </w:p>
        </w:tc>
        <w:tc>
          <w:tcPr>
            <w:tcW w:w="5480" w:type="dxa"/>
          </w:tcPr>
          <w:p w:rsidR="0015140E" w:rsidRDefault="00E37F88">
            <w:pPr>
              <w:spacing w:line="230" w:lineRule="auto"/>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Regenerative organic farm (converted from conventional 12 years ago): seasonal vegetables, organic cereals and grass, with biodiversity as an explicit goal (hedgerows, ponds, wild areas). Rain-harvesting, composting, chemical-free; manual work, sometimes v</w:t>
            </w:r>
            <w:r>
              <w:rPr>
                <w:rFonts w:ascii="Calibri" w:eastAsia="Calibri" w:hAnsi="Calibri" w:cs="Calibri"/>
                <w:color w:val="000000"/>
                <w:sz w:val="17"/>
                <w:szCs w:val="17"/>
              </w:rPr>
              <w:t>olunteers. Run by two graduates who mentor new organic farmers and join international exchanges. Revenue ~EUR 120 k (vegetables, cereals, education / visits); minimal debt, self-financed in stages.</w:t>
            </w:r>
          </w:p>
        </w:tc>
        <w:tc>
          <w:tcPr>
            <w:tcW w:w="700" w:type="dxa"/>
          </w:tcPr>
          <w:p w:rsidR="0015140E" w:rsidRDefault="00E37F88">
            <w:pPr>
              <w:spacing w:line="230" w:lineRule="auto"/>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58.1</w:t>
            </w:r>
          </w:p>
        </w:tc>
        <w:tc>
          <w:tcPr>
            <w:tcW w:w="700" w:type="dxa"/>
          </w:tcPr>
          <w:p w:rsidR="0015140E" w:rsidRDefault="00E37F88">
            <w:pPr>
              <w:spacing w:line="230" w:lineRule="auto"/>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83.3</w:t>
            </w:r>
          </w:p>
        </w:tc>
        <w:tc>
          <w:tcPr>
            <w:tcW w:w="700" w:type="dxa"/>
          </w:tcPr>
          <w:p w:rsidR="0015140E" w:rsidRDefault="00E37F88">
            <w:pPr>
              <w:spacing w:line="230" w:lineRule="auto"/>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83.3</w:t>
            </w:r>
          </w:p>
        </w:tc>
        <w:tc>
          <w:tcPr>
            <w:tcW w:w="900" w:type="dxa"/>
          </w:tcPr>
          <w:p w:rsidR="0015140E" w:rsidRDefault="00E37F88">
            <w:pPr>
              <w:spacing w:line="230" w:lineRule="auto"/>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b/>
                <w:bCs/>
                <w:color w:val="000000"/>
                <w:sz w:val="17"/>
                <w:szCs w:val="17"/>
              </w:rPr>
              <w:t>74.9</w:t>
            </w:r>
          </w:p>
        </w:tc>
        <w:tc>
          <w:tcPr>
            <w:tcW w:w="2198" w:type="dxa"/>
          </w:tcPr>
          <w:p w:rsidR="0015140E" w:rsidRDefault="00E37F88">
            <w:pPr>
              <w:spacing w:line="230" w:lineRule="auto"/>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High adaptability and transformability</w:t>
            </w:r>
            <w:r>
              <w:rPr>
                <w:rFonts w:ascii="Calibri" w:eastAsia="Calibri" w:hAnsi="Calibri" w:cs="Calibri"/>
                <w:color w:val="000000"/>
                <w:sz w:val="17"/>
                <w:szCs w:val="17"/>
              </w:rPr>
              <w:t xml:space="preserve"> reflecting a natural capacity to adapt and transform; moderate robustness because the system rests on natural processes rather than infrastructure, though passion and a supportive network </w:t>
            </w:r>
            <w:proofErr w:type="spellStart"/>
            <w:r>
              <w:rPr>
                <w:rFonts w:ascii="Calibri" w:eastAsia="Calibri" w:hAnsi="Calibri" w:cs="Calibri"/>
                <w:color w:val="000000"/>
                <w:sz w:val="17"/>
                <w:szCs w:val="17"/>
              </w:rPr>
              <w:t>favour</w:t>
            </w:r>
            <w:proofErr w:type="spellEnd"/>
            <w:r>
              <w:rPr>
                <w:rFonts w:ascii="Calibri" w:eastAsia="Calibri" w:hAnsi="Calibri" w:cs="Calibri"/>
                <w:color w:val="000000"/>
                <w:sz w:val="17"/>
                <w:szCs w:val="17"/>
              </w:rPr>
              <w:t xml:space="preserve"> long-term success.</w:t>
            </w:r>
          </w:p>
        </w:tc>
      </w:tr>
      <w:tr w:rsidR="0015140E" w:rsidTr="00E37F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 w:type="dxa"/>
          </w:tcPr>
          <w:p w:rsidR="0015140E" w:rsidRDefault="00E37F88">
            <w:pPr>
              <w:spacing w:line="230" w:lineRule="auto"/>
              <w:jc w:val="center"/>
            </w:pPr>
            <w:r>
              <w:rPr>
                <w:rFonts w:ascii="Calibri" w:eastAsia="Calibri" w:hAnsi="Calibri" w:cs="Calibri"/>
                <w:b/>
                <w:bCs/>
                <w:color w:val="000000"/>
                <w:sz w:val="17"/>
                <w:szCs w:val="17"/>
              </w:rPr>
              <w:t>VF9</w:t>
            </w:r>
          </w:p>
        </w:tc>
        <w:tc>
          <w:tcPr>
            <w:tcW w:w="1500" w:type="dxa"/>
          </w:tcPr>
          <w:p w:rsidR="0015140E" w:rsidRDefault="00E37F88">
            <w:pPr>
              <w:spacing w:line="230" w:lineRule="auto"/>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ES — La Rioja</w:t>
            </w:r>
          </w:p>
        </w:tc>
        <w:tc>
          <w:tcPr>
            <w:tcW w:w="2400" w:type="dxa"/>
          </w:tcPr>
          <w:p w:rsidR="0015140E" w:rsidRDefault="00E37F88">
            <w:pPr>
              <w:spacing w:line="230" w:lineRule="auto"/>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 xml:space="preserve">Medium vineyard + </w:t>
            </w:r>
            <w:proofErr w:type="spellStart"/>
            <w:r>
              <w:rPr>
                <w:rFonts w:ascii="Calibri" w:eastAsia="Calibri" w:hAnsi="Calibri" w:cs="Calibri"/>
                <w:color w:val="000000"/>
                <w:sz w:val="17"/>
                <w:szCs w:val="17"/>
              </w:rPr>
              <w:t>agritourism</w:t>
            </w:r>
            <w:proofErr w:type="spellEnd"/>
            <w:r>
              <w:rPr>
                <w:rFonts w:ascii="Calibri" w:eastAsia="Calibri" w:hAnsi="Calibri" w:cs="Calibri"/>
                <w:color w:val="000000"/>
                <w:sz w:val="17"/>
                <w:szCs w:val="17"/>
              </w:rPr>
              <w:t xml:space="preserve"> — 38 ha</w:t>
            </w:r>
          </w:p>
        </w:tc>
        <w:tc>
          <w:tcPr>
            <w:tcW w:w="5480" w:type="dxa"/>
          </w:tcPr>
          <w:p w:rsidR="0015140E" w:rsidRDefault="00E37F88">
            <w:pPr>
              <w:spacing w:line="230" w:lineRule="auto"/>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 xml:space="preserve">Three-generation winery producing premium wine (mainly Tempranillo) with </w:t>
            </w:r>
            <w:proofErr w:type="spellStart"/>
            <w:r>
              <w:rPr>
                <w:rFonts w:ascii="Calibri" w:eastAsia="Calibri" w:hAnsi="Calibri" w:cs="Calibri"/>
                <w:color w:val="000000"/>
                <w:sz w:val="17"/>
                <w:szCs w:val="17"/>
              </w:rPr>
              <w:t>agritourism</w:t>
            </w:r>
            <w:proofErr w:type="spellEnd"/>
            <w:r>
              <w:rPr>
                <w:rFonts w:ascii="Calibri" w:eastAsia="Calibri" w:hAnsi="Calibri" w:cs="Calibri"/>
                <w:color w:val="000000"/>
                <w:sz w:val="17"/>
                <w:szCs w:val="17"/>
              </w:rPr>
              <w:t>. 1995 bodega, 300 oak barrels and 50 steel tanks, guest accommodation; traditional, non-automated vineyards. Owner an experienced oen</w:t>
            </w:r>
            <w:r>
              <w:rPr>
                <w:rFonts w:ascii="Calibri" w:eastAsia="Calibri" w:hAnsi="Calibri" w:cs="Calibri"/>
                <w:color w:val="000000"/>
                <w:sz w:val="17"/>
                <w:szCs w:val="17"/>
              </w:rPr>
              <w:t xml:space="preserve">ologist; son trained abroad; member of D.O.Ca. Rioja. Revenue ~EUR 200 k (wine ~70%, </w:t>
            </w:r>
            <w:proofErr w:type="spellStart"/>
            <w:r>
              <w:rPr>
                <w:rFonts w:ascii="Calibri" w:eastAsia="Calibri" w:hAnsi="Calibri" w:cs="Calibri"/>
                <w:color w:val="000000"/>
                <w:sz w:val="17"/>
                <w:szCs w:val="17"/>
              </w:rPr>
              <w:t>agritourism</w:t>
            </w:r>
            <w:proofErr w:type="spellEnd"/>
            <w:r>
              <w:rPr>
                <w:rFonts w:ascii="Calibri" w:eastAsia="Calibri" w:hAnsi="Calibri" w:cs="Calibri"/>
                <w:color w:val="000000"/>
                <w:sz w:val="17"/>
                <w:szCs w:val="17"/>
              </w:rPr>
              <w:t xml:space="preserve"> ~20%, tastings ~10%), high margins, export-oriented; low debt ~20%. Warming is shifting the wine profile; experiments with new varieties and green cover.</w:t>
            </w:r>
          </w:p>
        </w:tc>
        <w:tc>
          <w:tcPr>
            <w:tcW w:w="700" w:type="dxa"/>
          </w:tcPr>
          <w:p w:rsidR="0015140E" w:rsidRDefault="00E37F88">
            <w:pPr>
              <w:spacing w:line="230" w:lineRule="auto"/>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57.1</w:t>
            </w:r>
          </w:p>
        </w:tc>
        <w:tc>
          <w:tcPr>
            <w:tcW w:w="700" w:type="dxa"/>
          </w:tcPr>
          <w:p w:rsidR="0015140E" w:rsidRDefault="00E37F88">
            <w:pPr>
              <w:spacing w:line="230" w:lineRule="auto"/>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73.9</w:t>
            </w:r>
          </w:p>
        </w:tc>
        <w:tc>
          <w:tcPr>
            <w:tcW w:w="700" w:type="dxa"/>
          </w:tcPr>
          <w:p w:rsidR="0015140E" w:rsidRDefault="00E37F88">
            <w:pPr>
              <w:spacing w:line="230" w:lineRule="auto"/>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82.4</w:t>
            </w:r>
          </w:p>
        </w:tc>
        <w:tc>
          <w:tcPr>
            <w:tcW w:w="900" w:type="dxa"/>
          </w:tcPr>
          <w:p w:rsidR="0015140E" w:rsidRDefault="00E37F88">
            <w:pPr>
              <w:spacing w:line="230" w:lineRule="auto"/>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b/>
                <w:bCs/>
                <w:color w:val="000000"/>
                <w:sz w:val="17"/>
                <w:szCs w:val="17"/>
              </w:rPr>
              <w:t>71.1</w:t>
            </w:r>
          </w:p>
        </w:tc>
        <w:tc>
          <w:tcPr>
            <w:tcW w:w="2198" w:type="dxa"/>
          </w:tcPr>
          <w:p w:rsidR="0015140E" w:rsidRDefault="00E37F88">
            <w:pPr>
              <w:spacing w:line="230" w:lineRule="auto"/>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sz w:val="17"/>
                <w:szCs w:val="17"/>
              </w:rPr>
              <w:t xml:space="preserve">Craft / artisanal profile: high adaptability and transformability from a culture of innovation combined with tradition; moderate robustness, but multi-generational experience in handling shocks; upside from scaling </w:t>
            </w:r>
            <w:proofErr w:type="spellStart"/>
            <w:r>
              <w:rPr>
                <w:rFonts w:ascii="Calibri" w:eastAsia="Calibri" w:hAnsi="Calibri" w:cs="Calibri"/>
                <w:color w:val="000000"/>
                <w:sz w:val="17"/>
                <w:szCs w:val="17"/>
              </w:rPr>
              <w:t>agritourism</w:t>
            </w:r>
            <w:proofErr w:type="spellEnd"/>
            <w:r>
              <w:rPr>
                <w:rFonts w:ascii="Calibri" w:eastAsia="Calibri" w:hAnsi="Calibri" w:cs="Calibri"/>
                <w:color w:val="000000"/>
                <w:sz w:val="17"/>
                <w:szCs w:val="17"/>
              </w:rPr>
              <w:t xml:space="preserve"> and export.</w:t>
            </w:r>
          </w:p>
        </w:tc>
      </w:tr>
      <w:tr w:rsidR="0015140E" w:rsidTr="00E37F88">
        <w:tc>
          <w:tcPr>
            <w:cnfStyle w:val="001000000000" w:firstRow="0" w:lastRow="0" w:firstColumn="1" w:lastColumn="0" w:oddVBand="0" w:evenVBand="0" w:oddHBand="0" w:evenHBand="0" w:firstRowFirstColumn="0" w:firstRowLastColumn="0" w:lastRowFirstColumn="0" w:lastRowLastColumn="0"/>
            <w:tcW w:w="820" w:type="dxa"/>
          </w:tcPr>
          <w:p w:rsidR="0015140E" w:rsidRDefault="00E37F88">
            <w:pPr>
              <w:spacing w:line="230" w:lineRule="auto"/>
              <w:jc w:val="center"/>
            </w:pPr>
            <w:r>
              <w:rPr>
                <w:rFonts w:ascii="Calibri" w:eastAsia="Calibri" w:hAnsi="Calibri" w:cs="Calibri"/>
                <w:b/>
                <w:bCs/>
                <w:color w:val="000000"/>
                <w:sz w:val="17"/>
                <w:szCs w:val="17"/>
              </w:rPr>
              <w:t>V</w:t>
            </w:r>
            <w:r>
              <w:rPr>
                <w:rFonts w:ascii="Calibri" w:eastAsia="Calibri" w:hAnsi="Calibri" w:cs="Calibri"/>
                <w:b/>
                <w:bCs/>
                <w:color w:val="000000"/>
                <w:sz w:val="17"/>
                <w:szCs w:val="17"/>
              </w:rPr>
              <w:t>F10</w:t>
            </w:r>
          </w:p>
        </w:tc>
        <w:tc>
          <w:tcPr>
            <w:tcW w:w="1500" w:type="dxa"/>
          </w:tcPr>
          <w:p w:rsidR="0015140E" w:rsidRDefault="00E37F88">
            <w:pPr>
              <w:spacing w:line="230" w:lineRule="auto"/>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DK — Jutland</w:t>
            </w:r>
          </w:p>
        </w:tc>
        <w:tc>
          <w:tcPr>
            <w:tcW w:w="2400" w:type="dxa"/>
          </w:tcPr>
          <w:p w:rsidR="0015140E" w:rsidRDefault="00E37F88">
            <w:pPr>
              <w:spacing w:line="230" w:lineRule="auto"/>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Large diversified cereal cooperative — 750 ha</w:t>
            </w:r>
          </w:p>
        </w:tc>
        <w:tc>
          <w:tcPr>
            <w:tcW w:w="5480" w:type="dxa"/>
          </w:tcPr>
          <w:p w:rsidR="0015140E" w:rsidRDefault="00E37F88">
            <w:pPr>
              <w:spacing w:line="230" w:lineRule="auto"/>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 xml:space="preserve">Technologically advanced cooperative of 15 small / medium farmers sharing infrastructure: central 2 000 t store, laboratory, drier, drip irrigation on selected fields, shared tractor fleet and </w:t>
            </w:r>
            <w:r>
              <w:rPr>
                <w:rFonts w:ascii="Calibri" w:eastAsia="Calibri" w:hAnsi="Calibri" w:cs="Calibri"/>
                <w:color w:val="000000"/>
                <w:sz w:val="17"/>
                <w:szCs w:val="17"/>
              </w:rPr>
              <w:t xml:space="preserve">cloud / </w:t>
            </w:r>
            <w:proofErr w:type="spellStart"/>
            <w:r>
              <w:rPr>
                <w:rFonts w:ascii="Calibri" w:eastAsia="Calibri" w:hAnsi="Calibri" w:cs="Calibri"/>
                <w:color w:val="000000"/>
                <w:sz w:val="17"/>
                <w:szCs w:val="17"/>
              </w:rPr>
              <w:t>IoT</w:t>
            </w:r>
            <w:proofErr w:type="spellEnd"/>
            <w:r>
              <w:rPr>
                <w:rFonts w:ascii="Calibri" w:eastAsia="Calibri" w:hAnsi="Calibri" w:cs="Calibri"/>
                <w:color w:val="000000"/>
                <w:sz w:val="17"/>
                <w:szCs w:val="17"/>
              </w:rPr>
              <w:t xml:space="preserve"> data (sensors, drones); land coordinated by GPS across ~50 km. Three-person board; all members access training and advice; democratic decisions; active in the national farmers' association and research. Revenue ~EUR 2.5 M (cereals ~60%, rape ~2</w:t>
            </w:r>
            <w:r>
              <w:rPr>
                <w:rFonts w:ascii="Calibri" w:eastAsia="Calibri" w:hAnsi="Calibri" w:cs="Calibri"/>
                <w:color w:val="000000"/>
                <w:sz w:val="17"/>
                <w:szCs w:val="17"/>
              </w:rPr>
              <w:t>0%); debt ~25%. Rising rainfall and flooding (20–30% loss in 2019) met with drainage and water-retention investment.</w:t>
            </w:r>
          </w:p>
        </w:tc>
        <w:tc>
          <w:tcPr>
            <w:tcW w:w="700" w:type="dxa"/>
          </w:tcPr>
          <w:p w:rsidR="0015140E" w:rsidRDefault="00E37F88">
            <w:pPr>
              <w:spacing w:line="230" w:lineRule="auto"/>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83.6</w:t>
            </w:r>
          </w:p>
        </w:tc>
        <w:tc>
          <w:tcPr>
            <w:tcW w:w="700" w:type="dxa"/>
          </w:tcPr>
          <w:p w:rsidR="0015140E" w:rsidRDefault="00E37F88">
            <w:pPr>
              <w:spacing w:line="230" w:lineRule="auto"/>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79.4</w:t>
            </w:r>
          </w:p>
        </w:tc>
        <w:tc>
          <w:tcPr>
            <w:tcW w:w="700" w:type="dxa"/>
          </w:tcPr>
          <w:p w:rsidR="0015140E" w:rsidRDefault="00E37F88">
            <w:pPr>
              <w:spacing w:line="230" w:lineRule="auto"/>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72.9</w:t>
            </w:r>
          </w:p>
        </w:tc>
        <w:tc>
          <w:tcPr>
            <w:tcW w:w="900" w:type="dxa"/>
          </w:tcPr>
          <w:p w:rsidR="0015140E" w:rsidRDefault="00E37F88">
            <w:pPr>
              <w:spacing w:line="230" w:lineRule="auto"/>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b/>
                <w:bCs/>
                <w:color w:val="000000"/>
                <w:sz w:val="17"/>
                <w:szCs w:val="17"/>
              </w:rPr>
              <w:t>78.6</w:t>
            </w:r>
          </w:p>
        </w:tc>
        <w:tc>
          <w:tcPr>
            <w:tcW w:w="2198" w:type="dxa"/>
          </w:tcPr>
          <w:p w:rsidR="0015140E" w:rsidRDefault="00E37F88">
            <w:pPr>
              <w:spacing w:line="230" w:lineRule="auto"/>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sz w:val="17"/>
                <w:szCs w:val="17"/>
              </w:rPr>
              <w:t>Highest overall resilience; pooling resources and knowledge strengthens the whole system, with high robustness, adaptability and transformability from advanced technology, a learning culture and cooperative structure.</w:t>
            </w:r>
          </w:p>
        </w:tc>
      </w:tr>
    </w:tbl>
    <w:p w:rsidR="0015140E" w:rsidRDefault="00E37F88">
      <w:pPr>
        <w:spacing w:before="120"/>
      </w:pPr>
      <w:r>
        <w:rPr>
          <w:rFonts w:ascii="Calibri" w:eastAsia="Calibri" w:hAnsi="Calibri" w:cs="Calibri"/>
          <w:b/>
          <w:bCs/>
          <w:i/>
          <w:iCs/>
          <w:sz w:val="15"/>
          <w:szCs w:val="15"/>
        </w:rPr>
        <w:t xml:space="preserve">Notes: </w:t>
      </w:r>
      <w:r>
        <w:rPr>
          <w:rFonts w:ascii="Calibri" w:eastAsia="Calibri" w:hAnsi="Calibri" w:cs="Calibri"/>
          <w:i/>
          <w:iCs/>
          <w:sz w:val="15"/>
          <w:szCs w:val="15"/>
        </w:rPr>
        <w:t xml:space="preserve">R — Robustness; A — Adaptability; T — Transformability; UAA — </w:t>
      </w:r>
      <w:proofErr w:type="spellStart"/>
      <w:r>
        <w:rPr>
          <w:rFonts w:ascii="Calibri" w:eastAsia="Calibri" w:hAnsi="Calibri" w:cs="Calibri"/>
          <w:i/>
          <w:iCs/>
          <w:sz w:val="15"/>
          <w:szCs w:val="15"/>
        </w:rPr>
        <w:t>utilised</w:t>
      </w:r>
      <w:proofErr w:type="spellEnd"/>
      <w:r>
        <w:rPr>
          <w:rFonts w:ascii="Calibri" w:eastAsia="Calibri" w:hAnsi="Calibri" w:cs="Calibri"/>
          <w:i/>
          <w:iCs/>
          <w:sz w:val="15"/>
          <w:szCs w:val="15"/>
        </w:rPr>
        <w:t xml:space="preserve"> agricultural area. R, A, T and Resilience are model outputs (%). The virtual farms are hypothetical scenarios constructed to span contrasting resilience profiles for model validation; p</w:t>
      </w:r>
      <w:r>
        <w:rPr>
          <w:rFonts w:ascii="Calibri" w:eastAsia="Calibri" w:hAnsi="Calibri" w:cs="Calibri"/>
          <w:i/>
          <w:iCs/>
          <w:sz w:val="15"/>
          <w:szCs w:val="15"/>
        </w:rPr>
        <w:t>ersonal and business names have been omitted and each farm is identified only as VF1–VF10. Revenue figures are indicative and expressed in the currency of the source scenario (PLN or EUR).</w:t>
      </w:r>
    </w:p>
    <w:sectPr w:rsidR="0015140E" w:rsidSect="00E37F88">
      <w:pgSz w:w="16838" w:h="11906" w:orient="landscape"/>
      <w:pgMar w:top="284" w:right="720" w:bottom="426"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2B4273"/>
    <w:multiLevelType w:val="hybridMultilevel"/>
    <w:tmpl w:val="E4CAA7DC"/>
    <w:lvl w:ilvl="0" w:tplc="57605582">
      <w:start w:val="1"/>
      <w:numFmt w:val="bullet"/>
      <w:lvlText w:val="●"/>
      <w:lvlJc w:val="left"/>
      <w:pPr>
        <w:ind w:left="720" w:hanging="360"/>
      </w:pPr>
    </w:lvl>
    <w:lvl w:ilvl="1" w:tplc="AC20B252">
      <w:start w:val="1"/>
      <w:numFmt w:val="bullet"/>
      <w:lvlText w:val="○"/>
      <w:lvlJc w:val="left"/>
      <w:pPr>
        <w:ind w:left="1440" w:hanging="360"/>
      </w:pPr>
    </w:lvl>
    <w:lvl w:ilvl="2" w:tplc="723E3440">
      <w:start w:val="1"/>
      <w:numFmt w:val="bullet"/>
      <w:lvlText w:val="■"/>
      <w:lvlJc w:val="left"/>
      <w:pPr>
        <w:ind w:left="2160" w:hanging="360"/>
      </w:pPr>
    </w:lvl>
    <w:lvl w:ilvl="3" w:tplc="FF224E24">
      <w:start w:val="1"/>
      <w:numFmt w:val="bullet"/>
      <w:lvlText w:val="●"/>
      <w:lvlJc w:val="left"/>
      <w:pPr>
        <w:ind w:left="2880" w:hanging="360"/>
      </w:pPr>
    </w:lvl>
    <w:lvl w:ilvl="4" w:tplc="2C2046DE">
      <w:start w:val="1"/>
      <w:numFmt w:val="bullet"/>
      <w:lvlText w:val="○"/>
      <w:lvlJc w:val="left"/>
      <w:pPr>
        <w:ind w:left="3600" w:hanging="360"/>
      </w:pPr>
    </w:lvl>
    <w:lvl w:ilvl="5" w:tplc="0248FEF0">
      <w:start w:val="1"/>
      <w:numFmt w:val="bullet"/>
      <w:lvlText w:val="■"/>
      <w:lvlJc w:val="left"/>
      <w:pPr>
        <w:ind w:left="4320" w:hanging="360"/>
      </w:pPr>
    </w:lvl>
    <w:lvl w:ilvl="6" w:tplc="D456968A">
      <w:start w:val="1"/>
      <w:numFmt w:val="bullet"/>
      <w:lvlText w:val="●"/>
      <w:lvlJc w:val="left"/>
      <w:pPr>
        <w:ind w:left="5040" w:hanging="360"/>
      </w:pPr>
    </w:lvl>
    <w:lvl w:ilvl="7" w:tplc="B800600A">
      <w:start w:val="1"/>
      <w:numFmt w:val="bullet"/>
      <w:lvlText w:val="●"/>
      <w:lvlJc w:val="left"/>
      <w:pPr>
        <w:ind w:left="5760" w:hanging="360"/>
      </w:pPr>
    </w:lvl>
    <w:lvl w:ilvl="8" w:tplc="EF542E3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40E"/>
    <w:rsid w:val="0015140E"/>
    <w:rsid w:val="00E37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992BDB-5857-4017-8F8B-8FF807F69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qFormat/>
    <w:pPr>
      <w:outlineLvl w:val="0"/>
    </w:pPr>
    <w:rPr>
      <w:color w:val="2E74B5"/>
      <w:sz w:val="32"/>
      <w:szCs w:val="32"/>
    </w:rPr>
  </w:style>
  <w:style w:type="paragraph" w:styleId="Nagwek2">
    <w:name w:val="heading 2"/>
    <w:qFormat/>
    <w:pPr>
      <w:outlineLvl w:val="1"/>
    </w:pPr>
    <w:rPr>
      <w:color w:val="2E74B5"/>
      <w:sz w:val="26"/>
      <w:szCs w:val="26"/>
    </w:rPr>
  </w:style>
  <w:style w:type="paragraph" w:styleId="Nagwek3">
    <w:name w:val="heading 3"/>
    <w:qFormat/>
    <w:pPr>
      <w:outlineLvl w:val="2"/>
    </w:pPr>
    <w:rPr>
      <w:color w:val="1F4D78"/>
      <w:sz w:val="24"/>
      <w:szCs w:val="24"/>
    </w:rPr>
  </w:style>
  <w:style w:type="paragraph" w:styleId="Nagwek4">
    <w:name w:val="heading 4"/>
    <w:qFormat/>
    <w:pPr>
      <w:outlineLvl w:val="3"/>
    </w:pPr>
    <w:rPr>
      <w:i/>
      <w:iCs/>
      <w:color w:val="2E74B5"/>
    </w:rPr>
  </w:style>
  <w:style w:type="paragraph" w:styleId="Nagwek5">
    <w:name w:val="heading 5"/>
    <w:qFormat/>
    <w:pPr>
      <w:outlineLvl w:val="4"/>
    </w:pPr>
    <w:rPr>
      <w:color w:val="2E74B5"/>
    </w:rPr>
  </w:style>
  <w:style w:type="paragraph" w:styleId="Nagwek6">
    <w:name w:val="heading 6"/>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style>
  <w:style w:type="character" w:customStyle="1" w:styleId="TekstprzypisukocowegoZnak">
    <w:name w:val="Tekst przypisu końcowego Znak"/>
    <w:link w:val="Tekstprzypisukocowego"/>
    <w:uiPriority w:val="99"/>
    <w:semiHidden/>
    <w:unhideWhenUsed/>
    <w:rPr>
      <w:sz w:val="20"/>
      <w:szCs w:val="20"/>
    </w:rPr>
  </w:style>
  <w:style w:type="table" w:styleId="Zwykatabela3">
    <w:name w:val="Plain Table 3"/>
    <w:basedOn w:val="Standardowy"/>
    <w:uiPriority w:val="43"/>
    <w:rsid w:val="00E37F8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Zwykatabela5">
    <w:name w:val="Plain Table 5"/>
    <w:basedOn w:val="Standardowy"/>
    <w:uiPriority w:val="45"/>
    <w:rsid w:val="00E37F8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podstawowy">
    <w:name w:val="Body Text"/>
    <w:basedOn w:val="Normalny"/>
    <w:link w:val="TekstpodstawowyZnak"/>
    <w:qFormat/>
    <w:rsid w:val="00E37F88"/>
    <w:pPr>
      <w:spacing w:before="180" w:after="180"/>
    </w:pPr>
    <w:rPr>
      <w:rFonts w:asciiTheme="minorHAnsi" w:eastAsiaTheme="minorHAnsi" w:hAnsiTheme="minorHAnsi" w:cstheme="minorBidi"/>
      <w:sz w:val="24"/>
      <w:szCs w:val="24"/>
    </w:rPr>
  </w:style>
  <w:style w:type="character" w:customStyle="1" w:styleId="TekstpodstawowyZnak">
    <w:name w:val="Tekst podstawowy Znak"/>
    <w:basedOn w:val="Domylnaczcionkaakapitu"/>
    <w:link w:val="Tekstpodstawowy"/>
    <w:rsid w:val="00E37F88"/>
    <w:rPr>
      <w:rFonts w:asciiTheme="minorHAnsi" w:eastAsiaTheme="minorHAnsi"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1273</Words>
  <Characters>7259</Characters>
  <Application>Microsoft Office Word</Application>
  <DocSecurity>0</DocSecurity>
  <Lines>60</Lines>
  <Paragraphs>17</Paragraphs>
  <ScaleCrop>false</ScaleCrop>
  <Company/>
  <LinksUpToDate>false</LinksUpToDate>
  <CharactersWithSpaces>8515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Konto Microsoft</cp:lastModifiedBy>
  <cp:revision>2</cp:revision>
  <dcterms:created xsi:type="dcterms:W3CDTF">2026-07-05T17:15:00Z</dcterms:created>
  <dcterms:modified xsi:type="dcterms:W3CDTF">2026-07-05T17:22:00Z</dcterms:modified>
</cp:coreProperties>
</file>