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A1FCF">
      <w:pPr>
        <w:spacing w:before="1800" w:after="80"/>
        <w:jc w:val="center"/>
      </w:pPr>
      <w:r>
        <w:rPr>
          <w:rFonts w:ascii="Times New Roman" w:hAnsi="Times New Roman" w:eastAsia="Times New Roman"/>
          <w:b/>
          <w:i w:val="0"/>
          <w:color w:val="1F4E79"/>
          <w:sz w:val="24"/>
        </w:rPr>
        <w:t>Additional file 1</w:t>
      </w:r>
    </w:p>
    <w:p w14:paraId="7BA9BEA1">
      <w:pPr>
        <w:spacing w:after="80"/>
        <w:jc w:val="center"/>
      </w:pPr>
      <w:r>
        <w:rPr>
          <w:rFonts w:ascii="Times New Roman" w:hAnsi="Times New Roman" w:eastAsia="Times New Roman"/>
          <w:b/>
          <w:i w:val="0"/>
          <w:color w:val="1F4E79"/>
          <w:sz w:val="36"/>
        </w:rPr>
        <w:t>Supplementary Tables and Figures</w:t>
      </w:r>
    </w:p>
    <w:p w14:paraId="722F2C97">
      <w:pPr>
        <w:spacing w:before="240" w:after="80"/>
        <w:jc w:val="center"/>
      </w:pPr>
      <w:r>
        <w:rPr>
          <w:rFonts w:ascii="Times New Roman" w:hAnsi="Times New Roman" w:eastAsia="Times New Roman"/>
          <w:b w:val="0"/>
          <w:i/>
          <w:sz w:val="22"/>
        </w:rPr>
        <w:t>Stable redundancy and variable ranking of metabolic surrogate indicators for incident ischemic heart disease</w:t>
      </w:r>
    </w:p>
    <w:tbl>
      <w:tblPr>
        <w:tblStyle w:val="32"/>
        <w:tblW w:w="0" w:type="auto"/>
        <w:jc w:val="center"/>
        <w:tblLayout w:type="fixed"/>
        <w:tblCellMar>
          <w:top w:w="0" w:type="dxa"/>
          <w:left w:w="108" w:type="dxa"/>
          <w:bottom w:w="0" w:type="dxa"/>
          <w:right w:w="108" w:type="dxa"/>
        </w:tblCellMar>
      </w:tblPr>
      <w:tblGrid>
        <w:gridCol w:w="9749"/>
      </w:tblGrid>
      <w:tr w14:paraId="78B4145A">
        <w:tblPrEx>
          <w:tblCellMar>
            <w:top w:w="0" w:type="dxa"/>
            <w:left w:w="108" w:type="dxa"/>
            <w:bottom w:w="0" w:type="dxa"/>
            <w:right w:w="108" w:type="dxa"/>
          </w:tblCellMar>
        </w:tblPrEx>
        <w:trPr>
          <w:jc w:val="center"/>
        </w:trPr>
        <w:tc>
          <w:tcPr>
            <w:tcW w:w="9216" w:type="dxa"/>
            <w:tcBorders>
              <w:top w:val="single" w:color="BFBFBF" w:sz="4" w:space="0"/>
              <w:left w:val="single" w:color="BFBFBF" w:sz="4" w:space="0"/>
              <w:bottom w:val="single" w:color="BFBFBF" w:sz="4" w:space="0"/>
              <w:right w:val="single" w:color="BFBFBF" w:sz="4" w:space="0"/>
            </w:tcBorders>
            <w:shd w:val="clear" w:color="auto" w:fill="EAF2F8"/>
            <w:tcMar>
              <w:top w:w="60" w:type="dxa"/>
              <w:left w:w="70" w:type="dxa"/>
              <w:bottom w:w="60" w:type="dxa"/>
              <w:right w:w="70" w:type="dxa"/>
            </w:tcMar>
            <w:vAlign w:val="center"/>
          </w:tcPr>
          <w:p>
            <w:r>
              <w:rPr>
                <w:rFonts w:ascii="Times New Roman" w:hAnsi="Times New Roman" w:eastAsia="Times New Roman"/>
                <w:sz w:val="18"/>
              </w:rPr>
              <w:t>Description: candidate-indicator audit, locked formula definitions, cohort harmonization, sample completeness, multi-evidence competition, raw-component upper-bound benchmarks, transport and missingness diagnostics, machine-learning stability, and restricted-cubic-spline, calibration, and decision-curve analyses.</w:t>
            </w:r>
          </w:p>
        </w:tc>
      </w:tr>
    </w:tbl>
    <w:p w14:paraId="2F4DBC3C">
      <w:pPr>
        <w:spacing w:before="320" w:after="80"/>
        <w:jc w:val="center"/>
      </w:pPr>
      <w:r>
        <w:rPr>
          <w:rFonts w:ascii="Times New Roman" w:hAnsi="Times New Roman" w:eastAsia="Times New Roman"/>
          <w:b w:val="0"/>
          <w:i w:val="0"/>
          <w:sz w:val="21"/>
        </w:rPr>
        <w:t>This file contains Supplementary Tables S1-S8 and Supplementary Figures S1-S5 for the main manuscript.</w:t>
      </w:r>
    </w:p>
    <w:p w14:paraId="79FE0470">
      <w:pPr>
        <w:spacing w:before="760" w:after="80"/>
      </w:pPr>
      <w:r>
        <w:rPr>
          <w:rFonts w:ascii="Times New Roman" w:hAnsi="Times New Roman" w:eastAsia="Times New Roman"/>
          <w:b/>
          <w:i w:val="0"/>
          <w:color w:val="1F4E79"/>
          <w:sz w:val="24"/>
        </w:rPr>
        <w:t>Contents</w:t>
      </w:r>
    </w:p>
    <w:p w14:paraId="35E1B8D1">
      <w:pPr>
        <w:spacing w:after="20"/>
        <w:ind w:left="216"/>
      </w:pPr>
      <w:r>
        <w:rPr>
          <w:rFonts w:ascii="Times New Roman" w:hAnsi="Times New Roman" w:eastAsia="Times New Roman"/>
          <w:color w:val="1F1F1F"/>
          <w:sz w:val="19"/>
        </w:rPr>
        <w:t>Table S1  Candidate-universe eligibility audit and locked definitions of primary indicators and new scores</w:t>
      </w:r>
    </w:p>
    <w:p w14:paraId="09FE44AC">
      <w:pPr>
        <w:spacing w:after="20"/>
        <w:ind w:left="216"/>
      </w:pPr>
      <w:r>
        <w:rPr>
          <w:rFonts w:ascii="Times New Roman" w:hAnsi="Times New Roman" w:eastAsia="Times New Roman"/>
          <w:b/>
          <w:i w:val="0"/>
          <w:color w:val="1F4E78"/>
          <w:sz w:val="19"/>
        </w:rPr>
        <w:t>Table S2</w:t>
      </w:r>
      <w:r>
        <w:rPr>
          <w:rFonts w:ascii="Times New Roman" w:hAnsi="Times New Roman" w:eastAsia="Times New Roman"/>
          <w:b w:val="0"/>
          <w:i w:val="0"/>
          <w:color w:val="1F1F1F"/>
          <w:sz w:val="19"/>
        </w:rPr>
        <w:t xml:space="preserve">  Variable harmonization, analytic samples, and Core-3 information completeness</w:t>
      </w:r>
    </w:p>
    <w:p w14:paraId="5BAD5620">
      <w:pPr>
        <w:spacing w:after="20"/>
        <w:ind w:left="216"/>
      </w:pPr>
      <w:r>
        <w:rPr>
          <w:rFonts w:ascii="Times New Roman" w:hAnsi="Times New Roman" w:eastAsia="Times New Roman"/>
          <w:b/>
          <w:i w:val="0"/>
          <w:color w:val="1F4E78"/>
          <w:sz w:val="19"/>
        </w:rPr>
        <w:t>Table S3</w:t>
      </w:r>
      <w:r>
        <w:rPr>
          <w:rFonts w:ascii="Times New Roman" w:hAnsi="Times New Roman" w:eastAsia="Times New Roman"/>
          <w:b w:val="0"/>
          <w:i w:val="0"/>
          <w:color w:val="1F1F1F"/>
          <w:sz w:val="19"/>
        </w:rPr>
        <w:t xml:space="preserve">  Verified multi-evidence competition of the 10 candidate indicators</w:t>
      </w:r>
    </w:p>
    <w:p w14:paraId="40D4E041">
      <w:pPr>
        <w:spacing w:after="20"/>
        <w:ind w:left="216"/>
      </w:pPr>
      <w:r>
        <w:rPr>
          <w:rFonts w:ascii="Times New Roman" w:hAnsi="Times New Roman" w:eastAsia="Times New Roman"/>
          <w:b/>
          <w:i w:val="0"/>
          <w:color w:val="1F4E78"/>
          <w:sz w:val="19"/>
        </w:rPr>
        <w:t>Table S4</w:t>
      </w:r>
      <w:r>
        <w:rPr>
          <w:rFonts w:ascii="Times New Roman" w:hAnsi="Times New Roman" w:eastAsia="Times New Roman"/>
          <w:b w:val="0"/>
          <w:i w:val="0"/>
          <w:color w:val="1F1F1F"/>
          <w:sz w:val="19"/>
        </w:rPr>
        <w:t xml:space="preserve">  Focused benchmark and prespecified new-score challenge models</w:t>
      </w:r>
    </w:p>
    <w:p w14:paraId="7718C827">
      <w:pPr>
        <w:spacing w:after="20"/>
        <w:ind w:left="216"/>
      </w:pPr>
      <w:r>
        <w:rPr>
          <w:rFonts w:ascii="Times New Roman" w:hAnsi="Times New Roman" w:eastAsia="Times New Roman"/>
          <w:b/>
          <w:i w:val="0"/>
          <w:color w:val="1F4E78"/>
          <w:sz w:val="19"/>
        </w:rPr>
        <w:t>Table S5</w:t>
      </w:r>
      <w:r>
        <w:rPr>
          <w:rFonts w:ascii="Times New Roman" w:hAnsi="Times New Roman" w:eastAsia="Times New Roman"/>
          <w:b w:val="0"/>
          <w:i w:val="0"/>
          <w:color w:val="1F1F1F"/>
          <w:sz w:val="19"/>
        </w:rPr>
        <w:t xml:space="preserve">  Transport, missingness, and component-heterogeneity diagnostics</w:t>
      </w:r>
    </w:p>
    <w:p w14:paraId="6B7377F7">
      <w:pPr>
        <w:spacing w:after="20"/>
        <w:ind w:left="216"/>
      </w:pPr>
      <w:r>
        <w:rPr>
          <w:rFonts w:ascii="Times New Roman" w:hAnsi="Times New Roman" w:eastAsia="Times New Roman"/>
          <w:b/>
          <w:i w:val="0"/>
          <w:color w:val="1F4E78"/>
          <w:sz w:val="19"/>
        </w:rPr>
        <w:t>Table S6</w:t>
      </w:r>
      <w:r>
        <w:rPr>
          <w:rFonts w:ascii="Times New Roman" w:hAnsi="Times New Roman" w:eastAsia="Times New Roman"/>
          <w:b w:val="0"/>
          <w:i w:val="0"/>
          <w:color w:val="1F1F1F"/>
          <w:sz w:val="19"/>
        </w:rPr>
        <w:t xml:space="preserve">  Machine-learning stability and contribution transport</w:t>
      </w:r>
    </w:p>
    <w:p w14:paraId="0D267994">
      <w:pPr>
        <w:spacing w:after="20"/>
        <w:ind w:left="216"/>
      </w:pPr>
      <w:r>
        <w:rPr>
          <w:rFonts w:ascii="Times New Roman" w:hAnsi="Times New Roman" w:eastAsia="Times New Roman"/>
          <w:b/>
          <w:i w:val="0"/>
          <w:color w:val="1F4E78"/>
          <w:sz w:val="19"/>
        </w:rPr>
        <w:t>Table S7</w:t>
      </w:r>
      <w:r>
        <w:rPr>
          <w:rFonts w:ascii="Times New Roman" w:hAnsi="Times New Roman" w:eastAsia="Times New Roman"/>
          <w:b w:val="0"/>
          <w:i w:val="0"/>
          <w:color w:val="1F1F1F"/>
          <w:sz w:val="19"/>
        </w:rPr>
        <w:t xml:space="preserve">  Restricted cubic splines, decision curves, and calibration diagnostics</w:t>
      </w:r>
    </w:p>
    <w:p w14:paraId="111D23DB">
      <w:pPr>
        <w:spacing w:after="20"/>
        <w:ind w:left="216"/>
      </w:pPr>
      <w:r>
        <w:rPr>
          <w:rFonts w:ascii="Times New Roman" w:hAnsi="Times New Roman" w:eastAsia="Times New Roman"/>
          <w:color w:val="1F1F1F"/>
          <w:sz w:val="19"/>
        </w:rPr>
        <w:t>Table S8  Formula-based metabolic surrogates versus raw-component upper-bound models</w:t>
      </w:r>
    </w:p>
    <w:p w14:paraId="73B84F84">
      <w:pPr>
        <w:spacing w:before="100" w:after="20"/>
        <w:ind w:left="216"/>
      </w:pPr>
      <w:r>
        <w:rPr>
          <w:rFonts w:ascii="Times New Roman" w:hAnsi="Times New Roman" w:eastAsia="Times New Roman"/>
          <w:b/>
          <w:color w:val="1F4E78"/>
          <w:sz w:val="19"/>
        </w:rPr>
        <w:t>Figures</w:t>
      </w:r>
    </w:p>
    <w:p w14:paraId="00C8CB10">
      <w:pPr>
        <w:spacing w:before="0" w:after="20" w:line="240" w:lineRule="auto"/>
        <w:ind w:left="216"/>
      </w:pPr>
      <w:r>
        <w:rPr>
          <w:rFonts w:ascii="Times New Roman" w:hAnsi="Times New Roman" w:eastAsia="Times New Roman"/>
          <w:b/>
          <w:color w:val="1F4E78"/>
          <w:sz w:val="19"/>
        </w:rPr>
        <w:t>Figure S1</w:t>
      </w:r>
      <w:r>
        <w:rPr>
          <w:rFonts w:ascii="Times New Roman" w:hAnsi="Times New Roman" w:eastAsia="Times New Roman"/>
          <w:b w:val="0"/>
          <w:color w:val="1F1F1F"/>
          <w:sz w:val="19"/>
        </w:rPr>
        <w:t xml:space="preserve">  Missingness and distribution drift across analytic stages</w:t>
      </w:r>
    </w:p>
    <w:p w14:paraId="5BAEC800">
      <w:pPr>
        <w:spacing w:before="0" w:after="20" w:line="240" w:lineRule="auto"/>
        <w:ind w:left="216"/>
      </w:pPr>
      <w:r>
        <w:rPr>
          <w:rFonts w:ascii="Times New Roman" w:hAnsi="Times New Roman" w:eastAsia="Times New Roman"/>
          <w:b/>
          <w:color w:val="1F4E78"/>
          <w:sz w:val="19"/>
        </w:rPr>
        <w:t>Figure S2</w:t>
      </w:r>
      <w:r>
        <w:rPr>
          <w:rFonts w:ascii="Times New Roman" w:hAnsi="Times New Roman" w:eastAsia="Times New Roman"/>
          <w:b w:val="0"/>
          <w:color w:val="1F1F1F"/>
          <w:sz w:val="19"/>
        </w:rPr>
        <w:t xml:space="preserve">  Detailed stage-specific performance of the 10 candidate metabolic indicators</w:t>
      </w:r>
    </w:p>
    <w:p w14:paraId="4D87F2FF">
      <w:pPr>
        <w:spacing w:before="0" w:after="20" w:line="240" w:lineRule="auto"/>
        <w:ind w:left="216"/>
      </w:pPr>
      <w:r>
        <w:rPr>
          <w:rFonts w:ascii="Times New Roman" w:hAnsi="Times New Roman" w:eastAsia="Times New Roman"/>
          <w:b/>
          <w:color w:val="1F4E78"/>
          <w:sz w:val="19"/>
        </w:rPr>
        <w:t>Figure S3</w:t>
      </w:r>
      <w:r>
        <w:rPr>
          <w:rFonts w:ascii="Times New Roman" w:hAnsi="Times New Roman" w:eastAsia="Times New Roman"/>
          <w:b w:val="0"/>
          <w:color w:val="1F1F1F"/>
          <w:sz w:val="19"/>
        </w:rPr>
        <w:t xml:space="preserve">  New-score challenge, data completeness, and bidirectional transport</w:t>
      </w:r>
    </w:p>
    <w:p w14:paraId="67128B41">
      <w:pPr>
        <w:spacing w:before="0" w:after="20" w:line="240" w:lineRule="auto"/>
        <w:ind w:left="216"/>
      </w:pPr>
      <w:r>
        <w:rPr>
          <w:rFonts w:ascii="Times New Roman" w:hAnsi="Times New Roman" w:eastAsia="Times New Roman"/>
          <w:b/>
          <w:color w:val="1F4E78"/>
          <w:sz w:val="19"/>
        </w:rPr>
        <w:t>Figure S4</w:t>
      </w:r>
      <w:r>
        <w:rPr>
          <w:rFonts w:ascii="Times New Roman" w:hAnsi="Times New Roman" w:eastAsia="Times New Roman"/>
          <w:b w:val="0"/>
          <w:color w:val="1F1F1F"/>
          <w:sz w:val="19"/>
        </w:rPr>
        <w:t xml:space="preserve">  Machine-learning contribution patterns and transportability of feature importance</w:t>
      </w:r>
    </w:p>
    <w:p w14:paraId="2717CCC0">
      <w:pPr>
        <w:spacing w:before="0" w:after="20" w:line="240" w:lineRule="auto"/>
        <w:ind w:left="216"/>
      </w:pPr>
      <w:r>
        <w:rPr>
          <w:rFonts w:ascii="Times New Roman" w:hAnsi="Times New Roman" w:eastAsia="Times New Roman"/>
          <w:b/>
          <w:color w:val="1F4E78"/>
          <w:sz w:val="19"/>
        </w:rPr>
        <w:t>Figure S5</w:t>
      </w:r>
      <w:r>
        <w:rPr>
          <w:rFonts w:ascii="Times New Roman" w:hAnsi="Times New Roman" w:eastAsia="Times New Roman"/>
          <w:b w:val="0"/>
          <w:color w:val="1F1F1F"/>
          <w:sz w:val="19"/>
        </w:rPr>
        <w:t xml:space="preserve">  Dose-response shape and incremental decision-curve evidence</w:t>
      </w:r>
    </w:p>
    <w:p w14:paraId="6E16C4FA">
      <w:pPr>
        <w:sectPr>
          <w:footerReference r:id="rId5" w:type="default"/>
          <w:pgSz w:w="11909" w:h="16834"/>
          <w:pgMar w:top="1080" w:right="1080" w:bottom="1080" w:left="1080" w:header="720" w:footer="720" w:gutter="0"/>
          <w:cols w:space="720" w:num="1"/>
          <w:docGrid w:linePitch="360" w:charSpace="0"/>
        </w:sectPr>
      </w:pPr>
    </w:p>
    <w:p w14:paraId="684260BC">
      <w:pPr>
        <w:keepNext/>
        <w:spacing w:before="40" w:after="120"/>
      </w:pPr>
      <w:r>
        <w:rPr>
          <w:rFonts w:ascii="Arial" w:hAnsi="Arial"/>
          <w:b/>
          <w:color w:val="1F4E78"/>
          <w:sz w:val="23"/>
        </w:rPr>
        <w:t xml:space="preserve">Table S1. </w:t>
      </w:r>
      <w:r>
        <w:rPr>
          <w:rFonts w:ascii="Arial" w:hAnsi="Arial"/>
          <w:b/>
          <w:color w:val="1F1F1F"/>
          <w:sz w:val="23"/>
        </w:rPr>
        <w:t>Candidate-universe eligibility audit and locked definitions of primary indicators and new scores</w:t>
      </w:r>
    </w:p>
    <w:p w14:paraId="4F3D322D">
      <w:pPr>
        <w:spacing w:before="140" w:after="80" w:line="240" w:lineRule="auto"/>
      </w:pPr>
      <w:r>
        <w:rPr>
          <w:rFonts w:ascii="Arial" w:hAnsi="Arial"/>
          <w:b/>
          <w:color w:val="1F4E78"/>
          <w:sz w:val="18"/>
        </w:rPr>
        <w:t>Panel A. Eligibility audit of the broader derived-indicator universe</w:t>
      </w:r>
    </w:p>
    <w:tbl>
      <w:tblPr>
        <w:tblStyle w:val="32"/>
        <w:tblW w:w="0" w:type="auto"/>
        <w:jc w:val="center"/>
        <w:tblLayout w:type="fixed"/>
        <w:tblCellMar>
          <w:top w:w="0" w:type="dxa"/>
          <w:left w:w="108" w:type="dxa"/>
          <w:bottom w:w="0" w:type="dxa"/>
          <w:right w:w="108" w:type="dxa"/>
        </w:tblCellMar>
      </w:tblPr>
      <w:tblGrid>
        <w:gridCol w:w="1512"/>
        <w:gridCol w:w="1800"/>
        <w:gridCol w:w="2232"/>
        <w:gridCol w:w="2232"/>
        <w:gridCol w:w="2592"/>
        <w:gridCol w:w="936"/>
        <w:gridCol w:w="3528"/>
      </w:tblGrid>
      <w:tr w14:paraId="05F6BD0F">
        <w:tblPrEx>
          <w:tblCellMar>
            <w:top w:w="0" w:type="dxa"/>
            <w:left w:w="108" w:type="dxa"/>
            <w:bottom w:w="0" w:type="dxa"/>
            <w:right w:w="108" w:type="dxa"/>
          </w:tblCellMar>
        </w:tblPrEx>
        <w:trPr>
          <w:cantSplit/>
          <w:tblHeader/>
          <w:jc w:val="center"/>
        </w:trPr>
        <w:tc>
          <w:tcPr>
            <w:tcW w:w="2207" w:type="dxa"/>
            <w:shd w:val="clear" w:color="auto" w:fill="4472C4"/>
            <w:tcMar>
              <w:top w:w="0" w:type="dxa"/>
              <w:left w:w="70" w:type="dxa"/>
              <w:bottom w:w="0" w:type="dxa"/>
              <w:right w:w="70" w:type="dxa"/>
            </w:tcMar>
            <w:vAlign w:val="center"/>
          </w:tcPr>
          <w:p w14:paraId="77BE5714">
            <w:pPr>
              <w:spacing w:before="0" w:after="0" w:line="240" w:lineRule="auto"/>
              <w:jc w:val="center"/>
            </w:pPr>
            <w:r>
              <w:rPr>
                <w:rFonts w:ascii="Arial" w:hAnsi="Arial"/>
                <w:b/>
                <w:color w:val="FFFFFF"/>
                <w:sz w:val="13"/>
              </w:rPr>
              <w:t>Indicator</w:t>
            </w:r>
          </w:p>
        </w:tc>
        <w:tc>
          <w:tcPr>
            <w:tcW w:w="2207" w:type="dxa"/>
            <w:shd w:val="clear" w:color="auto" w:fill="4472C4"/>
            <w:tcMar>
              <w:top w:w="0" w:type="dxa"/>
              <w:left w:w="70" w:type="dxa"/>
              <w:bottom w:w="0" w:type="dxa"/>
              <w:right w:w="70" w:type="dxa"/>
            </w:tcMar>
            <w:vAlign w:val="center"/>
          </w:tcPr>
          <w:p w14:paraId="2FCAEBC1">
            <w:pPr>
              <w:spacing w:before="0" w:after="0" w:line="240" w:lineRule="auto"/>
              <w:jc w:val="center"/>
            </w:pPr>
            <w:r>
              <w:rPr>
                <w:rFonts w:ascii="Arial" w:hAnsi="Arial"/>
                <w:b/>
                <w:color w:val="FFFFFF"/>
                <w:sz w:val="13"/>
              </w:rPr>
              <w:t>Stage-1 role</w:t>
            </w:r>
          </w:p>
        </w:tc>
        <w:tc>
          <w:tcPr>
            <w:tcW w:w="2207" w:type="dxa"/>
            <w:shd w:val="clear" w:color="auto" w:fill="4472C4"/>
            <w:tcMar>
              <w:top w:w="0" w:type="dxa"/>
              <w:left w:w="70" w:type="dxa"/>
              <w:bottom w:w="0" w:type="dxa"/>
              <w:right w:w="70" w:type="dxa"/>
            </w:tcMar>
            <w:vAlign w:val="center"/>
          </w:tcPr>
          <w:p w14:paraId="38114528">
            <w:pPr>
              <w:spacing w:before="0" w:after="0" w:line="240" w:lineRule="auto"/>
              <w:jc w:val="center"/>
            </w:pPr>
            <w:r>
              <w:rPr>
                <w:rFonts w:ascii="Arial" w:hAnsi="Arial"/>
                <w:b/>
                <w:color w:val="FFFFFF"/>
                <w:sz w:val="13"/>
              </w:rPr>
              <w:t>Required components</w:t>
            </w:r>
          </w:p>
        </w:tc>
        <w:tc>
          <w:tcPr>
            <w:tcW w:w="2207" w:type="dxa"/>
            <w:shd w:val="clear" w:color="auto" w:fill="4472C4"/>
            <w:tcMar>
              <w:top w:w="0" w:type="dxa"/>
              <w:left w:w="70" w:type="dxa"/>
              <w:bottom w:w="0" w:type="dxa"/>
              <w:right w:w="70" w:type="dxa"/>
            </w:tcMar>
            <w:vAlign w:val="center"/>
          </w:tcPr>
          <w:p w14:paraId="433ACDA4">
            <w:pPr>
              <w:spacing w:before="0" w:after="0" w:line="240" w:lineRule="auto"/>
              <w:jc w:val="center"/>
            </w:pPr>
            <w:r>
              <w:rPr>
                <w:rFonts w:ascii="Arial" w:hAnsi="Arial"/>
                <w:b/>
                <w:color w:val="FFFFFF"/>
                <w:sz w:val="13"/>
              </w:rPr>
              <w:t>ELSA feasibility status</w:t>
            </w:r>
          </w:p>
        </w:tc>
        <w:tc>
          <w:tcPr>
            <w:tcW w:w="2207" w:type="dxa"/>
            <w:shd w:val="clear" w:color="auto" w:fill="4472C4"/>
            <w:tcMar>
              <w:top w:w="0" w:type="dxa"/>
              <w:left w:w="70" w:type="dxa"/>
              <w:bottom w:w="0" w:type="dxa"/>
              <w:right w:w="70" w:type="dxa"/>
            </w:tcMar>
            <w:vAlign w:val="center"/>
          </w:tcPr>
          <w:p w14:paraId="5B61CB29">
            <w:pPr>
              <w:spacing w:before="0" w:after="0" w:line="240" w:lineRule="auto"/>
              <w:jc w:val="center"/>
            </w:pPr>
            <w:r>
              <w:rPr>
                <w:rFonts w:ascii="Arial" w:hAnsi="Arial"/>
                <w:b/>
                <w:color w:val="FFFFFF"/>
                <w:sz w:val="13"/>
              </w:rPr>
              <w:t>Cross-cohort disposition</w:t>
            </w:r>
          </w:p>
        </w:tc>
        <w:tc>
          <w:tcPr>
            <w:tcW w:w="2207" w:type="dxa"/>
            <w:shd w:val="clear" w:color="auto" w:fill="4472C4"/>
            <w:tcMar>
              <w:top w:w="0" w:type="dxa"/>
              <w:left w:w="70" w:type="dxa"/>
              <w:bottom w:w="0" w:type="dxa"/>
              <w:right w:w="70" w:type="dxa"/>
            </w:tcMar>
            <w:vAlign w:val="center"/>
          </w:tcPr>
          <w:p w14:paraId="0D0E250A">
            <w:pPr>
              <w:spacing w:before="0" w:after="0" w:line="240" w:lineRule="auto"/>
              <w:jc w:val="center"/>
            </w:pPr>
            <w:r>
              <w:rPr>
                <w:rFonts w:ascii="Arial" w:hAnsi="Arial"/>
                <w:b/>
                <w:color w:val="FFFFFF"/>
                <w:sz w:val="13"/>
              </w:rPr>
              <w:t>Primary 10</w:t>
            </w:r>
          </w:p>
        </w:tc>
        <w:tc>
          <w:tcPr>
            <w:tcW w:w="2207" w:type="dxa"/>
            <w:shd w:val="clear" w:color="auto" w:fill="4472C4"/>
            <w:tcMar>
              <w:top w:w="0" w:type="dxa"/>
              <w:left w:w="70" w:type="dxa"/>
              <w:bottom w:w="0" w:type="dxa"/>
              <w:right w:w="70" w:type="dxa"/>
            </w:tcMar>
            <w:vAlign w:val="center"/>
          </w:tcPr>
          <w:p w14:paraId="52D3D1B8">
            <w:pPr>
              <w:spacing w:before="0" w:after="0" w:line="240" w:lineRule="auto"/>
              <w:jc w:val="center"/>
            </w:pPr>
            <w:r>
              <w:rPr>
                <w:rFonts w:ascii="Arial" w:hAnsi="Arial"/>
                <w:b/>
                <w:color w:val="FFFFFF"/>
                <w:sz w:val="13"/>
              </w:rPr>
              <w:t>Final rationale</w:t>
            </w:r>
          </w:p>
        </w:tc>
      </w:tr>
      <w:tr w14:paraId="266F9DF9">
        <w:tblPrEx>
          <w:tblCellMar>
            <w:top w:w="0" w:type="dxa"/>
            <w:left w:w="108" w:type="dxa"/>
            <w:bottom w:w="0" w:type="dxa"/>
            <w:right w:w="108" w:type="dxa"/>
          </w:tblCellMar>
        </w:tblPrEx>
        <w:trPr>
          <w:cantSplit/>
          <w:trHeight w:val="0" w:hRule="atLeast"/>
          <w:jc w:val="center"/>
        </w:trPr>
        <w:tc>
          <w:tcPr>
            <w:tcW w:w="1512" w:type="dxa"/>
            <w:shd w:val="clear" w:color="auto" w:fill="FFFFFF"/>
            <w:tcMar>
              <w:top w:w="0" w:type="dxa"/>
              <w:left w:w="70" w:type="dxa"/>
              <w:bottom w:w="0" w:type="dxa"/>
              <w:right w:w="70" w:type="dxa"/>
            </w:tcMar>
            <w:vAlign w:val="center"/>
          </w:tcPr>
          <w:p w14:paraId="6E92FE01">
            <w:pPr>
              <w:spacing w:before="0" w:after="0" w:line="240" w:lineRule="auto"/>
              <w:jc w:val="left"/>
            </w:pPr>
            <w:r>
              <w:rPr>
                <w:rFonts w:ascii="Arial" w:hAnsi="Arial"/>
                <w:b w:val="0"/>
                <w:color w:val="1F1F1F"/>
                <w:sz w:val="12"/>
              </w:rPr>
              <w:t>TyG</w:t>
            </w:r>
          </w:p>
        </w:tc>
        <w:tc>
          <w:tcPr>
            <w:tcW w:w="1800" w:type="dxa"/>
            <w:shd w:val="clear" w:color="auto" w:fill="FFFFFF"/>
            <w:tcMar>
              <w:top w:w="0" w:type="dxa"/>
              <w:left w:w="70" w:type="dxa"/>
              <w:bottom w:w="0" w:type="dxa"/>
              <w:right w:w="70" w:type="dxa"/>
            </w:tcMar>
            <w:vAlign w:val="center"/>
          </w:tcPr>
          <w:p w14:paraId="2A6C6570">
            <w:pPr>
              <w:spacing w:before="0" w:after="0" w:line="240" w:lineRule="auto"/>
              <w:jc w:val="left"/>
            </w:pPr>
            <w:r>
              <w:rPr>
                <w:rFonts w:ascii="Arial" w:hAnsi="Arial"/>
                <w:b w:val="0"/>
                <w:color w:val="1F1F1F"/>
                <w:sz w:val="12"/>
              </w:rPr>
              <w:t>Locked core</w:t>
            </w:r>
          </w:p>
        </w:tc>
        <w:tc>
          <w:tcPr>
            <w:tcW w:w="2232" w:type="dxa"/>
            <w:shd w:val="clear" w:color="auto" w:fill="FFFFFF"/>
            <w:tcMar>
              <w:top w:w="0" w:type="dxa"/>
              <w:left w:w="70" w:type="dxa"/>
              <w:bottom w:w="0" w:type="dxa"/>
              <w:right w:w="70" w:type="dxa"/>
            </w:tcMar>
            <w:vAlign w:val="center"/>
          </w:tcPr>
          <w:p w14:paraId="2A4D958B">
            <w:pPr>
              <w:spacing w:before="0" w:after="0" w:line="240" w:lineRule="auto"/>
              <w:jc w:val="left"/>
            </w:pPr>
            <w:r>
              <w:rPr>
                <w:rFonts w:ascii="Arial" w:hAnsi="Arial"/>
                <w:b w:val="0"/>
                <w:color w:val="1F1F1F"/>
                <w:sz w:val="12"/>
              </w:rPr>
              <w:t>TG, glucose</w:t>
            </w:r>
          </w:p>
        </w:tc>
        <w:tc>
          <w:tcPr>
            <w:tcW w:w="2232" w:type="dxa"/>
            <w:shd w:val="clear" w:color="auto" w:fill="FFFFFF"/>
            <w:tcMar>
              <w:top w:w="0" w:type="dxa"/>
              <w:left w:w="70" w:type="dxa"/>
              <w:bottom w:w="0" w:type="dxa"/>
              <w:right w:w="70" w:type="dxa"/>
            </w:tcMar>
            <w:vAlign w:val="center"/>
          </w:tcPr>
          <w:p w14:paraId="497204DF">
            <w:pPr>
              <w:spacing w:before="0" w:after="0" w:line="240" w:lineRule="auto"/>
              <w:jc w:val="left"/>
            </w:pPr>
            <w:r>
              <w:rPr>
                <w:rFonts w:ascii="Arial" w:hAnsi="Arial"/>
                <w:b w:val="0"/>
                <w:color w:val="1F1F1F"/>
                <w:sz w:val="12"/>
              </w:rPr>
              <w:t>Passed formula audit</w:t>
            </w:r>
          </w:p>
        </w:tc>
        <w:tc>
          <w:tcPr>
            <w:tcW w:w="2592" w:type="dxa"/>
            <w:shd w:val="clear" w:color="auto" w:fill="FFFFFF"/>
            <w:tcMar>
              <w:top w:w="0" w:type="dxa"/>
              <w:left w:w="70" w:type="dxa"/>
              <w:bottom w:w="0" w:type="dxa"/>
              <w:right w:w="70" w:type="dxa"/>
            </w:tcMar>
            <w:vAlign w:val="center"/>
          </w:tcPr>
          <w:p w14:paraId="43E675E6">
            <w:pPr>
              <w:spacing w:before="0" w:after="0" w:line="240" w:lineRule="auto"/>
              <w:jc w:val="left"/>
            </w:pPr>
            <w:r>
              <w:rPr>
                <w:rFonts w:ascii="Arial" w:hAnsi="Arial"/>
                <w:b w:val="0"/>
                <w:color w:val="1F1F1F"/>
                <w:sz w:val="12"/>
              </w:rPr>
              <w:t>Retained in common core</w:t>
            </w:r>
          </w:p>
        </w:tc>
        <w:tc>
          <w:tcPr>
            <w:tcW w:w="936" w:type="dxa"/>
            <w:shd w:val="clear" w:color="auto" w:fill="FFFFFF"/>
            <w:tcMar>
              <w:top w:w="0" w:type="dxa"/>
              <w:left w:w="70" w:type="dxa"/>
              <w:bottom w:w="0" w:type="dxa"/>
              <w:right w:w="70" w:type="dxa"/>
            </w:tcMar>
            <w:vAlign w:val="center"/>
          </w:tcPr>
          <w:p w14:paraId="4A8D15FA">
            <w:pPr>
              <w:spacing w:before="0" w:after="0" w:line="240" w:lineRule="auto"/>
              <w:jc w:val="center"/>
            </w:pPr>
            <w:r>
              <w:rPr>
                <w:rFonts w:ascii="Arial" w:hAnsi="Arial"/>
                <w:b w:val="0"/>
                <w:color w:val="1F1F1F"/>
                <w:sz w:val="12"/>
              </w:rPr>
              <w:t>Yes</w:t>
            </w:r>
          </w:p>
        </w:tc>
        <w:tc>
          <w:tcPr>
            <w:tcW w:w="3528" w:type="dxa"/>
            <w:shd w:val="clear" w:color="auto" w:fill="FFFFFF"/>
            <w:tcMar>
              <w:top w:w="0" w:type="dxa"/>
              <w:left w:w="70" w:type="dxa"/>
              <w:bottom w:w="0" w:type="dxa"/>
              <w:right w:w="70" w:type="dxa"/>
            </w:tcMar>
            <w:vAlign w:val="center"/>
          </w:tcPr>
          <w:p w14:paraId="58870EB1">
            <w:pPr>
              <w:spacing w:before="0" w:after="0" w:line="240" w:lineRule="auto"/>
              <w:jc w:val="left"/>
            </w:pPr>
            <w:r>
              <w:rPr>
                <w:rFonts w:ascii="Arial" w:hAnsi="Arial"/>
                <w:b w:val="0"/>
                <w:color w:val="1F1F1F"/>
                <w:sz w:val="12"/>
              </w:rPr>
              <w:t>Glycolipid core</w:t>
            </w:r>
          </w:p>
        </w:tc>
      </w:tr>
      <w:tr w14:paraId="0D64772F">
        <w:tblPrEx>
          <w:tblCellMar>
            <w:top w:w="0" w:type="dxa"/>
            <w:left w:w="108" w:type="dxa"/>
            <w:bottom w:w="0" w:type="dxa"/>
            <w:right w:w="108" w:type="dxa"/>
          </w:tblCellMar>
        </w:tblPrEx>
        <w:trPr>
          <w:cantSplit/>
          <w:trHeight w:val="0" w:hRule="atLeast"/>
          <w:jc w:val="center"/>
        </w:trPr>
        <w:tc>
          <w:tcPr>
            <w:tcW w:w="1512" w:type="dxa"/>
            <w:shd w:val="clear" w:color="auto" w:fill="F8FAFC"/>
            <w:tcMar>
              <w:top w:w="0" w:type="dxa"/>
              <w:left w:w="70" w:type="dxa"/>
              <w:bottom w:w="0" w:type="dxa"/>
              <w:right w:w="70" w:type="dxa"/>
            </w:tcMar>
            <w:vAlign w:val="center"/>
          </w:tcPr>
          <w:p w14:paraId="40BFE20B">
            <w:pPr>
              <w:spacing w:before="0" w:after="0" w:line="240" w:lineRule="auto"/>
              <w:jc w:val="left"/>
            </w:pPr>
            <w:r>
              <w:rPr>
                <w:rFonts w:ascii="Arial" w:hAnsi="Arial"/>
                <w:b w:val="0"/>
                <w:color w:val="1F1F1F"/>
                <w:sz w:val="12"/>
              </w:rPr>
              <w:t>AIP</w:t>
            </w:r>
          </w:p>
        </w:tc>
        <w:tc>
          <w:tcPr>
            <w:tcW w:w="1800" w:type="dxa"/>
            <w:shd w:val="clear" w:color="auto" w:fill="F8FAFC"/>
            <w:tcMar>
              <w:top w:w="0" w:type="dxa"/>
              <w:left w:w="70" w:type="dxa"/>
              <w:bottom w:w="0" w:type="dxa"/>
              <w:right w:w="70" w:type="dxa"/>
            </w:tcMar>
            <w:vAlign w:val="center"/>
          </w:tcPr>
          <w:p w14:paraId="10635425">
            <w:pPr>
              <w:spacing w:before="0" w:after="0" w:line="240" w:lineRule="auto"/>
              <w:jc w:val="left"/>
            </w:pPr>
            <w:r>
              <w:rPr>
                <w:rFonts w:ascii="Arial" w:hAnsi="Arial"/>
                <w:b w:val="0"/>
                <w:color w:val="1F1F1F"/>
                <w:sz w:val="12"/>
              </w:rPr>
              <w:t>Locked core</w:t>
            </w:r>
          </w:p>
        </w:tc>
        <w:tc>
          <w:tcPr>
            <w:tcW w:w="2232" w:type="dxa"/>
            <w:shd w:val="clear" w:color="auto" w:fill="F8FAFC"/>
            <w:tcMar>
              <w:top w:w="0" w:type="dxa"/>
              <w:left w:w="70" w:type="dxa"/>
              <w:bottom w:w="0" w:type="dxa"/>
              <w:right w:w="70" w:type="dxa"/>
            </w:tcMar>
            <w:vAlign w:val="center"/>
          </w:tcPr>
          <w:p w14:paraId="031E2827">
            <w:pPr>
              <w:spacing w:before="0" w:after="0" w:line="240" w:lineRule="auto"/>
              <w:jc w:val="left"/>
            </w:pPr>
            <w:r>
              <w:rPr>
                <w:rFonts w:ascii="Arial" w:hAnsi="Arial"/>
                <w:b w:val="0"/>
                <w:color w:val="1F1F1F"/>
                <w:sz w:val="12"/>
              </w:rPr>
              <w:t>TG, HDL-C</w:t>
            </w:r>
          </w:p>
        </w:tc>
        <w:tc>
          <w:tcPr>
            <w:tcW w:w="2232" w:type="dxa"/>
            <w:shd w:val="clear" w:color="auto" w:fill="F8FAFC"/>
            <w:tcMar>
              <w:top w:w="0" w:type="dxa"/>
              <w:left w:w="70" w:type="dxa"/>
              <w:bottom w:w="0" w:type="dxa"/>
              <w:right w:w="70" w:type="dxa"/>
            </w:tcMar>
            <w:vAlign w:val="center"/>
          </w:tcPr>
          <w:p w14:paraId="22FE6454">
            <w:pPr>
              <w:spacing w:before="0" w:after="0" w:line="240" w:lineRule="auto"/>
              <w:jc w:val="left"/>
            </w:pPr>
            <w:r>
              <w:rPr>
                <w:rFonts w:ascii="Arial" w:hAnsi="Arial"/>
                <w:b w:val="0"/>
                <w:color w:val="1F1F1F"/>
                <w:sz w:val="12"/>
              </w:rPr>
              <w:t>Passed formula audit</w:t>
            </w:r>
          </w:p>
        </w:tc>
        <w:tc>
          <w:tcPr>
            <w:tcW w:w="2592" w:type="dxa"/>
            <w:shd w:val="clear" w:color="auto" w:fill="F8FAFC"/>
            <w:tcMar>
              <w:top w:w="0" w:type="dxa"/>
              <w:left w:w="70" w:type="dxa"/>
              <w:bottom w:w="0" w:type="dxa"/>
              <w:right w:w="70" w:type="dxa"/>
            </w:tcMar>
            <w:vAlign w:val="center"/>
          </w:tcPr>
          <w:p w14:paraId="23CB2DB9">
            <w:pPr>
              <w:spacing w:before="0" w:after="0" w:line="240" w:lineRule="auto"/>
              <w:jc w:val="left"/>
            </w:pPr>
            <w:r>
              <w:rPr>
                <w:rFonts w:ascii="Arial" w:hAnsi="Arial"/>
                <w:b w:val="0"/>
                <w:color w:val="1F1F1F"/>
                <w:sz w:val="12"/>
              </w:rPr>
              <w:t>Retained in common core</w:t>
            </w:r>
          </w:p>
        </w:tc>
        <w:tc>
          <w:tcPr>
            <w:tcW w:w="936" w:type="dxa"/>
            <w:shd w:val="clear" w:color="auto" w:fill="F8FAFC"/>
            <w:tcMar>
              <w:top w:w="0" w:type="dxa"/>
              <w:left w:w="70" w:type="dxa"/>
              <w:bottom w:w="0" w:type="dxa"/>
              <w:right w:w="70" w:type="dxa"/>
            </w:tcMar>
            <w:vAlign w:val="center"/>
          </w:tcPr>
          <w:p w14:paraId="0B02701A">
            <w:pPr>
              <w:spacing w:before="0" w:after="0" w:line="240" w:lineRule="auto"/>
              <w:jc w:val="center"/>
            </w:pPr>
            <w:r>
              <w:rPr>
                <w:rFonts w:ascii="Arial" w:hAnsi="Arial"/>
                <w:b w:val="0"/>
                <w:color w:val="1F1F1F"/>
                <w:sz w:val="12"/>
              </w:rPr>
              <w:t>Yes</w:t>
            </w:r>
          </w:p>
        </w:tc>
        <w:tc>
          <w:tcPr>
            <w:tcW w:w="3528" w:type="dxa"/>
            <w:shd w:val="clear" w:color="auto" w:fill="F8FAFC"/>
            <w:tcMar>
              <w:top w:w="0" w:type="dxa"/>
              <w:left w:w="70" w:type="dxa"/>
              <w:bottom w:w="0" w:type="dxa"/>
              <w:right w:w="70" w:type="dxa"/>
            </w:tcMar>
            <w:vAlign w:val="center"/>
          </w:tcPr>
          <w:p w14:paraId="448D0720">
            <w:pPr>
              <w:spacing w:before="0" w:after="0" w:line="240" w:lineRule="auto"/>
              <w:jc w:val="left"/>
            </w:pPr>
            <w:r>
              <w:rPr>
                <w:rFonts w:ascii="Arial" w:hAnsi="Arial"/>
                <w:b w:val="0"/>
                <w:color w:val="1F1F1F"/>
                <w:sz w:val="12"/>
              </w:rPr>
              <w:t>Atherogenic lipid axis</w:t>
            </w:r>
          </w:p>
        </w:tc>
      </w:tr>
      <w:tr w14:paraId="3AB79CE0">
        <w:tblPrEx>
          <w:tblCellMar>
            <w:top w:w="0" w:type="dxa"/>
            <w:left w:w="108" w:type="dxa"/>
            <w:bottom w:w="0" w:type="dxa"/>
            <w:right w:w="108" w:type="dxa"/>
          </w:tblCellMar>
        </w:tblPrEx>
        <w:trPr>
          <w:cantSplit/>
          <w:trHeight w:val="0" w:hRule="atLeast"/>
          <w:jc w:val="center"/>
        </w:trPr>
        <w:tc>
          <w:tcPr>
            <w:tcW w:w="1512" w:type="dxa"/>
            <w:shd w:val="clear" w:color="auto" w:fill="FFFFFF"/>
            <w:tcMar>
              <w:top w:w="0" w:type="dxa"/>
              <w:left w:w="70" w:type="dxa"/>
              <w:bottom w:w="0" w:type="dxa"/>
              <w:right w:w="70" w:type="dxa"/>
            </w:tcMar>
            <w:vAlign w:val="center"/>
          </w:tcPr>
          <w:p w14:paraId="2E0B558F">
            <w:pPr>
              <w:spacing w:before="0" w:after="0" w:line="240" w:lineRule="auto"/>
              <w:jc w:val="left"/>
            </w:pPr>
            <w:r>
              <w:rPr>
                <w:rFonts w:ascii="Arial" w:hAnsi="Arial"/>
                <w:b w:val="0"/>
                <w:color w:val="1F1F1F"/>
                <w:sz w:val="12"/>
              </w:rPr>
              <w:t>TG/HDL-C</w:t>
            </w:r>
          </w:p>
        </w:tc>
        <w:tc>
          <w:tcPr>
            <w:tcW w:w="1800" w:type="dxa"/>
            <w:shd w:val="clear" w:color="auto" w:fill="FFFFFF"/>
            <w:tcMar>
              <w:top w:w="0" w:type="dxa"/>
              <w:left w:w="70" w:type="dxa"/>
              <w:bottom w:w="0" w:type="dxa"/>
              <w:right w:w="70" w:type="dxa"/>
            </w:tcMar>
            <w:vAlign w:val="center"/>
          </w:tcPr>
          <w:p w14:paraId="1A88BE2D">
            <w:pPr>
              <w:spacing w:before="0" w:after="0" w:line="240" w:lineRule="auto"/>
              <w:jc w:val="left"/>
            </w:pPr>
            <w:r>
              <w:rPr>
                <w:rFonts w:ascii="Arial" w:hAnsi="Arial"/>
                <w:b w:val="0"/>
                <w:color w:val="1F1F1F"/>
                <w:sz w:val="12"/>
              </w:rPr>
              <w:t>Locked core</w:t>
            </w:r>
          </w:p>
        </w:tc>
        <w:tc>
          <w:tcPr>
            <w:tcW w:w="2232" w:type="dxa"/>
            <w:shd w:val="clear" w:color="auto" w:fill="FFFFFF"/>
            <w:tcMar>
              <w:top w:w="0" w:type="dxa"/>
              <w:left w:w="70" w:type="dxa"/>
              <w:bottom w:w="0" w:type="dxa"/>
              <w:right w:w="70" w:type="dxa"/>
            </w:tcMar>
            <w:vAlign w:val="center"/>
          </w:tcPr>
          <w:p w14:paraId="1B4DAF90">
            <w:pPr>
              <w:spacing w:before="0" w:after="0" w:line="240" w:lineRule="auto"/>
              <w:jc w:val="left"/>
            </w:pPr>
            <w:r>
              <w:rPr>
                <w:rFonts w:ascii="Arial" w:hAnsi="Arial"/>
                <w:b w:val="0"/>
                <w:color w:val="1F1F1F"/>
                <w:sz w:val="12"/>
              </w:rPr>
              <w:t>TG, HDL-C</w:t>
            </w:r>
          </w:p>
        </w:tc>
        <w:tc>
          <w:tcPr>
            <w:tcW w:w="2232" w:type="dxa"/>
            <w:shd w:val="clear" w:color="auto" w:fill="FFFFFF"/>
            <w:tcMar>
              <w:top w:w="0" w:type="dxa"/>
              <w:left w:w="70" w:type="dxa"/>
              <w:bottom w:w="0" w:type="dxa"/>
              <w:right w:w="70" w:type="dxa"/>
            </w:tcMar>
            <w:vAlign w:val="center"/>
          </w:tcPr>
          <w:p w14:paraId="51150CD5">
            <w:pPr>
              <w:spacing w:before="0" w:after="0" w:line="240" w:lineRule="auto"/>
              <w:jc w:val="left"/>
            </w:pPr>
            <w:r>
              <w:rPr>
                <w:rFonts w:ascii="Arial" w:hAnsi="Arial"/>
                <w:b w:val="0"/>
                <w:color w:val="1F1F1F"/>
                <w:sz w:val="12"/>
              </w:rPr>
              <w:t>Passed formula audit</w:t>
            </w:r>
          </w:p>
        </w:tc>
        <w:tc>
          <w:tcPr>
            <w:tcW w:w="2592" w:type="dxa"/>
            <w:shd w:val="clear" w:color="auto" w:fill="FFFFFF"/>
            <w:tcMar>
              <w:top w:w="0" w:type="dxa"/>
              <w:left w:w="70" w:type="dxa"/>
              <w:bottom w:w="0" w:type="dxa"/>
              <w:right w:w="70" w:type="dxa"/>
            </w:tcMar>
            <w:vAlign w:val="center"/>
          </w:tcPr>
          <w:p w14:paraId="66961AD8">
            <w:pPr>
              <w:spacing w:before="0" w:after="0" w:line="240" w:lineRule="auto"/>
              <w:jc w:val="left"/>
            </w:pPr>
            <w:r>
              <w:rPr>
                <w:rFonts w:ascii="Arial" w:hAnsi="Arial"/>
                <w:b w:val="0"/>
                <w:color w:val="1F1F1F"/>
                <w:sz w:val="12"/>
              </w:rPr>
              <w:t>Retained in common core</w:t>
            </w:r>
          </w:p>
        </w:tc>
        <w:tc>
          <w:tcPr>
            <w:tcW w:w="936" w:type="dxa"/>
            <w:shd w:val="clear" w:color="auto" w:fill="FFFFFF"/>
            <w:tcMar>
              <w:top w:w="0" w:type="dxa"/>
              <w:left w:w="70" w:type="dxa"/>
              <w:bottom w:w="0" w:type="dxa"/>
              <w:right w:w="70" w:type="dxa"/>
            </w:tcMar>
            <w:vAlign w:val="center"/>
          </w:tcPr>
          <w:p w14:paraId="11B488E9">
            <w:pPr>
              <w:spacing w:before="0" w:after="0" w:line="240" w:lineRule="auto"/>
              <w:jc w:val="center"/>
            </w:pPr>
            <w:r>
              <w:rPr>
                <w:rFonts w:ascii="Arial" w:hAnsi="Arial"/>
                <w:b w:val="0"/>
                <w:color w:val="1F1F1F"/>
                <w:sz w:val="12"/>
              </w:rPr>
              <w:t>Yes</w:t>
            </w:r>
          </w:p>
        </w:tc>
        <w:tc>
          <w:tcPr>
            <w:tcW w:w="3528" w:type="dxa"/>
            <w:shd w:val="clear" w:color="auto" w:fill="FFFFFF"/>
            <w:tcMar>
              <w:top w:w="0" w:type="dxa"/>
              <w:left w:w="70" w:type="dxa"/>
              <w:bottom w:w="0" w:type="dxa"/>
              <w:right w:w="70" w:type="dxa"/>
            </w:tcMar>
            <w:vAlign w:val="center"/>
          </w:tcPr>
          <w:p w14:paraId="1CB0C10F">
            <w:pPr>
              <w:spacing w:before="0" w:after="0" w:line="240" w:lineRule="auto"/>
              <w:jc w:val="left"/>
            </w:pPr>
            <w:r>
              <w:rPr>
                <w:rFonts w:ascii="Arial" w:hAnsi="Arial"/>
                <w:b w:val="0"/>
                <w:color w:val="1F1F1F"/>
                <w:sz w:val="12"/>
              </w:rPr>
              <w:t>Alternative parameterization of the AIP axis</w:t>
            </w:r>
          </w:p>
        </w:tc>
      </w:tr>
      <w:tr w14:paraId="576326CE">
        <w:tblPrEx>
          <w:tblCellMar>
            <w:top w:w="0" w:type="dxa"/>
            <w:left w:w="108" w:type="dxa"/>
            <w:bottom w:w="0" w:type="dxa"/>
            <w:right w:w="108" w:type="dxa"/>
          </w:tblCellMar>
        </w:tblPrEx>
        <w:trPr>
          <w:cantSplit/>
          <w:trHeight w:val="0" w:hRule="atLeast"/>
          <w:jc w:val="center"/>
        </w:trPr>
        <w:tc>
          <w:tcPr>
            <w:tcW w:w="1512" w:type="dxa"/>
            <w:shd w:val="clear" w:color="auto" w:fill="F8FAFC"/>
            <w:tcMar>
              <w:top w:w="0" w:type="dxa"/>
              <w:left w:w="70" w:type="dxa"/>
              <w:bottom w:w="0" w:type="dxa"/>
              <w:right w:w="70" w:type="dxa"/>
            </w:tcMar>
            <w:vAlign w:val="center"/>
          </w:tcPr>
          <w:p w14:paraId="53263F1F">
            <w:pPr>
              <w:spacing w:before="0" w:after="0" w:line="240" w:lineRule="auto"/>
              <w:jc w:val="left"/>
            </w:pPr>
            <w:r>
              <w:rPr>
                <w:rFonts w:ascii="Arial" w:hAnsi="Arial"/>
                <w:b w:val="0"/>
                <w:color w:val="1F1F1F"/>
                <w:sz w:val="12"/>
              </w:rPr>
              <w:t>TyG-BMI</w:t>
            </w:r>
          </w:p>
        </w:tc>
        <w:tc>
          <w:tcPr>
            <w:tcW w:w="1800" w:type="dxa"/>
            <w:shd w:val="clear" w:color="auto" w:fill="F8FAFC"/>
            <w:tcMar>
              <w:top w:w="0" w:type="dxa"/>
              <w:left w:w="70" w:type="dxa"/>
              <w:bottom w:w="0" w:type="dxa"/>
              <w:right w:w="70" w:type="dxa"/>
            </w:tcMar>
            <w:vAlign w:val="center"/>
          </w:tcPr>
          <w:p w14:paraId="4FD2188C">
            <w:pPr>
              <w:spacing w:before="0" w:after="0" w:line="240" w:lineRule="auto"/>
              <w:jc w:val="left"/>
            </w:pPr>
            <w:r>
              <w:rPr>
                <w:rFonts w:ascii="Arial" w:hAnsi="Arial"/>
                <w:b w:val="0"/>
                <w:color w:val="1F1F1F"/>
                <w:sz w:val="12"/>
              </w:rPr>
              <w:t>Locked core</w:t>
            </w:r>
          </w:p>
        </w:tc>
        <w:tc>
          <w:tcPr>
            <w:tcW w:w="2232" w:type="dxa"/>
            <w:shd w:val="clear" w:color="auto" w:fill="F8FAFC"/>
            <w:tcMar>
              <w:top w:w="0" w:type="dxa"/>
              <w:left w:w="70" w:type="dxa"/>
              <w:bottom w:w="0" w:type="dxa"/>
              <w:right w:w="70" w:type="dxa"/>
            </w:tcMar>
            <w:vAlign w:val="center"/>
          </w:tcPr>
          <w:p w14:paraId="6AF564D2">
            <w:pPr>
              <w:spacing w:before="0" w:after="0" w:line="240" w:lineRule="auto"/>
              <w:jc w:val="left"/>
            </w:pPr>
            <w:r>
              <w:rPr>
                <w:rFonts w:ascii="Arial" w:hAnsi="Arial"/>
                <w:b w:val="0"/>
                <w:color w:val="1F1F1F"/>
                <w:sz w:val="12"/>
              </w:rPr>
              <w:t>TyG, BMI</w:t>
            </w:r>
          </w:p>
        </w:tc>
        <w:tc>
          <w:tcPr>
            <w:tcW w:w="2232" w:type="dxa"/>
            <w:shd w:val="clear" w:color="auto" w:fill="F8FAFC"/>
            <w:tcMar>
              <w:top w:w="0" w:type="dxa"/>
              <w:left w:w="70" w:type="dxa"/>
              <w:bottom w:w="0" w:type="dxa"/>
              <w:right w:w="70" w:type="dxa"/>
            </w:tcMar>
            <w:vAlign w:val="center"/>
          </w:tcPr>
          <w:p w14:paraId="310E2478">
            <w:pPr>
              <w:spacing w:before="0" w:after="0" w:line="240" w:lineRule="auto"/>
              <w:jc w:val="left"/>
            </w:pPr>
            <w:r>
              <w:rPr>
                <w:rFonts w:ascii="Arial" w:hAnsi="Arial"/>
                <w:b w:val="0"/>
                <w:color w:val="1F1F1F"/>
                <w:sz w:val="12"/>
              </w:rPr>
              <w:t>Passed formula audit</w:t>
            </w:r>
          </w:p>
        </w:tc>
        <w:tc>
          <w:tcPr>
            <w:tcW w:w="2592" w:type="dxa"/>
            <w:shd w:val="clear" w:color="auto" w:fill="F8FAFC"/>
            <w:tcMar>
              <w:top w:w="0" w:type="dxa"/>
              <w:left w:w="70" w:type="dxa"/>
              <w:bottom w:w="0" w:type="dxa"/>
              <w:right w:w="70" w:type="dxa"/>
            </w:tcMar>
            <w:vAlign w:val="center"/>
          </w:tcPr>
          <w:p w14:paraId="77E13B98">
            <w:pPr>
              <w:spacing w:before="0" w:after="0" w:line="240" w:lineRule="auto"/>
              <w:jc w:val="left"/>
            </w:pPr>
            <w:r>
              <w:rPr>
                <w:rFonts w:ascii="Arial" w:hAnsi="Arial"/>
                <w:b w:val="0"/>
                <w:color w:val="1F1F1F"/>
                <w:sz w:val="12"/>
              </w:rPr>
              <w:t>Retained in common core</w:t>
            </w:r>
          </w:p>
        </w:tc>
        <w:tc>
          <w:tcPr>
            <w:tcW w:w="936" w:type="dxa"/>
            <w:shd w:val="clear" w:color="auto" w:fill="F8FAFC"/>
            <w:tcMar>
              <w:top w:w="0" w:type="dxa"/>
              <w:left w:w="70" w:type="dxa"/>
              <w:bottom w:w="0" w:type="dxa"/>
              <w:right w:w="70" w:type="dxa"/>
            </w:tcMar>
            <w:vAlign w:val="center"/>
          </w:tcPr>
          <w:p w14:paraId="3052344B">
            <w:pPr>
              <w:spacing w:before="0" w:after="0" w:line="240" w:lineRule="auto"/>
              <w:jc w:val="center"/>
            </w:pPr>
            <w:r>
              <w:rPr>
                <w:rFonts w:ascii="Arial" w:hAnsi="Arial"/>
                <w:b w:val="0"/>
                <w:color w:val="1F1F1F"/>
                <w:sz w:val="12"/>
              </w:rPr>
              <w:t>Yes</w:t>
            </w:r>
          </w:p>
        </w:tc>
        <w:tc>
          <w:tcPr>
            <w:tcW w:w="3528" w:type="dxa"/>
            <w:shd w:val="clear" w:color="auto" w:fill="F8FAFC"/>
            <w:tcMar>
              <w:top w:w="0" w:type="dxa"/>
              <w:left w:w="70" w:type="dxa"/>
              <w:bottom w:w="0" w:type="dxa"/>
              <w:right w:w="70" w:type="dxa"/>
            </w:tcMar>
            <w:vAlign w:val="center"/>
          </w:tcPr>
          <w:p w14:paraId="26A13192">
            <w:pPr>
              <w:spacing w:before="0" w:after="0" w:line="240" w:lineRule="auto"/>
              <w:jc w:val="left"/>
            </w:pPr>
            <w:r>
              <w:rPr>
                <w:rFonts w:ascii="Arial" w:hAnsi="Arial"/>
                <w:b w:val="0"/>
                <w:color w:val="1F1F1F"/>
                <w:sz w:val="12"/>
              </w:rPr>
              <w:t>Anthropometric-enhanced TyG</w:t>
            </w:r>
          </w:p>
        </w:tc>
      </w:tr>
      <w:tr w14:paraId="11D77DC5">
        <w:tblPrEx>
          <w:tblCellMar>
            <w:top w:w="0" w:type="dxa"/>
            <w:left w:w="108" w:type="dxa"/>
            <w:bottom w:w="0" w:type="dxa"/>
            <w:right w:w="108" w:type="dxa"/>
          </w:tblCellMar>
        </w:tblPrEx>
        <w:trPr>
          <w:cantSplit/>
          <w:trHeight w:val="0" w:hRule="atLeast"/>
          <w:jc w:val="center"/>
        </w:trPr>
        <w:tc>
          <w:tcPr>
            <w:tcW w:w="1512" w:type="dxa"/>
            <w:shd w:val="clear" w:color="auto" w:fill="FFFFFF"/>
            <w:tcMar>
              <w:top w:w="0" w:type="dxa"/>
              <w:left w:w="70" w:type="dxa"/>
              <w:bottom w:w="0" w:type="dxa"/>
              <w:right w:w="70" w:type="dxa"/>
            </w:tcMar>
            <w:vAlign w:val="center"/>
          </w:tcPr>
          <w:p w14:paraId="1C13D159">
            <w:pPr>
              <w:spacing w:before="0" w:after="0" w:line="240" w:lineRule="auto"/>
              <w:jc w:val="left"/>
            </w:pPr>
            <w:r>
              <w:rPr>
                <w:rFonts w:ascii="Arial" w:hAnsi="Arial"/>
                <w:b w:val="0"/>
                <w:color w:val="1F1F1F"/>
                <w:sz w:val="12"/>
              </w:rPr>
              <w:t>METS-IR</w:t>
            </w:r>
          </w:p>
        </w:tc>
        <w:tc>
          <w:tcPr>
            <w:tcW w:w="1800" w:type="dxa"/>
            <w:shd w:val="clear" w:color="auto" w:fill="FFFFFF"/>
            <w:tcMar>
              <w:top w:w="0" w:type="dxa"/>
              <w:left w:w="70" w:type="dxa"/>
              <w:bottom w:w="0" w:type="dxa"/>
              <w:right w:w="70" w:type="dxa"/>
            </w:tcMar>
            <w:vAlign w:val="center"/>
          </w:tcPr>
          <w:p w14:paraId="662B1768">
            <w:pPr>
              <w:spacing w:before="0" w:after="0" w:line="240" w:lineRule="auto"/>
              <w:jc w:val="left"/>
            </w:pPr>
            <w:r>
              <w:rPr>
                <w:rFonts w:ascii="Arial" w:hAnsi="Arial"/>
                <w:b w:val="0"/>
                <w:color w:val="1F1F1F"/>
                <w:sz w:val="12"/>
              </w:rPr>
              <w:t>Locked core</w:t>
            </w:r>
          </w:p>
        </w:tc>
        <w:tc>
          <w:tcPr>
            <w:tcW w:w="2232" w:type="dxa"/>
            <w:shd w:val="clear" w:color="auto" w:fill="FFFFFF"/>
            <w:tcMar>
              <w:top w:w="0" w:type="dxa"/>
              <w:left w:w="70" w:type="dxa"/>
              <w:bottom w:w="0" w:type="dxa"/>
              <w:right w:w="70" w:type="dxa"/>
            </w:tcMar>
            <w:vAlign w:val="center"/>
          </w:tcPr>
          <w:p w14:paraId="3E51CBC7">
            <w:pPr>
              <w:spacing w:before="0" w:after="0" w:line="240" w:lineRule="auto"/>
              <w:jc w:val="left"/>
            </w:pPr>
            <w:r>
              <w:rPr>
                <w:rFonts w:ascii="Arial" w:hAnsi="Arial"/>
                <w:b w:val="0"/>
                <w:color w:val="1F1F1F"/>
                <w:sz w:val="12"/>
              </w:rPr>
              <w:t>Glucose, TG, HDL-C, BMI</w:t>
            </w:r>
          </w:p>
        </w:tc>
        <w:tc>
          <w:tcPr>
            <w:tcW w:w="2232" w:type="dxa"/>
            <w:shd w:val="clear" w:color="auto" w:fill="FFFFFF"/>
            <w:tcMar>
              <w:top w:w="0" w:type="dxa"/>
              <w:left w:w="70" w:type="dxa"/>
              <w:bottom w:w="0" w:type="dxa"/>
              <w:right w:w="70" w:type="dxa"/>
            </w:tcMar>
            <w:vAlign w:val="center"/>
          </w:tcPr>
          <w:p w14:paraId="10EDE1B2">
            <w:pPr>
              <w:spacing w:before="0" w:after="0" w:line="240" w:lineRule="auto"/>
              <w:jc w:val="left"/>
            </w:pPr>
            <w:r>
              <w:rPr>
                <w:rFonts w:ascii="Arial" w:hAnsi="Arial"/>
                <w:b w:val="0"/>
                <w:color w:val="1F1F1F"/>
                <w:sz w:val="12"/>
              </w:rPr>
              <w:t>Passed formula audit</w:t>
            </w:r>
          </w:p>
        </w:tc>
        <w:tc>
          <w:tcPr>
            <w:tcW w:w="2592" w:type="dxa"/>
            <w:shd w:val="clear" w:color="auto" w:fill="FFFFFF"/>
            <w:tcMar>
              <w:top w:w="0" w:type="dxa"/>
              <w:left w:w="70" w:type="dxa"/>
              <w:bottom w:w="0" w:type="dxa"/>
              <w:right w:w="70" w:type="dxa"/>
            </w:tcMar>
            <w:vAlign w:val="center"/>
          </w:tcPr>
          <w:p w14:paraId="67F4B94C">
            <w:pPr>
              <w:spacing w:before="0" w:after="0" w:line="240" w:lineRule="auto"/>
              <w:jc w:val="left"/>
            </w:pPr>
            <w:r>
              <w:rPr>
                <w:rFonts w:ascii="Arial" w:hAnsi="Arial"/>
                <w:b w:val="0"/>
                <w:color w:val="1F1F1F"/>
                <w:sz w:val="12"/>
              </w:rPr>
              <w:t>Retained in common core</w:t>
            </w:r>
          </w:p>
        </w:tc>
        <w:tc>
          <w:tcPr>
            <w:tcW w:w="936" w:type="dxa"/>
            <w:shd w:val="clear" w:color="auto" w:fill="FFFFFF"/>
            <w:tcMar>
              <w:top w:w="0" w:type="dxa"/>
              <w:left w:w="70" w:type="dxa"/>
              <w:bottom w:w="0" w:type="dxa"/>
              <w:right w:w="70" w:type="dxa"/>
            </w:tcMar>
            <w:vAlign w:val="center"/>
          </w:tcPr>
          <w:p w14:paraId="5C8D0424">
            <w:pPr>
              <w:spacing w:before="0" w:after="0" w:line="240" w:lineRule="auto"/>
              <w:jc w:val="center"/>
            </w:pPr>
            <w:r>
              <w:rPr>
                <w:rFonts w:ascii="Arial" w:hAnsi="Arial"/>
                <w:b w:val="0"/>
                <w:color w:val="1F1F1F"/>
                <w:sz w:val="12"/>
              </w:rPr>
              <w:t>Yes</w:t>
            </w:r>
          </w:p>
        </w:tc>
        <w:tc>
          <w:tcPr>
            <w:tcW w:w="3528" w:type="dxa"/>
            <w:shd w:val="clear" w:color="auto" w:fill="FFFFFF"/>
            <w:tcMar>
              <w:top w:w="0" w:type="dxa"/>
              <w:left w:w="70" w:type="dxa"/>
              <w:bottom w:w="0" w:type="dxa"/>
              <w:right w:w="70" w:type="dxa"/>
            </w:tcMar>
            <w:vAlign w:val="center"/>
          </w:tcPr>
          <w:p w14:paraId="351F36B2">
            <w:pPr>
              <w:spacing w:before="0" w:after="0" w:line="240" w:lineRule="auto"/>
              <w:jc w:val="left"/>
            </w:pPr>
            <w:r>
              <w:rPr>
                <w:rFonts w:ascii="Arial" w:hAnsi="Arial"/>
                <w:b w:val="0"/>
                <w:color w:val="1F1F1F"/>
                <w:sz w:val="12"/>
              </w:rPr>
              <w:t>Multicomponent IR surrogate</w:t>
            </w:r>
          </w:p>
        </w:tc>
      </w:tr>
      <w:tr w14:paraId="466D579A">
        <w:tblPrEx>
          <w:tblCellMar>
            <w:top w:w="0" w:type="dxa"/>
            <w:left w:w="108" w:type="dxa"/>
            <w:bottom w:w="0" w:type="dxa"/>
            <w:right w:w="108" w:type="dxa"/>
          </w:tblCellMar>
        </w:tblPrEx>
        <w:trPr>
          <w:cantSplit/>
          <w:trHeight w:val="0" w:hRule="atLeast"/>
          <w:jc w:val="center"/>
        </w:trPr>
        <w:tc>
          <w:tcPr>
            <w:tcW w:w="1512" w:type="dxa"/>
            <w:shd w:val="clear" w:color="auto" w:fill="F8FAFC"/>
            <w:tcMar>
              <w:top w:w="0" w:type="dxa"/>
              <w:left w:w="70" w:type="dxa"/>
              <w:bottom w:w="0" w:type="dxa"/>
              <w:right w:w="70" w:type="dxa"/>
            </w:tcMar>
            <w:vAlign w:val="center"/>
          </w:tcPr>
          <w:p w14:paraId="2B055DD5">
            <w:pPr>
              <w:spacing w:before="0" w:after="0" w:line="240" w:lineRule="auto"/>
              <w:jc w:val="left"/>
            </w:pPr>
            <w:r>
              <w:rPr>
                <w:rFonts w:ascii="Arial" w:hAnsi="Arial"/>
                <w:b w:val="0"/>
                <w:color w:val="1F1F1F"/>
                <w:sz w:val="12"/>
              </w:rPr>
              <w:t>Lower SPISE</w:t>
            </w:r>
          </w:p>
        </w:tc>
        <w:tc>
          <w:tcPr>
            <w:tcW w:w="1800" w:type="dxa"/>
            <w:shd w:val="clear" w:color="auto" w:fill="F8FAFC"/>
            <w:tcMar>
              <w:top w:w="0" w:type="dxa"/>
              <w:left w:w="70" w:type="dxa"/>
              <w:bottom w:w="0" w:type="dxa"/>
              <w:right w:w="70" w:type="dxa"/>
            </w:tcMar>
            <w:vAlign w:val="center"/>
          </w:tcPr>
          <w:p w14:paraId="5F1BE769">
            <w:pPr>
              <w:spacing w:before="0" w:after="0" w:line="240" w:lineRule="auto"/>
              <w:jc w:val="left"/>
            </w:pPr>
            <w:r>
              <w:rPr>
                <w:rFonts w:ascii="Arial" w:hAnsi="Arial"/>
                <w:b w:val="0"/>
                <w:color w:val="1F1F1F"/>
                <w:sz w:val="12"/>
              </w:rPr>
              <w:t>Locked core</w:t>
            </w:r>
          </w:p>
        </w:tc>
        <w:tc>
          <w:tcPr>
            <w:tcW w:w="2232" w:type="dxa"/>
            <w:shd w:val="clear" w:color="auto" w:fill="F8FAFC"/>
            <w:tcMar>
              <w:top w:w="0" w:type="dxa"/>
              <w:left w:w="70" w:type="dxa"/>
              <w:bottom w:w="0" w:type="dxa"/>
              <w:right w:w="70" w:type="dxa"/>
            </w:tcMar>
            <w:vAlign w:val="center"/>
          </w:tcPr>
          <w:p w14:paraId="4A421F9A">
            <w:pPr>
              <w:spacing w:before="0" w:after="0" w:line="240" w:lineRule="auto"/>
              <w:jc w:val="left"/>
            </w:pPr>
            <w:r>
              <w:rPr>
                <w:rFonts w:ascii="Arial" w:hAnsi="Arial"/>
                <w:b w:val="0"/>
                <w:color w:val="1F1F1F"/>
                <w:sz w:val="12"/>
              </w:rPr>
              <w:t>TG, HDL-C, BMI</w:t>
            </w:r>
          </w:p>
        </w:tc>
        <w:tc>
          <w:tcPr>
            <w:tcW w:w="2232" w:type="dxa"/>
            <w:shd w:val="clear" w:color="auto" w:fill="F8FAFC"/>
            <w:tcMar>
              <w:top w:w="0" w:type="dxa"/>
              <w:left w:w="70" w:type="dxa"/>
              <w:bottom w:w="0" w:type="dxa"/>
              <w:right w:w="70" w:type="dxa"/>
            </w:tcMar>
            <w:vAlign w:val="center"/>
          </w:tcPr>
          <w:p w14:paraId="33BAA44B">
            <w:pPr>
              <w:spacing w:before="0" w:after="0" w:line="240" w:lineRule="auto"/>
              <w:jc w:val="left"/>
            </w:pPr>
            <w:r>
              <w:rPr>
                <w:rFonts w:ascii="Arial" w:hAnsi="Arial"/>
                <w:b w:val="0"/>
                <w:color w:val="1F1F1F"/>
                <w:sz w:val="12"/>
              </w:rPr>
              <w:t>Passed formula audit</w:t>
            </w:r>
          </w:p>
        </w:tc>
        <w:tc>
          <w:tcPr>
            <w:tcW w:w="2592" w:type="dxa"/>
            <w:shd w:val="clear" w:color="auto" w:fill="F8FAFC"/>
            <w:tcMar>
              <w:top w:w="0" w:type="dxa"/>
              <w:left w:w="70" w:type="dxa"/>
              <w:bottom w:w="0" w:type="dxa"/>
              <w:right w:w="70" w:type="dxa"/>
            </w:tcMar>
            <w:vAlign w:val="center"/>
          </w:tcPr>
          <w:p w14:paraId="6E22DE9B">
            <w:pPr>
              <w:spacing w:before="0" w:after="0" w:line="240" w:lineRule="auto"/>
              <w:jc w:val="left"/>
            </w:pPr>
            <w:r>
              <w:rPr>
                <w:rFonts w:ascii="Arial" w:hAnsi="Arial"/>
                <w:b w:val="0"/>
                <w:color w:val="1F1F1F"/>
                <w:sz w:val="12"/>
              </w:rPr>
              <w:t>Retained in common core</w:t>
            </w:r>
          </w:p>
        </w:tc>
        <w:tc>
          <w:tcPr>
            <w:tcW w:w="936" w:type="dxa"/>
            <w:shd w:val="clear" w:color="auto" w:fill="F8FAFC"/>
            <w:tcMar>
              <w:top w:w="0" w:type="dxa"/>
              <w:left w:w="70" w:type="dxa"/>
              <w:bottom w:w="0" w:type="dxa"/>
              <w:right w:w="70" w:type="dxa"/>
            </w:tcMar>
            <w:vAlign w:val="center"/>
          </w:tcPr>
          <w:p w14:paraId="5DEF2E94">
            <w:pPr>
              <w:spacing w:before="0" w:after="0" w:line="240" w:lineRule="auto"/>
              <w:jc w:val="center"/>
            </w:pPr>
            <w:r>
              <w:rPr>
                <w:rFonts w:ascii="Arial" w:hAnsi="Arial"/>
                <w:b w:val="0"/>
                <w:color w:val="1F1F1F"/>
                <w:sz w:val="12"/>
              </w:rPr>
              <w:t>Yes</w:t>
            </w:r>
          </w:p>
        </w:tc>
        <w:tc>
          <w:tcPr>
            <w:tcW w:w="3528" w:type="dxa"/>
            <w:shd w:val="clear" w:color="auto" w:fill="F8FAFC"/>
            <w:tcMar>
              <w:top w:w="0" w:type="dxa"/>
              <w:left w:w="70" w:type="dxa"/>
              <w:bottom w:w="0" w:type="dxa"/>
              <w:right w:w="70" w:type="dxa"/>
            </w:tcMar>
            <w:vAlign w:val="center"/>
          </w:tcPr>
          <w:p w14:paraId="6242D1AC">
            <w:pPr>
              <w:spacing w:before="0" w:after="0" w:line="240" w:lineRule="auto"/>
              <w:jc w:val="left"/>
            </w:pPr>
            <w:r>
              <w:rPr>
                <w:rFonts w:ascii="Arial" w:hAnsi="Arial"/>
                <w:b w:val="0"/>
                <w:color w:val="1F1F1F"/>
                <w:sz w:val="12"/>
              </w:rPr>
              <w:t>Multicomponent IR surrogate</w:t>
            </w:r>
          </w:p>
        </w:tc>
      </w:tr>
      <w:tr w14:paraId="020C2CDB">
        <w:tblPrEx>
          <w:tblCellMar>
            <w:top w:w="0" w:type="dxa"/>
            <w:left w:w="108" w:type="dxa"/>
            <w:bottom w:w="0" w:type="dxa"/>
            <w:right w:w="108" w:type="dxa"/>
          </w:tblCellMar>
        </w:tblPrEx>
        <w:trPr>
          <w:cantSplit/>
          <w:trHeight w:val="0" w:hRule="atLeast"/>
          <w:jc w:val="center"/>
        </w:trPr>
        <w:tc>
          <w:tcPr>
            <w:tcW w:w="1512" w:type="dxa"/>
            <w:shd w:val="clear" w:color="auto" w:fill="FFFFFF"/>
            <w:tcMar>
              <w:top w:w="0" w:type="dxa"/>
              <w:left w:w="70" w:type="dxa"/>
              <w:bottom w:w="0" w:type="dxa"/>
              <w:right w:w="70" w:type="dxa"/>
            </w:tcMar>
            <w:vAlign w:val="center"/>
          </w:tcPr>
          <w:p w14:paraId="2639DC61">
            <w:pPr>
              <w:spacing w:before="0" w:after="0" w:line="240" w:lineRule="auto"/>
              <w:jc w:val="left"/>
            </w:pPr>
            <w:r>
              <w:rPr>
                <w:rFonts w:ascii="Arial" w:hAnsi="Arial"/>
                <w:b w:val="0"/>
                <w:color w:val="1F1F1F"/>
                <w:sz w:val="12"/>
              </w:rPr>
              <w:t>WHtR</w:t>
            </w:r>
          </w:p>
        </w:tc>
        <w:tc>
          <w:tcPr>
            <w:tcW w:w="1800" w:type="dxa"/>
            <w:shd w:val="clear" w:color="auto" w:fill="FFFFFF"/>
            <w:tcMar>
              <w:top w:w="0" w:type="dxa"/>
              <w:left w:w="70" w:type="dxa"/>
              <w:bottom w:w="0" w:type="dxa"/>
              <w:right w:w="70" w:type="dxa"/>
            </w:tcMar>
            <w:vAlign w:val="center"/>
          </w:tcPr>
          <w:p w14:paraId="0BAB66EE">
            <w:pPr>
              <w:spacing w:before="0" w:after="0" w:line="240" w:lineRule="auto"/>
              <w:jc w:val="left"/>
            </w:pPr>
            <w:r>
              <w:rPr>
                <w:rFonts w:ascii="Arial" w:hAnsi="Arial"/>
                <w:b w:val="0"/>
                <w:color w:val="1F1F1F"/>
                <w:sz w:val="12"/>
              </w:rPr>
              <w:t>Candidate</w:t>
            </w:r>
          </w:p>
        </w:tc>
        <w:tc>
          <w:tcPr>
            <w:tcW w:w="2232" w:type="dxa"/>
            <w:shd w:val="clear" w:color="auto" w:fill="FFFFFF"/>
            <w:tcMar>
              <w:top w:w="0" w:type="dxa"/>
              <w:left w:w="70" w:type="dxa"/>
              <w:bottom w:w="0" w:type="dxa"/>
              <w:right w:w="70" w:type="dxa"/>
            </w:tcMar>
            <w:vAlign w:val="center"/>
          </w:tcPr>
          <w:p w14:paraId="41A83396">
            <w:pPr>
              <w:spacing w:before="0" w:after="0" w:line="240" w:lineRule="auto"/>
              <w:jc w:val="left"/>
            </w:pPr>
            <w:r>
              <w:rPr>
                <w:rFonts w:ascii="Arial" w:hAnsi="Arial"/>
                <w:b w:val="0"/>
                <w:color w:val="1F1F1F"/>
                <w:sz w:val="12"/>
              </w:rPr>
              <w:t>Waist, height</w:t>
            </w:r>
          </w:p>
        </w:tc>
        <w:tc>
          <w:tcPr>
            <w:tcW w:w="2232" w:type="dxa"/>
            <w:shd w:val="clear" w:color="auto" w:fill="FFFFFF"/>
            <w:tcMar>
              <w:top w:w="0" w:type="dxa"/>
              <w:left w:w="70" w:type="dxa"/>
              <w:bottom w:w="0" w:type="dxa"/>
              <w:right w:w="70" w:type="dxa"/>
            </w:tcMar>
            <w:vAlign w:val="center"/>
          </w:tcPr>
          <w:p w14:paraId="20B5651A">
            <w:pPr>
              <w:spacing w:before="0" w:after="0" w:line="240" w:lineRule="auto"/>
              <w:jc w:val="left"/>
            </w:pPr>
            <w:r>
              <w:rPr>
                <w:rFonts w:ascii="Arial" w:hAnsi="Arial"/>
                <w:b w:val="0"/>
                <w:color w:val="1F1F1F"/>
                <w:sz w:val="12"/>
              </w:rPr>
              <w:t>Passed formula audit</w:t>
            </w:r>
          </w:p>
        </w:tc>
        <w:tc>
          <w:tcPr>
            <w:tcW w:w="2592" w:type="dxa"/>
            <w:shd w:val="clear" w:color="auto" w:fill="FFFFFF"/>
            <w:tcMar>
              <w:top w:w="0" w:type="dxa"/>
              <w:left w:w="70" w:type="dxa"/>
              <w:bottom w:w="0" w:type="dxa"/>
              <w:right w:w="70" w:type="dxa"/>
            </w:tcMar>
            <w:vAlign w:val="center"/>
          </w:tcPr>
          <w:p w14:paraId="3A6FC57B">
            <w:pPr>
              <w:spacing w:before="0" w:after="0" w:line="240" w:lineRule="auto"/>
              <w:jc w:val="left"/>
            </w:pPr>
            <w:r>
              <w:rPr>
                <w:rFonts w:ascii="Arial" w:hAnsi="Arial"/>
                <w:b w:val="0"/>
                <w:color w:val="1F1F1F"/>
                <w:sz w:val="12"/>
              </w:rPr>
              <w:t>Retained in common core</w:t>
            </w:r>
          </w:p>
        </w:tc>
        <w:tc>
          <w:tcPr>
            <w:tcW w:w="936" w:type="dxa"/>
            <w:shd w:val="clear" w:color="auto" w:fill="FFFFFF"/>
            <w:tcMar>
              <w:top w:w="0" w:type="dxa"/>
              <w:left w:w="70" w:type="dxa"/>
              <w:bottom w:w="0" w:type="dxa"/>
              <w:right w:w="70" w:type="dxa"/>
            </w:tcMar>
            <w:vAlign w:val="center"/>
          </w:tcPr>
          <w:p w14:paraId="4F89A517">
            <w:pPr>
              <w:spacing w:before="0" w:after="0" w:line="240" w:lineRule="auto"/>
              <w:jc w:val="center"/>
            </w:pPr>
            <w:r>
              <w:rPr>
                <w:rFonts w:ascii="Arial" w:hAnsi="Arial"/>
                <w:b w:val="0"/>
                <w:color w:val="1F1F1F"/>
                <w:sz w:val="12"/>
              </w:rPr>
              <w:t>Yes</w:t>
            </w:r>
          </w:p>
        </w:tc>
        <w:tc>
          <w:tcPr>
            <w:tcW w:w="3528" w:type="dxa"/>
            <w:shd w:val="clear" w:color="auto" w:fill="FFFFFF"/>
            <w:tcMar>
              <w:top w:w="0" w:type="dxa"/>
              <w:left w:w="70" w:type="dxa"/>
              <w:bottom w:w="0" w:type="dxa"/>
              <w:right w:w="70" w:type="dxa"/>
            </w:tcMar>
            <w:vAlign w:val="center"/>
          </w:tcPr>
          <w:p w14:paraId="2D842779">
            <w:pPr>
              <w:spacing w:before="0" w:after="0" w:line="240" w:lineRule="auto"/>
              <w:jc w:val="left"/>
            </w:pPr>
            <w:r>
              <w:rPr>
                <w:rFonts w:ascii="Arial" w:hAnsi="Arial"/>
                <w:b w:val="0"/>
                <w:color w:val="1F1F1F"/>
                <w:sz w:val="12"/>
              </w:rPr>
              <w:t>Body-size axis</w:t>
            </w:r>
          </w:p>
        </w:tc>
      </w:tr>
      <w:tr w14:paraId="66906D3A">
        <w:tblPrEx>
          <w:tblCellMar>
            <w:top w:w="0" w:type="dxa"/>
            <w:left w:w="108" w:type="dxa"/>
            <w:bottom w:w="0" w:type="dxa"/>
            <w:right w:w="108" w:type="dxa"/>
          </w:tblCellMar>
        </w:tblPrEx>
        <w:trPr>
          <w:cantSplit/>
          <w:trHeight w:val="0" w:hRule="atLeast"/>
          <w:jc w:val="center"/>
        </w:trPr>
        <w:tc>
          <w:tcPr>
            <w:tcW w:w="1512" w:type="dxa"/>
            <w:shd w:val="clear" w:color="auto" w:fill="F8FAFC"/>
            <w:tcMar>
              <w:top w:w="0" w:type="dxa"/>
              <w:left w:w="70" w:type="dxa"/>
              <w:bottom w:w="0" w:type="dxa"/>
              <w:right w:w="70" w:type="dxa"/>
            </w:tcMar>
            <w:vAlign w:val="center"/>
          </w:tcPr>
          <w:p w14:paraId="17E6CA17">
            <w:pPr>
              <w:spacing w:before="0" w:after="0" w:line="240" w:lineRule="auto"/>
              <w:jc w:val="left"/>
            </w:pPr>
            <w:r>
              <w:rPr>
                <w:rFonts w:ascii="Arial" w:hAnsi="Arial"/>
                <w:b w:val="0"/>
                <w:color w:val="1F1F1F"/>
                <w:sz w:val="12"/>
              </w:rPr>
              <w:t>non-HDL-C</w:t>
            </w:r>
          </w:p>
        </w:tc>
        <w:tc>
          <w:tcPr>
            <w:tcW w:w="1800" w:type="dxa"/>
            <w:shd w:val="clear" w:color="auto" w:fill="F8FAFC"/>
            <w:tcMar>
              <w:top w:w="0" w:type="dxa"/>
              <w:left w:w="70" w:type="dxa"/>
              <w:bottom w:w="0" w:type="dxa"/>
              <w:right w:w="70" w:type="dxa"/>
            </w:tcMar>
            <w:vAlign w:val="center"/>
          </w:tcPr>
          <w:p w14:paraId="4745228F">
            <w:pPr>
              <w:spacing w:before="0" w:after="0" w:line="240" w:lineRule="auto"/>
              <w:jc w:val="left"/>
            </w:pPr>
            <w:r>
              <w:rPr>
                <w:rFonts w:ascii="Arial" w:hAnsi="Arial"/>
                <w:b w:val="0"/>
                <w:color w:val="1F1F1F"/>
                <w:sz w:val="12"/>
              </w:rPr>
              <w:t>Candidate</w:t>
            </w:r>
          </w:p>
        </w:tc>
        <w:tc>
          <w:tcPr>
            <w:tcW w:w="2232" w:type="dxa"/>
            <w:shd w:val="clear" w:color="auto" w:fill="F8FAFC"/>
            <w:tcMar>
              <w:top w:w="0" w:type="dxa"/>
              <w:left w:w="70" w:type="dxa"/>
              <w:bottom w:w="0" w:type="dxa"/>
              <w:right w:w="70" w:type="dxa"/>
            </w:tcMar>
            <w:vAlign w:val="center"/>
          </w:tcPr>
          <w:p w14:paraId="6F858B72">
            <w:pPr>
              <w:spacing w:before="0" w:after="0" w:line="240" w:lineRule="auto"/>
              <w:jc w:val="left"/>
            </w:pPr>
            <w:r>
              <w:rPr>
                <w:rFonts w:ascii="Arial" w:hAnsi="Arial"/>
                <w:b w:val="0"/>
                <w:color w:val="1F1F1F"/>
                <w:sz w:val="12"/>
              </w:rPr>
              <w:t>Total cholesterol, HDL-C</w:t>
            </w:r>
          </w:p>
        </w:tc>
        <w:tc>
          <w:tcPr>
            <w:tcW w:w="2232" w:type="dxa"/>
            <w:shd w:val="clear" w:color="auto" w:fill="F8FAFC"/>
            <w:tcMar>
              <w:top w:w="0" w:type="dxa"/>
              <w:left w:w="70" w:type="dxa"/>
              <w:bottom w:w="0" w:type="dxa"/>
              <w:right w:w="70" w:type="dxa"/>
            </w:tcMar>
            <w:vAlign w:val="center"/>
          </w:tcPr>
          <w:p w14:paraId="3C789D73">
            <w:pPr>
              <w:spacing w:before="0" w:after="0" w:line="240" w:lineRule="auto"/>
              <w:jc w:val="left"/>
            </w:pPr>
            <w:r>
              <w:rPr>
                <w:rFonts w:ascii="Arial" w:hAnsi="Arial"/>
                <w:b w:val="0"/>
                <w:color w:val="1F1F1F"/>
                <w:sz w:val="12"/>
              </w:rPr>
              <w:t>Passed formula audit</w:t>
            </w:r>
          </w:p>
        </w:tc>
        <w:tc>
          <w:tcPr>
            <w:tcW w:w="2592" w:type="dxa"/>
            <w:shd w:val="clear" w:color="auto" w:fill="F8FAFC"/>
            <w:tcMar>
              <w:top w:w="0" w:type="dxa"/>
              <w:left w:w="70" w:type="dxa"/>
              <w:bottom w:w="0" w:type="dxa"/>
              <w:right w:w="70" w:type="dxa"/>
            </w:tcMar>
            <w:vAlign w:val="center"/>
          </w:tcPr>
          <w:p w14:paraId="41D183DE">
            <w:pPr>
              <w:spacing w:before="0" w:after="0" w:line="240" w:lineRule="auto"/>
              <w:jc w:val="left"/>
            </w:pPr>
            <w:r>
              <w:rPr>
                <w:rFonts w:ascii="Arial" w:hAnsi="Arial"/>
                <w:b w:val="0"/>
                <w:color w:val="1F1F1F"/>
                <w:sz w:val="12"/>
              </w:rPr>
              <w:t>Retained in common core</w:t>
            </w:r>
          </w:p>
        </w:tc>
        <w:tc>
          <w:tcPr>
            <w:tcW w:w="936" w:type="dxa"/>
            <w:shd w:val="clear" w:color="auto" w:fill="F8FAFC"/>
            <w:tcMar>
              <w:top w:w="0" w:type="dxa"/>
              <w:left w:w="70" w:type="dxa"/>
              <w:bottom w:w="0" w:type="dxa"/>
              <w:right w:w="70" w:type="dxa"/>
            </w:tcMar>
            <w:vAlign w:val="center"/>
          </w:tcPr>
          <w:p w14:paraId="603D1A89">
            <w:pPr>
              <w:spacing w:before="0" w:after="0" w:line="240" w:lineRule="auto"/>
              <w:jc w:val="center"/>
            </w:pPr>
            <w:r>
              <w:rPr>
                <w:rFonts w:ascii="Arial" w:hAnsi="Arial"/>
                <w:b w:val="0"/>
                <w:color w:val="1F1F1F"/>
                <w:sz w:val="12"/>
              </w:rPr>
              <w:t>Yes</w:t>
            </w:r>
          </w:p>
        </w:tc>
        <w:tc>
          <w:tcPr>
            <w:tcW w:w="3528" w:type="dxa"/>
            <w:shd w:val="clear" w:color="auto" w:fill="F8FAFC"/>
            <w:tcMar>
              <w:top w:w="0" w:type="dxa"/>
              <w:left w:w="70" w:type="dxa"/>
              <w:bottom w:w="0" w:type="dxa"/>
              <w:right w:w="70" w:type="dxa"/>
            </w:tcMar>
            <w:vAlign w:val="center"/>
          </w:tcPr>
          <w:p w14:paraId="3378713E">
            <w:pPr>
              <w:spacing w:before="0" w:after="0" w:line="240" w:lineRule="auto"/>
              <w:jc w:val="left"/>
            </w:pPr>
            <w:r>
              <w:rPr>
                <w:rFonts w:ascii="Arial" w:hAnsi="Arial"/>
                <w:b w:val="0"/>
                <w:color w:val="1F1F1F"/>
                <w:sz w:val="12"/>
              </w:rPr>
              <w:t>Clinical cholesterol benchmark</w:t>
            </w:r>
          </w:p>
        </w:tc>
      </w:tr>
      <w:tr w14:paraId="0D06BE7C">
        <w:tblPrEx>
          <w:tblCellMar>
            <w:top w:w="0" w:type="dxa"/>
            <w:left w:w="108" w:type="dxa"/>
            <w:bottom w:w="0" w:type="dxa"/>
            <w:right w:w="108" w:type="dxa"/>
          </w:tblCellMar>
        </w:tblPrEx>
        <w:trPr>
          <w:cantSplit/>
          <w:trHeight w:val="0" w:hRule="atLeast"/>
          <w:jc w:val="center"/>
        </w:trPr>
        <w:tc>
          <w:tcPr>
            <w:tcW w:w="1512" w:type="dxa"/>
            <w:shd w:val="clear" w:color="auto" w:fill="FFFFFF"/>
            <w:tcMar>
              <w:top w:w="0" w:type="dxa"/>
              <w:left w:w="70" w:type="dxa"/>
              <w:bottom w:w="0" w:type="dxa"/>
              <w:right w:w="70" w:type="dxa"/>
            </w:tcMar>
            <w:vAlign w:val="center"/>
          </w:tcPr>
          <w:p w14:paraId="458FA82C">
            <w:pPr>
              <w:spacing w:before="0" w:after="0" w:line="240" w:lineRule="auto"/>
              <w:jc w:val="left"/>
            </w:pPr>
            <w:r>
              <w:rPr>
                <w:rFonts w:ascii="Arial" w:hAnsi="Arial"/>
                <w:b w:val="0"/>
                <w:color w:val="1F1F1F"/>
                <w:sz w:val="12"/>
              </w:rPr>
              <w:t>TyG-WC</w:t>
            </w:r>
          </w:p>
        </w:tc>
        <w:tc>
          <w:tcPr>
            <w:tcW w:w="1800" w:type="dxa"/>
            <w:shd w:val="clear" w:color="auto" w:fill="FFFFFF"/>
            <w:tcMar>
              <w:top w:w="0" w:type="dxa"/>
              <w:left w:w="70" w:type="dxa"/>
              <w:bottom w:w="0" w:type="dxa"/>
              <w:right w:w="70" w:type="dxa"/>
            </w:tcMar>
            <w:vAlign w:val="center"/>
          </w:tcPr>
          <w:p w14:paraId="483D57E9">
            <w:pPr>
              <w:spacing w:before="0" w:after="0" w:line="240" w:lineRule="auto"/>
              <w:jc w:val="left"/>
            </w:pPr>
            <w:r>
              <w:rPr>
                <w:rFonts w:ascii="Arial" w:hAnsi="Arial"/>
                <w:b w:val="0"/>
                <w:color w:val="1F1F1F"/>
                <w:sz w:val="12"/>
              </w:rPr>
              <w:t>Conditional candidate</w:t>
            </w:r>
          </w:p>
        </w:tc>
        <w:tc>
          <w:tcPr>
            <w:tcW w:w="2232" w:type="dxa"/>
            <w:shd w:val="clear" w:color="auto" w:fill="FFFFFF"/>
            <w:tcMar>
              <w:top w:w="0" w:type="dxa"/>
              <w:left w:w="70" w:type="dxa"/>
              <w:bottom w:w="0" w:type="dxa"/>
              <w:right w:w="70" w:type="dxa"/>
            </w:tcMar>
            <w:vAlign w:val="center"/>
          </w:tcPr>
          <w:p w14:paraId="75805D81">
            <w:pPr>
              <w:spacing w:before="0" w:after="0" w:line="240" w:lineRule="auto"/>
              <w:jc w:val="left"/>
            </w:pPr>
            <w:r>
              <w:rPr>
                <w:rFonts w:ascii="Arial" w:hAnsi="Arial"/>
                <w:b w:val="0"/>
                <w:color w:val="1F1F1F"/>
                <w:sz w:val="12"/>
              </w:rPr>
              <w:t>TyG, waist</w:t>
            </w:r>
          </w:p>
        </w:tc>
        <w:tc>
          <w:tcPr>
            <w:tcW w:w="2232" w:type="dxa"/>
            <w:shd w:val="clear" w:color="auto" w:fill="FFFFFF"/>
            <w:tcMar>
              <w:top w:w="0" w:type="dxa"/>
              <w:left w:w="70" w:type="dxa"/>
              <w:bottom w:w="0" w:type="dxa"/>
              <w:right w:w="70" w:type="dxa"/>
            </w:tcMar>
            <w:vAlign w:val="center"/>
          </w:tcPr>
          <w:p w14:paraId="0FB57F0E">
            <w:pPr>
              <w:spacing w:before="0" w:after="0" w:line="240" w:lineRule="auto"/>
              <w:jc w:val="left"/>
            </w:pPr>
            <w:r>
              <w:rPr>
                <w:rFonts w:ascii="Arial" w:hAnsi="Arial"/>
                <w:b w:val="0"/>
                <w:color w:val="1F1F1F"/>
                <w:sz w:val="12"/>
              </w:rPr>
              <w:t>Passed formula audit</w:t>
            </w:r>
          </w:p>
        </w:tc>
        <w:tc>
          <w:tcPr>
            <w:tcW w:w="2592" w:type="dxa"/>
            <w:shd w:val="clear" w:color="auto" w:fill="FFFFFF"/>
            <w:tcMar>
              <w:top w:w="0" w:type="dxa"/>
              <w:left w:w="70" w:type="dxa"/>
              <w:bottom w:w="0" w:type="dxa"/>
              <w:right w:w="70" w:type="dxa"/>
            </w:tcMar>
            <w:vAlign w:val="center"/>
          </w:tcPr>
          <w:p w14:paraId="4A76C31E">
            <w:pPr>
              <w:spacing w:before="0" w:after="0" w:line="240" w:lineRule="auto"/>
              <w:jc w:val="left"/>
            </w:pPr>
            <w:r>
              <w:rPr>
                <w:rFonts w:ascii="Arial" w:hAnsi="Arial"/>
                <w:b w:val="0"/>
                <w:color w:val="1F1F1F"/>
                <w:sz w:val="12"/>
              </w:rPr>
              <w:t>Retained in common core</w:t>
            </w:r>
          </w:p>
        </w:tc>
        <w:tc>
          <w:tcPr>
            <w:tcW w:w="936" w:type="dxa"/>
            <w:shd w:val="clear" w:color="auto" w:fill="FFFFFF"/>
            <w:tcMar>
              <w:top w:w="0" w:type="dxa"/>
              <w:left w:w="70" w:type="dxa"/>
              <w:bottom w:w="0" w:type="dxa"/>
              <w:right w:w="70" w:type="dxa"/>
            </w:tcMar>
            <w:vAlign w:val="center"/>
          </w:tcPr>
          <w:p w14:paraId="06A6A9F1">
            <w:pPr>
              <w:spacing w:before="0" w:after="0" w:line="240" w:lineRule="auto"/>
              <w:jc w:val="center"/>
            </w:pPr>
            <w:r>
              <w:rPr>
                <w:rFonts w:ascii="Arial" w:hAnsi="Arial"/>
                <w:b w:val="0"/>
                <w:color w:val="1F1F1F"/>
                <w:sz w:val="12"/>
              </w:rPr>
              <w:t>Yes</w:t>
            </w:r>
          </w:p>
        </w:tc>
        <w:tc>
          <w:tcPr>
            <w:tcW w:w="3528" w:type="dxa"/>
            <w:shd w:val="clear" w:color="auto" w:fill="FFFFFF"/>
            <w:tcMar>
              <w:top w:w="0" w:type="dxa"/>
              <w:left w:w="70" w:type="dxa"/>
              <w:bottom w:w="0" w:type="dxa"/>
              <w:right w:w="70" w:type="dxa"/>
            </w:tcMar>
            <w:vAlign w:val="center"/>
          </w:tcPr>
          <w:p w14:paraId="7CEBB3EA">
            <w:pPr>
              <w:spacing w:before="0" w:after="0" w:line="240" w:lineRule="auto"/>
              <w:jc w:val="left"/>
            </w:pPr>
            <w:r>
              <w:rPr>
                <w:rFonts w:ascii="Arial" w:hAnsi="Arial"/>
                <w:b w:val="0"/>
                <w:color w:val="1F1F1F"/>
                <w:sz w:val="12"/>
              </w:rPr>
              <w:t>Waist-enhanced TyG</w:t>
            </w:r>
          </w:p>
        </w:tc>
      </w:tr>
      <w:tr w14:paraId="1EB66F11">
        <w:tblPrEx>
          <w:tblCellMar>
            <w:top w:w="0" w:type="dxa"/>
            <w:left w:w="108" w:type="dxa"/>
            <w:bottom w:w="0" w:type="dxa"/>
            <w:right w:w="108" w:type="dxa"/>
          </w:tblCellMar>
        </w:tblPrEx>
        <w:trPr>
          <w:cantSplit/>
          <w:trHeight w:val="0" w:hRule="atLeast"/>
          <w:jc w:val="center"/>
        </w:trPr>
        <w:tc>
          <w:tcPr>
            <w:tcW w:w="1512" w:type="dxa"/>
            <w:shd w:val="clear" w:color="auto" w:fill="F8FAFC"/>
            <w:tcMar>
              <w:top w:w="0" w:type="dxa"/>
              <w:left w:w="70" w:type="dxa"/>
              <w:bottom w:w="0" w:type="dxa"/>
              <w:right w:w="70" w:type="dxa"/>
            </w:tcMar>
            <w:vAlign w:val="center"/>
          </w:tcPr>
          <w:p w14:paraId="0C9831FF">
            <w:pPr>
              <w:spacing w:before="0" w:after="0" w:line="240" w:lineRule="auto"/>
              <w:jc w:val="left"/>
            </w:pPr>
            <w:r>
              <w:rPr>
                <w:rFonts w:ascii="Arial" w:hAnsi="Arial"/>
                <w:b w:val="0"/>
                <w:color w:val="1F1F1F"/>
                <w:sz w:val="12"/>
              </w:rPr>
              <w:t>Lower eGDR (WC-based)</w:t>
            </w:r>
          </w:p>
        </w:tc>
        <w:tc>
          <w:tcPr>
            <w:tcW w:w="1800" w:type="dxa"/>
            <w:shd w:val="clear" w:color="auto" w:fill="F8FAFC"/>
            <w:tcMar>
              <w:top w:w="0" w:type="dxa"/>
              <w:left w:w="70" w:type="dxa"/>
              <w:bottom w:w="0" w:type="dxa"/>
              <w:right w:w="70" w:type="dxa"/>
            </w:tcMar>
            <w:vAlign w:val="center"/>
          </w:tcPr>
          <w:p w14:paraId="7E9CADA9">
            <w:pPr>
              <w:spacing w:before="0" w:after="0" w:line="240" w:lineRule="auto"/>
              <w:jc w:val="left"/>
            </w:pPr>
            <w:r>
              <w:rPr>
                <w:rFonts w:ascii="Arial" w:hAnsi="Arial"/>
                <w:b w:val="0"/>
                <w:color w:val="1F1F1F"/>
                <w:sz w:val="12"/>
              </w:rPr>
              <w:t>HbA1c-dependent candidate</w:t>
            </w:r>
          </w:p>
        </w:tc>
        <w:tc>
          <w:tcPr>
            <w:tcW w:w="2232" w:type="dxa"/>
            <w:shd w:val="clear" w:color="auto" w:fill="F8FAFC"/>
            <w:tcMar>
              <w:top w:w="0" w:type="dxa"/>
              <w:left w:w="70" w:type="dxa"/>
              <w:bottom w:w="0" w:type="dxa"/>
              <w:right w:w="70" w:type="dxa"/>
            </w:tcMar>
            <w:vAlign w:val="center"/>
          </w:tcPr>
          <w:p w14:paraId="7E4B5C28">
            <w:pPr>
              <w:spacing w:before="0" w:after="0" w:line="240" w:lineRule="auto"/>
              <w:jc w:val="left"/>
            </w:pPr>
            <w:r>
              <w:rPr>
                <w:rFonts w:ascii="Arial" w:hAnsi="Arial"/>
                <w:b w:val="0"/>
                <w:color w:val="1F1F1F"/>
                <w:sz w:val="12"/>
              </w:rPr>
              <w:t>HbA1c, hypertension, waist</w:t>
            </w:r>
          </w:p>
        </w:tc>
        <w:tc>
          <w:tcPr>
            <w:tcW w:w="2232" w:type="dxa"/>
            <w:shd w:val="clear" w:color="auto" w:fill="F8FAFC"/>
            <w:tcMar>
              <w:top w:w="0" w:type="dxa"/>
              <w:left w:w="70" w:type="dxa"/>
              <w:bottom w:w="0" w:type="dxa"/>
              <w:right w:w="70" w:type="dxa"/>
            </w:tcMar>
            <w:vAlign w:val="center"/>
          </w:tcPr>
          <w:p w14:paraId="0E66DF40">
            <w:pPr>
              <w:spacing w:before="0" w:after="0" w:line="240" w:lineRule="auto"/>
              <w:jc w:val="left"/>
            </w:pPr>
            <w:r>
              <w:rPr>
                <w:rFonts w:ascii="Arial" w:hAnsi="Arial"/>
                <w:b w:val="0"/>
                <w:color w:val="1F1F1F"/>
                <w:sz w:val="12"/>
              </w:rPr>
              <w:t>Passed after HbA1c source/unit audit</w:t>
            </w:r>
          </w:p>
        </w:tc>
        <w:tc>
          <w:tcPr>
            <w:tcW w:w="2592" w:type="dxa"/>
            <w:shd w:val="clear" w:color="auto" w:fill="F8FAFC"/>
            <w:tcMar>
              <w:top w:w="0" w:type="dxa"/>
              <w:left w:w="70" w:type="dxa"/>
              <w:bottom w:w="0" w:type="dxa"/>
              <w:right w:w="70" w:type="dxa"/>
            </w:tcMar>
            <w:vAlign w:val="center"/>
          </w:tcPr>
          <w:p w14:paraId="7D68ECE3">
            <w:pPr>
              <w:spacing w:before="0" w:after="0" w:line="240" w:lineRule="auto"/>
              <w:jc w:val="left"/>
            </w:pPr>
            <w:r>
              <w:rPr>
                <w:rFonts w:ascii="Arial" w:hAnsi="Arial"/>
                <w:b w:val="0"/>
                <w:color w:val="1F1F1F"/>
                <w:sz w:val="12"/>
              </w:rPr>
              <w:t>Retained in common core</w:t>
            </w:r>
          </w:p>
        </w:tc>
        <w:tc>
          <w:tcPr>
            <w:tcW w:w="936" w:type="dxa"/>
            <w:shd w:val="clear" w:color="auto" w:fill="F8FAFC"/>
            <w:tcMar>
              <w:top w:w="0" w:type="dxa"/>
              <w:left w:w="70" w:type="dxa"/>
              <w:bottom w:w="0" w:type="dxa"/>
              <w:right w:w="70" w:type="dxa"/>
            </w:tcMar>
            <w:vAlign w:val="center"/>
          </w:tcPr>
          <w:p w14:paraId="67B33A52">
            <w:pPr>
              <w:spacing w:before="0" w:after="0" w:line="240" w:lineRule="auto"/>
              <w:jc w:val="center"/>
            </w:pPr>
            <w:r>
              <w:rPr>
                <w:rFonts w:ascii="Arial" w:hAnsi="Arial"/>
                <w:b w:val="0"/>
                <w:color w:val="1F1F1F"/>
                <w:sz w:val="12"/>
              </w:rPr>
              <w:t>Yes</w:t>
            </w:r>
          </w:p>
        </w:tc>
        <w:tc>
          <w:tcPr>
            <w:tcW w:w="3528" w:type="dxa"/>
            <w:shd w:val="clear" w:color="auto" w:fill="F8FAFC"/>
            <w:tcMar>
              <w:top w:w="0" w:type="dxa"/>
              <w:left w:w="70" w:type="dxa"/>
              <w:bottom w:w="0" w:type="dxa"/>
              <w:right w:w="70" w:type="dxa"/>
            </w:tcMar>
            <w:vAlign w:val="center"/>
          </w:tcPr>
          <w:p w14:paraId="3B901EAF">
            <w:pPr>
              <w:spacing w:before="0" w:after="0" w:line="240" w:lineRule="auto"/>
              <w:jc w:val="left"/>
            </w:pPr>
            <w:r>
              <w:rPr>
                <w:rFonts w:ascii="Arial" w:hAnsi="Arial"/>
                <w:b w:val="0"/>
                <w:color w:val="1F1F1F"/>
                <w:sz w:val="12"/>
              </w:rPr>
              <w:t>WC-based eGDR; sign reversed for risk direction</w:t>
            </w:r>
          </w:p>
        </w:tc>
      </w:tr>
      <w:tr w14:paraId="12F6DC89">
        <w:tblPrEx>
          <w:tblCellMar>
            <w:top w:w="0" w:type="dxa"/>
            <w:left w:w="108" w:type="dxa"/>
            <w:bottom w:w="0" w:type="dxa"/>
            <w:right w:w="108" w:type="dxa"/>
          </w:tblCellMar>
        </w:tblPrEx>
        <w:trPr>
          <w:cantSplit/>
          <w:trHeight w:val="0" w:hRule="atLeast"/>
          <w:jc w:val="center"/>
        </w:trPr>
        <w:tc>
          <w:tcPr>
            <w:tcW w:w="1512" w:type="dxa"/>
            <w:shd w:val="clear" w:color="auto" w:fill="FFFFFF"/>
            <w:tcMar>
              <w:top w:w="0" w:type="dxa"/>
              <w:left w:w="70" w:type="dxa"/>
              <w:bottom w:w="0" w:type="dxa"/>
              <w:right w:w="70" w:type="dxa"/>
            </w:tcMar>
            <w:vAlign w:val="center"/>
          </w:tcPr>
          <w:p w14:paraId="0FA5EDC2">
            <w:pPr>
              <w:spacing w:before="0" w:after="0" w:line="240" w:lineRule="auto"/>
              <w:jc w:val="left"/>
            </w:pPr>
            <w:r>
              <w:rPr>
                <w:rFonts w:ascii="Arial" w:hAnsi="Arial"/>
                <w:b w:val="0"/>
                <w:color w:val="1F1F1F"/>
                <w:sz w:val="12"/>
              </w:rPr>
              <w:t>Remnant cholesterol</w:t>
            </w:r>
          </w:p>
        </w:tc>
        <w:tc>
          <w:tcPr>
            <w:tcW w:w="1800" w:type="dxa"/>
            <w:shd w:val="clear" w:color="auto" w:fill="FFFFFF"/>
            <w:tcMar>
              <w:top w:w="0" w:type="dxa"/>
              <w:left w:w="70" w:type="dxa"/>
              <w:bottom w:w="0" w:type="dxa"/>
              <w:right w:w="70" w:type="dxa"/>
            </w:tcMar>
            <w:vAlign w:val="center"/>
          </w:tcPr>
          <w:p w14:paraId="51D051F8">
            <w:pPr>
              <w:spacing w:before="0" w:after="0" w:line="240" w:lineRule="auto"/>
              <w:jc w:val="left"/>
            </w:pPr>
            <w:r>
              <w:rPr>
                <w:rFonts w:ascii="Arial" w:hAnsi="Arial"/>
                <w:b w:val="0"/>
                <w:color w:val="1F1F1F"/>
                <w:sz w:val="12"/>
              </w:rPr>
              <w:t>Optional</w:t>
            </w:r>
          </w:p>
        </w:tc>
        <w:tc>
          <w:tcPr>
            <w:tcW w:w="2232" w:type="dxa"/>
            <w:shd w:val="clear" w:color="auto" w:fill="FFFFFF"/>
            <w:tcMar>
              <w:top w:w="0" w:type="dxa"/>
              <w:left w:w="70" w:type="dxa"/>
              <w:bottom w:w="0" w:type="dxa"/>
              <w:right w:w="70" w:type="dxa"/>
            </w:tcMar>
            <w:vAlign w:val="center"/>
          </w:tcPr>
          <w:p w14:paraId="6A69D98A">
            <w:pPr>
              <w:spacing w:before="0" w:after="0" w:line="240" w:lineRule="auto"/>
              <w:jc w:val="left"/>
            </w:pPr>
            <w:r>
              <w:rPr>
                <w:rFonts w:ascii="Arial" w:hAnsi="Arial"/>
                <w:b w:val="0"/>
                <w:color w:val="1F1F1F"/>
                <w:sz w:val="12"/>
              </w:rPr>
              <w:t>Total cholesterol, LDL-C, HDL-C</w:t>
            </w:r>
          </w:p>
        </w:tc>
        <w:tc>
          <w:tcPr>
            <w:tcW w:w="2232" w:type="dxa"/>
            <w:shd w:val="clear" w:color="auto" w:fill="FFFFFF"/>
            <w:tcMar>
              <w:top w:w="0" w:type="dxa"/>
              <w:left w:w="70" w:type="dxa"/>
              <w:bottom w:w="0" w:type="dxa"/>
              <w:right w:w="70" w:type="dxa"/>
            </w:tcMar>
            <w:vAlign w:val="center"/>
          </w:tcPr>
          <w:p w14:paraId="7E4D01C3">
            <w:pPr>
              <w:spacing w:before="0" w:after="0" w:line="240" w:lineRule="auto"/>
              <w:jc w:val="left"/>
            </w:pPr>
            <w:r>
              <w:rPr>
                <w:rFonts w:ascii="Arial" w:hAnsi="Arial"/>
                <w:b w:val="0"/>
                <w:color w:val="1F1F1F"/>
                <w:sz w:val="12"/>
              </w:rPr>
              <w:t>Formula audited</w:t>
            </w:r>
          </w:p>
        </w:tc>
        <w:tc>
          <w:tcPr>
            <w:tcW w:w="2592" w:type="dxa"/>
            <w:shd w:val="clear" w:color="auto" w:fill="FFFFFF"/>
            <w:tcMar>
              <w:top w:w="0" w:type="dxa"/>
              <w:left w:w="70" w:type="dxa"/>
              <w:bottom w:w="0" w:type="dxa"/>
              <w:right w:w="70" w:type="dxa"/>
            </w:tcMar>
            <w:vAlign w:val="center"/>
          </w:tcPr>
          <w:p w14:paraId="56142727">
            <w:pPr>
              <w:spacing w:before="0" w:after="0" w:line="240" w:lineRule="auto"/>
              <w:jc w:val="left"/>
            </w:pPr>
            <w:r>
              <w:rPr>
                <w:rFonts w:ascii="Arial" w:hAnsi="Arial"/>
                <w:b w:val="0"/>
                <w:color w:val="1F1F1F"/>
                <w:sz w:val="12"/>
              </w:rPr>
              <w:t>Not advanced beyond feasibility audit</w:t>
            </w:r>
          </w:p>
        </w:tc>
        <w:tc>
          <w:tcPr>
            <w:tcW w:w="936" w:type="dxa"/>
            <w:shd w:val="clear" w:color="auto" w:fill="FFFFFF"/>
            <w:tcMar>
              <w:top w:w="0" w:type="dxa"/>
              <w:left w:w="70" w:type="dxa"/>
              <w:bottom w:w="0" w:type="dxa"/>
              <w:right w:w="70" w:type="dxa"/>
            </w:tcMar>
            <w:vAlign w:val="center"/>
          </w:tcPr>
          <w:p w14:paraId="25FF2808">
            <w:pPr>
              <w:spacing w:before="0" w:after="0" w:line="240" w:lineRule="auto"/>
              <w:jc w:val="center"/>
            </w:pPr>
            <w:r>
              <w:rPr>
                <w:rFonts w:ascii="Arial" w:hAnsi="Arial"/>
                <w:b w:val="0"/>
                <w:color w:val="1F1F1F"/>
                <w:sz w:val="12"/>
              </w:rPr>
              <w:t>No</w:t>
            </w:r>
          </w:p>
        </w:tc>
        <w:tc>
          <w:tcPr>
            <w:tcW w:w="3528" w:type="dxa"/>
            <w:shd w:val="clear" w:color="auto" w:fill="FFFFFF"/>
            <w:tcMar>
              <w:top w:w="0" w:type="dxa"/>
              <w:left w:w="70" w:type="dxa"/>
              <w:bottom w:w="0" w:type="dxa"/>
              <w:right w:w="70" w:type="dxa"/>
            </w:tcMar>
            <w:vAlign w:val="center"/>
          </w:tcPr>
          <w:p w14:paraId="532929A8">
            <w:pPr>
              <w:spacing w:before="0" w:after="0" w:line="240" w:lineRule="auto"/>
              <w:jc w:val="left"/>
            </w:pPr>
            <w:r>
              <w:rPr>
                <w:rFonts w:ascii="Arial" w:hAnsi="Arial"/>
                <w:b w:val="0"/>
                <w:color w:val="1F1F1F"/>
                <w:sz w:val="12"/>
              </w:rPr>
              <w:t>Optional derived lipid outside the bounded panel</w:t>
            </w:r>
          </w:p>
        </w:tc>
      </w:tr>
      <w:tr w14:paraId="21951D1A">
        <w:tblPrEx>
          <w:tblCellMar>
            <w:top w:w="0" w:type="dxa"/>
            <w:left w:w="108" w:type="dxa"/>
            <w:bottom w:w="0" w:type="dxa"/>
            <w:right w:w="108" w:type="dxa"/>
          </w:tblCellMar>
        </w:tblPrEx>
        <w:trPr>
          <w:cantSplit/>
          <w:trHeight w:val="0" w:hRule="atLeast"/>
          <w:jc w:val="center"/>
        </w:trPr>
        <w:tc>
          <w:tcPr>
            <w:tcW w:w="1512" w:type="dxa"/>
            <w:shd w:val="clear" w:color="auto" w:fill="F8FAFC"/>
            <w:tcMar>
              <w:top w:w="0" w:type="dxa"/>
              <w:left w:w="70" w:type="dxa"/>
              <w:bottom w:w="0" w:type="dxa"/>
              <w:right w:w="70" w:type="dxa"/>
            </w:tcMar>
            <w:vAlign w:val="center"/>
          </w:tcPr>
          <w:p w14:paraId="2153997E">
            <w:pPr>
              <w:spacing w:before="0" w:after="0" w:line="240" w:lineRule="auto"/>
              <w:jc w:val="left"/>
            </w:pPr>
            <w:r>
              <w:rPr>
                <w:rFonts w:ascii="Arial" w:hAnsi="Arial"/>
                <w:b w:val="0"/>
                <w:color w:val="1F1F1F"/>
                <w:sz w:val="12"/>
              </w:rPr>
              <w:t>TC/HDL-C</w:t>
            </w:r>
          </w:p>
        </w:tc>
        <w:tc>
          <w:tcPr>
            <w:tcW w:w="1800" w:type="dxa"/>
            <w:shd w:val="clear" w:color="auto" w:fill="F8FAFC"/>
            <w:tcMar>
              <w:top w:w="0" w:type="dxa"/>
              <w:left w:w="70" w:type="dxa"/>
              <w:bottom w:w="0" w:type="dxa"/>
              <w:right w:w="70" w:type="dxa"/>
            </w:tcMar>
            <w:vAlign w:val="center"/>
          </w:tcPr>
          <w:p w14:paraId="30B95DDA">
            <w:pPr>
              <w:spacing w:before="0" w:after="0" w:line="240" w:lineRule="auto"/>
              <w:jc w:val="left"/>
            </w:pPr>
            <w:r>
              <w:rPr>
                <w:rFonts w:ascii="Arial" w:hAnsi="Arial"/>
                <w:b w:val="0"/>
                <w:color w:val="1F1F1F"/>
                <w:sz w:val="12"/>
              </w:rPr>
              <w:t>Optional</w:t>
            </w:r>
          </w:p>
        </w:tc>
        <w:tc>
          <w:tcPr>
            <w:tcW w:w="2232" w:type="dxa"/>
            <w:shd w:val="clear" w:color="auto" w:fill="F8FAFC"/>
            <w:tcMar>
              <w:top w:w="0" w:type="dxa"/>
              <w:left w:w="70" w:type="dxa"/>
              <w:bottom w:w="0" w:type="dxa"/>
              <w:right w:w="70" w:type="dxa"/>
            </w:tcMar>
            <w:vAlign w:val="center"/>
          </w:tcPr>
          <w:p w14:paraId="0F6B5D1E">
            <w:pPr>
              <w:spacing w:before="0" w:after="0" w:line="240" w:lineRule="auto"/>
              <w:jc w:val="left"/>
            </w:pPr>
            <w:r>
              <w:rPr>
                <w:rFonts w:ascii="Arial" w:hAnsi="Arial"/>
                <w:b w:val="0"/>
                <w:color w:val="1F1F1F"/>
                <w:sz w:val="12"/>
              </w:rPr>
              <w:t>Total cholesterol, HDL-C</w:t>
            </w:r>
          </w:p>
        </w:tc>
        <w:tc>
          <w:tcPr>
            <w:tcW w:w="2232" w:type="dxa"/>
            <w:shd w:val="clear" w:color="auto" w:fill="F8FAFC"/>
            <w:tcMar>
              <w:top w:w="0" w:type="dxa"/>
              <w:left w:w="70" w:type="dxa"/>
              <w:bottom w:w="0" w:type="dxa"/>
              <w:right w:w="70" w:type="dxa"/>
            </w:tcMar>
            <w:vAlign w:val="center"/>
          </w:tcPr>
          <w:p w14:paraId="25FD0E7F">
            <w:pPr>
              <w:spacing w:before="0" w:after="0" w:line="240" w:lineRule="auto"/>
              <w:jc w:val="left"/>
            </w:pPr>
            <w:r>
              <w:rPr>
                <w:rFonts w:ascii="Arial" w:hAnsi="Arial"/>
                <w:b w:val="0"/>
                <w:color w:val="1F1F1F"/>
                <w:sz w:val="12"/>
              </w:rPr>
              <w:t>Formula audited</w:t>
            </w:r>
          </w:p>
        </w:tc>
        <w:tc>
          <w:tcPr>
            <w:tcW w:w="2592" w:type="dxa"/>
            <w:shd w:val="clear" w:color="auto" w:fill="F8FAFC"/>
            <w:tcMar>
              <w:top w:w="0" w:type="dxa"/>
              <w:left w:w="70" w:type="dxa"/>
              <w:bottom w:w="0" w:type="dxa"/>
              <w:right w:w="70" w:type="dxa"/>
            </w:tcMar>
            <w:vAlign w:val="center"/>
          </w:tcPr>
          <w:p w14:paraId="143BE9BE">
            <w:pPr>
              <w:spacing w:before="0" w:after="0" w:line="240" w:lineRule="auto"/>
              <w:jc w:val="left"/>
            </w:pPr>
            <w:r>
              <w:rPr>
                <w:rFonts w:ascii="Arial" w:hAnsi="Arial"/>
                <w:b w:val="0"/>
                <w:color w:val="1F1F1F"/>
                <w:sz w:val="12"/>
              </w:rPr>
              <w:t>Not advanced beyond feasibility audit</w:t>
            </w:r>
          </w:p>
        </w:tc>
        <w:tc>
          <w:tcPr>
            <w:tcW w:w="936" w:type="dxa"/>
            <w:shd w:val="clear" w:color="auto" w:fill="F8FAFC"/>
            <w:tcMar>
              <w:top w:w="0" w:type="dxa"/>
              <w:left w:w="70" w:type="dxa"/>
              <w:bottom w:w="0" w:type="dxa"/>
              <w:right w:w="70" w:type="dxa"/>
            </w:tcMar>
            <w:vAlign w:val="center"/>
          </w:tcPr>
          <w:p w14:paraId="285627B9">
            <w:pPr>
              <w:spacing w:before="0" w:after="0" w:line="240" w:lineRule="auto"/>
              <w:jc w:val="center"/>
            </w:pPr>
            <w:r>
              <w:rPr>
                <w:rFonts w:ascii="Arial" w:hAnsi="Arial"/>
                <w:b w:val="0"/>
                <w:color w:val="1F1F1F"/>
                <w:sz w:val="12"/>
              </w:rPr>
              <w:t>No</w:t>
            </w:r>
          </w:p>
        </w:tc>
        <w:tc>
          <w:tcPr>
            <w:tcW w:w="3528" w:type="dxa"/>
            <w:shd w:val="clear" w:color="auto" w:fill="F8FAFC"/>
            <w:tcMar>
              <w:top w:w="0" w:type="dxa"/>
              <w:left w:w="70" w:type="dxa"/>
              <w:bottom w:w="0" w:type="dxa"/>
              <w:right w:w="70" w:type="dxa"/>
            </w:tcMar>
            <w:vAlign w:val="center"/>
          </w:tcPr>
          <w:p w14:paraId="6826754E">
            <w:pPr>
              <w:spacing w:before="0" w:after="0" w:line="240" w:lineRule="auto"/>
              <w:jc w:val="left"/>
            </w:pPr>
            <w:r>
              <w:rPr>
                <w:rFonts w:ascii="Arial" w:hAnsi="Arial"/>
                <w:b w:val="0"/>
                <w:color w:val="1F1F1F"/>
                <w:sz w:val="12"/>
              </w:rPr>
              <w:t>Optional ratio; lipid-ratio coverage already represented</w:t>
            </w:r>
          </w:p>
        </w:tc>
      </w:tr>
      <w:tr w14:paraId="1B6C12BB">
        <w:tblPrEx>
          <w:tblCellMar>
            <w:top w:w="0" w:type="dxa"/>
            <w:left w:w="108" w:type="dxa"/>
            <w:bottom w:w="0" w:type="dxa"/>
            <w:right w:w="108" w:type="dxa"/>
          </w:tblCellMar>
        </w:tblPrEx>
        <w:trPr>
          <w:cantSplit/>
          <w:trHeight w:val="0" w:hRule="atLeast"/>
          <w:jc w:val="center"/>
        </w:trPr>
        <w:tc>
          <w:tcPr>
            <w:tcW w:w="1512" w:type="dxa"/>
            <w:shd w:val="clear" w:color="auto" w:fill="FFFFFF"/>
            <w:tcMar>
              <w:top w:w="0" w:type="dxa"/>
              <w:left w:w="70" w:type="dxa"/>
              <w:bottom w:w="0" w:type="dxa"/>
              <w:right w:w="70" w:type="dxa"/>
            </w:tcMar>
            <w:vAlign w:val="center"/>
          </w:tcPr>
          <w:p w14:paraId="45CA6E63">
            <w:pPr>
              <w:spacing w:before="0" w:after="0" w:line="240" w:lineRule="auto"/>
              <w:jc w:val="left"/>
            </w:pPr>
            <w:r>
              <w:rPr>
                <w:rFonts w:ascii="Arial" w:hAnsi="Arial"/>
                <w:b w:val="0"/>
                <w:color w:val="1F1F1F"/>
                <w:sz w:val="12"/>
              </w:rPr>
              <w:t>eGDR-BMI</w:t>
            </w:r>
          </w:p>
        </w:tc>
        <w:tc>
          <w:tcPr>
            <w:tcW w:w="1800" w:type="dxa"/>
            <w:shd w:val="clear" w:color="auto" w:fill="FFFFFF"/>
            <w:tcMar>
              <w:top w:w="0" w:type="dxa"/>
              <w:left w:w="70" w:type="dxa"/>
              <w:bottom w:w="0" w:type="dxa"/>
              <w:right w:w="70" w:type="dxa"/>
            </w:tcMar>
            <w:vAlign w:val="center"/>
          </w:tcPr>
          <w:p w14:paraId="73CF8B8F">
            <w:pPr>
              <w:spacing w:before="0" w:after="0" w:line="240" w:lineRule="auto"/>
              <w:jc w:val="left"/>
            </w:pPr>
            <w:r>
              <w:rPr>
                <w:rFonts w:ascii="Arial" w:hAnsi="Arial"/>
                <w:b w:val="0"/>
                <w:color w:val="1F1F1F"/>
                <w:sz w:val="12"/>
              </w:rPr>
              <w:t>Sensitivity only</w:t>
            </w:r>
          </w:p>
        </w:tc>
        <w:tc>
          <w:tcPr>
            <w:tcW w:w="2232" w:type="dxa"/>
            <w:shd w:val="clear" w:color="auto" w:fill="FFFFFF"/>
            <w:tcMar>
              <w:top w:w="0" w:type="dxa"/>
              <w:left w:w="70" w:type="dxa"/>
              <w:bottom w:w="0" w:type="dxa"/>
              <w:right w:w="70" w:type="dxa"/>
            </w:tcMar>
            <w:vAlign w:val="center"/>
          </w:tcPr>
          <w:p w14:paraId="7413D904">
            <w:pPr>
              <w:spacing w:before="0" w:after="0" w:line="240" w:lineRule="auto"/>
              <w:jc w:val="left"/>
            </w:pPr>
            <w:r>
              <w:rPr>
                <w:rFonts w:ascii="Arial" w:hAnsi="Arial"/>
                <w:b w:val="0"/>
                <w:color w:val="1F1F1F"/>
                <w:sz w:val="12"/>
              </w:rPr>
              <w:t>HbA1c, hypertension, BMI</w:t>
            </w:r>
          </w:p>
        </w:tc>
        <w:tc>
          <w:tcPr>
            <w:tcW w:w="2232" w:type="dxa"/>
            <w:shd w:val="clear" w:color="auto" w:fill="FFFFFF"/>
            <w:tcMar>
              <w:top w:w="0" w:type="dxa"/>
              <w:left w:w="70" w:type="dxa"/>
              <w:bottom w:w="0" w:type="dxa"/>
              <w:right w:w="70" w:type="dxa"/>
            </w:tcMar>
            <w:vAlign w:val="center"/>
          </w:tcPr>
          <w:p w14:paraId="2418B60D">
            <w:pPr>
              <w:spacing w:before="0" w:after="0" w:line="240" w:lineRule="auto"/>
              <w:jc w:val="left"/>
            </w:pPr>
            <w:r>
              <w:rPr>
                <w:rFonts w:ascii="Arial" w:hAnsi="Arial"/>
                <w:b w:val="0"/>
                <w:color w:val="1F1F1F"/>
                <w:sz w:val="12"/>
              </w:rPr>
              <w:t>Formula audited</w:t>
            </w:r>
          </w:p>
        </w:tc>
        <w:tc>
          <w:tcPr>
            <w:tcW w:w="2592" w:type="dxa"/>
            <w:shd w:val="clear" w:color="auto" w:fill="FFFFFF"/>
            <w:tcMar>
              <w:top w:w="0" w:type="dxa"/>
              <w:left w:w="70" w:type="dxa"/>
              <w:bottom w:w="0" w:type="dxa"/>
              <w:right w:w="70" w:type="dxa"/>
            </w:tcMar>
            <w:vAlign w:val="center"/>
          </w:tcPr>
          <w:p w14:paraId="34CCCDF2">
            <w:pPr>
              <w:spacing w:before="0" w:after="0" w:line="240" w:lineRule="auto"/>
              <w:jc w:val="left"/>
            </w:pPr>
            <w:r>
              <w:rPr>
                <w:rFonts w:ascii="Arial" w:hAnsi="Arial"/>
                <w:b w:val="0"/>
                <w:color w:val="1F1F1F"/>
                <w:sz w:val="12"/>
              </w:rPr>
              <w:t>Not advanced beyond feasibility audit</w:t>
            </w:r>
          </w:p>
        </w:tc>
        <w:tc>
          <w:tcPr>
            <w:tcW w:w="936" w:type="dxa"/>
            <w:shd w:val="clear" w:color="auto" w:fill="FFFFFF"/>
            <w:tcMar>
              <w:top w:w="0" w:type="dxa"/>
              <w:left w:w="70" w:type="dxa"/>
              <w:bottom w:w="0" w:type="dxa"/>
              <w:right w:w="70" w:type="dxa"/>
            </w:tcMar>
            <w:vAlign w:val="center"/>
          </w:tcPr>
          <w:p w14:paraId="0BC848A3">
            <w:pPr>
              <w:spacing w:before="0" w:after="0" w:line="240" w:lineRule="auto"/>
              <w:jc w:val="center"/>
            </w:pPr>
            <w:r>
              <w:rPr>
                <w:rFonts w:ascii="Arial" w:hAnsi="Arial"/>
                <w:b w:val="0"/>
                <w:color w:val="1F1F1F"/>
                <w:sz w:val="12"/>
              </w:rPr>
              <w:t>No</w:t>
            </w:r>
          </w:p>
        </w:tc>
        <w:tc>
          <w:tcPr>
            <w:tcW w:w="3528" w:type="dxa"/>
            <w:shd w:val="clear" w:color="auto" w:fill="FFFFFF"/>
            <w:tcMar>
              <w:top w:w="0" w:type="dxa"/>
              <w:left w:w="70" w:type="dxa"/>
              <w:bottom w:w="0" w:type="dxa"/>
              <w:right w:w="70" w:type="dxa"/>
            </w:tcMar>
            <w:vAlign w:val="center"/>
          </w:tcPr>
          <w:p w14:paraId="0D34B9C2">
            <w:pPr>
              <w:spacing w:before="0" w:after="0" w:line="240" w:lineRule="auto"/>
              <w:jc w:val="left"/>
            </w:pPr>
            <w:r>
              <w:rPr>
                <w:rFonts w:ascii="Arial" w:hAnsi="Arial"/>
                <w:b w:val="0"/>
                <w:color w:val="1F1F1F"/>
                <w:sz w:val="12"/>
              </w:rPr>
              <w:t>Alternative eGDR specification; WC-based form retained</w:t>
            </w:r>
          </w:p>
        </w:tc>
      </w:tr>
      <w:tr w14:paraId="1DA01B9B">
        <w:tblPrEx>
          <w:tblCellMar>
            <w:top w:w="0" w:type="dxa"/>
            <w:left w:w="108" w:type="dxa"/>
            <w:bottom w:w="0" w:type="dxa"/>
            <w:right w:w="108" w:type="dxa"/>
          </w:tblCellMar>
        </w:tblPrEx>
        <w:trPr>
          <w:cantSplit/>
          <w:trHeight w:val="0" w:hRule="atLeast"/>
          <w:jc w:val="center"/>
        </w:trPr>
        <w:tc>
          <w:tcPr>
            <w:tcW w:w="1512" w:type="dxa"/>
            <w:shd w:val="clear" w:color="auto" w:fill="F8FAFC"/>
            <w:tcMar>
              <w:top w:w="0" w:type="dxa"/>
              <w:left w:w="70" w:type="dxa"/>
              <w:bottom w:w="0" w:type="dxa"/>
              <w:right w:w="70" w:type="dxa"/>
            </w:tcMar>
            <w:vAlign w:val="center"/>
          </w:tcPr>
          <w:p w14:paraId="7BCEEFC7">
            <w:pPr>
              <w:spacing w:before="0" w:after="0" w:line="240" w:lineRule="auto"/>
              <w:jc w:val="left"/>
            </w:pPr>
            <w:r>
              <w:rPr>
                <w:rFonts w:ascii="Arial" w:hAnsi="Arial"/>
                <w:b w:val="0"/>
                <w:color w:val="1F1F1F"/>
                <w:sz w:val="12"/>
              </w:rPr>
              <w:t>Uric acid/HDL-C ratio</w:t>
            </w:r>
          </w:p>
        </w:tc>
        <w:tc>
          <w:tcPr>
            <w:tcW w:w="1800" w:type="dxa"/>
            <w:shd w:val="clear" w:color="auto" w:fill="F8FAFC"/>
            <w:tcMar>
              <w:top w:w="0" w:type="dxa"/>
              <w:left w:w="70" w:type="dxa"/>
              <w:bottom w:w="0" w:type="dxa"/>
              <w:right w:w="70" w:type="dxa"/>
            </w:tcMar>
            <w:vAlign w:val="center"/>
          </w:tcPr>
          <w:p w14:paraId="26D638F7">
            <w:pPr>
              <w:spacing w:before="0" w:after="0" w:line="240" w:lineRule="auto"/>
              <w:jc w:val="left"/>
            </w:pPr>
            <w:r>
              <w:rPr>
                <w:rFonts w:ascii="Arial" w:hAnsi="Arial"/>
                <w:b w:val="0"/>
                <w:color w:val="1F1F1F"/>
                <w:sz w:val="12"/>
              </w:rPr>
              <w:t>Optional</w:t>
            </w:r>
          </w:p>
        </w:tc>
        <w:tc>
          <w:tcPr>
            <w:tcW w:w="2232" w:type="dxa"/>
            <w:shd w:val="clear" w:color="auto" w:fill="F8FAFC"/>
            <w:tcMar>
              <w:top w:w="0" w:type="dxa"/>
              <w:left w:w="70" w:type="dxa"/>
              <w:bottom w:w="0" w:type="dxa"/>
              <w:right w:w="70" w:type="dxa"/>
            </w:tcMar>
            <w:vAlign w:val="center"/>
          </w:tcPr>
          <w:p w14:paraId="33D32FBD">
            <w:pPr>
              <w:spacing w:before="0" w:after="0" w:line="240" w:lineRule="auto"/>
              <w:jc w:val="left"/>
            </w:pPr>
            <w:r>
              <w:rPr>
                <w:rFonts w:ascii="Arial" w:hAnsi="Arial"/>
                <w:b w:val="0"/>
                <w:color w:val="1F1F1F"/>
                <w:sz w:val="12"/>
              </w:rPr>
              <w:t>Uric acid, HDL-C</w:t>
            </w:r>
          </w:p>
        </w:tc>
        <w:tc>
          <w:tcPr>
            <w:tcW w:w="2232" w:type="dxa"/>
            <w:shd w:val="clear" w:color="auto" w:fill="F8FAFC"/>
            <w:tcMar>
              <w:top w:w="0" w:type="dxa"/>
              <w:left w:w="70" w:type="dxa"/>
              <w:bottom w:w="0" w:type="dxa"/>
              <w:right w:w="70" w:type="dxa"/>
            </w:tcMar>
            <w:vAlign w:val="center"/>
          </w:tcPr>
          <w:p w14:paraId="10F3B48F">
            <w:pPr>
              <w:spacing w:before="0" w:after="0" w:line="240" w:lineRule="auto"/>
              <w:jc w:val="left"/>
            </w:pPr>
            <w:r>
              <w:rPr>
                <w:rFonts w:ascii="Arial" w:hAnsi="Arial"/>
                <w:b w:val="0"/>
                <w:color w:val="1F1F1F"/>
                <w:sz w:val="12"/>
              </w:rPr>
              <w:t>Required separate source/unit audit</w:t>
            </w:r>
          </w:p>
        </w:tc>
        <w:tc>
          <w:tcPr>
            <w:tcW w:w="2592" w:type="dxa"/>
            <w:shd w:val="clear" w:color="auto" w:fill="F8FAFC"/>
            <w:tcMar>
              <w:top w:w="0" w:type="dxa"/>
              <w:left w:w="70" w:type="dxa"/>
              <w:bottom w:w="0" w:type="dxa"/>
              <w:right w:w="70" w:type="dxa"/>
            </w:tcMar>
            <w:vAlign w:val="center"/>
          </w:tcPr>
          <w:p w14:paraId="1A6C2294">
            <w:pPr>
              <w:spacing w:before="0" w:after="0" w:line="240" w:lineRule="auto"/>
              <w:jc w:val="left"/>
            </w:pPr>
            <w:r>
              <w:rPr>
                <w:rFonts w:ascii="Arial" w:hAnsi="Arial"/>
                <w:b w:val="0"/>
                <w:color w:val="1F1F1F"/>
                <w:sz w:val="12"/>
              </w:rPr>
              <w:t>Not carried into the harmonized common core</w:t>
            </w:r>
          </w:p>
        </w:tc>
        <w:tc>
          <w:tcPr>
            <w:tcW w:w="936" w:type="dxa"/>
            <w:shd w:val="clear" w:color="auto" w:fill="F8FAFC"/>
            <w:tcMar>
              <w:top w:w="0" w:type="dxa"/>
              <w:left w:w="70" w:type="dxa"/>
              <w:bottom w:w="0" w:type="dxa"/>
              <w:right w:w="70" w:type="dxa"/>
            </w:tcMar>
            <w:vAlign w:val="center"/>
          </w:tcPr>
          <w:p w14:paraId="4FDAF42D">
            <w:pPr>
              <w:spacing w:before="0" w:after="0" w:line="240" w:lineRule="auto"/>
              <w:jc w:val="center"/>
            </w:pPr>
            <w:r>
              <w:rPr>
                <w:rFonts w:ascii="Arial" w:hAnsi="Arial"/>
                <w:b w:val="0"/>
                <w:color w:val="1F1F1F"/>
                <w:sz w:val="12"/>
              </w:rPr>
              <w:t>No</w:t>
            </w:r>
          </w:p>
        </w:tc>
        <w:tc>
          <w:tcPr>
            <w:tcW w:w="3528" w:type="dxa"/>
            <w:shd w:val="clear" w:color="auto" w:fill="F8FAFC"/>
            <w:tcMar>
              <w:top w:w="0" w:type="dxa"/>
              <w:left w:w="70" w:type="dxa"/>
              <w:bottom w:w="0" w:type="dxa"/>
              <w:right w:w="70" w:type="dxa"/>
            </w:tcMar>
            <w:vAlign w:val="center"/>
          </w:tcPr>
          <w:p w14:paraId="685F609E">
            <w:pPr>
              <w:spacing w:before="0" w:after="0" w:line="240" w:lineRule="auto"/>
              <w:jc w:val="left"/>
            </w:pPr>
            <w:r>
              <w:rPr>
                <w:rFonts w:ascii="Arial" w:hAnsi="Arial"/>
                <w:b w:val="0"/>
                <w:color w:val="1F1F1F"/>
                <w:sz w:val="12"/>
              </w:rPr>
              <w:t>Not included in the final cross-cohort data layer</w:t>
            </w:r>
          </w:p>
        </w:tc>
      </w:tr>
    </w:tbl>
    <w:p w14:paraId="754072C1">
      <w:pPr>
        <w:spacing w:before="80" w:after="40" w:line="240" w:lineRule="auto"/>
      </w:pPr>
      <w:r>
        <w:rPr>
          <w:rFonts w:ascii="Arial" w:hAnsi="Arial"/>
          <w:b/>
          <w:color w:val="666666"/>
          <w:sz w:val="14"/>
        </w:rPr>
        <w:t xml:space="preserve">Note: </w:t>
      </w:r>
      <w:r>
        <w:rPr>
          <w:rFonts w:ascii="Arial" w:hAnsi="Arial"/>
          <w:color w:val="666666"/>
          <w:sz w:val="14"/>
        </w:rPr>
        <w:t>The broader formula universe was defined during the stage-1 feasibility audit. That audit performed no regression, imputation, feature selection, machine learning, or marker ranking; endpoint information was used only to assess event support and defensible model complexity. The 10-indicator panel was subsequently frozen before any formal marker-outcome association or predictive comparison, using source and unit validity, cross-cohort availability, and redundancy considerations. 'Primary 10' denotes inclusion in the formal competition reported in Table S3 and Figure S2. TC, total cholesterol; LDL-C, low-density lipoprotein cholesterol; HDL-C, high-density lipoprotein cholesterol.</w:t>
      </w:r>
    </w:p>
    <w:p w14:paraId="6A21A1E4">
      <w:pPr>
        <w:spacing w:before="0" w:after="0" w:line="240" w:lineRule="auto"/>
      </w:pPr>
      <w:r/>
    </w:p>
    <w:p w14:paraId="759C8B53">
      <w:pPr>
        <w:spacing w:before="140" w:after="80" w:line="240" w:lineRule="auto"/>
      </w:pPr>
      <w:r>
        <w:rPr>
          <w:rFonts w:ascii="Arial" w:hAnsi="Arial"/>
          <w:b/>
          <w:color w:val="1F4E78"/>
          <w:sz w:val="18"/>
        </w:rPr>
        <w:t>Panel B. Locked formulas, directions, and analytic roles of the primary indicators and prespecified new scores</w:t>
      </w:r>
    </w:p>
    <w:tbl>
      <w:tblPr>
        <w:tblStyle w:val="32"/>
        <w:tblW w:w="0" w:type="auto"/>
        <w:jc w:val="center"/>
        <w:tblLayout w:type="fixed"/>
        <w:tblCellMar>
          <w:top w:w="0" w:type="dxa"/>
          <w:left w:w="108" w:type="dxa"/>
          <w:bottom w:w="0" w:type="dxa"/>
          <w:right w:w="108" w:type="dxa"/>
        </w:tblCellMar>
      </w:tblPr>
      <w:tblGrid>
        <w:gridCol w:w="2575"/>
        <w:gridCol w:w="2575"/>
        <w:gridCol w:w="2575"/>
        <w:gridCol w:w="2575"/>
        <w:gridCol w:w="2575"/>
        <w:gridCol w:w="2575"/>
      </w:tblGrid>
      <w:tr w14:paraId="49D74E1D">
        <w:tblPrEx>
          <w:tblCellMar>
            <w:top w:w="0" w:type="dxa"/>
            <w:left w:w="108" w:type="dxa"/>
            <w:bottom w:w="0" w:type="dxa"/>
            <w:right w:w="108" w:type="dxa"/>
          </w:tblCellMar>
        </w:tblPrEx>
        <w:trPr>
          <w:cantSplit/>
          <w:tblHeader/>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37574EFE">
            <w:pPr>
              <w:spacing w:before="0" w:after="0" w:line="240" w:lineRule="auto"/>
              <w:jc w:val="center"/>
            </w:pPr>
            <w:r>
              <w:rPr>
                <w:rFonts w:ascii="Arial" w:hAnsi="Arial" w:eastAsia="Arial"/>
                <w:b/>
                <w:i w:val="0"/>
                <w:color w:val="FFFFFF"/>
                <w:sz w:val="14"/>
              </w:rPr>
              <w:t>Indicator / score</w:t>
            </w:r>
          </w:p>
        </w:tc>
        <w:tc>
          <w:tcPr>
            <w:tcW w:w="381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567EC0DC">
            <w:pPr>
              <w:spacing w:before="0" w:after="0" w:line="240" w:lineRule="auto"/>
              <w:jc w:val="center"/>
            </w:pPr>
            <w:r>
              <w:rPr>
                <w:rFonts w:ascii="Arial" w:hAnsi="Arial" w:eastAsia="Arial"/>
                <w:b/>
                <w:i w:val="0"/>
                <w:color w:val="FFFFFF"/>
                <w:sz w:val="14"/>
              </w:rPr>
              <w:t>Locked formula</w:t>
            </w:r>
          </w:p>
        </w:tc>
        <w:tc>
          <w:tcPr>
            <w:tcW w:w="244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4FDC1B1">
            <w:pPr>
              <w:spacing w:before="0" w:after="0" w:line="240" w:lineRule="auto"/>
              <w:jc w:val="center"/>
            </w:pPr>
            <w:r>
              <w:rPr>
                <w:rFonts w:ascii="Arial" w:hAnsi="Arial" w:eastAsia="Arial"/>
                <w:b/>
                <w:i w:val="0"/>
                <w:color w:val="FFFFFF"/>
                <w:sz w:val="14"/>
              </w:rPr>
              <w:t>Required components</w:t>
            </w:r>
          </w:p>
        </w:tc>
        <w:tc>
          <w:tcPr>
            <w:tcW w:w="244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34D33D17">
            <w:pPr>
              <w:spacing w:before="0" w:after="0" w:line="240" w:lineRule="auto"/>
              <w:jc w:val="center"/>
            </w:pPr>
            <w:r>
              <w:rPr>
                <w:rFonts w:ascii="Arial" w:hAnsi="Arial" w:eastAsia="Arial"/>
                <w:b/>
                <w:i w:val="0"/>
                <w:color w:val="FFFFFF"/>
                <w:sz w:val="14"/>
              </w:rPr>
              <w:t>Unit / preparation</w:t>
            </w:r>
          </w:p>
        </w:tc>
        <w:tc>
          <w:tcPr>
            <w:tcW w:w="172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F524296">
            <w:pPr>
              <w:spacing w:before="0" w:after="0" w:line="240" w:lineRule="auto"/>
              <w:jc w:val="center"/>
            </w:pPr>
            <w:r>
              <w:rPr>
                <w:rFonts w:ascii="Arial" w:hAnsi="Arial" w:eastAsia="Arial"/>
                <w:b/>
                <w:i w:val="0"/>
                <w:color w:val="FFFFFF"/>
                <w:sz w:val="14"/>
              </w:rPr>
              <w:t>Risk direction</w:t>
            </w:r>
          </w:p>
        </w:tc>
        <w:tc>
          <w:tcPr>
            <w:tcW w:w="237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66F97F1">
            <w:pPr>
              <w:spacing w:before="0" w:after="0" w:line="240" w:lineRule="auto"/>
              <w:jc w:val="center"/>
            </w:pPr>
            <w:r>
              <w:rPr>
                <w:rFonts w:ascii="Arial" w:hAnsi="Arial" w:eastAsia="Arial"/>
                <w:b/>
                <w:i w:val="0"/>
                <w:color w:val="FFFFFF"/>
                <w:sz w:val="14"/>
              </w:rPr>
              <w:t>Family / analytic role</w:t>
            </w:r>
          </w:p>
        </w:tc>
      </w:tr>
      <w:tr w14:paraId="64EAAE15">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E3C6DE3">
            <w:pPr>
              <w:spacing w:before="0" w:after="0" w:line="240" w:lineRule="auto"/>
              <w:jc w:val="left"/>
            </w:pPr>
            <w:r>
              <w:rPr>
                <w:rFonts w:ascii="Arial" w:hAnsi="Arial" w:eastAsia="Arial"/>
                <w:b w:val="0"/>
                <w:i w:val="0"/>
                <w:color w:val="1F1F1F"/>
                <w:sz w:val="14"/>
              </w:rPr>
              <w:t>TyG</w:t>
            </w:r>
          </w:p>
        </w:tc>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838A6C5">
            <w:pPr>
              <w:spacing w:before="0" w:after="0" w:line="240" w:lineRule="auto"/>
              <w:jc w:val="left"/>
            </w:pPr>
            <w:r>
              <w:rPr>
                <w:rFonts w:ascii="Arial" w:hAnsi="Arial" w:eastAsia="Arial"/>
                <w:b w:val="0"/>
                <w:i w:val="0"/>
                <w:color w:val="1F1F1F"/>
                <w:sz w:val="14"/>
              </w:rPr>
              <w:t>ln[(TG × glucose)/2]</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02C141D">
            <w:pPr>
              <w:spacing w:before="0" w:after="0" w:line="240" w:lineRule="auto"/>
              <w:jc w:val="left"/>
            </w:pPr>
            <w:r>
              <w:rPr>
                <w:rFonts w:ascii="Arial" w:hAnsi="Arial" w:eastAsia="Arial"/>
                <w:b w:val="0"/>
                <w:i w:val="0"/>
                <w:color w:val="1F1F1F"/>
                <w:sz w:val="14"/>
              </w:rPr>
              <w:t>TG, glucose</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B0657C4">
            <w:pPr>
              <w:spacing w:before="0" w:after="0" w:line="240" w:lineRule="auto"/>
              <w:jc w:val="left"/>
            </w:pPr>
            <w:r>
              <w:rPr>
                <w:rFonts w:ascii="Arial" w:hAnsi="Arial" w:eastAsia="Arial"/>
                <w:b w:val="0"/>
                <w:i w:val="0"/>
                <w:color w:val="1F1F1F"/>
                <w:sz w:val="14"/>
              </w:rPr>
              <w:t>TG and glucose in mg/dL</w:t>
            </w:r>
          </w:p>
        </w:tc>
        <w:tc>
          <w:tcPr>
            <w:tcW w:w="172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3D8F485">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B136B3B">
            <w:pPr>
              <w:spacing w:before="0" w:after="0" w:line="240" w:lineRule="auto"/>
              <w:jc w:val="left"/>
            </w:pPr>
            <w:r>
              <w:rPr>
                <w:rFonts w:ascii="Arial" w:hAnsi="Arial" w:eastAsia="Arial"/>
                <w:b w:val="0"/>
                <w:i w:val="0"/>
                <w:color w:val="1F1F1F"/>
                <w:sz w:val="14"/>
              </w:rPr>
              <w:t>Glycolipid index</w:t>
            </w:r>
          </w:p>
        </w:tc>
      </w:tr>
      <w:tr w14:paraId="5743278B">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7F135CE">
            <w:pPr>
              <w:spacing w:before="0" w:after="0" w:line="240" w:lineRule="auto"/>
              <w:jc w:val="left"/>
            </w:pPr>
            <w:r>
              <w:rPr>
                <w:rFonts w:ascii="Arial" w:hAnsi="Arial" w:eastAsia="Arial"/>
                <w:b w:val="0"/>
                <w:i w:val="0"/>
                <w:color w:val="1F1F1F"/>
                <w:sz w:val="14"/>
              </w:rPr>
              <w:t>AIP</w:t>
            </w:r>
          </w:p>
        </w:tc>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E7ECAD5">
            <w:pPr>
              <w:spacing w:before="0" w:after="0" w:line="240" w:lineRule="auto"/>
              <w:jc w:val="left"/>
            </w:pPr>
            <w:r>
              <w:rPr>
                <w:rFonts w:ascii="Arial" w:hAnsi="Arial" w:eastAsia="Arial"/>
                <w:b w:val="0"/>
                <w:i w:val="0"/>
                <w:color w:val="1F1F1F"/>
                <w:sz w:val="14"/>
              </w:rPr>
              <w:t>log10[(TG/88.57)/(HDL-C/38.67)]</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56F594C">
            <w:pPr>
              <w:spacing w:before="0" w:after="0" w:line="240" w:lineRule="auto"/>
              <w:jc w:val="left"/>
            </w:pPr>
            <w:r>
              <w:rPr>
                <w:rFonts w:ascii="Arial" w:hAnsi="Arial" w:eastAsia="Arial"/>
                <w:b w:val="0"/>
                <w:i w:val="0"/>
                <w:color w:val="1F1F1F"/>
                <w:sz w:val="14"/>
              </w:rPr>
              <w:t>TG, HDL-C</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50540E9">
            <w:pPr>
              <w:spacing w:before="0" w:after="0" w:line="240" w:lineRule="auto"/>
              <w:jc w:val="left"/>
            </w:pPr>
            <w:r>
              <w:rPr>
                <w:rFonts w:ascii="Arial" w:hAnsi="Arial" w:eastAsia="Arial"/>
                <w:b w:val="0"/>
                <w:i w:val="0"/>
                <w:color w:val="1F1F1F"/>
                <w:sz w:val="14"/>
              </w:rPr>
              <w:t>Molar TG/HDL-C ratio</w:t>
            </w:r>
          </w:p>
        </w:tc>
        <w:tc>
          <w:tcPr>
            <w:tcW w:w="172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E940B9A">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D2EDD35">
            <w:pPr>
              <w:spacing w:before="0" w:after="0" w:line="240" w:lineRule="auto"/>
              <w:jc w:val="left"/>
            </w:pPr>
            <w:r>
              <w:rPr>
                <w:rFonts w:ascii="Arial" w:hAnsi="Arial" w:eastAsia="Arial"/>
                <w:b w:val="0"/>
                <w:i w:val="0"/>
                <w:color w:val="1F1F1F"/>
                <w:sz w:val="14"/>
              </w:rPr>
              <w:t>Atherogenic lipid axis</w:t>
            </w:r>
          </w:p>
        </w:tc>
      </w:tr>
      <w:tr w14:paraId="4A5FD5EA">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30343B0">
            <w:pPr>
              <w:spacing w:before="0" w:after="0" w:line="240" w:lineRule="auto"/>
              <w:jc w:val="left"/>
            </w:pPr>
            <w:r>
              <w:rPr>
                <w:rFonts w:ascii="Arial" w:hAnsi="Arial" w:eastAsia="Arial"/>
                <w:b w:val="0"/>
                <w:i w:val="0"/>
                <w:color w:val="1F1F1F"/>
                <w:sz w:val="14"/>
              </w:rPr>
              <w:t>TG/HDL-C</w:t>
            </w:r>
          </w:p>
        </w:tc>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BEE2E66">
            <w:pPr>
              <w:spacing w:before="0" w:after="0" w:line="240" w:lineRule="auto"/>
              <w:jc w:val="left"/>
            </w:pPr>
            <w:r>
              <w:rPr>
                <w:rFonts w:ascii="Arial" w:hAnsi="Arial" w:eastAsia="Arial"/>
                <w:b w:val="0"/>
                <w:i w:val="0"/>
                <w:color w:val="1F1F1F"/>
                <w:sz w:val="14"/>
              </w:rPr>
              <w:t>(TG/88.57)/(HDL-C/38.67)</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B10D4FE">
            <w:pPr>
              <w:spacing w:before="0" w:after="0" w:line="240" w:lineRule="auto"/>
              <w:jc w:val="left"/>
            </w:pPr>
            <w:r>
              <w:rPr>
                <w:rFonts w:ascii="Arial" w:hAnsi="Arial" w:eastAsia="Arial"/>
                <w:b w:val="0"/>
                <w:i w:val="0"/>
                <w:color w:val="1F1F1F"/>
                <w:sz w:val="14"/>
              </w:rPr>
              <w:t>TG, HDL-C</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D080D17">
            <w:pPr>
              <w:spacing w:before="0" w:after="0" w:line="240" w:lineRule="auto"/>
              <w:jc w:val="left"/>
            </w:pPr>
            <w:r>
              <w:rPr>
                <w:rFonts w:ascii="Arial" w:hAnsi="Arial" w:eastAsia="Arial"/>
                <w:b w:val="0"/>
                <w:i w:val="0"/>
                <w:color w:val="1F1F1F"/>
                <w:sz w:val="14"/>
              </w:rPr>
              <w:t>Molar ratio</w:t>
            </w:r>
          </w:p>
        </w:tc>
        <w:tc>
          <w:tcPr>
            <w:tcW w:w="172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3864646">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EE7B2B2">
            <w:pPr>
              <w:spacing w:before="0" w:after="0" w:line="240" w:lineRule="auto"/>
              <w:jc w:val="left"/>
            </w:pPr>
            <w:r>
              <w:rPr>
                <w:rFonts w:ascii="Arial" w:hAnsi="Arial" w:eastAsia="Arial"/>
                <w:b w:val="0"/>
                <w:i w:val="0"/>
                <w:color w:val="1F1F1F"/>
                <w:sz w:val="14"/>
              </w:rPr>
              <w:t>Atherogenic lipid axis</w:t>
            </w:r>
          </w:p>
        </w:tc>
      </w:tr>
      <w:tr w14:paraId="0FA1E843">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3523D8B">
            <w:pPr>
              <w:spacing w:before="0" w:after="0" w:line="240" w:lineRule="auto"/>
              <w:jc w:val="left"/>
            </w:pPr>
            <w:r>
              <w:rPr>
                <w:rFonts w:ascii="Arial" w:hAnsi="Arial" w:eastAsia="Arial"/>
                <w:b w:val="0"/>
                <w:i w:val="0"/>
                <w:color w:val="1F1F1F"/>
                <w:sz w:val="14"/>
              </w:rPr>
              <w:t>TyG-BMI</w:t>
            </w:r>
          </w:p>
        </w:tc>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8E41AA7">
            <w:pPr>
              <w:spacing w:before="0" w:after="0" w:line="240" w:lineRule="auto"/>
              <w:jc w:val="left"/>
            </w:pPr>
            <w:r>
              <w:rPr>
                <w:rFonts w:ascii="Arial" w:hAnsi="Arial" w:eastAsia="Arial"/>
                <w:b w:val="0"/>
                <w:i w:val="0"/>
                <w:color w:val="1F1F1F"/>
                <w:sz w:val="14"/>
              </w:rPr>
              <w:t>TyG × BMI</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923D062">
            <w:pPr>
              <w:spacing w:before="0" w:after="0" w:line="240" w:lineRule="auto"/>
              <w:jc w:val="left"/>
            </w:pPr>
            <w:r>
              <w:rPr>
                <w:rFonts w:ascii="Arial" w:hAnsi="Arial" w:eastAsia="Arial"/>
                <w:b w:val="0"/>
                <w:i w:val="0"/>
                <w:color w:val="1F1F1F"/>
                <w:sz w:val="14"/>
              </w:rPr>
              <w:t>TG, glucose, BMI</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E34103A">
            <w:pPr>
              <w:spacing w:before="0" w:after="0" w:line="240" w:lineRule="auto"/>
              <w:jc w:val="left"/>
            </w:pPr>
            <w:r>
              <w:rPr>
                <w:rFonts w:ascii="Arial" w:hAnsi="Arial" w:eastAsia="Arial"/>
                <w:b w:val="0"/>
                <w:i w:val="0"/>
                <w:color w:val="1F1F1F"/>
                <w:sz w:val="14"/>
              </w:rPr>
              <w:t>BMI in kg/m²</w:t>
            </w:r>
          </w:p>
        </w:tc>
        <w:tc>
          <w:tcPr>
            <w:tcW w:w="172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4F4D293">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CAD915D">
            <w:pPr>
              <w:spacing w:before="0" w:after="0" w:line="240" w:lineRule="auto"/>
              <w:jc w:val="left"/>
            </w:pPr>
            <w:r>
              <w:rPr>
                <w:rFonts w:ascii="Arial" w:hAnsi="Arial" w:eastAsia="Arial"/>
                <w:b w:val="0"/>
                <w:i w:val="0"/>
                <w:color w:val="1F1F1F"/>
                <w:sz w:val="14"/>
              </w:rPr>
              <w:t>Anthropometric-enhanced</w:t>
            </w:r>
          </w:p>
        </w:tc>
      </w:tr>
      <w:tr w14:paraId="3B2955A3">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75E6F05">
            <w:pPr>
              <w:spacing w:before="0" w:after="0" w:line="240" w:lineRule="auto"/>
              <w:jc w:val="left"/>
            </w:pPr>
            <w:r>
              <w:rPr>
                <w:rFonts w:ascii="Arial" w:hAnsi="Arial" w:eastAsia="Arial"/>
                <w:b w:val="0"/>
                <w:i w:val="0"/>
                <w:color w:val="1F1F1F"/>
                <w:sz w:val="14"/>
              </w:rPr>
              <w:t>METS-IR</w:t>
            </w:r>
          </w:p>
        </w:tc>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8B5E387">
            <w:pPr>
              <w:spacing w:before="0" w:after="0" w:line="240" w:lineRule="auto"/>
              <w:jc w:val="left"/>
            </w:pPr>
            <w:r>
              <w:rPr>
                <w:rFonts w:ascii="Arial" w:hAnsi="Arial" w:eastAsia="Arial"/>
                <w:b w:val="0"/>
                <w:i w:val="0"/>
                <w:color w:val="1F1F1F"/>
                <w:sz w:val="14"/>
              </w:rPr>
              <w:t>ln[(2 × glucose) + TG] × BMI / ln(HDL-C)</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9E3B95E">
            <w:pPr>
              <w:spacing w:before="0" w:after="0" w:line="240" w:lineRule="auto"/>
              <w:jc w:val="left"/>
            </w:pPr>
            <w:r>
              <w:rPr>
                <w:rFonts w:ascii="Arial" w:hAnsi="Arial" w:eastAsia="Arial"/>
                <w:b w:val="0"/>
                <w:i w:val="0"/>
                <w:color w:val="1F1F1F"/>
                <w:sz w:val="14"/>
              </w:rPr>
              <w:t>Glucose, TG, HDL-C, BMI</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0FD10DE">
            <w:pPr>
              <w:spacing w:before="0" w:after="0" w:line="240" w:lineRule="auto"/>
              <w:jc w:val="left"/>
            </w:pPr>
            <w:r>
              <w:rPr>
                <w:rFonts w:ascii="Arial" w:hAnsi="Arial" w:eastAsia="Arial"/>
                <w:b w:val="0"/>
                <w:i w:val="0"/>
                <w:color w:val="1F1F1F"/>
                <w:sz w:val="14"/>
              </w:rPr>
              <w:t>Lipids/glucose in mg/dL</w:t>
            </w:r>
          </w:p>
        </w:tc>
        <w:tc>
          <w:tcPr>
            <w:tcW w:w="172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116BDB1">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17C31EF">
            <w:pPr>
              <w:spacing w:before="0" w:after="0" w:line="240" w:lineRule="auto"/>
              <w:jc w:val="left"/>
            </w:pPr>
            <w:r>
              <w:rPr>
                <w:rFonts w:ascii="Arial" w:hAnsi="Arial" w:eastAsia="Arial"/>
                <w:b w:val="0"/>
                <w:i w:val="0"/>
                <w:color w:val="1F1F1F"/>
                <w:sz w:val="14"/>
              </w:rPr>
              <w:t>Multicomponent IR</w:t>
            </w:r>
          </w:p>
        </w:tc>
      </w:tr>
      <w:tr w14:paraId="61A6370B">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254B888">
            <w:pPr>
              <w:spacing w:before="0" w:after="0" w:line="240" w:lineRule="auto"/>
              <w:jc w:val="left"/>
            </w:pPr>
            <w:r>
              <w:rPr>
                <w:rFonts w:ascii="Arial" w:hAnsi="Arial" w:eastAsia="Arial"/>
                <w:b w:val="0"/>
                <w:i w:val="0"/>
                <w:color w:val="1F1F1F"/>
                <w:sz w:val="14"/>
              </w:rPr>
              <w:t>Lower SPISE</w:t>
            </w:r>
          </w:p>
        </w:tc>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06F1176">
            <w:pPr>
              <w:spacing w:before="0" w:after="0" w:line="240" w:lineRule="auto"/>
              <w:jc w:val="left"/>
            </w:pPr>
            <w:r>
              <w:rPr>
                <w:rFonts w:ascii="Arial" w:hAnsi="Arial" w:eastAsia="Arial"/>
                <w:b w:val="0"/>
                <w:i w:val="0"/>
                <w:color w:val="1F1F1F"/>
                <w:sz w:val="14"/>
              </w:rPr>
              <w:t>−[600 × HDL-C^0.185 / (TG^0.2 × BMI^1.338)]</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E90B147">
            <w:pPr>
              <w:spacing w:before="0" w:after="0" w:line="240" w:lineRule="auto"/>
              <w:jc w:val="left"/>
            </w:pPr>
            <w:r>
              <w:rPr>
                <w:rFonts w:ascii="Arial" w:hAnsi="Arial" w:eastAsia="Arial"/>
                <w:b w:val="0"/>
                <w:i w:val="0"/>
                <w:color w:val="1F1F1F"/>
                <w:sz w:val="14"/>
              </w:rPr>
              <w:t>TG, HDL-C, BMI</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1FDF79C">
            <w:pPr>
              <w:spacing w:before="0" w:after="0" w:line="240" w:lineRule="auto"/>
              <w:jc w:val="left"/>
            </w:pPr>
            <w:r>
              <w:rPr>
                <w:rFonts w:ascii="Arial" w:hAnsi="Arial" w:eastAsia="Arial"/>
                <w:b w:val="0"/>
                <w:i w:val="0"/>
                <w:color w:val="1F1F1F"/>
                <w:sz w:val="14"/>
              </w:rPr>
              <w:t>Risk-direction transformation</w:t>
            </w:r>
          </w:p>
        </w:tc>
        <w:tc>
          <w:tcPr>
            <w:tcW w:w="172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2339924">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8C54441">
            <w:pPr>
              <w:spacing w:before="0" w:after="0" w:line="240" w:lineRule="auto"/>
              <w:jc w:val="left"/>
            </w:pPr>
            <w:r>
              <w:rPr>
                <w:rFonts w:ascii="Arial" w:hAnsi="Arial" w:eastAsia="Arial"/>
                <w:b w:val="0"/>
                <w:i w:val="0"/>
                <w:color w:val="1F1F1F"/>
                <w:sz w:val="14"/>
              </w:rPr>
              <w:t>Multicomponent IR</w:t>
            </w:r>
          </w:p>
        </w:tc>
      </w:tr>
      <w:tr w14:paraId="411E6B33">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E46BD15">
            <w:pPr>
              <w:spacing w:before="0" w:after="0" w:line="240" w:lineRule="auto"/>
              <w:jc w:val="left"/>
            </w:pPr>
            <w:r>
              <w:rPr>
                <w:rFonts w:ascii="Arial" w:hAnsi="Arial" w:eastAsia="Arial"/>
                <w:b w:val="0"/>
                <w:i w:val="0"/>
                <w:color w:val="1F1F1F"/>
                <w:sz w:val="14"/>
              </w:rPr>
              <w:t>Lower eGDR</w:t>
            </w:r>
          </w:p>
        </w:tc>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3D0C68A">
            <w:pPr>
              <w:spacing w:before="0" w:after="0" w:line="240" w:lineRule="auto"/>
              <w:jc w:val="left"/>
            </w:pPr>
            <w:r>
              <w:rPr>
                <w:rFonts w:ascii="Arial" w:hAnsi="Arial" w:eastAsia="Arial"/>
                <w:b w:val="0"/>
                <w:i w:val="0"/>
                <w:color w:val="1F1F1F"/>
                <w:sz w:val="14"/>
              </w:rPr>
              <w:t>−[21.158 − 0.09 × waist − 3.407 × hypertension − 0.551 × HbA1c]</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7D30C5D">
            <w:pPr>
              <w:spacing w:before="0" w:after="0" w:line="240" w:lineRule="auto"/>
              <w:jc w:val="left"/>
            </w:pPr>
            <w:r>
              <w:rPr>
                <w:rFonts w:ascii="Arial" w:hAnsi="Arial" w:eastAsia="Arial"/>
                <w:b w:val="0"/>
                <w:i w:val="0"/>
                <w:color w:val="1F1F1F"/>
                <w:sz w:val="14"/>
              </w:rPr>
              <w:t>Waist, hypertension, HbA1c</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74AFE7C">
            <w:pPr>
              <w:spacing w:before="0" w:after="0" w:line="240" w:lineRule="auto"/>
              <w:jc w:val="left"/>
            </w:pPr>
            <w:r>
              <w:rPr>
                <w:rFonts w:ascii="Arial" w:hAnsi="Arial" w:eastAsia="Arial"/>
                <w:b w:val="0"/>
                <w:i w:val="0"/>
                <w:color w:val="1F1F1F"/>
                <w:sz w:val="14"/>
              </w:rPr>
              <w:t>Waist in cm; HbA1c in %</w:t>
            </w:r>
          </w:p>
        </w:tc>
        <w:tc>
          <w:tcPr>
            <w:tcW w:w="172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5729732">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26B787D">
            <w:pPr>
              <w:spacing w:before="0" w:after="0" w:line="240" w:lineRule="auto"/>
              <w:jc w:val="left"/>
            </w:pPr>
            <w:r>
              <w:rPr>
                <w:rFonts w:ascii="Arial" w:hAnsi="Arial" w:eastAsia="Arial"/>
                <w:b w:val="0"/>
                <w:i w:val="0"/>
                <w:color w:val="1F1F1F"/>
                <w:sz w:val="14"/>
              </w:rPr>
              <w:t>Multicomponent IR</w:t>
            </w:r>
          </w:p>
        </w:tc>
      </w:tr>
      <w:tr w14:paraId="6BB08FA2">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69623A1">
            <w:pPr>
              <w:spacing w:before="0" w:after="0" w:line="240" w:lineRule="auto"/>
              <w:jc w:val="left"/>
            </w:pPr>
            <w:r>
              <w:rPr>
                <w:rFonts w:ascii="Arial" w:hAnsi="Arial" w:eastAsia="Arial"/>
                <w:b w:val="0"/>
                <w:i w:val="0"/>
                <w:color w:val="1F1F1F"/>
                <w:sz w:val="14"/>
              </w:rPr>
              <w:t>TyG-WC</w:t>
            </w:r>
          </w:p>
        </w:tc>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127A9FC">
            <w:pPr>
              <w:spacing w:before="0" w:after="0" w:line="240" w:lineRule="auto"/>
              <w:jc w:val="left"/>
            </w:pPr>
            <w:r>
              <w:rPr>
                <w:rFonts w:ascii="Arial" w:hAnsi="Arial" w:eastAsia="Arial"/>
                <w:b w:val="0"/>
                <w:i w:val="0"/>
                <w:color w:val="1F1F1F"/>
                <w:sz w:val="14"/>
              </w:rPr>
              <w:t>TyG × waist circumference</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AC13F5B">
            <w:pPr>
              <w:spacing w:before="0" w:after="0" w:line="240" w:lineRule="auto"/>
              <w:jc w:val="left"/>
            </w:pPr>
            <w:r>
              <w:rPr>
                <w:rFonts w:ascii="Arial" w:hAnsi="Arial" w:eastAsia="Arial"/>
                <w:b w:val="0"/>
                <w:i w:val="0"/>
                <w:color w:val="1F1F1F"/>
                <w:sz w:val="14"/>
              </w:rPr>
              <w:t>TG, glucose, waist</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7AD169B">
            <w:pPr>
              <w:spacing w:before="0" w:after="0" w:line="240" w:lineRule="auto"/>
              <w:jc w:val="left"/>
            </w:pPr>
            <w:r>
              <w:rPr>
                <w:rFonts w:ascii="Arial" w:hAnsi="Arial" w:eastAsia="Arial"/>
                <w:b w:val="0"/>
                <w:i w:val="0"/>
                <w:color w:val="1F1F1F"/>
                <w:sz w:val="14"/>
              </w:rPr>
              <w:t>Waist in cm</w:t>
            </w:r>
          </w:p>
        </w:tc>
        <w:tc>
          <w:tcPr>
            <w:tcW w:w="172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476419D">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437ADA6">
            <w:pPr>
              <w:spacing w:before="0" w:after="0" w:line="240" w:lineRule="auto"/>
              <w:jc w:val="left"/>
            </w:pPr>
            <w:r>
              <w:rPr>
                <w:rFonts w:ascii="Arial" w:hAnsi="Arial" w:eastAsia="Arial"/>
                <w:b w:val="0"/>
                <w:i w:val="0"/>
                <w:color w:val="1F1F1F"/>
                <w:sz w:val="14"/>
              </w:rPr>
              <w:t>Anthropometric-enhanced</w:t>
            </w:r>
          </w:p>
        </w:tc>
      </w:tr>
      <w:tr w14:paraId="2672CF69">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B5C9CCE">
            <w:pPr>
              <w:spacing w:before="0" w:after="0" w:line="240" w:lineRule="auto"/>
              <w:jc w:val="left"/>
            </w:pPr>
            <w:r>
              <w:rPr>
                <w:rFonts w:ascii="Arial" w:hAnsi="Arial" w:eastAsia="Arial"/>
                <w:b w:val="0"/>
                <w:i w:val="0"/>
                <w:color w:val="1F1F1F"/>
                <w:sz w:val="14"/>
              </w:rPr>
              <w:t>WHtR</w:t>
            </w:r>
          </w:p>
        </w:tc>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28FE958">
            <w:pPr>
              <w:spacing w:before="0" w:after="0" w:line="240" w:lineRule="auto"/>
              <w:jc w:val="left"/>
            </w:pPr>
            <w:r>
              <w:rPr>
                <w:rFonts w:ascii="Arial" w:hAnsi="Arial" w:eastAsia="Arial"/>
                <w:b w:val="0"/>
                <w:i w:val="0"/>
                <w:color w:val="1F1F1F"/>
                <w:sz w:val="14"/>
              </w:rPr>
              <w:t>Waist circumference / height</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DF37839">
            <w:pPr>
              <w:spacing w:before="0" w:after="0" w:line="240" w:lineRule="auto"/>
              <w:jc w:val="left"/>
            </w:pPr>
            <w:r>
              <w:rPr>
                <w:rFonts w:ascii="Arial" w:hAnsi="Arial" w:eastAsia="Arial"/>
                <w:b w:val="0"/>
                <w:i w:val="0"/>
                <w:color w:val="1F1F1F"/>
                <w:sz w:val="14"/>
              </w:rPr>
              <w:t>Waist, height</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3ABAC7D">
            <w:pPr>
              <w:spacing w:before="0" w:after="0" w:line="240" w:lineRule="auto"/>
              <w:jc w:val="left"/>
            </w:pPr>
            <w:r>
              <w:rPr>
                <w:rFonts w:ascii="Arial" w:hAnsi="Arial" w:eastAsia="Arial"/>
                <w:b w:val="0"/>
                <w:i w:val="0"/>
                <w:color w:val="1F1F1F"/>
                <w:sz w:val="14"/>
              </w:rPr>
              <w:t>Both in cm</w:t>
            </w:r>
          </w:p>
        </w:tc>
        <w:tc>
          <w:tcPr>
            <w:tcW w:w="172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4A54E1D">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8E7C236">
            <w:pPr>
              <w:spacing w:before="0" w:after="0" w:line="240" w:lineRule="auto"/>
              <w:jc w:val="left"/>
            </w:pPr>
            <w:r>
              <w:rPr>
                <w:rFonts w:ascii="Arial" w:hAnsi="Arial" w:eastAsia="Arial"/>
                <w:b w:val="0"/>
                <w:i w:val="0"/>
                <w:color w:val="1F1F1F"/>
                <w:sz w:val="14"/>
              </w:rPr>
              <w:t>Anthropometric-enhanced</w:t>
            </w:r>
          </w:p>
        </w:tc>
      </w:tr>
      <w:tr w14:paraId="0F20616A">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70F9F96">
            <w:pPr>
              <w:spacing w:before="0" w:after="0" w:line="240" w:lineRule="auto"/>
              <w:jc w:val="left"/>
            </w:pPr>
            <w:r>
              <w:rPr>
                <w:rFonts w:ascii="Arial" w:hAnsi="Arial" w:eastAsia="Arial"/>
                <w:b w:val="0"/>
                <w:i w:val="0"/>
                <w:color w:val="1F1F1F"/>
                <w:sz w:val="14"/>
              </w:rPr>
              <w:t>non-HDL-C</w:t>
            </w:r>
          </w:p>
        </w:tc>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263CAC1">
            <w:pPr>
              <w:spacing w:before="0" w:after="0" w:line="240" w:lineRule="auto"/>
              <w:jc w:val="left"/>
            </w:pPr>
            <w:r>
              <w:rPr>
                <w:rFonts w:ascii="Arial" w:hAnsi="Arial" w:eastAsia="Arial"/>
                <w:b w:val="0"/>
                <w:i w:val="0"/>
                <w:color w:val="1F1F1F"/>
                <w:sz w:val="14"/>
              </w:rPr>
              <w:t>Total cholesterol − HDL-C</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F172561">
            <w:pPr>
              <w:spacing w:before="0" w:after="0" w:line="240" w:lineRule="auto"/>
              <w:jc w:val="left"/>
            </w:pPr>
            <w:r>
              <w:rPr>
                <w:rFonts w:ascii="Arial" w:hAnsi="Arial" w:eastAsia="Arial"/>
                <w:b w:val="0"/>
                <w:i w:val="0"/>
                <w:color w:val="1F1F1F"/>
                <w:sz w:val="14"/>
              </w:rPr>
              <w:t>Total cholesterol, HDL-C</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D5754F9">
            <w:pPr>
              <w:spacing w:before="0" w:after="0" w:line="240" w:lineRule="auto"/>
              <w:jc w:val="left"/>
            </w:pPr>
            <w:r>
              <w:rPr>
                <w:rFonts w:ascii="Arial" w:hAnsi="Arial" w:eastAsia="Arial"/>
                <w:b w:val="0"/>
                <w:i w:val="0"/>
                <w:color w:val="1F1F1F"/>
                <w:sz w:val="14"/>
              </w:rPr>
              <w:t>mg/dL</w:t>
            </w:r>
          </w:p>
        </w:tc>
        <w:tc>
          <w:tcPr>
            <w:tcW w:w="172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EA4E88F">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E27367A">
            <w:pPr>
              <w:spacing w:before="0" w:after="0" w:line="240" w:lineRule="auto"/>
              <w:jc w:val="left"/>
            </w:pPr>
            <w:r>
              <w:rPr>
                <w:rFonts w:ascii="Arial" w:hAnsi="Arial" w:eastAsia="Arial"/>
                <w:b w:val="0"/>
                <w:i w:val="0"/>
                <w:color w:val="1F1F1F"/>
                <w:sz w:val="14"/>
              </w:rPr>
              <w:t>Cholesterol burden</w:t>
            </w:r>
          </w:p>
        </w:tc>
      </w:tr>
      <w:tr w14:paraId="727F5791">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AC94AE8">
            <w:pPr>
              <w:spacing w:before="0" w:after="0" w:line="240" w:lineRule="auto"/>
              <w:jc w:val="left"/>
            </w:pPr>
            <w:r>
              <w:rPr>
                <w:rFonts w:ascii="Arial" w:hAnsi="Arial" w:eastAsia="Arial"/>
                <w:b w:val="0"/>
                <w:i w:val="0"/>
                <w:color w:val="1F1F1F"/>
                <w:sz w:val="14"/>
              </w:rPr>
              <w:t>Core-3 Equal</w:t>
            </w:r>
          </w:p>
        </w:tc>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B1A2E8F">
            <w:pPr>
              <w:spacing w:before="0" w:after="0" w:line="240" w:lineRule="auto"/>
              <w:jc w:val="left"/>
            </w:pPr>
            <w:r>
              <w:rPr>
                <w:rFonts w:ascii="Arial" w:hAnsi="Arial" w:eastAsia="Arial"/>
                <w:b w:val="0"/>
                <w:i w:val="0"/>
                <w:color w:val="1F1F1F"/>
                <w:sz w:val="14"/>
              </w:rPr>
              <w:t>[z(ln TG) + z(ln glucose) − z(ln HDL-C)] / 3</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88B1A81">
            <w:pPr>
              <w:spacing w:before="0" w:after="0" w:line="240" w:lineRule="auto"/>
              <w:jc w:val="left"/>
            </w:pPr>
            <w:r>
              <w:rPr>
                <w:rFonts w:ascii="Arial" w:hAnsi="Arial" w:eastAsia="Arial"/>
                <w:b w:val="0"/>
                <w:i w:val="0"/>
                <w:color w:val="1F1F1F"/>
                <w:sz w:val="14"/>
              </w:rPr>
              <w:t>TG, glucose, HDL-C</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D800FD2">
            <w:pPr>
              <w:spacing w:before="0" w:after="0" w:line="240" w:lineRule="auto"/>
              <w:jc w:val="left"/>
            </w:pPr>
            <w:r>
              <w:rPr>
                <w:rFonts w:ascii="Arial" w:hAnsi="Arial" w:eastAsia="Arial"/>
                <w:b w:val="0"/>
                <w:i w:val="0"/>
                <w:color w:val="1F1F1F"/>
                <w:sz w:val="14"/>
              </w:rPr>
              <w:t>z scores frozen in ELSA development</w:t>
            </w:r>
          </w:p>
        </w:tc>
        <w:tc>
          <w:tcPr>
            <w:tcW w:w="172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6AD156A">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CBC333C">
            <w:pPr>
              <w:spacing w:before="0" w:after="0" w:line="240" w:lineRule="auto"/>
              <w:jc w:val="left"/>
            </w:pPr>
            <w:r>
              <w:rPr>
                <w:rFonts w:ascii="Arial" w:hAnsi="Arial" w:eastAsia="Arial"/>
                <w:b w:val="0"/>
                <w:i w:val="0"/>
                <w:color w:val="1F1F1F"/>
                <w:sz w:val="14"/>
              </w:rPr>
              <w:t>Prespecified new score</w:t>
            </w:r>
          </w:p>
        </w:tc>
      </w:tr>
      <w:tr w14:paraId="78BA4285">
        <w:tblPrEx>
          <w:tblCellMar>
            <w:top w:w="0" w:type="dxa"/>
            <w:left w:w="108" w:type="dxa"/>
            <w:bottom w:w="0" w:type="dxa"/>
            <w:right w:w="108" w:type="dxa"/>
          </w:tblCellMar>
        </w:tblPrEx>
        <w:trPr>
          <w:cantSplit/>
          <w:jc w:val="center"/>
        </w:trPr>
        <w:tc>
          <w:tcPr>
            <w:tcW w:w="15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AF0B7EF">
            <w:pPr>
              <w:spacing w:before="0" w:after="0" w:line="240" w:lineRule="auto"/>
              <w:jc w:val="left"/>
            </w:pPr>
            <w:r>
              <w:rPr>
                <w:rFonts w:ascii="Arial" w:hAnsi="Arial" w:eastAsia="Arial"/>
                <w:b w:val="0"/>
                <w:i w:val="0"/>
                <w:color w:val="1F1F1F"/>
                <w:sz w:val="14"/>
              </w:rPr>
              <w:t>Extended-4 Equal</w:t>
            </w:r>
          </w:p>
        </w:tc>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00B81A0">
            <w:pPr>
              <w:spacing w:before="0" w:after="0" w:line="240" w:lineRule="auto"/>
              <w:jc w:val="left"/>
            </w:pPr>
            <w:r>
              <w:rPr>
                <w:rFonts w:ascii="Arial" w:hAnsi="Arial" w:eastAsia="Arial"/>
                <w:b w:val="0"/>
                <w:i w:val="0"/>
                <w:color w:val="1F1F1F"/>
                <w:sz w:val="14"/>
              </w:rPr>
              <w:t>[z(ln TG) + z(ln glucose) − z(ln HDL-C) + z(WHtR)] / 4</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8AD31EB">
            <w:pPr>
              <w:spacing w:before="0" w:after="0" w:line="240" w:lineRule="auto"/>
              <w:jc w:val="left"/>
            </w:pPr>
            <w:r>
              <w:rPr>
                <w:rFonts w:ascii="Arial" w:hAnsi="Arial" w:eastAsia="Arial"/>
                <w:b w:val="0"/>
                <w:i w:val="0"/>
                <w:color w:val="1F1F1F"/>
                <w:sz w:val="14"/>
              </w:rPr>
              <w:t>TG, glucose, HDL-C, WHtR</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01EB1FC">
            <w:pPr>
              <w:spacing w:before="0" w:after="0" w:line="240" w:lineRule="auto"/>
              <w:jc w:val="left"/>
            </w:pPr>
            <w:r>
              <w:rPr>
                <w:rFonts w:ascii="Arial" w:hAnsi="Arial" w:eastAsia="Arial"/>
                <w:b w:val="0"/>
                <w:i w:val="0"/>
                <w:color w:val="1F1F1F"/>
                <w:sz w:val="14"/>
              </w:rPr>
              <w:t>z scores frozen in ELSA development</w:t>
            </w:r>
          </w:p>
        </w:tc>
        <w:tc>
          <w:tcPr>
            <w:tcW w:w="172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B2D0C81">
            <w:pPr>
              <w:spacing w:before="0" w:after="0" w:line="240" w:lineRule="auto"/>
              <w:jc w:val="left"/>
            </w:pPr>
            <w:r>
              <w:rPr>
                <w:rFonts w:ascii="Arial" w:hAnsi="Arial" w:eastAsia="Arial"/>
                <w:b w:val="0"/>
                <w:i w:val="0"/>
                <w:color w:val="1F1F1F"/>
                <w:sz w:val="14"/>
              </w:rPr>
              <w:t>Higher = greater risk</w:t>
            </w:r>
          </w:p>
        </w:tc>
        <w:tc>
          <w:tcPr>
            <w:tcW w:w="237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A3CE3D6">
            <w:pPr>
              <w:spacing w:before="0" w:after="0" w:line="240" w:lineRule="auto"/>
              <w:jc w:val="left"/>
            </w:pPr>
            <w:r>
              <w:rPr>
                <w:rFonts w:ascii="Arial" w:hAnsi="Arial" w:eastAsia="Arial"/>
                <w:b w:val="0"/>
                <w:i w:val="0"/>
                <w:color w:val="1F1F1F"/>
                <w:sz w:val="14"/>
              </w:rPr>
              <w:t>Prespecified extension</w:t>
            </w:r>
          </w:p>
        </w:tc>
      </w:tr>
    </w:tbl>
    <w:p w14:paraId="04D8DF66">
      <w:pPr>
        <w:spacing w:before="80" w:after="40" w:line="240" w:lineRule="auto"/>
      </w:pPr>
      <w:r>
        <w:rPr>
          <w:rFonts w:ascii="Arial" w:hAnsi="Arial" w:eastAsia="Arial"/>
          <w:b/>
          <w:i w:val="0"/>
          <w:color w:val="666666"/>
          <w:sz w:val="15"/>
        </w:rPr>
        <w:t xml:space="preserve">Note: </w:t>
      </w:r>
      <w:r>
        <w:rPr>
          <w:rFonts w:ascii="Arial" w:hAnsi="Arial" w:eastAsia="Arial"/>
          <w:b w:val="0"/>
          <w:i w:val="0"/>
          <w:color w:val="666666"/>
          <w:sz w:val="15"/>
        </w:rPr>
        <w:t>TG, triglycerides; HDL-C, high-density lipoprotein cholesterol; BMI, body mass index; WC, waist circumference; WHtR, waist-to-height ratio; HbA1c, glycated hemoglobin; IR, insulin resistance. Lower SPISE and Lower eGDR were sign-reversed so that higher values consistently indicated greater estimated risk. z scores and preprocessing parameters for the new scores were frozen in ELSA development.</w:t>
      </w:r>
    </w:p>
    <w:p w14:paraId="4AD73ACF">
      <w:pPr>
        <w:sectPr>
          <w:pgSz w:w="16834" w:h="11909" w:orient="landscape"/>
          <w:pgMar w:top="792" w:right="691" w:bottom="792" w:left="691" w:header="720" w:footer="720" w:gutter="0"/>
          <w:cols w:space="720" w:num="1"/>
          <w:docGrid w:linePitch="360" w:charSpace="0"/>
        </w:sectPr>
      </w:pPr>
    </w:p>
    <w:p w14:paraId="249F2E9C">
      <w:pPr>
        <w:keepNext/>
        <w:spacing w:before="40" w:after="120"/>
      </w:pPr>
      <w:r>
        <w:rPr>
          <w:rFonts w:ascii="Arial" w:hAnsi="Arial" w:eastAsia="Arial"/>
          <w:b/>
          <w:i w:val="0"/>
          <w:color w:val="1F4E78"/>
          <w:sz w:val="23"/>
        </w:rPr>
        <w:t xml:space="preserve">Table S2. </w:t>
      </w:r>
      <w:r>
        <w:rPr>
          <w:rFonts w:ascii="Arial" w:hAnsi="Arial" w:eastAsia="Arial"/>
          <w:b/>
          <w:i w:val="0"/>
          <w:color w:val="1F1F1F"/>
          <w:sz w:val="23"/>
        </w:rPr>
        <w:t>Variable harmonization, analytic samples, and information completeness across development and validation stages</w:t>
      </w:r>
    </w:p>
    <w:p w14:paraId="2B86EA91">
      <w:pPr>
        <w:keepNext/>
        <w:spacing w:before="140" w:after="80"/>
      </w:pPr>
      <w:r>
        <w:rPr>
          <w:rFonts w:ascii="Arial" w:hAnsi="Arial" w:eastAsia="Arial"/>
          <w:b/>
          <w:i w:val="0"/>
          <w:color w:val="1F4E78"/>
          <w:sz w:val="18"/>
        </w:rPr>
        <w:t>Panel A. Canonical variable registry and reporting format</w:t>
      </w:r>
    </w:p>
    <w:tbl>
      <w:tblPr>
        <w:tblStyle w:val="32"/>
        <w:tblW w:w="0" w:type="auto"/>
        <w:jc w:val="center"/>
        <w:tblLayout w:type="fixed"/>
        <w:tblCellMar>
          <w:top w:w="0" w:type="dxa"/>
          <w:left w:w="108" w:type="dxa"/>
          <w:bottom w:w="0" w:type="dxa"/>
          <w:right w:w="108" w:type="dxa"/>
        </w:tblCellMar>
      </w:tblPr>
      <w:tblGrid>
        <w:gridCol w:w="1316"/>
        <w:gridCol w:w="1316"/>
        <w:gridCol w:w="1316"/>
        <w:gridCol w:w="1316"/>
        <w:gridCol w:w="1316"/>
        <w:gridCol w:w="1316"/>
        <w:gridCol w:w="1316"/>
        <w:gridCol w:w="1316"/>
      </w:tblGrid>
      <w:tr w14:paraId="1813F7BA">
        <w:tblPrEx>
          <w:tblCellMar>
            <w:top w:w="0" w:type="dxa"/>
            <w:left w:w="108" w:type="dxa"/>
            <w:bottom w:w="0" w:type="dxa"/>
            <w:right w:w="108" w:type="dxa"/>
          </w:tblCellMar>
        </w:tblPrEx>
        <w:trPr>
          <w:cantSplit/>
          <w:tblHeader/>
          <w:jc w:val="center"/>
        </w:trPr>
        <w:tc>
          <w:tcPr>
            <w:tcW w:w="64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6E820A8">
            <w:pPr>
              <w:spacing w:before="0" w:after="0" w:line="240" w:lineRule="auto"/>
              <w:jc w:val="center"/>
            </w:pPr>
            <w:r>
              <w:rPr>
                <w:rFonts w:ascii="Arial" w:hAnsi="Arial" w:eastAsia="Arial"/>
                <w:b/>
                <w:i w:val="0"/>
                <w:color w:val="FFFFFF"/>
                <w:sz w:val="13"/>
              </w:rPr>
              <w:t>Order</w:t>
            </w:r>
          </w:p>
        </w:tc>
        <w:tc>
          <w:tcPr>
            <w:tcW w:w="180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0C9DCAD">
            <w:pPr>
              <w:spacing w:before="0" w:after="0" w:line="240" w:lineRule="auto"/>
              <w:jc w:val="center"/>
            </w:pPr>
            <w:r>
              <w:rPr>
                <w:rFonts w:ascii="Arial" w:hAnsi="Arial" w:eastAsia="Arial"/>
                <w:b/>
                <w:i w:val="0"/>
                <w:color w:val="FFFFFF"/>
                <w:sz w:val="13"/>
              </w:rPr>
              <w:t>Layer</w:t>
            </w:r>
          </w:p>
        </w:tc>
        <w:tc>
          <w:tcPr>
            <w:tcW w:w="194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C1F3BDD">
            <w:pPr>
              <w:spacing w:before="0" w:after="0" w:line="240" w:lineRule="auto"/>
              <w:jc w:val="center"/>
            </w:pPr>
            <w:r>
              <w:rPr>
                <w:rFonts w:ascii="Arial" w:hAnsi="Arial" w:eastAsia="Arial"/>
                <w:b/>
                <w:i w:val="0"/>
                <w:color w:val="FFFFFF"/>
                <w:sz w:val="13"/>
              </w:rPr>
              <w:t>Canonical variable</w:t>
            </w:r>
          </w:p>
        </w:tc>
        <w:tc>
          <w:tcPr>
            <w:tcW w:w="208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5E5C352">
            <w:pPr>
              <w:spacing w:before="0" w:after="0" w:line="240" w:lineRule="auto"/>
              <w:jc w:val="center"/>
            </w:pPr>
            <w:r>
              <w:rPr>
                <w:rFonts w:ascii="Arial" w:hAnsi="Arial" w:eastAsia="Arial"/>
                <w:b/>
                <w:i w:val="0"/>
                <w:color w:val="FFFFFF"/>
                <w:sz w:val="13"/>
              </w:rPr>
              <w:t>Display name</w:t>
            </w:r>
          </w:p>
        </w:tc>
        <w:tc>
          <w:tcPr>
            <w:tcW w:w="122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DA3679C">
            <w:pPr>
              <w:spacing w:before="0" w:after="0" w:line="240" w:lineRule="auto"/>
              <w:jc w:val="center"/>
            </w:pPr>
            <w:r>
              <w:rPr>
                <w:rFonts w:ascii="Arial" w:hAnsi="Arial" w:eastAsia="Arial"/>
                <w:b/>
                <w:i w:val="0"/>
                <w:color w:val="FFFFFF"/>
                <w:sz w:val="13"/>
              </w:rPr>
              <w:t>Type</w:t>
            </w:r>
          </w:p>
        </w:tc>
        <w:tc>
          <w:tcPr>
            <w:tcW w:w="1007"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057071E">
            <w:pPr>
              <w:spacing w:before="0" w:after="0" w:line="240" w:lineRule="auto"/>
              <w:jc w:val="center"/>
            </w:pPr>
            <w:r>
              <w:rPr>
                <w:rFonts w:ascii="Arial" w:hAnsi="Arial" w:eastAsia="Arial"/>
                <w:b/>
                <w:i w:val="0"/>
                <w:color w:val="FFFFFF"/>
                <w:sz w:val="13"/>
              </w:rPr>
              <w:t>Unit</w:t>
            </w:r>
          </w:p>
        </w:tc>
        <w:tc>
          <w:tcPr>
            <w:tcW w:w="151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3F70485F">
            <w:pPr>
              <w:spacing w:before="0" w:after="0" w:line="240" w:lineRule="auto"/>
              <w:jc w:val="center"/>
            </w:pPr>
            <w:r>
              <w:rPr>
                <w:rFonts w:ascii="Arial" w:hAnsi="Arial" w:eastAsia="Arial"/>
                <w:b/>
                <w:i w:val="0"/>
                <w:color w:val="FFFFFF"/>
                <w:sz w:val="13"/>
              </w:rPr>
              <w:t>Summary format</w:t>
            </w:r>
          </w:p>
        </w:tc>
        <w:tc>
          <w:tcPr>
            <w:tcW w:w="460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FBDFB3D">
            <w:pPr>
              <w:spacing w:before="0" w:after="0" w:line="240" w:lineRule="auto"/>
              <w:jc w:val="center"/>
            </w:pPr>
            <w:r>
              <w:rPr>
                <w:rFonts w:ascii="Arial" w:hAnsi="Arial" w:eastAsia="Arial"/>
                <w:b/>
                <w:i w:val="0"/>
                <w:color w:val="FFFFFF"/>
                <w:sz w:val="13"/>
              </w:rPr>
              <w:t>Canonical definition</w:t>
            </w:r>
          </w:p>
        </w:tc>
      </w:tr>
      <w:tr w14:paraId="5F2A5977">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178D8B5">
            <w:pPr>
              <w:spacing w:before="0" w:after="0" w:line="240" w:lineRule="auto"/>
              <w:jc w:val="center"/>
            </w:pPr>
            <w:r>
              <w:rPr>
                <w:rFonts w:ascii="Arial" w:hAnsi="Arial" w:eastAsia="Arial"/>
                <w:b w:val="0"/>
                <w:i w:val="0"/>
                <w:color w:val="1F1F1F"/>
                <w:sz w:val="13"/>
              </w:rPr>
              <w:t>1</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636C15A">
            <w:pPr>
              <w:spacing w:before="0" w:after="0" w:line="240" w:lineRule="auto"/>
              <w:jc w:val="left"/>
            </w:pPr>
            <w:r>
              <w:rPr>
                <w:rFonts w:ascii="Arial" w:hAnsi="Arial" w:eastAsia="Arial"/>
                <w:b w:val="0"/>
                <w:i w:val="0"/>
                <w:color w:val="1F1F1F"/>
                <w:sz w:val="13"/>
              </w:rPr>
              <w:t>Clinical</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9C07364">
            <w:pPr>
              <w:spacing w:before="0" w:after="0" w:line="240" w:lineRule="auto"/>
              <w:jc w:val="left"/>
            </w:pPr>
            <w:r>
              <w:rPr>
                <w:rFonts w:ascii="Arial" w:hAnsi="Arial" w:eastAsia="Arial"/>
                <w:b w:val="0"/>
                <w:i w:val="0"/>
                <w:color w:val="1F1F1F"/>
                <w:sz w:val="13"/>
              </w:rPr>
              <w:t>age</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69BF6A2">
            <w:pPr>
              <w:spacing w:before="0" w:after="0" w:line="240" w:lineRule="auto"/>
              <w:jc w:val="left"/>
            </w:pPr>
            <w:r>
              <w:rPr>
                <w:rFonts w:ascii="Arial" w:hAnsi="Arial" w:eastAsia="Arial"/>
                <w:b w:val="0"/>
                <w:i w:val="0"/>
                <w:color w:val="1F1F1F"/>
                <w:sz w:val="13"/>
              </w:rPr>
              <w:t>Age</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D8CB54D">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981470D">
            <w:pPr>
              <w:spacing w:before="0" w:after="0" w:line="240" w:lineRule="auto"/>
              <w:jc w:val="center"/>
            </w:pPr>
            <w:r>
              <w:rPr>
                <w:rFonts w:ascii="Arial" w:hAnsi="Arial" w:eastAsia="Arial"/>
                <w:b w:val="0"/>
                <w:i w:val="0"/>
                <w:color w:val="1F1F1F"/>
                <w:sz w:val="13"/>
              </w:rPr>
              <w:t>years</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95E5404">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EE0A7C3">
            <w:pPr>
              <w:spacing w:before="0" w:after="0" w:line="240" w:lineRule="auto"/>
              <w:jc w:val="left"/>
            </w:pPr>
            <w:r>
              <w:rPr>
                <w:rFonts w:ascii="Arial" w:hAnsi="Arial" w:eastAsia="Arial"/>
                <w:b w:val="0"/>
                <w:i w:val="0"/>
                <w:color w:val="1F1F1F"/>
                <w:sz w:val="13"/>
              </w:rPr>
              <w:t>Age at the baseline landmark</w:t>
            </w:r>
          </w:p>
        </w:tc>
      </w:tr>
      <w:tr w14:paraId="641A842E">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5DF9A6C">
            <w:pPr>
              <w:spacing w:before="0" w:after="0" w:line="240" w:lineRule="auto"/>
              <w:jc w:val="center"/>
            </w:pPr>
            <w:r>
              <w:rPr>
                <w:rFonts w:ascii="Arial" w:hAnsi="Arial" w:eastAsia="Arial"/>
                <w:b w:val="0"/>
                <w:i w:val="0"/>
                <w:color w:val="1F1F1F"/>
                <w:sz w:val="13"/>
              </w:rPr>
              <w:t>2</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2C2075A">
            <w:pPr>
              <w:spacing w:before="0" w:after="0" w:line="240" w:lineRule="auto"/>
              <w:jc w:val="left"/>
            </w:pPr>
            <w:r>
              <w:rPr>
                <w:rFonts w:ascii="Arial" w:hAnsi="Arial" w:eastAsia="Arial"/>
                <w:b w:val="0"/>
                <w:i w:val="0"/>
                <w:color w:val="1F1F1F"/>
                <w:sz w:val="13"/>
              </w:rPr>
              <w:t>Clinical</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3724267">
            <w:pPr>
              <w:spacing w:before="0" w:after="0" w:line="240" w:lineRule="auto"/>
              <w:jc w:val="left"/>
            </w:pPr>
            <w:r>
              <w:rPr>
                <w:rFonts w:ascii="Arial" w:hAnsi="Arial" w:eastAsia="Arial"/>
                <w:b w:val="0"/>
                <w:i w:val="0"/>
                <w:color w:val="1F1F1F"/>
                <w:sz w:val="13"/>
              </w:rPr>
              <w:t>female</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2E7E007">
            <w:pPr>
              <w:spacing w:before="0" w:after="0" w:line="240" w:lineRule="auto"/>
              <w:jc w:val="left"/>
            </w:pPr>
            <w:r>
              <w:rPr>
                <w:rFonts w:ascii="Arial" w:hAnsi="Arial" w:eastAsia="Arial"/>
                <w:b w:val="0"/>
                <w:i w:val="0"/>
                <w:color w:val="1F1F1F"/>
                <w:sz w:val="13"/>
              </w:rPr>
              <w:t>Female sex</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91C0B95">
            <w:pPr>
              <w:spacing w:before="0" w:after="0" w:line="240" w:lineRule="auto"/>
              <w:jc w:val="center"/>
            </w:pPr>
            <w:r>
              <w:rPr>
                <w:rFonts w:ascii="Arial" w:hAnsi="Arial" w:eastAsia="Arial"/>
                <w:b w:val="0"/>
                <w:i w:val="0"/>
                <w:color w:val="1F1F1F"/>
                <w:sz w:val="13"/>
              </w:rPr>
              <w:t>Binary</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55D0E42">
            <w:pPr>
              <w:spacing w:before="0" w:after="0" w:line="240" w:lineRule="auto"/>
              <w:jc w:val="center"/>
            </w:pPr>
            <w:r>
              <w:rPr>
                <w:rFonts w:ascii="Arial" w:hAnsi="Arial" w:eastAsia="Arial"/>
                <w:b w:val="0"/>
                <w:i w:val="0"/>
                <w:color w:val="1F1F1F"/>
                <w:sz w:val="13"/>
              </w:rPr>
              <w:t>0/1</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56C6293">
            <w:pPr>
              <w:spacing w:before="0" w:after="0" w:line="240" w:lineRule="auto"/>
              <w:jc w:val="center"/>
            </w:pPr>
            <w:r>
              <w:rPr>
                <w:rFonts w:ascii="Arial" w:hAnsi="Arial" w:eastAsia="Arial"/>
                <w:b w:val="0"/>
                <w:i w:val="0"/>
                <w:color w:val="1F1F1F"/>
                <w:sz w:val="13"/>
              </w:rPr>
              <w:t>n (%)</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C96954E">
            <w:pPr>
              <w:spacing w:before="0" w:after="0" w:line="240" w:lineRule="auto"/>
              <w:jc w:val="left"/>
            </w:pPr>
            <w:r>
              <w:rPr>
                <w:rFonts w:ascii="Arial" w:hAnsi="Arial" w:eastAsia="Arial"/>
                <w:b w:val="0"/>
                <w:i w:val="0"/>
                <w:color w:val="1F1F1F"/>
                <w:sz w:val="13"/>
              </w:rPr>
              <w:t>Female sex</w:t>
            </w:r>
          </w:p>
        </w:tc>
      </w:tr>
      <w:tr w14:paraId="3F96E412">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54E4928">
            <w:pPr>
              <w:spacing w:before="0" w:after="0" w:line="240" w:lineRule="auto"/>
              <w:jc w:val="center"/>
            </w:pPr>
            <w:r>
              <w:rPr>
                <w:rFonts w:ascii="Arial" w:hAnsi="Arial" w:eastAsia="Arial"/>
                <w:b w:val="0"/>
                <w:i w:val="0"/>
                <w:color w:val="1F1F1F"/>
                <w:sz w:val="13"/>
              </w:rPr>
              <w:t>3</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57B09CA">
            <w:pPr>
              <w:spacing w:before="0" w:after="0" w:line="240" w:lineRule="auto"/>
              <w:jc w:val="left"/>
            </w:pPr>
            <w:r>
              <w:rPr>
                <w:rFonts w:ascii="Arial" w:hAnsi="Arial" w:eastAsia="Arial"/>
                <w:b w:val="0"/>
                <w:i w:val="0"/>
                <w:color w:val="1F1F1F"/>
                <w:sz w:val="13"/>
              </w:rPr>
              <w:t>Clinical</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0FC135F">
            <w:pPr>
              <w:spacing w:before="0" w:after="0" w:line="240" w:lineRule="auto"/>
              <w:jc w:val="left"/>
            </w:pPr>
            <w:r>
              <w:rPr>
                <w:rFonts w:ascii="Arial" w:hAnsi="Arial" w:eastAsia="Arial"/>
                <w:b w:val="0"/>
                <w:i w:val="0"/>
                <w:color w:val="1F1F1F"/>
                <w:sz w:val="13"/>
              </w:rPr>
              <w:t>education</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AFD5E19">
            <w:pPr>
              <w:spacing w:before="0" w:after="0" w:line="240" w:lineRule="auto"/>
              <w:jc w:val="left"/>
            </w:pPr>
            <w:r>
              <w:rPr>
                <w:rFonts w:ascii="Arial" w:hAnsi="Arial" w:eastAsia="Arial"/>
                <w:b w:val="0"/>
                <w:i w:val="0"/>
                <w:color w:val="1F1F1F"/>
                <w:sz w:val="13"/>
              </w:rPr>
              <w:t>Education level</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C5EFBE0">
            <w:pPr>
              <w:spacing w:before="0" w:after="0" w:line="240" w:lineRule="auto"/>
              <w:jc w:val="center"/>
            </w:pPr>
            <w:r>
              <w:rPr>
                <w:rFonts w:ascii="Arial" w:hAnsi="Arial" w:eastAsia="Arial"/>
                <w:b w:val="0"/>
                <w:i w:val="0"/>
                <w:color w:val="1F1F1F"/>
                <w:sz w:val="13"/>
              </w:rPr>
              <w:t>Categorical</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B2C357F">
            <w:pPr>
              <w:spacing w:before="0" w:after="0" w:line="240" w:lineRule="auto"/>
              <w:jc w:val="center"/>
            </w:pPr>
            <w:r>
              <w:rPr>
                <w:rFonts w:ascii="Arial" w:hAnsi="Arial" w:eastAsia="Arial"/>
                <w:b w:val="0"/>
                <w:i w:val="0"/>
                <w:color w:val="1F1F1F"/>
                <w:sz w:val="13"/>
              </w:rPr>
              <w:t>1/2/3</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5F07815">
            <w:pPr>
              <w:spacing w:before="0" w:after="0" w:line="240" w:lineRule="auto"/>
              <w:jc w:val="center"/>
            </w:pPr>
            <w:r>
              <w:rPr>
                <w:rFonts w:ascii="Arial" w:hAnsi="Arial" w:eastAsia="Arial"/>
                <w:b w:val="0"/>
                <w:i w:val="0"/>
                <w:color w:val="1F1F1F"/>
                <w:sz w:val="13"/>
              </w:rPr>
              <w:t>n (%)</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596E841">
            <w:pPr>
              <w:spacing w:before="0" w:after="0" w:line="240" w:lineRule="auto"/>
              <w:jc w:val="left"/>
            </w:pPr>
            <w:r>
              <w:rPr>
                <w:rFonts w:ascii="Arial" w:hAnsi="Arial" w:eastAsia="Arial"/>
                <w:b w:val="0"/>
                <w:i w:val="0"/>
                <w:color w:val="1F1F1F"/>
                <w:sz w:val="13"/>
              </w:rPr>
              <w:t>Harmonized low / middle / high education category</w:t>
            </w:r>
          </w:p>
        </w:tc>
      </w:tr>
      <w:tr w14:paraId="01FCD293">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64565C4">
            <w:pPr>
              <w:spacing w:before="0" w:after="0" w:line="240" w:lineRule="auto"/>
              <w:jc w:val="center"/>
            </w:pPr>
            <w:r>
              <w:rPr>
                <w:rFonts w:ascii="Arial" w:hAnsi="Arial" w:eastAsia="Arial"/>
                <w:b w:val="0"/>
                <w:i w:val="0"/>
                <w:color w:val="1F1F1F"/>
                <w:sz w:val="13"/>
              </w:rPr>
              <w:t>4</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497075E">
            <w:pPr>
              <w:spacing w:before="0" w:after="0" w:line="240" w:lineRule="auto"/>
              <w:jc w:val="left"/>
            </w:pPr>
            <w:r>
              <w:rPr>
                <w:rFonts w:ascii="Arial" w:hAnsi="Arial" w:eastAsia="Arial"/>
                <w:b w:val="0"/>
                <w:i w:val="0"/>
                <w:color w:val="1F1F1F"/>
                <w:sz w:val="13"/>
              </w:rPr>
              <w:t>Clinical</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6B21719">
            <w:pPr>
              <w:spacing w:before="0" w:after="0" w:line="240" w:lineRule="auto"/>
              <w:jc w:val="left"/>
            </w:pPr>
            <w:r>
              <w:rPr>
                <w:rFonts w:ascii="Arial" w:hAnsi="Arial" w:eastAsia="Arial"/>
                <w:b w:val="0"/>
                <w:i w:val="0"/>
                <w:color w:val="1F1F1F"/>
                <w:sz w:val="13"/>
              </w:rPr>
              <w:t>smoker</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A8375A4">
            <w:pPr>
              <w:spacing w:before="0" w:after="0" w:line="240" w:lineRule="auto"/>
              <w:jc w:val="left"/>
            </w:pPr>
            <w:r>
              <w:rPr>
                <w:rFonts w:ascii="Arial" w:hAnsi="Arial" w:eastAsia="Arial"/>
                <w:b w:val="0"/>
                <w:i w:val="0"/>
                <w:color w:val="1F1F1F"/>
                <w:sz w:val="13"/>
              </w:rPr>
              <w:t>Current smoking</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42A1A7B">
            <w:pPr>
              <w:spacing w:before="0" w:after="0" w:line="240" w:lineRule="auto"/>
              <w:jc w:val="center"/>
            </w:pPr>
            <w:r>
              <w:rPr>
                <w:rFonts w:ascii="Arial" w:hAnsi="Arial" w:eastAsia="Arial"/>
                <w:b w:val="0"/>
                <w:i w:val="0"/>
                <w:color w:val="1F1F1F"/>
                <w:sz w:val="13"/>
              </w:rPr>
              <w:t>Binary</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2DAC944">
            <w:pPr>
              <w:spacing w:before="0" w:after="0" w:line="240" w:lineRule="auto"/>
              <w:jc w:val="center"/>
            </w:pPr>
            <w:r>
              <w:rPr>
                <w:rFonts w:ascii="Arial" w:hAnsi="Arial" w:eastAsia="Arial"/>
                <w:b w:val="0"/>
                <w:i w:val="0"/>
                <w:color w:val="1F1F1F"/>
                <w:sz w:val="13"/>
              </w:rPr>
              <w:t>0/1</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9A310A4">
            <w:pPr>
              <w:spacing w:before="0" w:after="0" w:line="240" w:lineRule="auto"/>
              <w:jc w:val="center"/>
            </w:pPr>
            <w:r>
              <w:rPr>
                <w:rFonts w:ascii="Arial" w:hAnsi="Arial" w:eastAsia="Arial"/>
                <w:b w:val="0"/>
                <w:i w:val="0"/>
                <w:color w:val="1F1F1F"/>
                <w:sz w:val="13"/>
              </w:rPr>
              <w:t>n (%)</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5C185FC">
            <w:pPr>
              <w:spacing w:before="0" w:after="0" w:line="240" w:lineRule="auto"/>
              <w:jc w:val="left"/>
            </w:pPr>
            <w:r>
              <w:rPr>
                <w:rFonts w:ascii="Arial" w:hAnsi="Arial" w:eastAsia="Arial"/>
                <w:b w:val="0"/>
                <w:i w:val="0"/>
                <w:color w:val="1F1F1F"/>
                <w:sz w:val="13"/>
              </w:rPr>
              <w:t>Current smoking at baseline</w:t>
            </w:r>
          </w:p>
        </w:tc>
      </w:tr>
      <w:tr w14:paraId="6E9E479C">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ABDE7EE">
            <w:pPr>
              <w:spacing w:before="0" w:after="0" w:line="240" w:lineRule="auto"/>
              <w:jc w:val="center"/>
            </w:pPr>
            <w:r>
              <w:rPr>
                <w:rFonts w:ascii="Arial" w:hAnsi="Arial" w:eastAsia="Arial"/>
                <w:b w:val="0"/>
                <w:i w:val="0"/>
                <w:color w:val="1F1F1F"/>
                <w:sz w:val="13"/>
              </w:rPr>
              <w:t>5</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EEEB4DB">
            <w:pPr>
              <w:spacing w:before="0" w:after="0" w:line="240" w:lineRule="auto"/>
              <w:jc w:val="left"/>
            </w:pPr>
            <w:r>
              <w:rPr>
                <w:rFonts w:ascii="Arial" w:hAnsi="Arial" w:eastAsia="Arial"/>
                <w:b w:val="0"/>
                <w:i w:val="0"/>
                <w:color w:val="1F1F1F"/>
                <w:sz w:val="13"/>
              </w:rPr>
              <w:t>Clinical</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A9FE614">
            <w:pPr>
              <w:spacing w:before="0" w:after="0" w:line="240" w:lineRule="auto"/>
              <w:jc w:val="left"/>
            </w:pPr>
            <w:r>
              <w:rPr>
                <w:rFonts w:ascii="Arial" w:hAnsi="Arial" w:eastAsia="Arial"/>
                <w:b w:val="0"/>
                <w:i w:val="0"/>
                <w:color w:val="1F1F1F"/>
                <w:sz w:val="13"/>
              </w:rPr>
              <w:t>hypertension</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1C49589">
            <w:pPr>
              <w:spacing w:before="0" w:after="0" w:line="240" w:lineRule="auto"/>
              <w:jc w:val="left"/>
            </w:pPr>
            <w:r>
              <w:rPr>
                <w:rFonts w:ascii="Arial" w:hAnsi="Arial" w:eastAsia="Arial"/>
                <w:b w:val="0"/>
                <w:i w:val="0"/>
                <w:color w:val="1F1F1F"/>
                <w:sz w:val="13"/>
              </w:rPr>
              <w:t>Hypertension</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BA9D358">
            <w:pPr>
              <w:spacing w:before="0" w:after="0" w:line="240" w:lineRule="auto"/>
              <w:jc w:val="center"/>
            </w:pPr>
            <w:r>
              <w:rPr>
                <w:rFonts w:ascii="Arial" w:hAnsi="Arial" w:eastAsia="Arial"/>
                <w:b w:val="0"/>
                <w:i w:val="0"/>
                <w:color w:val="1F1F1F"/>
                <w:sz w:val="13"/>
              </w:rPr>
              <w:t>Binary</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F4B63DF">
            <w:pPr>
              <w:spacing w:before="0" w:after="0" w:line="240" w:lineRule="auto"/>
              <w:jc w:val="center"/>
            </w:pPr>
            <w:r>
              <w:rPr>
                <w:rFonts w:ascii="Arial" w:hAnsi="Arial" w:eastAsia="Arial"/>
                <w:b w:val="0"/>
                <w:i w:val="0"/>
                <w:color w:val="1F1F1F"/>
                <w:sz w:val="13"/>
              </w:rPr>
              <w:t>0/1</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26CA17E">
            <w:pPr>
              <w:spacing w:before="0" w:after="0" w:line="240" w:lineRule="auto"/>
              <w:jc w:val="center"/>
            </w:pPr>
            <w:r>
              <w:rPr>
                <w:rFonts w:ascii="Arial" w:hAnsi="Arial" w:eastAsia="Arial"/>
                <w:b w:val="0"/>
                <w:i w:val="0"/>
                <w:color w:val="1F1F1F"/>
                <w:sz w:val="13"/>
              </w:rPr>
              <w:t>n (%)</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66A03D0">
            <w:pPr>
              <w:spacing w:before="0" w:after="0" w:line="240" w:lineRule="auto"/>
              <w:jc w:val="left"/>
            </w:pPr>
            <w:r>
              <w:rPr>
                <w:rFonts w:ascii="Arial" w:hAnsi="Arial" w:eastAsia="Arial"/>
                <w:b w:val="0"/>
                <w:i w:val="0"/>
                <w:color w:val="1F1F1F"/>
                <w:sz w:val="13"/>
              </w:rPr>
              <w:t>Doctor-diagnosed or measured hypertension at baseline</w:t>
            </w:r>
          </w:p>
        </w:tc>
      </w:tr>
      <w:tr w14:paraId="6D3923B8">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809677F">
            <w:pPr>
              <w:spacing w:before="0" w:after="0" w:line="240" w:lineRule="auto"/>
              <w:jc w:val="center"/>
            </w:pPr>
            <w:r>
              <w:rPr>
                <w:rFonts w:ascii="Arial" w:hAnsi="Arial" w:eastAsia="Arial"/>
                <w:b w:val="0"/>
                <w:i w:val="0"/>
                <w:color w:val="1F1F1F"/>
                <w:sz w:val="13"/>
              </w:rPr>
              <w:t>6</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CF62DD3">
            <w:pPr>
              <w:spacing w:before="0" w:after="0" w:line="240" w:lineRule="auto"/>
              <w:jc w:val="left"/>
            </w:pPr>
            <w:r>
              <w:rPr>
                <w:rFonts w:ascii="Arial" w:hAnsi="Arial" w:eastAsia="Arial"/>
                <w:b w:val="0"/>
                <w:i w:val="0"/>
                <w:color w:val="1F1F1F"/>
                <w:sz w:val="13"/>
              </w:rPr>
              <w:t>Clinical</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BF8F2B3">
            <w:pPr>
              <w:spacing w:before="0" w:after="0" w:line="240" w:lineRule="auto"/>
              <w:jc w:val="left"/>
            </w:pPr>
            <w:r>
              <w:rPr>
                <w:rFonts w:ascii="Arial" w:hAnsi="Arial" w:eastAsia="Arial"/>
                <w:b w:val="0"/>
                <w:i w:val="0"/>
                <w:color w:val="1F1F1F"/>
                <w:sz w:val="13"/>
              </w:rPr>
              <w:t>baseline_diabetes</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556B17A">
            <w:pPr>
              <w:spacing w:before="0" w:after="0" w:line="240" w:lineRule="auto"/>
              <w:jc w:val="left"/>
            </w:pPr>
            <w:r>
              <w:rPr>
                <w:rFonts w:ascii="Arial" w:hAnsi="Arial" w:eastAsia="Arial"/>
                <w:b w:val="0"/>
                <w:i w:val="0"/>
                <w:color w:val="1F1F1F"/>
                <w:sz w:val="13"/>
              </w:rPr>
              <w:t>Diabetes</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F5E8037">
            <w:pPr>
              <w:spacing w:before="0" w:after="0" w:line="240" w:lineRule="auto"/>
              <w:jc w:val="center"/>
            </w:pPr>
            <w:r>
              <w:rPr>
                <w:rFonts w:ascii="Arial" w:hAnsi="Arial" w:eastAsia="Arial"/>
                <w:b w:val="0"/>
                <w:i w:val="0"/>
                <w:color w:val="1F1F1F"/>
                <w:sz w:val="13"/>
              </w:rPr>
              <w:t>Binary</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FA52F8F">
            <w:pPr>
              <w:spacing w:before="0" w:after="0" w:line="240" w:lineRule="auto"/>
              <w:jc w:val="center"/>
            </w:pPr>
            <w:r>
              <w:rPr>
                <w:rFonts w:ascii="Arial" w:hAnsi="Arial" w:eastAsia="Arial"/>
                <w:b w:val="0"/>
                <w:i w:val="0"/>
                <w:color w:val="1F1F1F"/>
                <w:sz w:val="13"/>
              </w:rPr>
              <w:t>0/1</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CDF6C57">
            <w:pPr>
              <w:spacing w:before="0" w:after="0" w:line="240" w:lineRule="auto"/>
              <w:jc w:val="center"/>
            </w:pPr>
            <w:r>
              <w:rPr>
                <w:rFonts w:ascii="Arial" w:hAnsi="Arial" w:eastAsia="Arial"/>
                <w:b w:val="0"/>
                <w:i w:val="0"/>
                <w:color w:val="1F1F1F"/>
                <w:sz w:val="13"/>
              </w:rPr>
              <w:t>n (%)</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5225D2D">
            <w:pPr>
              <w:spacing w:before="0" w:after="0" w:line="240" w:lineRule="auto"/>
              <w:jc w:val="left"/>
            </w:pPr>
            <w:r>
              <w:rPr>
                <w:rFonts w:ascii="Arial" w:hAnsi="Arial" w:eastAsia="Arial"/>
                <w:b w:val="0"/>
                <w:i w:val="0"/>
                <w:color w:val="1F1F1F"/>
                <w:sz w:val="13"/>
              </w:rPr>
              <w:t>Doctor-diagnosed diabetes at baseline</w:t>
            </w:r>
          </w:p>
        </w:tc>
      </w:tr>
      <w:tr w14:paraId="2151058F">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818A8B5">
            <w:pPr>
              <w:spacing w:before="0" w:after="0" w:line="240" w:lineRule="auto"/>
              <w:jc w:val="center"/>
            </w:pPr>
            <w:r>
              <w:rPr>
                <w:rFonts w:ascii="Arial" w:hAnsi="Arial" w:eastAsia="Arial"/>
                <w:b w:val="0"/>
                <w:i w:val="0"/>
                <w:color w:val="1F1F1F"/>
                <w:sz w:val="13"/>
              </w:rPr>
              <w:t>7</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78E3611">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A6313E3">
            <w:pPr>
              <w:spacing w:before="0" w:after="0" w:line="240" w:lineRule="auto"/>
              <w:jc w:val="left"/>
            </w:pPr>
            <w:r>
              <w:rPr>
                <w:rFonts w:ascii="Arial" w:hAnsi="Arial" w:eastAsia="Arial"/>
                <w:b w:val="0"/>
                <w:i w:val="0"/>
                <w:color w:val="1F1F1F"/>
                <w:sz w:val="13"/>
              </w:rPr>
              <w:t>bmi</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7A67F45">
            <w:pPr>
              <w:spacing w:before="0" w:after="0" w:line="240" w:lineRule="auto"/>
              <w:jc w:val="left"/>
            </w:pPr>
            <w:r>
              <w:rPr>
                <w:rFonts w:ascii="Arial" w:hAnsi="Arial" w:eastAsia="Arial"/>
                <w:b w:val="0"/>
                <w:i w:val="0"/>
                <w:color w:val="1F1F1F"/>
                <w:sz w:val="13"/>
              </w:rPr>
              <w:t>Body mass index</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0B8EF3D">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886EE28">
            <w:pPr>
              <w:spacing w:before="0" w:after="0" w:line="240" w:lineRule="auto"/>
              <w:jc w:val="center"/>
            </w:pPr>
            <w:r>
              <w:rPr>
                <w:rFonts w:ascii="Arial" w:hAnsi="Arial" w:eastAsia="Arial"/>
                <w:b w:val="0"/>
                <w:i w:val="0"/>
                <w:color w:val="1F1F1F"/>
                <w:sz w:val="13"/>
              </w:rPr>
              <w:t>kg/m²</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3995D0B">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E9A0075">
            <w:pPr>
              <w:spacing w:before="0" w:after="0" w:line="240" w:lineRule="auto"/>
              <w:jc w:val="left"/>
            </w:pPr>
            <w:r>
              <w:rPr>
                <w:rFonts w:ascii="Arial" w:hAnsi="Arial" w:eastAsia="Arial"/>
                <w:b w:val="0"/>
                <w:i w:val="0"/>
                <w:color w:val="1F1F1F"/>
                <w:sz w:val="13"/>
              </w:rPr>
              <w:t>Body mass index</w:t>
            </w:r>
          </w:p>
        </w:tc>
      </w:tr>
      <w:tr w14:paraId="35B7AF0A">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3F7AEAC">
            <w:pPr>
              <w:spacing w:before="0" w:after="0" w:line="240" w:lineRule="auto"/>
              <w:jc w:val="center"/>
            </w:pPr>
            <w:r>
              <w:rPr>
                <w:rFonts w:ascii="Arial" w:hAnsi="Arial" w:eastAsia="Arial"/>
                <w:b w:val="0"/>
                <w:i w:val="0"/>
                <w:color w:val="1F1F1F"/>
                <w:sz w:val="13"/>
              </w:rPr>
              <w:t>8</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92F39A9">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3B48910">
            <w:pPr>
              <w:spacing w:before="0" w:after="0" w:line="240" w:lineRule="auto"/>
              <w:jc w:val="left"/>
            </w:pPr>
            <w:r>
              <w:rPr>
                <w:rFonts w:ascii="Arial" w:hAnsi="Arial" w:eastAsia="Arial"/>
                <w:b w:val="0"/>
                <w:i w:val="0"/>
                <w:color w:val="1F1F1F"/>
                <w:sz w:val="13"/>
              </w:rPr>
              <w:t>waist_cm</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6D718D2">
            <w:pPr>
              <w:spacing w:before="0" w:after="0" w:line="240" w:lineRule="auto"/>
              <w:jc w:val="left"/>
            </w:pPr>
            <w:r>
              <w:rPr>
                <w:rFonts w:ascii="Arial" w:hAnsi="Arial" w:eastAsia="Arial"/>
                <w:b w:val="0"/>
                <w:i w:val="0"/>
                <w:color w:val="1F1F1F"/>
                <w:sz w:val="13"/>
              </w:rPr>
              <w:t>Waist circumference</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FFC47E9">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8B851F2">
            <w:pPr>
              <w:spacing w:before="0" w:after="0" w:line="240" w:lineRule="auto"/>
              <w:jc w:val="center"/>
            </w:pPr>
            <w:r>
              <w:rPr>
                <w:rFonts w:ascii="Arial" w:hAnsi="Arial" w:eastAsia="Arial"/>
                <w:b w:val="0"/>
                <w:i w:val="0"/>
                <w:color w:val="1F1F1F"/>
                <w:sz w:val="13"/>
              </w:rPr>
              <w:t>cm</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25AA464">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00A3CB8">
            <w:pPr>
              <w:spacing w:before="0" w:after="0" w:line="240" w:lineRule="auto"/>
              <w:jc w:val="left"/>
            </w:pPr>
            <w:r>
              <w:rPr>
                <w:rFonts w:ascii="Arial" w:hAnsi="Arial" w:eastAsia="Arial"/>
                <w:b w:val="0"/>
                <w:i w:val="0"/>
                <w:color w:val="1F1F1F"/>
                <w:sz w:val="13"/>
              </w:rPr>
              <w:t>Measured waist circumference</w:t>
            </w:r>
          </w:p>
        </w:tc>
      </w:tr>
      <w:tr w14:paraId="7D4DA74F">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A0D1BC6">
            <w:pPr>
              <w:spacing w:before="0" w:after="0" w:line="240" w:lineRule="auto"/>
              <w:jc w:val="center"/>
            </w:pPr>
            <w:r>
              <w:rPr>
                <w:rFonts w:ascii="Arial" w:hAnsi="Arial" w:eastAsia="Arial"/>
                <w:b w:val="0"/>
                <w:i w:val="0"/>
                <w:color w:val="1F1F1F"/>
                <w:sz w:val="13"/>
              </w:rPr>
              <w:t>9</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A2A7648">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8E6B9F8">
            <w:pPr>
              <w:spacing w:before="0" w:after="0" w:line="240" w:lineRule="auto"/>
              <w:jc w:val="left"/>
            </w:pPr>
            <w:r>
              <w:rPr>
                <w:rFonts w:ascii="Arial" w:hAnsi="Arial" w:eastAsia="Arial"/>
                <w:b w:val="0"/>
                <w:i w:val="0"/>
                <w:color w:val="1F1F1F"/>
                <w:sz w:val="13"/>
              </w:rPr>
              <w:t>height_cm</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95DC68A">
            <w:pPr>
              <w:spacing w:before="0" w:after="0" w:line="240" w:lineRule="auto"/>
              <w:jc w:val="left"/>
            </w:pPr>
            <w:r>
              <w:rPr>
                <w:rFonts w:ascii="Arial" w:hAnsi="Arial" w:eastAsia="Arial"/>
                <w:b w:val="0"/>
                <w:i w:val="0"/>
                <w:color w:val="1F1F1F"/>
                <w:sz w:val="13"/>
              </w:rPr>
              <w:t>Height</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74E3B40">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5415449">
            <w:pPr>
              <w:spacing w:before="0" w:after="0" w:line="240" w:lineRule="auto"/>
              <w:jc w:val="center"/>
            </w:pPr>
            <w:r>
              <w:rPr>
                <w:rFonts w:ascii="Arial" w:hAnsi="Arial" w:eastAsia="Arial"/>
                <w:b w:val="0"/>
                <w:i w:val="0"/>
                <w:color w:val="1F1F1F"/>
                <w:sz w:val="13"/>
              </w:rPr>
              <w:t>cm</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96FFFD0">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7B466E5">
            <w:pPr>
              <w:spacing w:before="0" w:after="0" w:line="240" w:lineRule="auto"/>
              <w:jc w:val="left"/>
            </w:pPr>
            <w:r>
              <w:rPr>
                <w:rFonts w:ascii="Arial" w:hAnsi="Arial" w:eastAsia="Arial"/>
                <w:b w:val="0"/>
                <w:i w:val="0"/>
                <w:color w:val="1F1F1F"/>
                <w:sz w:val="13"/>
              </w:rPr>
              <w:t>Measured height</w:t>
            </w:r>
          </w:p>
        </w:tc>
      </w:tr>
      <w:tr w14:paraId="66C7E5B1">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519D0C2">
            <w:pPr>
              <w:spacing w:before="0" w:after="0" w:line="240" w:lineRule="auto"/>
              <w:jc w:val="center"/>
            </w:pPr>
            <w:r>
              <w:rPr>
                <w:rFonts w:ascii="Arial" w:hAnsi="Arial" w:eastAsia="Arial"/>
                <w:b w:val="0"/>
                <w:i w:val="0"/>
                <w:color w:val="1F1F1F"/>
                <w:sz w:val="13"/>
              </w:rPr>
              <w:t>10</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D09CF4D">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BD83AFB">
            <w:pPr>
              <w:spacing w:before="0" w:after="0" w:line="240" w:lineRule="auto"/>
              <w:jc w:val="left"/>
            </w:pPr>
            <w:r>
              <w:rPr>
                <w:rFonts w:ascii="Arial" w:hAnsi="Arial" w:eastAsia="Arial"/>
                <w:b w:val="0"/>
                <w:i w:val="0"/>
                <w:color w:val="1F1F1F"/>
                <w:sz w:val="13"/>
              </w:rPr>
              <w:t>sbp</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807965D">
            <w:pPr>
              <w:spacing w:before="0" w:after="0" w:line="240" w:lineRule="auto"/>
              <w:jc w:val="left"/>
            </w:pPr>
            <w:r>
              <w:rPr>
                <w:rFonts w:ascii="Arial" w:hAnsi="Arial" w:eastAsia="Arial"/>
                <w:b w:val="0"/>
                <w:i w:val="0"/>
                <w:color w:val="1F1F1F"/>
                <w:sz w:val="13"/>
              </w:rPr>
              <w:t>Systolic blood pressure</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0043262">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0F63F71">
            <w:pPr>
              <w:spacing w:before="0" w:after="0" w:line="240" w:lineRule="auto"/>
              <w:jc w:val="center"/>
            </w:pPr>
            <w:r>
              <w:rPr>
                <w:rFonts w:ascii="Arial" w:hAnsi="Arial" w:eastAsia="Arial"/>
                <w:b w:val="0"/>
                <w:i w:val="0"/>
                <w:color w:val="1F1F1F"/>
                <w:sz w:val="13"/>
              </w:rPr>
              <w:t>mmHg</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11F7BD0">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DA5B51B">
            <w:pPr>
              <w:spacing w:before="0" w:after="0" w:line="240" w:lineRule="auto"/>
              <w:jc w:val="left"/>
            </w:pPr>
            <w:r>
              <w:rPr>
                <w:rFonts w:ascii="Arial" w:hAnsi="Arial" w:eastAsia="Arial"/>
                <w:b w:val="0"/>
                <w:i w:val="0"/>
                <w:color w:val="1F1F1F"/>
                <w:sz w:val="13"/>
              </w:rPr>
              <w:t>Measured systolic blood pressure</w:t>
            </w:r>
          </w:p>
        </w:tc>
      </w:tr>
      <w:tr w14:paraId="77AB4CAC">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CF33D19">
            <w:pPr>
              <w:spacing w:before="0" w:after="0" w:line="240" w:lineRule="auto"/>
              <w:jc w:val="center"/>
            </w:pPr>
            <w:r>
              <w:rPr>
                <w:rFonts w:ascii="Arial" w:hAnsi="Arial" w:eastAsia="Arial"/>
                <w:b w:val="0"/>
                <w:i w:val="0"/>
                <w:color w:val="1F1F1F"/>
                <w:sz w:val="13"/>
              </w:rPr>
              <w:t>11</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BDFC375">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D27B463">
            <w:pPr>
              <w:spacing w:before="0" w:after="0" w:line="240" w:lineRule="auto"/>
              <w:jc w:val="left"/>
            </w:pPr>
            <w:r>
              <w:rPr>
                <w:rFonts w:ascii="Arial" w:hAnsi="Arial" w:eastAsia="Arial"/>
                <w:b w:val="0"/>
                <w:i w:val="0"/>
                <w:color w:val="1F1F1F"/>
                <w:sz w:val="13"/>
              </w:rPr>
              <w:t>dbp</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D601E3C">
            <w:pPr>
              <w:spacing w:before="0" w:after="0" w:line="240" w:lineRule="auto"/>
              <w:jc w:val="left"/>
            </w:pPr>
            <w:r>
              <w:rPr>
                <w:rFonts w:ascii="Arial" w:hAnsi="Arial" w:eastAsia="Arial"/>
                <w:b w:val="0"/>
                <w:i w:val="0"/>
                <w:color w:val="1F1F1F"/>
                <w:sz w:val="13"/>
              </w:rPr>
              <w:t>Diastolic blood pressure</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57F0292">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6A08055">
            <w:pPr>
              <w:spacing w:before="0" w:after="0" w:line="240" w:lineRule="auto"/>
              <w:jc w:val="center"/>
            </w:pPr>
            <w:r>
              <w:rPr>
                <w:rFonts w:ascii="Arial" w:hAnsi="Arial" w:eastAsia="Arial"/>
                <w:b w:val="0"/>
                <w:i w:val="0"/>
                <w:color w:val="1F1F1F"/>
                <w:sz w:val="13"/>
              </w:rPr>
              <w:t>mmHg</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19D6489">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65EA953">
            <w:pPr>
              <w:spacing w:before="0" w:after="0" w:line="240" w:lineRule="auto"/>
              <w:jc w:val="left"/>
            </w:pPr>
            <w:r>
              <w:rPr>
                <w:rFonts w:ascii="Arial" w:hAnsi="Arial" w:eastAsia="Arial"/>
                <w:b w:val="0"/>
                <w:i w:val="0"/>
                <w:color w:val="1F1F1F"/>
                <w:sz w:val="13"/>
              </w:rPr>
              <w:t>Measured diastolic blood pressure</w:t>
            </w:r>
          </w:p>
        </w:tc>
      </w:tr>
      <w:tr w14:paraId="0C543DA0">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607AB77">
            <w:pPr>
              <w:spacing w:before="0" w:after="0" w:line="240" w:lineRule="auto"/>
              <w:jc w:val="center"/>
            </w:pPr>
            <w:r>
              <w:rPr>
                <w:rFonts w:ascii="Arial" w:hAnsi="Arial" w:eastAsia="Arial"/>
                <w:b w:val="0"/>
                <w:i w:val="0"/>
                <w:color w:val="1F1F1F"/>
                <w:sz w:val="13"/>
              </w:rPr>
              <w:t>12</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DF2F949">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873616D">
            <w:pPr>
              <w:spacing w:before="0" w:after="0" w:line="240" w:lineRule="auto"/>
              <w:jc w:val="left"/>
            </w:pPr>
            <w:r>
              <w:rPr>
                <w:rFonts w:ascii="Arial" w:hAnsi="Arial" w:eastAsia="Arial"/>
                <w:b w:val="0"/>
                <w:i w:val="0"/>
                <w:color w:val="1F1F1F"/>
                <w:sz w:val="13"/>
              </w:rPr>
              <w:t>glucose_mg</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3D967C1">
            <w:pPr>
              <w:spacing w:before="0" w:after="0" w:line="240" w:lineRule="auto"/>
              <w:jc w:val="left"/>
            </w:pPr>
            <w:r>
              <w:rPr>
                <w:rFonts w:ascii="Arial" w:hAnsi="Arial" w:eastAsia="Arial"/>
                <w:b w:val="0"/>
                <w:i w:val="0"/>
                <w:color w:val="1F1F1F"/>
                <w:sz w:val="13"/>
              </w:rPr>
              <w:t>Glucose</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8133530">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E147EDF">
            <w:pPr>
              <w:spacing w:before="0" w:after="0" w:line="240" w:lineRule="auto"/>
              <w:jc w:val="center"/>
            </w:pPr>
            <w:r>
              <w:rPr>
                <w:rFonts w:ascii="Arial" w:hAnsi="Arial" w:eastAsia="Arial"/>
                <w:b w:val="0"/>
                <w:i w:val="0"/>
                <w:color w:val="1F1F1F"/>
                <w:sz w:val="13"/>
              </w:rPr>
              <w:t>mg/dL</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FC393E6">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80DE410">
            <w:pPr>
              <w:spacing w:before="0" w:after="0" w:line="240" w:lineRule="auto"/>
              <w:jc w:val="left"/>
            </w:pPr>
            <w:r>
              <w:rPr>
                <w:rFonts w:ascii="Arial" w:hAnsi="Arial" w:eastAsia="Arial"/>
                <w:b w:val="0"/>
                <w:i w:val="0"/>
                <w:color w:val="1F1F1F"/>
                <w:sz w:val="13"/>
              </w:rPr>
              <w:t>Blood glucose</w:t>
            </w:r>
          </w:p>
        </w:tc>
      </w:tr>
      <w:tr w14:paraId="69B12808">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369009F">
            <w:pPr>
              <w:spacing w:before="0" w:after="0" w:line="240" w:lineRule="auto"/>
              <w:jc w:val="center"/>
            </w:pPr>
            <w:r>
              <w:rPr>
                <w:rFonts w:ascii="Arial" w:hAnsi="Arial" w:eastAsia="Arial"/>
                <w:b w:val="0"/>
                <w:i w:val="0"/>
                <w:color w:val="1F1F1F"/>
                <w:sz w:val="13"/>
              </w:rPr>
              <w:t>13</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D478363">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42330FA">
            <w:pPr>
              <w:spacing w:before="0" w:after="0" w:line="240" w:lineRule="auto"/>
              <w:jc w:val="left"/>
            </w:pPr>
            <w:r>
              <w:rPr>
                <w:rFonts w:ascii="Arial" w:hAnsi="Arial" w:eastAsia="Arial"/>
                <w:b w:val="0"/>
                <w:i w:val="0"/>
                <w:color w:val="1F1F1F"/>
                <w:sz w:val="13"/>
              </w:rPr>
              <w:t>hba1c_pct</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240B234">
            <w:pPr>
              <w:spacing w:before="0" w:after="0" w:line="240" w:lineRule="auto"/>
              <w:jc w:val="left"/>
            </w:pPr>
            <w:r>
              <w:rPr>
                <w:rFonts w:ascii="Arial" w:hAnsi="Arial" w:eastAsia="Arial"/>
                <w:b w:val="0"/>
                <w:i w:val="0"/>
                <w:color w:val="1F1F1F"/>
                <w:sz w:val="13"/>
              </w:rPr>
              <w:t>HbA1c</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F03BC16">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C15924A">
            <w:pPr>
              <w:spacing w:before="0" w:after="0" w:line="240" w:lineRule="auto"/>
              <w:jc w:val="center"/>
            </w:pPr>
            <w:r>
              <w:rPr>
                <w:rFonts w:ascii="Arial" w:hAnsi="Arial" w:eastAsia="Arial"/>
                <w:b w:val="0"/>
                <w:i w:val="0"/>
                <w:color w:val="1F1F1F"/>
                <w:sz w:val="13"/>
              </w:rPr>
              <w:t>%</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21693E4">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2A3B2D1">
            <w:pPr>
              <w:spacing w:before="0" w:after="0" w:line="240" w:lineRule="auto"/>
              <w:jc w:val="left"/>
            </w:pPr>
            <w:r>
              <w:rPr>
                <w:rFonts w:ascii="Arial" w:hAnsi="Arial" w:eastAsia="Arial"/>
                <w:b w:val="0"/>
                <w:i w:val="0"/>
                <w:color w:val="1F1F1F"/>
                <w:sz w:val="13"/>
              </w:rPr>
              <w:t>Glycated hemoglobin</w:t>
            </w:r>
          </w:p>
        </w:tc>
      </w:tr>
      <w:tr w14:paraId="3F897ED5">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C3F56A3">
            <w:pPr>
              <w:spacing w:before="0" w:after="0" w:line="240" w:lineRule="auto"/>
              <w:jc w:val="center"/>
            </w:pPr>
            <w:r>
              <w:rPr>
                <w:rFonts w:ascii="Arial" w:hAnsi="Arial" w:eastAsia="Arial"/>
                <w:b w:val="0"/>
                <w:i w:val="0"/>
                <w:color w:val="1F1F1F"/>
                <w:sz w:val="13"/>
              </w:rPr>
              <w:t>14</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D90D2C4">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1E94C45">
            <w:pPr>
              <w:spacing w:before="0" w:after="0" w:line="240" w:lineRule="auto"/>
              <w:jc w:val="left"/>
            </w:pPr>
            <w:r>
              <w:rPr>
                <w:rFonts w:ascii="Arial" w:hAnsi="Arial" w:eastAsia="Arial"/>
                <w:b w:val="0"/>
                <w:i w:val="0"/>
                <w:color w:val="1F1F1F"/>
                <w:sz w:val="13"/>
              </w:rPr>
              <w:t>tg_mg</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C124442">
            <w:pPr>
              <w:spacing w:before="0" w:after="0" w:line="240" w:lineRule="auto"/>
              <w:jc w:val="left"/>
            </w:pPr>
            <w:r>
              <w:rPr>
                <w:rFonts w:ascii="Arial" w:hAnsi="Arial" w:eastAsia="Arial"/>
                <w:b w:val="0"/>
                <w:i w:val="0"/>
                <w:color w:val="1F1F1F"/>
                <w:sz w:val="13"/>
              </w:rPr>
              <w:t>Triglycerides</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2B5F00A">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F76AA37">
            <w:pPr>
              <w:spacing w:before="0" w:after="0" w:line="240" w:lineRule="auto"/>
              <w:jc w:val="center"/>
            </w:pPr>
            <w:r>
              <w:rPr>
                <w:rFonts w:ascii="Arial" w:hAnsi="Arial" w:eastAsia="Arial"/>
                <w:b w:val="0"/>
                <w:i w:val="0"/>
                <w:color w:val="1F1F1F"/>
                <w:sz w:val="13"/>
              </w:rPr>
              <w:t>mg/dL</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821901E">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8562640">
            <w:pPr>
              <w:spacing w:before="0" w:after="0" w:line="240" w:lineRule="auto"/>
              <w:jc w:val="left"/>
            </w:pPr>
            <w:r>
              <w:rPr>
                <w:rFonts w:ascii="Arial" w:hAnsi="Arial" w:eastAsia="Arial"/>
                <w:b w:val="0"/>
                <w:i w:val="0"/>
                <w:color w:val="1F1F1F"/>
                <w:sz w:val="13"/>
              </w:rPr>
              <w:t>Triglycerides</w:t>
            </w:r>
          </w:p>
        </w:tc>
      </w:tr>
      <w:tr w14:paraId="18C035CE">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2D8080A">
            <w:pPr>
              <w:spacing w:before="0" w:after="0" w:line="240" w:lineRule="auto"/>
              <w:jc w:val="center"/>
            </w:pPr>
            <w:r>
              <w:rPr>
                <w:rFonts w:ascii="Arial" w:hAnsi="Arial" w:eastAsia="Arial"/>
                <w:b w:val="0"/>
                <w:i w:val="0"/>
                <w:color w:val="1F1F1F"/>
                <w:sz w:val="13"/>
              </w:rPr>
              <w:t>15</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9EF7A74">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9D56874">
            <w:pPr>
              <w:spacing w:before="0" w:after="0" w:line="240" w:lineRule="auto"/>
              <w:jc w:val="left"/>
            </w:pPr>
            <w:r>
              <w:rPr>
                <w:rFonts w:ascii="Arial" w:hAnsi="Arial" w:eastAsia="Arial"/>
                <w:b w:val="0"/>
                <w:i w:val="0"/>
                <w:color w:val="1F1F1F"/>
                <w:sz w:val="13"/>
              </w:rPr>
              <w:t>hdl_mg</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F112B16">
            <w:pPr>
              <w:spacing w:before="0" w:after="0" w:line="240" w:lineRule="auto"/>
              <w:jc w:val="left"/>
            </w:pPr>
            <w:r>
              <w:rPr>
                <w:rFonts w:ascii="Arial" w:hAnsi="Arial" w:eastAsia="Arial"/>
                <w:b w:val="0"/>
                <w:i w:val="0"/>
                <w:color w:val="1F1F1F"/>
                <w:sz w:val="13"/>
              </w:rPr>
              <w:t>HDL-C</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0DC55D6">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EEF67E8">
            <w:pPr>
              <w:spacing w:before="0" w:after="0" w:line="240" w:lineRule="auto"/>
              <w:jc w:val="center"/>
            </w:pPr>
            <w:r>
              <w:rPr>
                <w:rFonts w:ascii="Arial" w:hAnsi="Arial" w:eastAsia="Arial"/>
                <w:b w:val="0"/>
                <w:i w:val="0"/>
                <w:color w:val="1F1F1F"/>
                <w:sz w:val="13"/>
              </w:rPr>
              <w:t>mg/dL</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F7EE511">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7CC8D18">
            <w:pPr>
              <w:spacing w:before="0" w:after="0" w:line="240" w:lineRule="auto"/>
              <w:jc w:val="left"/>
            </w:pPr>
            <w:r>
              <w:rPr>
                <w:rFonts w:ascii="Arial" w:hAnsi="Arial" w:eastAsia="Arial"/>
                <w:b w:val="0"/>
                <w:i w:val="0"/>
                <w:color w:val="1F1F1F"/>
                <w:sz w:val="13"/>
              </w:rPr>
              <w:t>High-density lipoprotein cholesterol</w:t>
            </w:r>
          </w:p>
        </w:tc>
      </w:tr>
      <w:tr w14:paraId="19460D85">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719C1A9">
            <w:pPr>
              <w:spacing w:before="0" w:after="0" w:line="240" w:lineRule="auto"/>
              <w:jc w:val="center"/>
            </w:pPr>
            <w:r>
              <w:rPr>
                <w:rFonts w:ascii="Arial" w:hAnsi="Arial" w:eastAsia="Arial"/>
                <w:b w:val="0"/>
                <w:i w:val="0"/>
                <w:color w:val="1F1F1F"/>
                <w:sz w:val="13"/>
              </w:rPr>
              <w:t>16</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5126FEC">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11AB547">
            <w:pPr>
              <w:spacing w:before="0" w:after="0" w:line="240" w:lineRule="auto"/>
              <w:jc w:val="left"/>
            </w:pPr>
            <w:r>
              <w:rPr>
                <w:rFonts w:ascii="Arial" w:hAnsi="Arial" w:eastAsia="Arial"/>
                <w:b w:val="0"/>
                <w:i w:val="0"/>
                <w:color w:val="1F1F1F"/>
                <w:sz w:val="13"/>
              </w:rPr>
              <w:t>ldl_mg</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8E158E6">
            <w:pPr>
              <w:spacing w:before="0" w:after="0" w:line="240" w:lineRule="auto"/>
              <w:jc w:val="left"/>
            </w:pPr>
            <w:r>
              <w:rPr>
                <w:rFonts w:ascii="Arial" w:hAnsi="Arial" w:eastAsia="Arial"/>
                <w:b w:val="0"/>
                <w:i w:val="0"/>
                <w:color w:val="1F1F1F"/>
                <w:sz w:val="13"/>
              </w:rPr>
              <w:t>LDL-C</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5D6992C">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16B86E5">
            <w:pPr>
              <w:spacing w:before="0" w:after="0" w:line="240" w:lineRule="auto"/>
              <w:jc w:val="center"/>
            </w:pPr>
            <w:r>
              <w:rPr>
                <w:rFonts w:ascii="Arial" w:hAnsi="Arial" w:eastAsia="Arial"/>
                <w:b w:val="0"/>
                <w:i w:val="0"/>
                <w:color w:val="1F1F1F"/>
                <w:sz w:val="13"/>
              </w:rPr>
              <w:t>mg/dL</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B5C8379">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E481308">
            <w:pPr>
              <w:spacing w:before="0" w:after="0" w:line="240" w:lineRule="auto"/>
              <w:jc w:val="left"/>
            </w:pPr>
            <w:r>
              <w:rPr>
                <w:rFonts w:ascii="Arial" w:hAnsi="Arial" w:eastAsia="Arial"/>
                <w:b w:val="0"/>
                <w:i w:val="0"/>
                <w:color w:val="1F1F1F"/>
                <w:sz w:val="13"/>
              </w:rPr>
              <w:t>Low-density lipoprotein cholesterol</w:t>
            </w:r>
          </w:p>
        </w:tc>
      </w:tr>
      <w:tr w14:paraId="0CBEA6B9">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1599587">
            <w:pPr>
              <w:spacing w:before="0" w:after="0" w:line="240" w:lineRule="auto"/>
              <w:jc w:val="center"/>
            </w:pPr>
            <w:r>
              <w:rPr>
                <w:rFonts w:ascii="Arial" w:hAnsi="Arial" w:eastAsia="Arial"/>
                <w:b w:val="0"/>
                <w:i w:val="0"/>
                <w:color w:val="1F1F1F"/>
                <w:sz w:val="13"/>
              </w:rPr>
              <w:t>17</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BDD9BAC">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7E021D8">
            <w:pPr>
              <w:spacing w:before="0" w:after="0" w:line="240" w:lineRule="auto"/>
              <w:jc w:val="left"/>
            </w:pPr>
            <w:r>
              <w:rPr>
                <w:rFonts w:ascii="Arial" w:hAnsi="Arial" w:eastAsia="Arial"/>
                <w:b w:val="0"/>
                <w:i w:val="0"/>
                <w:color w:val="1F1F1F"/>
                <w:sz w:val="13"/>
              </w:rPr>
              <w:t>tc_mg</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27EF225">
            <w:pPr>
              <w:spacing w:before="0" w:after="0" w:line="240" w:lineRule="auto"/>
              <w:jc w:val="left"/>
            </w:pPr>
            <w:r>
              <w:rPr>
                <w:rFonts w:ascii="Arial" w:hAnsi="Arial" w:eastAsia="Arial"/>
                <w:b w:val="0"/>
                <w:i w:val="0"/>
                <w:color w:val="1F1F1F"/>
                <w:sz w:val="13"/>
              </w:rPr>
              <w:t>Total cholesterol</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373A20E">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BC9F5C9">
            <w:pPr>
              <w:spacing w:before="0" w:after="0" w:line="240" w:lineRule="auto"/>
              <w:jc w:val="center"/>
            </w:pPr>
            <w:r>
              <w:rPr>
                <w:rFonts w:ascii="Arial" w:hAnsi="Arial" w:eastAsia="Arial"/>
                <w:b w:val="0"/>
                <w:i w:val="0"/>
                <w:color w:val="1F1F1F"/>
                <w:sz w:val="13"/>
              </w:rPr>
              <w:t>mg/dL</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D019F11">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8A7E641">
            <w:pPr>
              <w:spacing w:before="0" w:after="0" w:line="240" w:lineRule="auto"/>
              <w:jc w:val="left"/>
            </w:pPr>
            <w:r>
              <w:rPr>
                <w:rFonts w:ascii="Arial" w:hAnsi="Arial" w:eastAsia="Arial"/>
                <w:b w:val="0"/>
                <w:i w:val="0"/>
                <w:color w:val="1F1F1F"/>
                <w:sz w:val="13"/>
              </w:rPr>
              <w:t>Total cholesterol</w:t>
            </w:r>
          </w:p>
        </w:tc>
      </w:tr>
      <w:tr w14:paraId="1FA9AA31">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7D8E895">
            <w:pPr>
              <w:spacing w:before="0" w:after="0" w:line="240" w:lineRule="auto"/>
              <w:jc w:val="center"/>
            </w:pPr>
            <w:r>
              <w:rPr>
                <w:rFonts w:ascii="Arial" w:hAnsi="Arial" w:eastAsia="Arial"/>
                <w:b w:val="0"/>
                <w:i w:val="0"/>
                <w:color w:val="1F1F1F"/>
                <w:sz w:val="13"/>
              </w:rPr>
              <w:t>18</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2AB2740">
            <w:pPr>
              <w:spacing w:before="0" w:after="0" w:line="240" w:lineRule="auto"/>
              <w:jc w:val="left"/>
            </w:pPr>
            <w:r>
              <w:rPr>
                <w:rFonts w:ascii="Arial" w:hAnsi="Arial" w:eastAsia="Arial"/>
                <w:b w:val="0"/>
                <w:i w:val="0"/>
                <w:color w:val="1F1F1F"/>
                <w:sz w:val="13"/>
              </w:rPr>
              <w:t>Raw components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79EEA69">
            <w:pPr>
              <w:spacing w:before="0" w:after="0" w:line="240" w:lineRule="auto"/>
              <w:jc w:val="left"/>
            </w:pPr>
            <w:r>
              <w:rPr>
                <w:rFonts w:ascii="Arial" w:hAnsi="Arial" w:eastAsia="Arial"/>
                <w:b w:val="0"/>
                <w:i w:val="0"/>
                <w:color w:val="1F1F1F"/>
                <w:sz w:val="13"/>
              </w:rPr>
              <w:t>crp</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0F9D073">
            <w:pPr>
              <w:spacing w:before="0" w:after="0" w:line="240" w:lineRule="auto"/>
              <w:jc w:val="left"/>
            </w:pPr>
            <w:r>
              <w:rPr>
                <w:rFonts w:ascii="Arial" w:hAnsi="Arial" w:eastAsia="Arial"/>
                <w:b w:val="0"/>
                <w:i w:val="0"/>
                <w:color w:val="1F1F1F"/>
                <w:sz w:val="13"/>
              </w:rPr>
              <w:t>C-reactive protein</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D1D285A">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890035C">
            <w:pPr>
              <w:spacing w:before="0" w:after="0" w:line="240" w:lineRule="auto"/>
              <w:jc w:val="center"/>
            </w:pPr>
            <w:r>
              <w:rPr>
                <w:rFonts w:ascii="Arial" w:hAnsi="Arial" w:eastAsia="Arial"/>
                <w:b w:val="0"/>
                <w:i w:val="0"/>
                <w:color w:val="1F1F1F"/>
                <w:sz w:val="13"/>
              </w:rPr>
              <w:t>mg/L</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89A1992">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C057DF8">
            <w:pPr>
              <w:spacing w:before="0" w:after="0" w:line="240" w:lineRule="auto"/>
              <w:jc w:val="left"/>
            </w:pPr>
            <w:r>
              <w:rPr>
                <w:rFonts w:ascii="Arial" w:hAnsi="Arial" w:eastAsia="Arial"/>
                <w:b w:val="0"/>
                <w:i w:val="0"/>
                <w:color w:val="1F1F1F"/>
                <w:sz w:val="13"/>
              </w:rPr>
              <w:t>C-reactive protein</w:t>
            </w:r>
          </w:p>
        </w:tc>
      </w:tr>
      <w:tr w14:paraId="56E651CF">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F810B7A">
            <w:pPr>
              <w:spacing w:before="0" w:after="0" w:line="240" w:lineRule="auto"/>
              <w:jc w:val="center"/>
            </w:pPr>
            <w:r>
              <w:rPr>
                <w:rFonts w:ascii="Arial" w:hAnsi="Arial" w:eastAsia="Arial"/>
                <w:b w:val="0"/>
                <w:i w:val="0"/>
                <w:color w:val="1F1F1F"/>
                <w:sz w:val="13"/>
              </w:rPr>
              <w:t>19</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06F9FB8">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58BD921">
            <w:pPr>
              <w:spacing w:before="0" w:after="0" w:line="240" w:lineRule="auto"/>
              <w:jc w:val="left"/>
            </w:pPr>
            <w:r>
              <w:rPr>
                <w:rFonts w:ascii="Arial" w:hAnsi="Arial" w:eastAsia="Arial"/>
                <w:b w:val="0"/>
                <w:i w:val="0"/>
                <w:color w:val="1F1F1F"/>
                <w:sz w:val="13"/>
              </w:rPr>
              <w:t>tyg</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0F63EFD">
            <w:pPr>
              <w:spacing w:before="0" w:after="0" w:line="240" w:lineRule="auto"/>
              <w:jc w:val="left"/>
            </w:pPr>
            <w:r>
              <w:rPr>
                <w:rFonts w:ascii="Arial" w:hAnsi="Arial" w:eastAsia="Arial"/>
                <w:b w:val="0"/>
                <w:i w:val="0"/>
                <w:color w:val="1F1F1F"/>
                <w:sz w:val="13"/>
              </w:rPr>
              <w:t>TyG</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E2ADD26">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0C0102D">
            <w:pPr>
              <w:spacing w:before="0" w:after="0" w:line="240" w:lineRule="auto"/>
              <w:jc w:val="center"/>
            </w:pPr>
            <w:r>
              <w:rPr>
                <w:rFonts w:ascii="Arial" w:hAnsi="Arial" w:eastAsia="Arial"/>
                <w:b w:val="0"/>
                <w:i w:val="0"/>
                <w:color w:val="1F1F1F"/>
                <w:sz w:val="13"/>
              </w:rPr>
              <w:t>index</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00C8127">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4DF0250">
            <w:pPr>
              <w:spacing w:before="0" w:after="0" w:line="240" w:lineRule="auto"/>
              <w:jc w:val="left"/>
            </w:pPr>
            <w:r>
              <w:rPr>
                <w:rFonts w:ascii="Arial" w:hAnsi="Arial" w:eastAsia="Arial"/>
                <w:b w:val="0"/>
                <w:i w:val="0"/>
                <w:color w:val="1F1F1F"/>
                <w:sz w:val="13"/>
              </w:rPr>
              <w:t>Triglyceride-glucose index</w:t>
            </w:r>
          </w:p>
        </w:tc>
      </w:tr>
      <w:tr w14:paraId="2BE78370">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459E1A4">
            <w:pPr>
              <w:spacing w:before="0" w:after="0" w:line="240" w:lineRule="auto"/>
              <w:jc w:val="center"/>
            </w:pPr>
            <w:r>
              <w:rPr>
                <w:rFonts w:ascii="Arial" w:hAnsi="Arial" w:eastAsia="Arial"/>
                <w:b w:val="0"/>
                <w:i w:val="0"/>
                <w:color w:val="1F1F1F"/>
                <w:sz w:val="13"/>
              </w:rPr>
              <w:t>20</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A227F1C">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141FCCA">
            <w:pPr>
              <w:spacing w:before="0" w:after="0" w:line="240" w:lineRule="auto"/>
              <w:jc w:val="left"/>
            </w:pPr>
            <w:r>
              <w:rPr>
                <w:rFonts w:ascii="Arial" w:hAnsi="Arial" w:eastAsia="Arial"/>
                <w:b w:val="0"/>
                <w:i w:val="0"/>
                <w:color w:val="1F1F1F"/>
                <w:sz w:val="13"/>
              </w:rPr>
              <w:t>aip</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C936F13">
            <w:pPr>
              <w:spacing w:before="0" w:after="0" w:line="240" w:lineRule="auto"/>
              <w:jc w:val="left"/>
            </w:pPr>
            <w:r>
              <w:rPr>
                <w:rFonts w:ascii="Arial" w:hAnsi="Arial" w:eastAsia="Arial"/>
                <w:b w:val="0"/>
                <w:i w:val="0"/>
                <w:color w:val="1F1F1F"/>
                <w:sz w:val="13"/>
              </w:rPr>
              <w:t>AIP</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84726EF">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9FCE481">
            <w:pPr>
              <w:spacing w:before="0" w:after="0" w:line="240" w:lineRule="auto"/>
              <w:jc w:val="center"/>
            </w:pPr>
            <w:r>
              <w:rPr>
                <w:rFonts w:ascii="Arial" w:hAnsi="Arial" w:eastAsia="Arial"/>
                <w:b w:val="0"/>
                <w:i w:val="0"/>
                <w:color w:val="1F1F1F"/>
                <w:sz w:val="13"/>
              </w:rPr>
              <w:t>index</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6B96EDB">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4A9125F">
            <w:pPr>
              <w:spacing w:before="0" w:after="0" w:line="240" w:lineRule="auto"/>
              <w:jc w:val="left"/>
            </w:pPr>
            <w:r>
              <w:rPr>
                <w:rFonts w:ascii="Arial" w:hAnsi="Arial" w:eastAsia="Arial"/>
                <w:b w:val="0"/>
                <w:i w:val="0"/>
                <w:color w:val="1F1F1F"/>
                <w:sz w:val="13"/>
              </w:rPr>
              <w:t>Atherogenic index of plasma</w:t>
            </w:r>
          </w:p>
        </w:tc>
      </w:tr>
      <w:tr w14:paraId="326EA632">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9F69653">
            <w:pPr>
              <w:spacing w:before="0" w:after="0" w:line="240" w:lineRule="auto"/>
              <w:jc w:val="center"/>
            </w:pPr>
            <w:r>
              <w:rPr>
                <w:rFonts w:ascii="Arial" w:hAnsi="Arial" w:eastAsia="Arial"/>
                <w:b w:val="0"/>
                <w:i w:val="0"/>
                <w:color w:val="1F1F1F"/>
                <w:sz w:val="13"/>
              </w:rPr>
              <w:t>21</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5431B52">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F1EAE61">
            <w:pPr>
              <w:spacing w:before="0" w:after="0" w:line="240" w:lineRule="auto"/>
              <w:jc w:val="left"/>
            </w:pPr>
            <w:r>
              <w:rPr>
                <w:rFonts w:ascii="Arial" w:hAnsi="Arial" w:eastAsia="Arial"/>
                <w:b w:val="0"/>
                <w:i w:val="0"/>
                <w:color w:val="1F1F1F"/>
                <w:sz w:val="13"/>
              </w:rPr>
              <w:t>tg_hdl</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A6E32CA">
            <w:pPr>
              <w:spacing w:before="0" w:after="0" w:line="240" w:lineRule="auto"/>
              <w:jc w:val="left"/>
            </w:pPr>
            <w:r>
              <w:rPr>
                <w:rFonts w:ascii="Arial" w:hAnsi="Arial" w:eastAsia="Arial"/>
                <w:b w:val="0"/>
                <w:i w:val="0"/>
                <w:color w:val="1F1F1F"/>
                <w:sz w:val="13"/>
              </w:rPr>
              <w:t>TG/HDL-C</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41B7D08">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1987D34">
            <w:pPr>
              <w:spacing w:before="0" w:after="0" w:line="240" w:lineRule="auto"/>
              <w:jc w:val="center"/>
            </w:pPr>
            <w:r>
              <w:rPr>
                <w:rFonts w:ascii="Arial" w:hAnsi="Arial" w:eastAsia="Arial"/>
                <w:b w:val="0"/>
                <w:i w:val="0"/>
                <w:color w:val="1F1F1F"/>
                <w:sz w:val="13"/>
              </w:rPr>
              <w:t>ratio</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6D32A7B">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85B8865">
            <w:pPr>
              <w:spacing w:before="0" w:after="0" w:line="240" w:lineRule="auto"/>
              <w:jc w:val="left"/>
            </w:pPr>
            <w:r>
              <w:rPr>
                <w:rFonts w:ascii="Arial" w:hAnsi="Arial" w:eastAsia="Arial"/>
                <w:b w:val="0"/>
                <w:i w:val="0"/>
                <w:color w:val="1F1F1F"/>
                <w:sz w:val="13"/>
              </w:rPr>
              <w:t>Triglyceride-to-HDL-C ratio</w:t>
            </w:r>
          </w:p>
        </w:tc>
      </w:tr>
      <w:tr w14:paraId="39D5740C">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46EF6C9">
            <w:pPr>
              <w:spacing w:before="0" w:after="0" w:line="240" w:lineRule="auto"/>
              <w:jc w:val="center"/>
            </w:pPr>
            <w:r>
              <w:rPr>
                <w:rFonts w:ascii="Arial" w:hAnsi="Arial" w:eastAsia="Arial"/>
                <w:b w:val="0"/>
                <w:i w:val="0"/>
                <w:color w:val="1F1F1F"/>
                <w:sz w:val="13"/>
              </w:rPr>
              <w:t>22</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F4B3393">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04FA6FF">
            <w:pPr>
              <w:spacing w:before="0" w:after="0" w:line="240" w:lineRule="auto"/>
              <w:jc w:val="left"/>
            </w:pPr>
            <w:r>
              <w:rPr>
                <w:rFonts w:ascii="Arial" w:hAnsi="Arial" w:eastAsia="Arial"/>
                <w:b w:val="0"/>
                <w:i w:val="0"/>
                <w:color w:val="1F1F1F"/>
                <w:sz w:val="13"/>
              </w:rPr>
              <w:t>tyg_bmi</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84A6EB0">
            <w:pPr>
              <w:spacing w:before="0" w:after="0" w:line="240" w:lineRule="auto"/>
              <w:jc w:val="left"/>
            </w:pPr>
            <w:r>
              <w:rPr>
                <w:rFonts w:ascii="Arial" w:hAnsi="Arial" w:eastAsia="Arial"/>
                <w:b w:val="0"/>
                <w:i w:val="0"/>
                <w:color w:val="1F1F1F"/>
                <w:sz w:val="13"/>
              </w:rPr>
              <w:t>TyG-BMI</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3BCF444">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F318BD7">
            <w:pPr>
              <w:spacing w:before="0" w:after="0" w:line="240" w:lineRule="auto"/>
              <w:jc w:val="center"/>
            </w:pPr>
            <w:r>
              <w:rPr>
                <w:rFonts w:ascii="Arial" w:hAnsi="Arial" w:eastAsia="Arial"/>
                <w:b w:val="0"/>
                <w:i w:val="0"/>
                <w:color w:val="1F1F1F"/>
                <w:sz w:val="13"/>
              </w:rPr>
              <w:t>index</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129A987">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35636D3">
            <w:pPr>
              <w:spacing w:before="0" w:after="0" w:line="240" w:lineRule="auto"/>
              <w:jc w:val="left"/>
            </w:pPr>
            <w:r>
              <w:rPr>
                <w:rFonts w:ascii="Arial" w:hAnsi="Arial" w:eastAsia="Arial"/>
                <w:b w:val="0"/>
                <w:i w:val="0"/>
                <w:color w:val="1F1F1F"/>
                <w:sz w:val="13"/>
              </w:rPr>
              <w:t>TyG multiplied by BMI</w:t>
            </w:r>
          </w:p>
        </w:tc>
      </w:tr>
      <w:tr w14:paraId="6946CEDC">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514E52D">
            <w:pPr>
              <w:spacing w:before="0" w:after="0" w:line="240" w:lineRule="auto"/>
              <w:jc w:val="center"/>
            </w:pPr>
            <w:r>
              <w:rPr>
                <w:rFonts w:ascii="Arial" w:hAnsi="Arial" w:eastAsia="Arial"/>
                <w:b w:val="0"/>
                <w:i w:val="0"/>
                <w:color w:val="1F1F1F"/>
                <w:sz w:val="13"/>
              </w:rPr>
              <w:t>23</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2CC453F">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1860F09">
            <w:pPr>
              <w:spacing w:before="0" w:after="0" w:line="240" w:lineRule="auto"/>
              <w:jc w:val="left"/>
            </w:pPr>
            <w:r>
              <w:rPr>
                <w:rFonts w:ascii="Arial" w:hAnsi="Arial" w:eastAsia="Arial"/>
                <w:b w:val="0"/>
                <w:i w:val="0"/>
                <w:color w:val="1F1F1F"/>
                <w:sz w:val="13"/>
              </w:rPr>
              <w:t>mets_ir</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FC7E945">
            <w:pPr>
              <w:spacing w:before="0" w:after="0" w:line="240" w:lineRule="auto"/>
              <w:jc w:val="left"/>
            </w:pPr>
            <w:r>
              <w:rPr>
                <w:rFonts w:ascii="Arial" w:hAnsi="Arial" w:eastAsia="Arial"/>
                <w:b w:val="0"/>
                <w:i w:val="0"/>
                <w:color w:val="1F1F1F"/>
                <w:sz w:val="13"/>
              </w:rPr>
              <w:t>METS-IR</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F5C3604">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1BC5EBC">
            <w:pPr>
              <w:spacing w:before="0" w:after="0" w:line="240" w:lineRule="auto"/>
              <w:jc w:val="center"/>
            </w:pPr>
            <w:r>
              <w:rPr>
                <w:rFonts w:ascii="Arial" w:hAnsi="Arial" w:eastAsia="Arial"/>
                <w:b w:val="0"/>
                <w:i w:val="0"/>
                <w:color w:val="1F1F1F"/>
                <w:sz w:val="13"/>
              </w:rPr>
              <w:t>index</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10C7451">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9779886">
            <w:pPr>
              <w:spacing w:before="0" w:after="0" w:line="240" w:lineRule="auto"/>
              <w:jc w:val="left"/>
            </w:pPr>
            <w:r>
              <w:rPr>
                <w:rFonts w:ascii="Arial" w:hAnsi="Arial" w:eastAsia="Arial"/>
                <w:b w:val="0"/>
                <w:i w:val="0"/>
                <w:color w:val="1F1F1F"/>
                <w:sz w:val="13"/>
              </w:rPr>
              <w:t>Metabolic score for insulin resistance</w:t>
            </w:r>
          </w:p>
        </w:tc>
      </w:tr>
      <w:tr w14:paraId="4FBFA6B9">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533C826">
            <w:pPr>
              <w:spacing w:before="0" w:after="0" w:line="240" w:lineRule="auto"/>
              <w:jc w:val="center"/>
            </w:pPr>
            <w:r>
              <w:rPr>
                <w:rFonts w:ascii="Arial" w:hAnsi="Arial" w:eastAsia="Arial"/>
                <w:b w:val="0"/>
                <w:i w:val="0"/>
                <w:color w:val="1F1F1F"/>
                <w:sz w:val="13"/>
              </w:rPr>
              <w:t>24</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663FB7E">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77FA4C5">
            <w:pPr>
              <w:spacing w:before="0" w:after="0" w:line="240" w:lineRule="auto"/>
              <w:jc w:val="left"/>
            </w:pPr>
            <w:r>
              <w:rPr>
                <w:rFonts w:ascii="Arial" w:hAnsi="Arial" w:eastAsia="Arial"/>
                <w:b w:val="0"/>
                <w:i w:val="0"/>
                <w:color w:val="1F1F1F"/>
                <w:sz w:val="13"/>
              </w:rPr>
              <w:t>lower_spise</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E7129B1">
            <w:pPr>
              <w:spacing w:before="0" w:after="0" w:line="240" w:lineRule="auto"/>
              <w:jc w:val="left"/>
            </w:pPr>
            <w:r>
              <w:rPr>
                <w:rFonts w:ascii="Arial" w:hAnsi="Arial" w:eastAsia="Arial"/>
                <w:b w:val="0"/>
                <w:i w:val="0"/>
                <w:color w:val="1F1F1F"/>
                <w:sz w:val="13"/>
              </w:rPr>
              <w:t>Lower SPISE</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F7DF252">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7A0C32B">
            <w:pPr>
              <w:spacing w:before="0" w:after="0" w:line="240" w:lineRule="auto"/>
              <w:jc w:val="center"/>
            </w:pPr>
            <w:r>
              <w:rPr>
                <w:rFonts w:ascii="Arial" w:hAnsi="Arial" w:eastAsia="Arial"/>
                <w:b w:val="0"/>
                <w:i w:val="0"/>
                <w:color w:val="1F1F1F"/>
                <w:sz w:val="13"/>
              </w:rPr>
              <w:t>index</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92F8A5A">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9C631E0">
            <w:pPr>
              <w:spacing w:before="0" w:after="0" w:line="240" w:lineRule="auto"/>
              <w:jc w:val="left"/>
            </w:pPr>
            <w:r>
              <w:rPr>
                <w:rFonts w:ascii="Arial" w:hAnsi="Arial" w:eastAsia="Arial"/>
                <w:b w:val="0"/>
                <w:i w:val="0"/>
                <w:color w:val="1F1F1F"/>
                <w:sz w:val="13"/>
              </w:rPr>
              <w:t>Negative SPISE so that higher values indicate greater risk</w:t>
            </w:r>
          </w:p>
        </w:tc>
      </w:tr>
      <w:tr w14:paraId="14DB9263">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3E9467C">
            <w:pPr>
              <w:spacing w:before="0" w:after="0" w:line="240" w:lineRule="auto"/>
              <w:jc w:val="center"/>
            </w:pPr>
            <w:r>
              <w:rPr>
                <w:rFonts w:ascii="Arial" w:hAnsi="Arial" w:eastAsia="Arial"/>
                <w:b w:val="0"/>
                <w:i w:val="0"/>
                <w:color w:val="1F1F1F"/>
                <w:sz w:val="13"/>
              </w:rPr>
              <w:t>25</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C33C100">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2F6F871">
            <w:pPr>
              <w:spacing w:before="0" w:after="0" w:line="240" w:lineRule="auto"/>
              <w:jc w:val="left"/>
            </w:pPr>
            <w:r>
              <w:rPr>
                <w:rFonts w:ascii="Arial" w:hAnsi="Arial" w:eastAsia="Arial"/>
                <w:b w:val="0"/>
                <w:i w:val="0"/>
                <w:color w:val="1F1F1F"/>
                <w:sz w:val="13"/>
              </w:rPr>
              <w:t>lower_egdr</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7D77396">
            <w:pPr>
              <w:spacing w:before="0" w:after="0" w:line="240" w:lineRule="auto"/>
              <w:jc w:val="left"/>
            </w:pPr>
            <w:r>
              <w:rPr>
                <w:rFonts w:ascii="Arial" w:hAnsi="Arial" w:eastAsia="Arial"/>
                <w:b w:val="0"/>
                <w:i w:val="0"/>
                <w:color w:val="1F1F1F"/>
                <w:sz w:val="13"/>
              </w:rPr>
              <w:t>Lower eGDR</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867ED63">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7F2893D">
            <w:pPr>
              <w:spacing w:before="0" w:after="0" w:line="240" w:lineRule="auto"/>
              <w:jc w:val="center"/>
            </w:pPr>
            <w:r>
              <w:rPr>
                <w:rFonts w:ascii="Arial" w:hAnsi="Arial" w:eastAsia="Arial"/>
                <w:b w:val="0"/>
                <w:i w:val="0"/>
                <w:color w:val="1F1F1F"/>
                <w:sz w:val="13"/>
              </w:rPr>
              <w:t>index</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90CAE99">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356D2A2">
            <w:pPr>
              <w:spacing w:before="0" w:after="0" w:line="240" w:lineRule="auto"/>
              <w:jc w:val="left"/>
            </w:pPr>
            <w:r>
              <w:rPr>
                <w:rFonts w:ascii="Arial" w:hAnsi="Arial" w:eastAsia="Arial"/>
                <w:b w:val="0"/>
                <w:i w:val="0"/>
                <w:color w:val="1F1F1F"/>
                <w:sz w:val="13"/>
              </w:rPr>
              <w:t>Negative estimated glucose disposal rate</w:t>
            </w:r>
          </w:p>
        </w:tc>
      </w:tr>
      <w:tr w14:paraId="0863146C">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420F5D5">
            <w:pPr>
              <w:spacing w:before="0" w:after="0" w:line="240" w:lineRule="auto"/>
              <w:jc w:val="center"/>
            </w:pPr>
            <w:r>
              <w:rPr>
                <w:rFonts w:ascii="Arial" w:hAnsi="Arial" w:eastAsia="Arial"/>
                <w:b w:val="0"/>
                <w:i w:val="0"/>
                <w:color w:val="1F1F1F"/>
                <w:sz w:val="13"/>
              </w:rPr>
              <w:t>26</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7B70672">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6DABCFA">
            <w:pPr>
              <w:spacing w:before="0" w:after="0" w:line="240" w:lineRule="auto"/>
              <w:jc w:val="left"/>
            </w:pPr>
            <w:r>
              <w:rPr>
                <w:rFonts w:ascii="Arial" w:hAnsi="Arial" w:eastAsia="Arial"/>
                <w:b w:val="0"/>
                <w:i w:val="0"/>
                <w:color w:val="1F1F1F"/>
                <w:sz w:val="13"/>
              </w:rPr>
              <w:t>tyg_wc</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7A92134">
            <w:pPr>
              <w:spacing w:before="0" w:after="0" w:line="240" w:lineRule="auto"/>
              <w:jc w:val="left"/>
            </w:pPr>
            <w:r>
              <w:rPr>
                <w:rFonts w:ascii="Arial" w:hAnsi="Arial" w:eastAsia="Arial"/>
                <w:b w:val="0"/>
                <w:i w:val="0"/>
                <w:color w:val="1F1F1F"/>
                <w:sz w:val="13"/>
              </w:rPr>
              <w:t>TyG-WC</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097E73C">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F755343">
            <w:pPr>
              <w:spacing w:before="0" w:after="0" w:line="240" w:lineRule="auto"/>
              <w:jc w:val="center"/>
            </w:pPr>
            <w:r>
              <w:rPr>
                <w:rFonts w:ascii="Arial" w:hAnsi="Arial" w:eastAsia="Arial"/>
                <w:b w:val="0"/>
                <w:i w:val="0"/>
                <w:color w:val="1F1F1F"/>
                <w:sz w:val="13"/>
              </w:rPr>
              <w:t>index</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8F23BBF">
            <w:pPr>
              <w:spacing w:before="0" w:after="0" w:line="240" w:lineRule="auto"/>
              <w:jc w:val="center"/>
            </w:pPr>
            <w:r>
              <w:rPr>
                <w:rFonts w:ascii="Arial" w:hAnsi="Arial" w:eastAsia="Arial"/>
                <w:b w:val="0"/>
                <w:i w:val="0"/>
                <w:color w:val="1F1F1F"/>
                <w:sz w:val="13"/>
              </w:rPr>
              <w:t>Median [IQR]</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CF71D80">
            <w:pPr>
              <w:spacing w:before="0" w:after="0" w:line="240" w:lineRule="auto"/>
              <w:jc w:val="left"/>
            </w:pPr>
            <w:r>
              <w:rPr>
                <w:rFonts w:ascii="Arial" w:hAnsi="Arial" w:eastAsia="Arial"/>
                <w:b w:val="0"/>
                <w:i w:val="0"/>
                <w:color w:val="1F1F1F"/>
                <w:sz w:val="13"/>
              </w:rPr>
              <w:t>TyG multiplied by waist circumference</w:t>
            </w:r>
          </w:p>
        </w:tc>
      </w:tr>
      <w:tr w14:paraId="7404A826">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37C7E35">
            <w:pPr>
              <w:spacing w:before="0" w:after="0" w:line="240" w:lineRule="auto"/>
              <w:jc w:val="center"/>
            </w:pPr>
            <w:r>
              <w:rPr>
                <w:rFonts w:ascii="Arial" w:hAnsi="Arial" w:eastAsia="Arial"/>
                <w:b w:val="0"/>
                <w:i w:val="0"/>
                <w:color w:val="1F1F1F"/>
                <w:sz w:val="13"/>
              </w:rPr>
              <w:t>27</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1388AEB">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F4DFD50">
            <w:pPr>
              <w:spacing w:before="0" w:after="0" w:line="240" w:lineRule="auto"/>
              <w:jc w:val="left"/>
            </w:pPr>
            <w:r>
              <w:rPr>
                <w:rFonts w:ascii="Arial" w:hAnsi="Arial" w:eastAsia="Arial"/>
                <w:b w:val="0"/>
                <w:i w:val="0"/>
                <w:color w:val="1F1F1F"/>
                <w:sz w:val="13"/>
              </w:rPr>
              <w:t>whtr</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6853CAC">
            <w:pPr>
              <w:spacing w:before="0" w:after="0" w:line="240" w:lineRule="auto"/>
              <w:jc w:val="left"/>
            </w:pPr>
            <w:r>
              <w:rPr>
                <w:rFonts w:ascii="Arial" w:hAnsi="Arial" w:eastAsia="Arial"/>
                <w:b w:val="0"/>
                <w:i w:val="0"/>
                <w:color w:val="1F1F1F"/>
                <w:sz w:val="13"/>
              </w:rPr>
              <w:t>WHtR</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99E13DA">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7BDDABA">
            <w:pPr>
              <w:spacing w:before="0" w:after="0" w:line="240" w:lineRule="auto"/>
              <w:jc w:val="center"/>
            </w:pPr>
            <w:r>
              <w:rPr>
                <w:rFonts w:ascii="Arial" w:hAnsi="Arial" w:eastAsia="Arial"/>
                <w:b w:val="0"/>
                <w:i w:val="0"/>
                <w:color w:val="1F1F1F"/>
                <w:sz w:val="13"/>
              </w:rPr>
              <w:t>ratio</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9B34095">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0CA0A97">
            <w:pPr>
              <w:spacing w:before="0" w:after="0" w:line="240" w:lineRule="auto"/>
              <w:jc w:val="left"/>
            </w:pPr>
            <w:r>
              <w:rPr>
                <w:rFonts w:ascii="Arial" w:hAnsi="Arial" w:eastAsia="Arial"/>
                <w:b w:val="0"/>
                <w:i w:val="0"/>
                <w:color w:val="1F1F1F"/>
                <w:sz w:val="13"/>
              </w:rPr>
              <w:t>Waist-to-height ratio</w:t>
            </w:r>
          </w:p>
        </w:tc>
      </w:tr>
      <w:tr w14:paraId="50CA0E7D">
        <w:tblPrEx>
          <w:tblCellMar>
            <w:top w:w="0" w:type="dxa"/>
            <w:left w:w="108" w:type="dxa"/>
            <w:bottom w:w="0" w:type="dxa"/>
            <w:right w:w="108" w:type="dxa"/>
          </w:tblCellMar>
        </w:tblPrEx>
        <w:trPr>
          <w:cantSplit/>
          <w:jc w:val="center"/>
        </w:trPr>
        <w:tc>
          <w:tcPr>
            <w:tcW w:w="6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B62E549">
            <w:pPr>
              <w:spacing w:before="0" w:after="0" w:line="240" w:lineRule="auto"/>
              <w:jc w:val="center"/>
            </w:pPr>
            <w:r>
              <w:rPr>
                <w:rFonts w:ascii="Arial" w:hAnsi="Arial" w:eastAsia="Arial"/>
                <w:b w:val="0"/>
                <w:i w:val="0"/>
                <w:color w:val="1F1F1F"/>
                <w:sz w:val="13"/>
              </w:rPr>
              <w:t>28</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404E700">
            <w:pPr>
              <w:spacing w:before="0" w:after="0" w:line="240" w:lineRule="auto"/>
              <w:jc w:val="left"/>
            </w:pPr>
            <w:r>
              <w:rPr>
                <w:rFonts w:ascii="Arial" w:hAnsi="Arial" w:eastAsia="Arial"/>
                <w:b w:val="0"/>
                <w:i w:val="0"/>
                <w:color w:val="1F1F1F"/>
                <w:sz w:val="13"/>
              </w:rPr>
              <w:t>Candidate indicators</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F1D5BB9">
            <w:pPr>
              <w:spacing w:before="0" w:after="0" w:line="240" w:lineRule="auto"/>
              <w:jc w:val="left"/>
            </w:pPr>
            <w:r>
              <w:rPr>
                <w:rFonts w:ascii="Arial" w:hAnsi="Arial" w:eastAsia="Arial"/>
                <w:b w:val="0"/>
                <w:i w:val="0"/>
                <w:color w:val="1F1F1F"/>
                <w:sz w:val="13"/>
              </w:rPr>
              <w:t>non_hdl_mg</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DB6F646">
            <w:pPr>
              <w:spacing w:before="0" w:after="0" w:line="240" w:lineRule="auto"/>
              <w:jc w:val="left"/>
            </w:pPr>
            <w:r>
              <w:rPr>
                <w:rFonts w:ascii="Arial" w:hAnsi="Arial" w:eastAsia="Arial"/>
                <w:b w:val="0"/>
                <w:i w:val="0"/>
                <w:color w:val="1F1F1F"/>
                <w:sz w:val="13"/>
              </w:rPr>
              <w:t>non-HDL-C</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1951EDC">
            <w:pPr>
              <w:spacing w:before="0" w:after="0" w:line="240" w:lineRule="auto"/>
              <w:jc w:val="center"/>
            </w:pPr>
            <w:r>
              <w:rPr>
                <w:rFonts w:ascii="Arial" w:hAnsi="Arial" w:eastAsia="Arial"/>
                <w:b w:val="0"/>
                <w:i w:val="0"/>
                <w:color w:val="1F1F1F"/>
                <w:sz w:val="13"/>
              </w:rPr>
              <w:t>Continuous</w:t>
            </w:r>
          </w:p>
        </w:tc>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9E59D06">
            <w:pPr>
              <w:spacing w:before="0" w:after="0" w:line="240" w:lineRule="auto"/>
              <w:jc w:val="center"/>
            </w:pPr>
            <w:r>
              <w:rPr>
                <w:rFonts w:ascii="Arial" w:hAnsi="Arial" w:eastAsia="Arial"/>
                <w:b w:val="0"/>
                <w:i w:val="0"/>
                <w:color w:val="1F1F1F"/>
                <w:sz w:val="13"/>
              </w:rPr>
              <w:t>mg/dL</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0FB6FD4">
            <w:pPr>
              <w:spacing w:before="0" w:after="0" w:line="240" w:lineRule="auto"/>
              <w:jc w:val="center"/>
            </w:pPr>
            <w:r>
              <w:rPr>
                <w:rFonts w:ascii="Arial" w:hAnsi="Arial" w:eastAsia="Arial"/>
                <w:b w:val="0"/>
                <w:i w:val="0"/>
                <w:color w:val="1F1F1F"/>
                <w:sz w:val="13"/>
              </w:rPr>
              <w:t>Mean ± SD</w:t>
            </w:r>
          </w:p>
        </w:tc>
        <w:tc>
          <w:tcPr>
            <w:tcW w:w="46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06C06E8">
            <w:pPr>
              <w:spacing w:before="0" w:after="0" w:line="240" w:lineRule="auto"/>
              <w:jc w:val="left"/>
            </w:pPr>
            <w:r>
              <w:rPr>
                <w:rFonts w:ascii="Arial" w:hAnsi="Arial" w:eastAsia="Arial"/>
                <w:b w:val="0"/>
                <w:i w:val="0"/>
                <w:color w:val="1F1F1F"/>
                <w:sz w:val="13"/>
              </w:rPr>
              <w:t>Total cholesterol minus HDL-C</w:t>
            </w:r>
          </w:p>
        </w:tc>
      </w:tr>
    </w:tbl>
    <w:p w14:paraId="653DF2BB">
      <w:r/>
    </w:p>
    <w:p w14:paraId="141CE780">
      <w:pPr>
        <w:keepNext/>
        <w:spacing w:before="140" w:after="80"/>
      </w:pPr>
      <w:r>
        <w:rPr>
          <w:rFonts w:ascii="Arial" w:hAnsi="Arial" w:eastAsia="Arial"/>
          <w:b/>
          <w:i w:val="0"/>
          <w:color w:val="1F4E78"/>
          <w:sz w:val="18"/>
        </w:rPr>
        <w:t>Panel B. Locked cohort roles and analytic sample flow</w:t>
      </w:r>
    </w:p>
    <w:tbl>
      <w:tblPr>
        <w:tblStyle w:val="32"/>
        <w:tblW w:w="0" w:type="auto"/>
        <w:jc w:val="center"/>
        <w:tblLayout w:type="fixed"/>
        <w:tblCellMar>
          <w:top w:w="0" w:type="dxa"/>
          <w:left w:w="108" w:type="dxa"/>
          <w:bottom w:w="0" w:type="dxa"/>
          <w:right w:w="108" w:type="dxa"/>
        </w:tblCellMar>
      </w:tblPr>
      <w:tblGrid>
        <w:gridCol w:w="1053"/>
        <w:gridCol w:w="1053"/>
        <w:gridCol w:w="1053"/>
        <w:gridCol w:w="1053"/>
        <w:gridCol w:w="1053"/>
        <w:gridCol w:w="1053"/>
        <w:gridCol w:w="1053"/>
        <w:gridCol w:w="1053"/>
        <w:gridCol w:w="1053"/>
        <w:gridCol w:w="1053"/>
      </w:tblGrid>
      <w:tr w14:paraId="189F8E02">
        <w:tblPrEx>
          <w:tblCellMar>
            <w:top w:w="0" w:type="dxa"/>
            <w:left w:w="108" w:type="dxa"/>
            <w:bottom w:w="0" w:type="dxa"/>
            <w:right w:w="108" w:type="dxa"/>
          </w:tblCellMar>
        </w:tblPrEx>
        <w:trPr>
          <w:cantSplit/>
          <w:tblHeader/>
          <w:jc w:val="center"/>
        </w:trPr>
        <w:tc>
          <w:tcPr>
            <w:tcW w:w="194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44731B7B">
            <w:pPr>
              <w:spacing w:before="0" w:after="0" w:line="240" w:lineRule="auto"/>
              <w:jc w:val="center"/>
            </w:pPr>
            <w:r>
              <w:rPr>
                <w:rFonts w:ascii="Arial" w:hAnsi="Arial" w:eastAsia="Arial"/>
                <w:b/>
                <w:i w:val="0"/>
                <w:color w:val="FFFFFF"/>
                <w:sz w:val="13"/>
              </w:rPr>
              <w:t>Cohort stage</w:t>
            </w:r>
          </w:p>
        </w:tc>
        <w:tc>
          <w:tcPr>
            <w:tcW w:w="208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47380CA">
            <w:pPr>
              <w:spacing w:before="0" w:after="0" w:line="240" w:lineRule="auto"/>
              <w:jc w:val="center"/>
            </w:pPr>
            <w:r>
              <w:rPr>
                <w:rFonts w:ascii="Arial" w:hAnsi="Arial" w:eastAsia="Arial"/>
                <w:b/>
                <w:i w:val="0"/>
                <w:color w:val="FFFFFF"/>
                <w:sz w:val="13"/>
              </w:rPr>
              <w:t>Analytic role</w:t>
            </w:r>
          </w:p>
        </w:tc>
        <w:tc>
          <w:tcPr>
            <w:tcW w:w="194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68B3BB3">
            <w:pPr>
              <w:spacing w:before="0" w:after="0" w:line="240" w:lineRule="auto"/>
              <w:jc w:val="center"/>
            </w:pPr>
            <w:r>
              <w:rPr>
                <w:rFonts w:ascii="Arial" w:hAnsi="Arial" w:eastAsia="Arial"/>
                <w:b/>
                <w:i w:val="0"/>
                <w:color w:val="FFFFFF"/>
                <w:sz w:val="13"/>
              </w:rPr>
              <w:t>Observation window</w:t>
            </w:r>
          </w:p>
        </w:tc>
        <w:tc>
          <w:tcPr>
            <w:tcW w:w="2015"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42B811EB">
            <w:pPr>
              <w:spacing w:before="0" w:after="0" w:line="240" w:lineRule="auto"/>
              <w:jc w:val="center"/>
            </w:pPr>
            <w:r>
              <w:rPr>
                <w:rFonts w:ascii="Arial" w:hAnsi="Arial" w:eastAsia="Arial"/>
                <w:b/>
                <w:i w:val="0"/>
                <w:color w:val="FFFFFF"/>
                <w:sz w:val="13"/>
              </w:rPr>
              <w:t>Analysis unit</w:t>
            </w:r>
          </w:p>
        </w:tc>
        <w:tc>
          <w:tcPr>
            <w:tcW w:w="115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676DEEA">
            <w:pPr>
              <w:spacing w:before="0" w:after="0" w:line="240" w:lineRule="auto"/>
              <w:jc w:val="center"/>
            </w:pPr>
            <w:r>
              <w:rPr>
                <w:rFonts w:ascii="Arial" w:hAnsi="Arial" w:eastAsia="Arial"/>
                <w:b/>
                <w:i w:val="0"/>
                <w:color w:val="FFFFFF"/>
                <w:sz w:val="13"/>
              </w:rPr>
              <w:t>Harmonized rows</w:t>
            </w:r>
          </w:p>
        </w:tc>
        <w:tc>
          <w:tcPr>
            <w:tcW w:w="122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9BD0A4A">
            <w:pPr>
              <w:spacing w:before="0" w:after="0" w:line="240" w:lineRule="auto"/>
              <w:jc w:val="center"/>
            </w:pPr>
            <w:r>
              <w:rPr>
                <w:rFonts w:ascii="Arial" w:hAnsi="Arial" w:eastAsia="Arial"/>
                <w:b/>
                <w:i w:val="0"/>
                <w:color w:val="FFFFFF"/>
                <w:sz w:val="13"/>
              </w:rPr>
              <w:t>Missing outcome excluded</w:t>
            </w:r>
          </w:p>
        </w:tc>
        <w:tc>
          <w:tcPr>
            <w:tcW w:w="108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52759C02">
            <w:pPr>
              <w:spacing w:before="0" w:after="0" w:line="240" w:lineRule="auto"/>
              <w:jc w:val="center"/>
            </w:pPr>
            <w:r>
              <w:rPr>
                <w:rFonts w:ascii="Arial" w:hAnsi="Arial" w:eastAsia="Arial"/>
                <w:b/>
                <w:i w:val="0"/>
                <w:color w:val="FFFFFF"/>
                <w:sz w:val="13"/>
              </w:rPr>
              <w:t>Analytic rows</w:t>
            </w:r>
          </w:p>
        </w:tc>
        <w:tc>
          <w:tcPr>
            <w:tcW w:w="129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0787B7A">
            <w:pPr>
              <w:spacing w:before="0" w:after="0" w:line="240" w:lineRule="auto"/>
              <w:jc w:val="center"/>
            </w:pPr>
            <w:r>
              <w:rPr>
                <w:rFonts w:ascii="Arial" w:hAnsi="Arial" w:eastAsia="Arial"/>
                <w:b/>
                <w:i w:val="0"/>
                <w:color w:val="FFFFFF"/>
                <w:sz w:val="13"/>
              </w:rPr>
              <w:t>Unique participants</w:t>
            </w:r>
          </w:p>
        </w:tc>
        <w:tc>
          <w:tcPr>
            <w:tcW w:w="144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EA2C759">
            <w:pPr>
              <w:spacing w:before="0" w:after="0" w:line="240" w:lineRule="auto"/>
              <w:jc w:val="center"/>
            </w:pPr>
            <w:r>
              <w:rPr>
                <w:rFonts w:ascii="Arial" w:hAnsi="Arial" w:eastAsia="Arial"/>
                <w:b/>
                <w:i w:val="0"/>
                <w:color w:val="FFFFFF"/>
                <w:sz w:val="13"/>
              </w:rPr>
              <w:t>Exact-IHD events, n (%)</w:t>
            </w:r>
          </w:p>
        </w:tc>
        <w:tc>
          <w:tcPr>
            <w:tcW w:w="244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3FBA6034">
            <w:pPr>
              <w:spacing w:before="0" w:after="0" w:line="240" w:lineRule="auto"/>
              <w:jc w:val="center"/>
            </w:pPr>
            <w:r>
              <w:rPr>
                <w:rFonts w:ascii="Arial" w:hAnsi="Arial" w:eastAsia="Arial"/>
                <w:b/>
                <w:i w:val="0"/>
                <w:color w:val="FFFFFF"/>
                <w:sz w:val="13"/>
              </w:rPr>
              <w:t>Model use</w:t>
            </w:r>
          </w:p>
        </w:tc>
      </w:tr>
      <w:tr w14:paraId="74577C24">
        <w:tblPrEx>
          <w:tblCellMar>
            <w:top w:w="0" w:type="dxa"/>
            <w:left w:w="108" w:type="dxa"/>
            <w:bottom w:w="0" w:type="dxa"/>
            <w:right w:w="108" w:type="dxa"/>
          </w:tblCellMar>
        </w:tblPrEx>
        <w:trPr>
          <w:cantSplit/>
          <w:jc w:val="center"/>
        </w:trPr>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6595113">
            <w:pPr>
              <w:spacing w:before="0" w:after="0" w:line="240" w:lineRule="auto"/>
              <w:jc w:val="left"/>
            </w:pPr>
            <w:r>
              <w:rPr>
                <w:rFonts w:ascii="Arial" w:hAnsi="Arial" w:eastAsia="Arial"/>
                <w:b w:val="0"/>
                <w:i w:val="0"/>
                <w:color w:val="1F1F1F"/>
                <w:sz w:val="13"/>
              </w:rPr>
              <w:t>ELSA pooled development</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F2011AD">
            <w:pPr>
              <w:spacing w:before="0" w:after="0" w:line="240" w:lineRule="auto"/>
              <w:jc w:val="left"/>
            </w:pPr>
            <w:r>
              <w:rPr>
                <w:rFonts w:ascii="Arial" w:hAnsi="Arial" w:eastAsia="Arial"/>
                <w:b w:val="0"/>
                <w:i w:val="0"/>
                <w:color w:val="1F1F1F"/>
                <w:sz w:val="13"/>
              </w:rPr>
              <w:t>Pooled development</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7C8090B">
            <w:pPr>
              <w:spacing w:before="0" w:after="0" w:line="240" w:lineRule="auto"/>
              <w:jc w:val="left"/>
            </w:pPr>
            <w:r>
              <w:rPr>
                <w:rFonts w:ascii="Arial" w:hAnsi="Arial" w:eastAsia="Arial"/>
                <w:b w:val="0"/>
                <w:i w:val="0"/>
                <w:color w:val="1F1F1F"/>
                <w:sz w:val="13"/>
              </w:rPr>
              <w:t>ELSA W2→W4 and W4→W6</w:t>
            </w:r>
          </w:p>
        </w:tc>
        <w:tc>
          <w:tcPr>
            <w:tcW w:w="2015"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DBA5E0B">
            <w:pPr>
              <w:spacing w:before="0" w:after="0" w:line="240" w:lineRule="auto"/>
              <w:jc w:val="left"/>
            </w:pPr>
            <w:r>
              <w:rPr>
                <w:rFonts w:ascii="Arial" w:hAnsi="Arial" w:eastAsia="Arial"/>
                <w:b w:val="0"/>
                <w:i w:val="0"/>
                <w:color w:val="1F1F1F"/>
                <w:sz w:val="13"/>
              </w:rPr>
              <w:t>Participant-landmark rows</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5330EEE">
            <w:pPr>
              <w:spacing w:before="0" w:after="0" w:line="240" w:lineRule="auto"/>
              <w:jc w:val="center"/>
            </w:pPr>
            <w:r>
              <w:rPr>
                <w:rFonts w:ascii="Arial" w:hAnsi="Arial" w:eastAsia="Arial"/>
                <w:b w:val="0"/>
                <w:i w:val="0"/>
                <w:color w:val="1F1F1F"/>
                <w:sz w:val="13"/>
              </w:rPr>
              <w:t>16,309</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C4B642B">
            <w:pPr>
              <w:spacing w:before="0" w:after="0" w:line="240" w:lineRule="auto"/>
              <w:jc w:val="center"/>
            </w:pPr>
            <w:r>
              <w:rPr>
                <w:rFonts w:ascii="Arial" w:hAnsi="Arial" w:eastAsia="Arial"/>
                <w:b w:val="0"/>
                <w:i w:val="0"/>
                <w:color w:val="1F1F1F"/>
                <w:sz w:val="13"/>
              </w:rPr>
              <w:t>4,745</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197612B">
            <w:pPr>
              <w:spacing w:before="0" w:after="0" w:line="240" w:lineRule="auto"/>
              <w:jc w:val="center"/>
            </w:pPr>
            <w:r>
              <w:rPr>
                <w:rFonts w:ascii="Arial" w:hAnsi="Arial" w:eastAsia="Arial"/>
                <w:b w:val="0"/>
                <w:i w:val="0"/>
                <w:color w:val="1F1F1F"/>
                <w:sz w:val="13"/>
              </w:rPr>
              <w:t>11,564</w:t>
            </w:r>
          </w:p>
        </w:tc>
        <w:tc>
          <w:tcPr>
            <w:tcW w:w="129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FBF7BD5">
            <w:pPr>
              <w:spacing w:before="0" w:after="0" w:line="240" w:lineRule="auto"/>
              <w:jc w:val="center"/>
            </w:pPr>
            <w:r>
              <w:rPr>
                <w:rFonts w:ascii="Arial" w:hAnsi="Arial" w:eastAsia="Arial"/>
                <w:b w:val="0"/>
                <w:i w:val="0"/>
                <w:color w:val="1F1F1F"/>
                <w:sz w:val="13"/>
              </w:rPr>
              <w:t>7,795</w:t>
            </w:r>
          </w:p>
        </w:tc>
        <w:tc>
          <w:tcPr>
            <w:tcW w:w="14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4DA1191">
            <w:pPr>
              <w:spacing w:before="0" w:after="0" w:line="240" w:lineRule="auto"/>
              <w:jc w:val="center"/>
            </w:pPr>
            <w:r>
              <w:rPr>
                <w:rFonts w:ascii="Arial" w:hAnsi="Arial" w:eastAsia="Arial"/>
                <w:b w:val="0"/>
                <w:i w:val="0"/>
                <w:color w:val="1F1F1F"/>
                <w:sz w:val="13"/>
              </w:rPr>
              <w:t>367 (3.2%)</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9315366">
            <w:pPr>
              <w:spacing w:before="0" w:after="0" w:line="240" w:lineRule="auto"/>
              <w:jc w:val="left"/>
            </w:pPr>
            <w:r>
              <w:rPr>
                <w:rFonts w:ascii="Arial" w:hAnsi="Arial" w:eastAsia="Arial"/>
                <w:b w:val="0"/>
                <w:i w:val="0"/>
                <w:color w:val="1F1F1F"/>
                <w:sz w:val="13"/>
              </w:rPr>
              <w:t>Participant-grouped repeated OOF development</w:t>
            </w:r>
          </w:p>
        </w:tc>
      </w:tr>
      <w:tr w14:paraId="7CEEE5D3">
        <w:tblPrEx>
          <w:tblCellMar>
            <w:top w:w="0" w:type="dxa"/>
            <w:left w:w="108" w:type="dxa"/>
            <w:bottom w:w="0" w:type="dxa"/>
            <w:right w:w="108" w:type="dxa"/>
          </w:tblCellMar>
        </w:tblPrEx>
        <w:trPr>
          <w:cantSplit/>
          <w:jc w:val="center"/>
        </w:trPr>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5D21E3C">
            <w:pPr>
              <w:spacing w:before="0" w:after="0" w:line="240" w:lineRule="auto"/>
              <w:jc w:val="left"/>
            </w:pPr>
            <w:r>
              <w:rPr>
                <w:rFonts w:ascii="Arial" w:hAnsi="Arial" w:eastAsia="Arial"/>
                <w:b w:val="0"/>
                <w:i w:val="0"/>
                <w:color w:val="1F1F1F"/>
                <w:sz w:val="13"/>
              </w:rPr>
              <w:t>ELSA temporal validation</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CE3B3E4">
            <w:pPr>
              <w:spacing w:before="0" w:after="0" w:line="240" w:lineRule="auto"/>
              <w:jc w:val="left"/>
            </w:pPr>
            <w:r>
              <w:rPr>
                <w:rFonts w:ascii="Arial" w:hAnsi="Arial" w:eastAsia="Arial"/>
                <w:b w:val="0"/>
                <w:i w:val="0"/>
                <w:color w:val="1F1F1F"/>
                <w:sz w:val="13"/>
              </w:rPr>
              <w:t>Frozen temporal validation</w:t>
            </w:r>
          </w:p>
        </w:tc>
        <w:tc>
          <w:tcPr>
            <w:tcW w:w="19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A5404D7">
            <w:pPr>
              <w:spacing w:before="0" w:after="0" w:line="240" w:lineRule="auto"/>
              <w:jc w:val="left"/>
            </w:pPr>
            <w:r>
              <w:rPr>
                <w:rFonts w:ascii="Arial" w:hAnsi="Arial" w:eastAsia="Arial"/>
                <w:b w:val="0"/>
                <w:i w:val="0"/>
                <w:color w:val="1F1F1F"/>
                <w:sz w:val="13"/>
              </w:rPr>
              <w:t>ELSA W6→W8</w:t>
            </w:r>
          </w:p>
        </w:tc>
        <w:tc>
          <w:tcPr>
            <w:tcW w:w="2015"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7F8187D">
            <w:pPr>
              <w:spacing w:before="0" w:after="0" w:line="240" w:lineRule="auto"/>
              <w:jc w:val="left"/>
            </w:pPr>
            <w:r>
              <w:rPr>
                <w:rFonts w:ascii="Arial" w:hAnsi="Arial" w:eastAsia="Arial"/>
                <w:b w:val="0"/>
                <w:i w:val="0"/>
                <w:color w:val="1F1F1F"/>
                <w:sz w:val="13"/>
              </w:rPr>
              <w:t>Participants</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BA1829B">
            <w:pPr>
              <w:spacing w:before="0" w:after="0" w:line="240" w:lineRule="auto"/>
              <w:jc w:val="center"/>
            </w:pPr>
            <w:r>
              <w:rPr>
                <w:rFonts w:ascii="Arial" w:hAnsi="Arial" w:eastAsia="Arial"/>
                <w:b w:val="0"/>
                <w:i w:val="0"/>
                <w:color w:val="1F1F1F"/>
                <w:sz w:val="13"/>
              </w:rPr>
              <w:t>8,054</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DBD83D1">
            <w:pPr>
              <w:spacing w:before="0" w:after="0" w:line="240" w:lineRule="auto"/>
              <w:jc w:val="center"/>
            </w:pPr>
            <w:r>
              <w:rPr>
                <w:rFonts w:ascii="Arial" w:hAnsi="Arial" w:eastAsia="Arial"/>
                <w:b w:val="0"/>
                <w:i w:val="0"/>
                <w:color w:val="1F1F1F"/>
                <w:sz w:val="13"/>
              </w:rPr>
              <w:t>2,275</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DE4CB49">
            <w:pPr>
              <w:spacing w:before="0" w:after="0" w:line="240" w:lineRule="auto"/>
              <w:jc w:val="center"/>
            </w:pPr>
            <w:r>
              <w:rPr>
                <w:rFonts w:ascii="Arial" w:hAnsi="Arial" w:eastAsia="Arial"/>
                <w:b w:val="0"/>
                <w:i w:val="0"/>
                <w:color w:val="1F1F1F"/>
                <w:sz w:val="13"/>
              </w:rPr>
              <w:t>5,779</w:t>
            </w:r>
          </w:p>
        </w:tc>
        <w:tc>
          <w:tcPr>
            <w:tcW w:w="129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0BDFCB3">
            <w:pPr>
              <w:spacing w:before="0" w:after="0" w:line="240" w:lineRule="auto"/>
              <w:jc w:val="center"/>
            </w:pPr>
            <w:r>
              <w:rPr>
                <w:rFonts w:ascii="Arial" w:hAnsi="Arial" w:eastAsia="Arial"/>
                <w:b w:val="0"/>
                <w:i w:val="0"/>
                <w:color w:val="1F1F1F"/>
                <w:sz w:val="13"/>
              </w:rPr>
              <w:t>5,779</w:t>
            </w:r>
          </w:p>
        </w:tc>
        <w:tc>
          <w:tcPr>
            <w:tcW w:w="14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F8B9B91">
            <w:pPr>
              <w:spacing w:before="0" w:after="0" w:line="240" w:lineRule="auto"/>
              <w:jc w:val="center"/>
            </w:pPr>
            <w:r>
              <w:rPr>
                <w:rFonts w:ascii="Arial" w:hAnsi="Arial" w:eastAsia="Arial"/>
                <w:b w:val="0"/>
                <w:i w:val="0"/>
                <w:color w:val="1F1F1F"/>
                <w:sz w:val="13"/>
              </w:rPr>
              <w:t>163 (2.8%)</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9A36250">
            <w:pPr>
              <w:spacing w:before="0" w:after="0" w:line="240" w:lineRule="auto"/>
              <w:jc w:val="left"/>
            </w:pPr>
            <w:r>
              <w:rPr>
                <w:rFonts w:ascii="Arial" w:hAnsi="Arial" w:eastAsia="Arial"/>
                <w:b w:val="0"/>
                <w:i w:val="0"/>
                <w:color w:val="1F1F1F"/>
                <w:sz w:val="13"/>
              </w:rPr>
              <w:t>Unchanged frozen predictions</w:t>
            </w:r>
          </w:p>
        </w:tc>
      </w:tr>
      <w:tr w14:paraId="5C273FA5">
        <w:tblPrEx>
          <w:tblCellMar>
            <w:top w:w="0" w:type="dxa"/>
            <w:left w:w="108" w:type="dxa"/>
            <w:bottom w:w="0" w:type="dxa"/>
            <w:right w:w="108" w:type="dxa"/>
          </w:tblCellMar>
        </w:tblPrEx>
        <w:trPr>
          <w:cantSplit/>
          <w:jc w:val="center"/>
        </w:trPr>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D754400">
            <w:pPr>
              <w:spacing w:before="0" w:after="0" w:line="240" w:lineRule="auto"/>
              <w:jc w:val="left"/>
            </w:pPr>
            <w:r>
              <w:rPr>
                <w:rFonts w:ascii="Arial" w:hAnsi="Arial" w:eastAsia="Arial"/>
                <w:b w:val="0"/>
                <w:i w:val="0"/>
                <w:color w:val="1F1F1F"/>
                <w:sz w:val="13"/>
              </w:rPr>
              <w:t>HRS external validation</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89B0B1C">
            <w:pPr>
              <w:spacing w:before="0" w:after="0" w:line="240" w:lineRule="auto"/>
              <w:jc w:val="left"/>
            </w:pPr>
            <w:r>
              <w:rPr>
                <w:rFonts w:ascii="Arial" w:hAnsi="Arial" w:eastAsia="Arial"/>
                <w:b w:val="0"/>
                <w:i w:val="0"/>
                <w:color w:val="1F1F1F"/>
                <w:sz w:val="13"/>
              </w:rPr>
              <w:t>Frozen external validation</w:t>
            </w:r>
          </w:p>
        </w:tc>
        <w:tc>
          <w:tcPr>
            <w:tcW w:w="19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DF4AB05">
            <w:pPr>
              <w:spacing w:before="0" w:after="0" w:line="240" w:lineRule="auto"/>
              <w:jc w:val="left"/>
            </w:pPr>
            <w:r>
              <w:rPr>
                <w:rFonts w:ascii="Arial" w:hAnsi="Arial" w:eastAsia="Arial"/>
                <w:b w:val="0"/>
                <w:i w:val="0"/>
                <w:color w:val="1F1F1F"/>
                <w:sz w:val="13"/>
              </w:rPr>
              <w:t>HRS 2016→2020</w:t>
            </w:r>
          </w:p>
        </w:tc>
        <w:tc>
          <w:tcPr>
            <w:tcW w:w="2015"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371A426">
            <w:pPr>
              <w:spacing w:before="0" w:after="0" w:line="240" w:lineRule="auto"/>
              <w:jc w:val="left"/>
            </w:pPr>
            <w:r>
              <w:rPr>
                <w:rFonts w:ascii="Arial" w:hAnsi="Arial" w:eastAsia="Arial"/>
                <w:b w:val="0"/>
                <w:i w:val="0"/>
                <w:color w:val="1F1F1F"/>
                <w:sz w:val="13"/>
              </w:rPr>
              <w:t>Participants</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07CDA32">
            <w:pPr>
              <w:spacing w:before="0" w:after="0" w:line="240" w:lineRule="auto"/>
              <w:jc w:val="center"/>
            </w:pPr>
            <w:r>
              <w:rPr>
                <w:rFonts w:ascii="Arial" w:hAnsi="Arial" w:eastAsia="Arial"/>
                <w:b w:val="0"/>
                <w:i w:val="0"/>
                <w:color w:val="1F1F1F"/>
                <w:sz w:val="13"/>
              </w:rPr>
              <w:t>6,345</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5F24B7A">
            <w:pPr>
              <w:spacing w:before="0" w:after="0" w:line="240" w:lineRule="auto"/>
              <w:jc w:val="center"/>
            </w:pPr>
            <w:r>
              <w:rPr>
                <w:rFonts w:ascii="Arial" w:hAnsi="Arial" w:eastAsia="Arial"/>
                <w:b w:val="0"/>
                <w:i w:val="0"/>
                <w:color w:val="1F1F1F"/>
                <w:sz w:val="13"/>
              </w:rPr>
              <w:t>1,278</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998551D">
            <w:pPr>
              <w:spacing w:before="0" w:after="0" w:line="240" w:lineRule="auto"/>
              <w:jc w:val="center"/>
            </w:pPr>
            <w:r>
              <w:rPr>
                <w:rFonts w:ascii="Arial" w:hAnsi="Arial" w:eastAsia="Arial"/>
                <w:b w:val="0"/>
                <w:i w:val="0"/>
                <w:color w:val="1F1F1F"/>
                <w:sz w:val="13"/>
              </w:rPr>
              <w:t>5,067</w:t>
            </w:r>
          </w:p>
        </w:tc>
        <w:tc>
          <w:tcPr>
            <w:tcW w:w="129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48D14A4">
            <w:pPr>
              <w:spacing w:before="0" w:after="0" w:line="240" w:lineRule="auto"/>
              <w:jc w:val="center"/>
            </w:pPr>
            <w:r>
              <w:rPr>
                <w:rFonts w:ascii="Arial" w:hAnsi="Arial" w:eastAsia="Arial"/>
                <w:b w:val="0"/>
                <w:i w:val="0"/>
                <w:color w:val="1F1F1F"/>
                <w:sz w:val="13"/>
              </w:rPr>
              <w:t>5,067</w:t>
            </w:r>
          </w:p>
        </w:tc>
        <w:tc>
          <w:tcPr>
            <w:tcW w:w="14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0F3AE6B">
            <w:pPr>
              <w:spacing w:before="0" w:after="0" w:line="240" w:lineRule="auto"/>
              <w:jc w:val="center"/>
            </w:pPr>
            <w:r>
              <w:rPr>
                <w:rFonts w:ascii="Arial" w:hAnsi="Arial" w:eastAsia="Arial"/>
                <w:b w:val="0"/>
                <w:i w:val="0"/>
                <w:color w:val="1F1F1F"/>
                <w:sz w:val="13"/>
              </w:rPr>
              <w:t>171 (3.4%)</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472AA0E">
            <w:pPr>
              <w:spacing w:before="0" w:after="0" w:line="240" w:lineRule="auto"/>
              <w:jc w:val="left"/>
            </w:pPr>
            <w:r>
              <w:rPr>
                <w:rFonts w:ascii="Arial" w:hAnsi="Arial" w:eastAsia="Arial"/>
                <w:b w:val="0"/>
                <w:i w:val="0"/>
                <w:color w:val="1F1F1F"/>
                <w:sz w:val="13"/>
              </w:rPr>
              <w:t>Unchanged frozen predictions</w:t>
            </w:r>
          </w:p>
        </w:tc>
      </w:tr>
    </w:tbl>
    <w:p w14:paraId="51E76BA3">
      <w:pPr>
        <w:keepNext/>
        <w:spacing w:before="140" w:after="80"/>
      </w:pPr>
      <w:r>
        <w:rPr>
          <w:rFonts w:ascii="Arial" w:hAnsi="Arial" w:eastAsia="Arial"/>
          <w:b/>
          <w:i w:val="0"/>
          <w:color w:val="1F4E78"/>
          <w:sz w:val="18"/>
        </w:rPr>
        <w:t>Panel C. Core-3 component completeness and imputation strata</w:t>
      </w:r>
    </w:p>
    <w:tbl>
      <w:tblPr>
        <w:tblStyle w:val="32"/>
        <w:tblW w:w="0" w:type="auto"/>
        <w:jc w:val="center"/>
        <w:tblLayout w:type="fixed"/>
        <w:tblCellMar>
          <w:top w:w="0" w:type="dxa"/>
          <w:left w:w="108" w:type="dxa"/>
          <w:bottom w:w="0" w:type="dxa"/>
          <w:right w:w="108" w:type="dxa"/>
        </w:tblCellMar>
      </w:tblPr>
      <w:tblGrid>
        <w:gridCol w:w="1754"/>
        <w:gridCol w:w="1754"/>
        <w:gridCol w:w="1754"/>
        <w:gridCol w:w="1754"/>
        <w:gridCol w:w="1754"/>
        <w:gridCol w:w="1754"/>
      </w:tblGrid>
      <w:tr w14:paraId="29EDD3A3">
        <w:tblPrEx>
          <w:tblCellMar>
            <w:top w:w="0" w:type="dxa"/>
            <w:left w:w="108" w:type="dxa"/>
            <w:bottom w:w="0" w:type="dxa"/>
            <w:right w:w="108" w:type="dxa"/>
          </w:tblCellMar>
        </w:tblPrEx>
        <w:trPr>
          <w:cantSplit/>
          <w:tblHeader/>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506407D9">
            <w:pPr>
              <w:spacing w:before="0" w:after="0" w:line="240" w:lineRule="auto"/>
              <w:jc w:val="center"/>
            </w:pPr>
            <w:r>
              <w:rPr>
                <w:rFonts w:ascii="Arial" w:hAnsi="Arial" w:eastAsia="Arial"/>
                <w:b/>
                <w:i w:val="0"/>
                <w:color w:val="FFFFFF"/>
                <w:sz w:val="14"/>
              </w:rPr>
              <w:t>Validation stage</w:t>
            </w:r>
          </w:p>
        </w:tc>
        <w:tc>
          <w:tcPr>
            <w:tcW w:w="338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FE29D5B">
            <w:pPr>
              <w:spacing w:before="0" w:after="0" w:line="240" w:lineRule="auto"/>
              <w:jc w:val="center"/>
            </w:pPr>
            <w:r>
              <w:rPr>
                <w:rFonts w:ascii="Arial" w:hAnsi="Arial" w:eastAsia="Arial"/>
                <w:b/>
                <w:i w:val="0"/>
                <w:color w:val="FFFFFF"/>
                <w:sz w:val="14"/>
              </w:rPr>
              <w:t>Information-completeness stratum</w:t>
            </w:r>
          </w:p>
        </w:tc>
        <w:tc>
          <w:tcPr>
            <w:tcW w:w="108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55080CB1">
            <w:pPr>
              <w:spacing w:before="0" w:after="0" w:line="240" w:lineRule="auto"/>
              <w:jc w:val="center"/>
            </w:pPr>
            <w:r>
              <w:rPr>
                <w:rFonts w:ascii="Arial" w:hAnsi="Arial" w:eastAsia="Arial"/>
                <w:b/>
                <w:i w:val="0"/>
                <w:color w:val="FFFFFF"/>
                <w:sz w:val="14"/>
              </w:rPr>
              <w:t>Rows</w:t>
            </w:r>
          </w:p>
        </w:tc>
        <w:tc>
          <w:tcPr>
            <w:tcW w:w="108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2BF79C7">
            <w:pPr>
              <w:spacing w:before="0" w:after="0" w:line="240" w:lineRule="auto"/>
              <w:jc w:val="center"/>
            </w:pPr>
            <w:r>
              <w:rPr>
                <w:rFonts w:ascii="Arial" w:hAnsi="Arial" w:eastAsia="Arial"/>
                <w:b/>
                <w:i w:val="0"/>
                <w:color w:val="FFFFFF"/>
                <w:sz w:val="14"/>
              </w:rPr>
              <w:t>Events</w:t>
            </w:r>
          </w:p>
        </w:tc>
        <w:tc>
          <w:tcPr>
            <w:tcW w:w="151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44A9E37">
            <w:pPr>
              <w:spacing w:before="0" w:after="0" w:line="240" w:lineRule="auto"/>
              <w:jc w:val="center"/>
            </w:pPr>
            <w:r>
              <w:rPr>
                <w:rFonts w:ascii="Arial" w:hAnsi="Arial" w:eastAsia="Arial"/>
                <w:b/>
                <w:i w:val="0"/>
                <w:color w:val="FFFFFF"/>
                <w:sz w:val="14"/>
              </w:rPr>
              <w:t>Fraction of stage</w:t>
            </w:r>
          </w:p>
        </w:tc>
        <w:tc>
          <w:tcPr>
            <w:tcW w:w="5903"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F56AD32">
            <w:pPr>
              <w:spacing w:before="0" w:after="0" w:line="240" w:lineRule="auto"/>
              <w:jc w:val="center"/>
            </w:pPr>
            <w:r>
              <w:rPr>
                <w:rFonts w:ascii="Arial" w:hAnsi="Arial" w:eastAsia="Arial"/>
                <w:b/>
                <w:i w:val="0"/>
                <w:color w:val="FFFFFF"/>
                <w:sz w:val="14"/>
              </w:rPr>
              <w:t>Analytic interpretation</w:t>
            </w:r>
          </w:p>
        </w:tc>
      </w:tr>
      <w:tr w14:paraId="152D4B5E">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84F02DB">
            <w:pPr>
              <w:spacing w:before="0" w:after="0" w:line="240" w:lineRule="auto"/>
              <w:jc w:val="left"/>
            </w:pPr>
            <w:r>
              <w:rPr>
                <w:rFonts w:ascii="Arial" w:hAnsi="Arial" w:eastAsia="Arial"/>
                <w:b w:val="0"/>
                <w:i w:val="0"/>
                <w:color w:val="1F1F1F"/>
                <w:sz w:val="14"/>
              </w:rPr>
              <w:t>ELSA temporal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4F6FE58">
            <w:pPr>
              <w:spacing w:before="0" w:after="0" w:line="240" w:lineRule="auto"/>
              <w:jc w:val="left"/>
            </w:pPr>
            <w:r>
              <w:rPr>
                <w:rFonts w:ascii="Arial" w:hAnsi="Arial" w:eastAsia="Arial"/>
                <w:b w:val="0"/>
                <w:i w:val="0"/>
                <w:color w:val="1F1F1F"/>
                <w:sz w:val="14"/>
              </w:rPr>
              <w:t>All outcome-observed rows</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2E73226">
            <w:pPr>
              <w:spacing w:before="0" w:after="0" w:line="240" w:lineRule="auto"/>
              <w:jc w:val="center"/>
            </w:pPr>
            <w:r>
              <w:rPr>
                <w:rFonts w:ascii="Arial" w:hAnsi="Arial" w:eastAsia="Arial"/>
                <w:b w:val="0"/>
                <w:i w:val="0"/>
                <w:color w:val="1F1F1F"/>
                <w:sz w:val="14"/>
              </w:rPr>
              <w:t>5779</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401E578">
            <w:pPr>
              <w:spacing w:before="0" w:after="0" w:line="240" w:lineRule="auto"/>
              <w:jc w:val="center"/>
            </w:pPr>
            <w:r>
              <w:rPr>
                <w:rFonts w:ascii="Arial" w:hAnsi="Arial" w:eastAsia="Arial"/>
                <w:b w:val="0"/>
                <w:i w:val="0"/>
                <w:color w:val="1F1F1F"/>
                <w:sz w:val="14"/>
              </w:rPr>
              <w:t>163</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F5EC12E">
            <w:pPr>
              <w:spacing w:before="0" w:after="0" w:line="240" w:lineRule="auto"/>
              <w:jc w:val="center"/>
            </w:pPr>
            <w:r>
              <w:rPr>
                <w:rFonts w:ascii="Arial" w:hAnsi="Arial" w:eastAsia="Arial"/>
                <w:b w:val="0"/>
                <w:i w:val="0"/>
                <w:color w:val="1F1F1F"/>
                <w:sz w:val="14"/>
              </w:rPr>
              <w:t>100.0%</w:t>
            </w:r>
          </w:p>
        </w:tc>
        <w:tc>
          <w:tcPr>
            <w:tcW w:w="5903"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E791E68">
            <w:pPr>
              <w:spacing w:before="0" w:after="0" w:line="240" w:lineRule="auto"/>
              <w:jc w:val="left"/>
            </w:pPr>
            <w:r>
              <w:rPr>
                <w:rFonts w:ascii="Arial" w:hAnsi="Arial" w:eastAsia="Arial"/>
                <w:b w:val="0"/>
                <w:i w:val="0"/>
                <w:color w:val="1F1F1F"/>
                <w:sz w:val="14"/>
              </w:rPr>
              <w:t>Primary frozen validation population</w:t>
            </w:r>
          </w:p>
        </w:tc>
      </w:tr>
      <w:tr w14:paraId="3200B22B">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B530C2B">
            <w:pPr>
              <w:spacing w:before="0" w:after="0" w:line="240" w:lineRule="auto"/>
              <w:jc w:val="left"/>
            </w:pPr>
            <w:r>
              <w:rPr>
                <w:rFonts w:ascii="Arial" w:hAnsi="Arial" w:eastAsia="Arial"/>
                <w:b w:val="0"/>
                <w:i w:val="0"/>
                <w:color w:val="1F1F1F"/>
                <w:sz w:val="14"/>
              </w:rPr>
              <w:t>ELSA temporal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280C1CF">
            <w:pPr>
              <w:spacing w:before="0" w:after="0" w:line="240" w:lineRule="auto"/>
              <w:jc w:val="left"/>
            </w:pPr>
            <w:r>
              <w:rPr>
                <w:rFonts w:ascii="Arial" w:hAnsi="Arial" w:eastAsia="Arial"/>
                <w:b w:val="0"/>
                <w:i w:val="0"/>
                <w:color w:val="1F1F1F"/>
                <w:sz w:val="14"/>
              </w:rPr>
              <w:t>All three Core-3 components observed</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F886085">
            <w:pPr>
              <w:spacing w:before="0" w:after="0" w:line="240" w:lineRule="auto"/>
              <w:jc w:val="center"/>
            </w:pPr>
            <w:r>
              <w:rPr>
                <w:rFonts w:ascii="Arial" w:hAnsi="Arial" w:eastAsia="Arial"/>
                <w:b w:val="0"/>
                <w:i w:val="0"/>
                <w:color w:val="1F1F1F"/>
                <w:sz w:val="14"/>
              </w:rPr>
              <w:t>2549</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CF69346">
            <w:pPr>
              <w:spacing w:before="0" w:after="0" w:line="240" w:lineRule="auto"/>
              <w:jc w:val="center"/>
            </w:pPr>
            <w:r>
              <w:rPr>
                <w:rFonts w:ascii="Arial" w:hAnsi="Arial" w:eastAsia="Arial"/>
                <w:b w:val="0"/>
                <w:i w:val="0"/>
                <w:color w:val="1F1F1F"/>
                <w:sz w:val="14"/>
              </w:rPr>
              <w:t>55</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EB850F1">
            <w:pPr>
              <w:spacing w:before="0" w:after="0" w:line="240" w:lineRule="auto"/>
              <w:jc w:val="center"/>
            </w:pPr>
            <w:r>
              <w:rPr>
                <w:rFonts w:ascii="Arial" w:hAnsi="Arial" w:eastAsia="Arial"/>
                <w:b w:val="0"/>
                <w:i w:val="0"/>
                <w:color w:val="1F1F1F"/>
                <w:sz w:val="14"/>
              </w:rPr>
              <w:t>44.1%</w:t>
            </w:r>
          </w:p>
        </w:tc>
        <w:tc>
          <w:tcPr>
            <w:tcW w:w="5903"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1D092FB">
            <w:pPr>
              <w:spacing w:before="0" w:after="0" w:line="240" w:lineRule="auto"/>
              <w:jc w:val="left"/>
            </w:pPr>
            <w:r>
              <w:rPr>
                <w:rFonts w:ascii="Arial" w:hAnsi="Arial" w:eastAsia="Arial"/>
                <w:b w:val="0"/>
                <w:i w:val="0"/>
                <w:color w:val="1F1F1F"/>
                <w:sz w:val="14"/>
              </w:rPr>
              <w:t>Complete-case sensitivity population</w:t>
            </w:r>
          </w:p>
        </w:tc>
      </w:tr>
      <w:tr w14:paraId="62B200E1">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F84AB68">
            <w:pPr>
              <w:spacing w:before="0" w:after="0" w:line="240" w:lineRule="auto"/>
              <w:jc w:val="left"/>
            </w:pPr>
            <w:r>
              <w:rPr>
                <w:rFonts w:ascii="Arial" w:hAnsi="Arial" w:eastAsia="Arial"/>
                <w:b w:val="0"/>
                <w:i w:val="0"/>
                <w:color w:val="1F1F1F"/>
                <w:sz w:val="14"/>
              </w:rPr>
              <w:t>ELSA temporal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BE7A15F">
            <w:pPr>
              <w:spacing w:before="0" w:after="0" w:line="240" w:lineRule="auto"/>
              <w:jc w:val="left"/>
            </w:pPr>
            <w:r>
              <w:rPr>
                <w:rFonts w:ascii="Arial" w:hAnsi="Arial" w:eastAsia="Arial"/>
                <w:b w:val="0"/>
                <w:i w:val="0"/>
                <w:color w:val="1F1F1F"/>
                <w:sz w:val="14"/>
              </w:rPr>
              <w:t>One component imputed</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50A3530">
            <w:pPr>
              <w:spacing w:before="0" w:after="0" w:line="240" w:lineRule="auto"/>
              <w:jc w:val="center"/>
            </w:pPr>
            <w:r>
              <w:rPr>
                <w:rFonts w:ascii="Arial" w:hAnsi="Arial" w:eastAsia="Arial"/>
                <w:b w:val="0"/>
                <w:i w:val="0"/>
                <w:color w:val="1F1F1F"/>
                <w:sz w:val="14"/>
              </w:rPr>
              <w:t>2018</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E8469CF">
            <w:pPr>
              <w:spacing w:before="0" w:after="0" w:line="240" w:lineRule="auto"/>
              <w:jc w:val="center"/>
            </w:pPr>
            <w:r>
              <w:rPr>
                <w:rFonts w:ascii="Arial" w:hAnsi="Arial" w:eastAsia="Arial"/>
                <w:b w:val="0"/>
                <w:i w:val="0"/>
                <w:color w:val="1F1F1F"/>
                <w:sz w:val="14"/>
              </w:rPr>
              <w:t>65</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3DCA4C8">
            <w:pPr>
              <w:spacing w:before="0" w:after="0" w:line="240" w:lineRule="auto"/>
              <w:jc w:val="center"/>
            </w:pPr>
            <w:r>
              <w:rPr>
                <w:rFonts w:ascii="Arial" w:hAnsi="Arial" w:eastAsia="Arial"/>
                <w:b w:val="0"/>
                <w:i w:val="0"/>
                <w:color w:val="1F1F1F"/>
                <w:sz w:val="14"/>
              </w:rPr>
              <w:t>34.9%</w:t>
            </w:r>
          </w:p>
        </w:tc>
        <w:tc>
          <w:tcPr>
            <w:tcW w:w="5903"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6A1D09A">
            <w:pPr>
              <w:spacing w:before="0" w:after="0" w:line="240" w:lineRule="auto"/>
              <w:jc w:val="left"/>
            </w:pPr>
            <w:r>
              <w:rPr>
                <w:rFonts w:ascii="Arial" w:hAnsi="Arial" w:eastAsia="Arial"/>
                <w:b w:val="0"/>
                <w:i w:val="0"/>
                <w:color w:val="1F1F1F"/>
                <w:sz w:val="14"/>
              </w:rPr>
              <w:t>Sensitivity stratum</w:t>
            </w:r>
          </w:p>
        </w:tc>
      </w:tr>
      <w:tr w14:paraId="18DEE09F">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0472E9A">
            <w:pPr>
              <w:spacing w:before="0" w:after="0" w:line="240" w:lineRule="auto"/>
              <w:jc w:val="left"/>
            </w:pPr>
            <w:r>
              <w:rPr>
                <w:rFonts w:ascii="Arial" w:hAnsi="Arial" w:eastAsia="Arial"/>
                <w:b w:val="0"/>
                <w:i w:val="0"/>
                <w:color w:val="1F1F1F"/>
                <w:sz w:val="14"/>
              </w:rPr>
              <w:t>ELSA temporal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FFAB1F5">
            <w:pPr>
              <w:spacing w:before="0" w:after="0" w:line="240" w:lineRule="auto"/>
              <w:jc w:val="left"/>
            </w:pPr>
            <w:r>
              <w:rPr>
                <w:rFonts w:ascii="Arial" w:hAnsi="Arial" w:eastAsia="Arial"/>
                <w:b w:val="0"/>
                <w:i w:val="0"/>
                <w:color w:val="1F1F1F"/>
                <w:sz w:val="14"/>
              </w:rPr>
              <w:t>Two or more components imputed</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9C67E12">
            <w:pPr>
              <w:spacing w:before="0" w:after="0" w:line="240" w:lineRule="auto"/>
              <w:jc w:val="center"/>
            </w:pPr>
            <w:r>
              <w:rPr>
                <w:rFonts w:ascii="Arial" w:hAnsi="Arial" w:eastAsia="Arial"/>
                <w:b w:val="0"/>
                <w:i w:val="0"/>
                <w:color w:val="1F1F1F"/>
                <w:sz w:val="14"/>
              </w:rPr>
              <w:t>1212</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40780F4">
            <w:pPr>
              <w:spacing w:before="0" w:after="0" w:line="240" w:lineRule="auto"/>
              <w:jc w:val="center"/>
            </w:pPr>
            <w:r>
              <w:rPr>
                <w:rFonts w:ascii="Arial" w:hAnsi="Arial" w:eastAsia="Arial"/>
                <w:b w:val="0"/>
                <w:i w:val="0"/>
                <w:color w:val="1F1F1F"/>
                <w:sz w:val="14"/>
              </w:rPr>
              <w:t>43</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89E5B97">
            <w:pPr>
              <w:spacing w:before="0" w:after="0" w:line="240" w:lineRule="auto"/>
              <w:jc w:val="center"/>
            </w:pPr>
            <w:r>
              <w:rPr>
                <w:rFonts w:ascii="Arial" w:hAnsi="Arial" w:eastAsia="Arial"/>
                <w:b w:val="0"/>
                <w:i w:val="0"/>
                <w:color w:val="1F1F1F"/>
                <w:sz w:val="14"/>
              </w:rPr>
              <w:t>21.0%</w:t>
            </w:r>
          </w:p>
        </w:tc>
        <w:tc>
          <w:tcPr>
            <w:tcW w:w="5903"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A51CB17">
            <w:pPr>
              <w:spacing w:before="0" w:after="0" w:line="240" w:lineRule="auto"/>
              <w:jc w:val="left"/>
            </w:pPr>
            <w:r>
              <w:rPr>
                <w:rFonts w:ascii="Arial" w:hAnsi="Arial" w:eastAsia="Arial"/>
                <w:b w:val="0"/>
                <w:i w:val="0"/>
                <w:color w:val="1F1F1F"/>
                <w:sz w:val="14"/>
              </w:rPr>
              <w:t>Too few events for some formal contrasts</w:t>
            </w:r>
          </w:p>
        </w:tc>
      </w:tr>
      <w:tr w14:paraId="3C0960BD">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1F2C43E">
            <w:pPr>
              <w:spacing w:before="0" w:after="0" w:line="240" w:lineRule="auto"/>
              <w:jc w:val="left"/>
            </w:pPr>
            <w:r>
              <w:rPr>
                <w:rFonts w:ascii="Arial" w:hAnsi="Arial" w:eastAsia="Arial"/>
                <w:b w:val="0"/>
                <w:i w:val="0"/>
                <w:color w:val="1F1F1F"/>
                <w:sz w:val="14"/>
              </w:rPr>
              <w:t>ELSA temporal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5A6395B">
            <w:pPr>
              <w:spacing w:before="0" w:after="0" w:line="240" w:lineRule="auto"/>
              <w:jc w:val="left"/>
            </w:pPr>
            <w:r>
              <w:rPr>
                <w:rFonts w:ascii="Arial" w:hAnsi="Arial" w:eastAsia="Arial"/>
                <w:b w:val="0"/>
                <w:i w:val="0"/>
                <w:color w:val="1F1F1F"/>
                <w:sz w:val="14"/>
              </w:rPr>
              <w:t>Any Core-3 component imputed</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14B4B4C">
            <w:pPr>
              <w:spacing w:before="0" w:after="0" w:line="240" w:lineRule="auto"/>
              <w:jc w:val="center"/>
            </w:pPr>
            <w:r>
              <w:rPr>
                <w:rFonts w:ascii="Arial" w:hAnsi="Arial" w:eastAsia="Arial"/>
                <w:b w:val="0"/>
                <w:i w:val="0"/>
                <w:color w:val="1F1F1F"/>
                <w:sz w:val="14"/>
              </w:rPr>
              <w:t>3230</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9103020">
            <w:pPr>
              <w:spacing w:before="0" w:after="0" w:line="240" w:lineRule="auto"/>
              <w:jc w:val="center"/>
            </w:pPr>
            <w:r>
              <w:rPr>
                <w:rFonts w:ascii="Arial" w:hAnsi="Arial" w:eastAsia="Arial"/>
                <w:b w:val="0"/>
                <w:i w:val="0"/>
                <w:color w:val="1F1F1F"/>
                <w:sz w:val="14"/>
              </w:rPr>
              <w:t>108</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B3FF8E5">
            <w:pPr>
              <w:spacing w:before="0" w:after="0" w:line="240" w:lineRule="auto"/>
              <w:jc w:val="center"/>
            </w:pPr>
            <w:r>
              <w:rPr>
                <w:rFonts w:ascii="Arial" w:hAnsi="Arial" w:eastAsia="Arial"/>
                <w:b w:val="0"/>
                <w:i w:val="0"/>
                <w:color w:val="1F1F1F"/>
                <w:sz w:val="14"/>
              </w:rPr>
              <w:t>55.9%</w:t>
            </w:r>
          </w:p>
        </w:tc>
        <w:tc>
          <w:tcPr>
            <w:tcW w:w="5903"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92CE204">
            <w:pPr>
              <w:spacing w:before="0" w:after="0" w:line="240" w:lineRule="auto"/>
              <w:jc w:val="left"/>
            </w:pPr>
            <w:r>
              <w:rPr>
                <w:rFonts w:ascii="Arial" w:hAnsi="Arial" w:eastAsia="Arial"/>
                <w:b w:val="0"/>
                <w:i w:val="0"/>
                <w:color w:val="1F1F1F"/>
                <w:sz w:val="14"/>
              </w:rPr>
              <w:t>Material contributor to validation contrast</w:t>
            </w:r>
          </w:p>
        </w:tc>
      </w:tr>
      <w:tr w14:paraId="37829B36">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AD4058A">
            <w:pPr>
              <w:spacing w:before="0" w:after="0" w:line="240" w:lineRule="auto"/>
              <w:jc w:val="left"/>
            </w:pPr>
            <w:r>
              <w:rPr>
                <w:rFonts w:ascii="Arial" w:hAnsi="Arial" w:eastAsia="Arial"/>
                <w:b w:val="0"/>
                <w:i w:val="0"/>
                <w:color w:val="1F1F1F"/>
                <w:sz w:val="14"/>
              </w:rPr>
              <w:t>HRS external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52EA652">
            <w:pPr>
              <w:spacing w:before="0" w:after="0" w:line="240" w:lineRule="auto"/>
              <w:jc w:val="left"/>
            </w:pPr>
            <w:r>
              <w:rPr>
                <w:rFonts w:ascii="Arial" w:hAnsi="Arial" w:eastAsia="Arial"/>
                <w:b w:val="0"/>
                <w:i w:val="0"/>
                <w:color w:val="1F1F1F"/>
                <w:sz w:val="14"/>
              </w:rPr>
              <w:t>All outcome-observed rows</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27E3617">
            <w:pPr>
              <w:spacing w:before="0" w:after="0" w:line="240" w:lineRule="auto"/>
              <w:jc w:val="center"/>
            </w:pPr>
            <w:r>
              <w:rPr>
                <w:rFonts w:ascii="Arial" w:hAnsi="Arial" w:eastAsia="Arial"/>
                <w:b w:val="0"/>
                <w:i w:val="0"/>
                <w:color w:val="1F1F1F"/>
                <w:sz w:val="14"/>
              </w:rPr>
              <w:t>5067</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F4282FA">
            <w:pPr>
              <w:spacing w:before="0" w:after="0" w:line="240" w:lineRule="auto"/>
              <w:jc w:val="center"/>
            </w:pPr>
            <w:r>
              <w:rPr>
                <w:rFonts w:ascii="Arial" w:hAnsi="Arial" w:eastAsia="Arial"/>
                <w:b w:val="0"/>
                <w:i w:val="0"/>
                <w:color w:val="1F1F1F"/>
                <w:sz w:val="14"/>
              </w:rPr>
              <w:t>171</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D64CB9C">
            <w:pPr>
              <w:spacing w:before="0" w:after="0" w:line="240" w:lineRule="auto"/>
              <w:jc w:val="center"/>
            </w:pPr>
            <w:r>
              <w:rPr>
                <w:rFonts w:ascii="Arial" w:hAnsi="Arial" w:eastAsia="Arial"/>
                <w:b w:val="0"/>
                <w:i w:val="0"/>
                <w:color w:val="1F1F1F"/>
                <w:sz w:val="14"/>
              </w:rPr>
              <w:t>100.0%</w:t>
            </w:r>
          </w:p>
        </w:tc>
        <w:tc>
          <w:tcPr>
            <w:tcW w:w="5903"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01FD2C5">
            <w:pPr>
              <w:spacing w:before="0" w:after="0" w:line="240" w:lineRule="auto"/>
              <w:jc w:val="left"/>
            </w:pPr>
            <w:r>
              <w:rPr>
                <w:rFonts w:ascii="Arial" w:hAnsi="Arial" w:eastAsia="Arial"/>
                <w:b w:val="0"/>
                <w:i w:val="0"/>
                <w:color w:val="1F1F1F"/>
                <w:sz w:val="14"/>
              </w:rPr>
              <w:t>Primary frozen external population</w:t>
            </w:r>
          </w:p>
        </w:tc>
      </w:tr>
      <w:tr w14:paraId="65F1D0AA">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43BB48C">
            <w:pPr>
              <w:spacing w:before="0" w:after="0" w:line="240" w:lineRule="auto"/>
              <w:jc w:val="left"/>
            </w:pPr>
            <w:r>
              <w:rPr>
                <w:rFonts w:ascii="Arial" w:hAnsi="Arial" w:eastAsia="Arial"/>
                <w:b w:val="0"/>
                <w:i w:val="0"/>
                <w:color w:val="1F1F1F"/>
                <w:sz w:val="14"/>
              </w:rPr>
              <w:t>HRS external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D0A4909">
            <w:pPr>
              <w:spacing w:before="0" w:after="0" w:line="240" w:lineRule="auto"/>
              <w:jc w:val="left"/>
            </w:pPr>
            <w:r>
              <w:rPr>
                <w:rFonts w:ascii="Arial" w:hAnsi="Arial" w:eastAsia="Arial"/>
                <w:b w:val="0"/>
                <w:i w:val="0"/>
                <w:color w:val="1F1F1F"/>
                <w:sz w:val="14"/>
              </w:rPr>
              <w:t>All three Core-3 components observed</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19565B2">
            <w:pPr>
              <w:spacing w:before="0" w:after="0" w:line="240" w:lineRule="auto"/>
              <w:jc w:val="center"/>
            </w:pPr>
            <w:r>
              <w:rPr>
                <w:rFonts w:ascii="Arial" w:hAnsi="Arial" w:eastAsia="Arial"/>
                <w:b w:val="0"/>
                <w:i w:val="0"/>
                <w:color w:val="1F1F1F"/>
                <w:sz w:val="14"/>
              </w:rPr>
              <w:t>5008</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57B3E86">
            <w:pPr>
              <w:spacing w:before="0" w:after="0" w:line="240" w:lineRule="auto"/>
              <w:jc w:val="center"/>
            </w:pPr>
            <w:r>
              <w:rPr>
                <w:rFonts w:ascii="Arial" w:hAnsi="Arial" w:eastAsia="Arial"/>
                <w:b w:val="0"/>
                <w:i w:val="0"/>
                <w:color w:val="1F1F1F"/>
                <w:sz w:val="14"/>
              </w:rPr>
              <w:t>168</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848B62F">
            <w:pPr>
              <w:spacing w:before="0" w:after="0" w:line="240" w:lineRule="auto"/>
              <w:jc w:val="center"/>
            </w:pPr>
            <w:r>
              <w:rPr>
                <w:rFonts w:ascii="Arial" w:hAnsi="Arial" w:eastAsia="Arial"/>
                <w:b w:val="0"/>
                <w:i w:val="0"/>
                <w:color w:val="1F1F1F"/>
                <w:sz w:val="14"/>
              </w:rPr>
              <w:t>98.8%</w:t>
            </w:r>
          </w:p>
        </w:tc>
        <w:tc>
          <w:tcPr>
            <w:tcW w:w="5903"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2A9C119">
            <w:pPr>
              <w:spacing w:before="0" w:after="0" w:line="240" w:lineRule="auto"/>
              <w:jc w:val="left"/>
            </w:pPr>
            <w:r>
              <w:rPr>
                <w:rFonts w:ascii="Arial" w:hAnsi="Arial" w:eastAsia="Arial"/>
                <w:b w:val="0"/>
                <w:i w:val="0"/>
                <w:color w:val="1F1F1F"/>
                <w:sz w:val="14"/>
              </w:rPr>
              <w:t>Complete-case sensitivity population</w:t>
            </w:r>
          </w:p>
        </w:tc>
      </w:tr>
      <w:tr w14:paraId="57AFD7A7">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7D51927">
            <w:pPr>
              <w:spacing w:before="0" w:after="0" w:line="240" w:lineRule="auto"/>
              <w:jc w:val="left"/>
            </w:pPr>
            <w:r>
              <w:rPr>
                <w:rFonts w:ascii="Arial" w:hAnsi="Arial" w:eastAsia="Arial"/>
                <w:b w:val="0"/>
                <w:i w:val="0"/>
                <w:color w:val="1F1F1F"/>
                <w:sz w:val="14"/>
              </w:rPr>
              <w:t>HRS external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06F2837">
            <w:pPr>
              <w:spacing w:before="0" w:after="0" w:line="240" w:lineRule="auto"/>
              <w:jc w:val="left"/>
            </w:pPr>
            <w:r>
              <w:rPr>
                <w:rFonts w:ascii="Arial" w:hAnsi="Arial" w:eastAsia="Arial"/>
                <w:b w:val="0"/>
                <w:i w:val="0"/>
                <w:color w:val="1F1F1F"/>
                <w:sz w:val="14"/>
              </w:rPr>
              <w:t>One component imputed</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AA77B37">
            <w:pPr>
              <w:spacing w:before="0" w:after="0" w:line="240" w:lineRule="auto"/>
              <w:jc w:val="center"/>
            </w:pPr>
            <w:r>
              <w:rPr>
                <w:rFonts w:ascii="Arial" w:hAnsi="Arial" w:eastAsia="Arial"/>
                <w:b w:val="0"/>
                <w:i w:val="0"/>
                <w:color w:val="1F1F1F"/>
                <w:sz w:val="14"/>
              </w:rPr>
              <w:t>22</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1F4EDD5">
            <w:pPr>
              <w:spacing w:before="0" w:after="0" w:line="240" w:lineRule="auto"/>
              <w:jc w:val="center"/>
            </w:pPr>
            <w:r>
              <w:rPr>
                <w:rFonts w:ascii="Arial" w:hAnsi="Arial" w:eastAsia="Arial"/>
                <w:b w:val="0"/>
                <w:i w:val="0"/>
                <w:color w:val="1F1F1F"/>
                <w:sz w:val="14"/>
              </w:rPr>
              <w:t>0</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8F86278">
            <w:pPr>
              <w:spacing w:before="0" w:after="0" w:line="240" w:lineRule="auto"/>
              <w:jc w:val="center"/>
            </w:pPr>
            <w:r>
              <w:rPr>
                <w:rFonts w:ascii="Arial" w:hAnsi="Arial" w:eastAsia="Arial"/>
                <w:b w:val="0"/>
                <w:i w:val="0"/>
                <w:color w:val="1F1F1F"/>
                <w:sz w:val="14"/>
              </w:rPr>
              <w:t>0.4%</w:t>
            </w:r>
          </w:p>
        </w:tc>
        <w:tc>
          <w:tcPr>
            <w:tcW w:w="5903"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D1FFAE6">
            <w:pPr>
              <w:spacing w:before="0" w:after="0" w:line="240" w:lineRule="auto"/>
              <w:jc w:val="left"/>
            </w:pPr>
            <w:r>
              <w:rPr>
                <w:rFonts w:ascii="Arial" w:hAnsi="Arial" w:eastAsia="Arial"/>
                <w:b w:val="0"/>
                <w:i w:val="0"/>
                <w:color w:val="1F1F1F"/>
                <w:sz w:val="14"/>
              </w:rPr>
              <w:t>Not formally performance-eligible</w:t>
            </w:r>
          </w:p>
        </w:tc>
      </w:tr>
      <w:tr w14:paraId="7EF57DD3">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700B7BE">
            <w:pPr>
              <w:spacing w:before="0" w:after="0" w:line="240" w:lineRule="auto"/>
              <w:jc w:val="left"/>
            </w:pPr>
            <w:r>
              <w:rPr>
                <w:rFonts w:ascii="Arial" w:hAnsi="Arial" w:eastAsia="Arial"/>
                <w:b w:val="0"/>
                <w:i w:val="0"/>
                <w:color w:val="1F1F1F"/>
                <w:sz w:val="14"/>
              </w:rPr>
              <w:t>HRS external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CDE2A93">
            <w:pPr>
              <w:spacing w:before="0" w:after="0" w:line="240" w:lineRule="auto"/>
              <w:jc w:val="left"/>
            </w:pPr>
            <w:r>
              <w:rPr>
                <w:rFonts w:ascii="Arial" w:hAnsi="Arial" w:eastAsia="Arial"/>
                <w:b w:val="0"/>
                <w:i w:val="0"/>
                <w:color w:val="1F1F1F"/>
                <w:sz w:val="14"/>
              </w:rPr>
              <w:t>Two or more components imputed</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8FFAB2D">
            <w:pPr>
              <w:spacing w:before="0" w:after="0" w:line="240" w:lineRule="auto"/>
              <w:jc w:val="center"/>
            </w:pPr>
            <w:r>
              <w:rPr>
                <w:rFonts w:ascii="Arial" w:hAnsi="Arial" w:eastAsia="Arial"/>
                <w:b w:val="0"/>
                <w:i w:val="0"/>
                <w:color w:val="1F1F1F"/>
                <w:sz w:val="14"/>
              </w:rPr>
              <w:t>37</w:t>
            </w:r>
          </w:p>
        </w:tc>
        <w:tc>
          <w:tcPr>
            <w:tcW w:w="10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CF755E1">
            <w:pPr>
              <w:spacing w:before="0" w:after="0" w:line="240" w:lineRule="auto"/>
              <w:jc w:val="center"/>
            </w:pPr>
            <w:r>
              <w:rPr>
                <w:rFonts w:ascii="Arial" w:hAnsi="Arial" w:eastAsia="Arial"/>
                <w:b w:val="0"/>
                <w:i w:val="0"/>
                <w:color w:val="1F1F1F"/>
                <w:sz w:val="14"/>
              </w:rPr>
              <w:t>3</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279EACE">
            <w:pPr>
              <w:spacing w:before="0" w:after="0" w:line="240" w:lineRule="auto"/>
              <w:jc w:val="center"/>
            </w:pPr>
            <w:r>
              <w:rPr>
                <w:rFonts w:ascii="Arial" w:hAnsi="Arial" w:eastAsia="Arial"/>
                <w:b w:val="0"/>
                <w:i w:val="0"/>
                <w:color w:val="1F1F1F"/>
                <w:sz w:val="14"/>
              </w:rPr>
              <w:t>0.7%</w:t>
            </w:r>
          </w:p>
        </w:tc>
        <w:tc>
          <w:tcPr>
            <w:tcW w:w="5903"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196D952">
            <w:pPr>
              <w:spacing w:before="0" w:after="0" w:line="240" w:lineRule="auto"/>
              <w:jc w:val="left"/>
            </w:pPr>
            <w:r>
              <w:rPr>
                <w:rFonts w:ascii="Arial" w:hAnsi="Arial" w:eastAsia="Arial"/>
                <w:b w:val="0"/>
                <w:i w:val="0"/>
                <w:color w:val="1F1F1F"/>
                <w:sz w:val="14"/>
              </w:rPr>
              <w:t>Not formally performance-eligible</w:t>
            </w:r>
          </w:p>
        </w:tc>
      </w:tr>
      <w:tr w14:paraId="098057E5">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0F7ED6A">
            <w:pPr>
              <w:spacing w:before="0" w:after="0" w:line="240" w:lineRule="auto"/>
              <w:jc w:val="left"/>
            </w:pPr>
            <w:r>
              <w:rPr>
                <w:rFonts w:ascii="Arial" w:hAnsi="Arial" w:eastAsia="Arial"/>
                <w:b w:val="0"/>
                <w:i w:val="0"/>
                <w:color w:val="1F1F1F"/>
                <w:sz w:val="14"/>
              </w:rPr>
              <w:t>HRS external validation</w:t>
            </w:r>
          </w:p>
        </w:tc>
        <w:tc>
          <w:tcPr>
            <w:tcW w:w="338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520AA9B">
            <w:pPr>
              <w:spacing w:before="0" w:after="0" w:line="240" w:lineRule="auto"/>
              <w:jc w:val="left"/>
            </w:pPr>
            <w:r>
              <w:rPr>
                <w:rFonts w:ascii="Arial" w:hAnsi="Arial" w:eastAsia="Arial"/>
                <w:b w:val="0"/>
                <w:i w:val="0"/>
                <w:color w:val="1F1F1F"/>
                <w:sz w:val="14"/>
              </w:rPr>
              <w:t>Any Core-3 component imputed</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41E1E53">
            <w:pPr>
              <w:spacing w:before="0" w:after="0" w:line="240" w:lineRule="auto"/>
              <w:jc w:val="center"/>
            </w:pPr>
            <w:r>
              <w:rPr>
                <w:rFonts w:ascii="Arial" w:hAnsi="Arial" w:eastAsia="Arial"/>
                <w:b w:val="0"/>
                <w:i w:val="0"/>
                <w:color w:val="1F1F1F"/>
                <w:sz w:val="14"/>
              </w:rPr>
              <w:t>59</w:t>
            </w:r>
          </w:p>
        </w:tc>
        <w:tc>
          <w:tcPr>
            <w:tcW w:w="10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188E3F6">
            <w:pPr>
              <w:spacing w:before="0" w:after="0" w:line="240" w:lineRule="auto"/>
              <w:jc w:val="center"/>
            </w:pPr>
            <w:r>
              <w:rPr>
                <w:rFonts w:ascii="Arial" w:hAnsi="Arial" w:eastAsia="Arial"/>
                <w:b w:val="0"/>
                <w:i w:val="0"/>
                <w:color w:val="1F1F1F"/>
                <w:sz w:val="14"/>
              </w:rPr>
              <w:t>3</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DC7D3D9">
            <w:pPr>
              <w:spacing w:before="0" w:after="0" w:line="240" w:lineRule="auto"/>
              <w:jc w:val="center"/>
            </w:pPr>
            <w:r>
              <w:rPr>
                <w:rFonts w:ascii="Arial" w:hAnsi="Arial" w:eastAsia="Arial"/>
                <w:b w:val="0"/>
                <w:i w:val="0"/>
                <w:color w:val="1F1F1F"/>
                <w:sz w:val="14"/>
              </w:rPr>
              <w:t>1.2%</w:t>
            </w:r>
          </w:p>
        </w:tc>
        <w:tc>
          <w:tcPr>
            <w:tcW w:w="5903"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495AD66">
            <w:pPr>
              <w:spacing w:before="0" w:after="0" w:line="240" w:lineRule="auto"/>
              <w:jc w:val="left"/>
            </w:pPr>
            <w:r>
              <w:rPr>
                <w:rFonts w:ascii="Arial" w:hAnsi="Arial" w:eastAsia="Arial"/>
                <w:b w:val="0"/>
                <w:i w:val="0"/>
                <w:color w:val="1F1F1F"/>
                <w:sz w:val="14"/>
              </w:rPr>
              <w:t>Minimal information loss</w:t>
            </w:r>
          </w:p>
        </w:tc>
      </w:tr>
    </w:tbl>
    <w:p w14:paraId="36ED67C5">
      <w:pPr>
        <w:spacing w:before="80" w:after="40" w:line="240" w:lineRule="auto"/>
      </w:pPr>
      <w:r>
        <w:rPr>
          <w:rFonts w:ascii="Arial" w:hAnsi="Arial" w:eastAsia="Arial"/>
          <w:b/>
          <w:i w:val="0"/>
          <w:color w:val="666666"/>
          <w:sz w:val="15"/>
        </w:rPr>
        <w:t xml:space="preserve">Note: </w:t>
      </w:r>
      <w:r>
        <w:rPr>
          <w:rFonts w:ascii="Arial" w:hAnsi="Arial" w:eastAsia="Arial"/>
          <w:b w:val="0"/>
          <w:i w:val="0"/>
          <w:color w:val="666666"/>
          <w:sz w:val="15"/>
        </w:rPr>
        <w:t>All denominators use outcome-observed analytic rows. ELSA pooled development is a participant-landmark dataset; ELSA temporal validation and HRS external validation are participant-level datasets. No between-cohort P values were calculated. Panel C reports the prespecified Core-3 completeness strata used in the missingness sensitivity analysis; the complete-case analysis remains selective and does not replace the frozen all-row validation.</w:t>
      </w:r>
    </w:p>
    <w:p w14:paraId="17F385AB">
      <w:pPr>
        <w:sectPr>
          <w:pgSz w:w="11909" w:h="16834" w:orient="landscape"/>
          <w:pgMar w:top="792" w:right="691" w:bottom="792" w:left="691" w:header="720" w:footer="720" w:gutter="0"/>
          <w:cols w:space="720" w:num="1"/>
          <w:docGrid w:linePitch="360" w:charSpace="0"/>
        </w:sectPr>
      </w:pPr>
    </w:p>
    <w:p w14:paraId="68CF1F0A">
      <w:pPr>
        <w:keepNext/>
        <w:spacing w:before="40" w:after="120"/>
      </w:pPr>
      <w:r>
        <w:rPr>
          <w:rFonts w:ascii="Arial" w:hAnsi="Arial" w:eastAsia="Arial"/>
          <w:b/>
          <w:i w:val="0"/>
          <w:color w:val="1F4E78"/>
          <w:sz w:val="23"/>
        </w:rPr>
        <w:t xml:space="preserve">Table S3. </w:t>
      </w:r>
      <w:r>
        <w:rPr>
          <w:rFonts w:ascii="Arial" w:hAnsi="Arial" w:eastAsia="Arial"/>
          <w:b/>
          <w:i w:val="0"/>
          <w:color w:val="1F1F1F"/>
          <w:sz w:val="23"/>
        </w:rPr>
        <w:t>Verified multi-evidence competition of the 10 candidate metabolic indicators</w:t>
      </w:r>
    </w:p>
    <w:tbl>
      <w:tblPr>
        <w:tblStyle w:val="32"/>
        <w:tblW w:w="0" w:type="auto"/>
        <w:jc w:val="center"/>
        <w:tblLayout w:type="fixed"/>
        <w:tblCellMar>
          <w:top w:w="0" w:type="dxa"/>
          <w:left w:w="108" w:type="dxa"/>
          <w:bottom w:w="0" w:type="dxa"/>
          <w:right w:w="108" w:type="dxa"/>
        </w:tblCellMar>
      </w:tblPr>
      <w:tblGrid>
        <w:gridCol w:w="1405"/>
        <w:gridCol w:w="1405"/>
        <w:gridCol w:w="1405"/>
        <w:gridCol w:w="1405"/>
        <w:gridCol w:w="1405"/>
        <w:gridCol w:w="1405"/>
        <w:gridCol w:w="1405"/>
        <w:gridCol w:w="1405"/>
        <w:gridCol w:w="1405"/>
        <w:gridCol w:w="1405"/>
        <w:gridCol w:w="1405"/>
      </w:tblGrid>
      <w:tr w14:paraId="02A86DE0">
        <w:tblPrEx>
          <w:tblCellMar>
            <w:top w:w="0" w:type="dxa"/>
            <w:left w:w="108" w:type="dxa"/>
            <w:bottom w:w="0" w:type="dxa"/>
            <w:right w:w="108" w:type="dxa"/>
          </w:tblCellMar>
        </w:tblPrEx>
        <w:trPr>
          <w:cantSplit/>
          <w:tblHeader/>
          <w:jc w:val="center"/>
        </w:trPr>
        <w:tc>
          <w:tcPr>
            <w:tcW w:w="93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2535FA8">
            <w:pPr>
              <w:spacing w:before="0" w:after="0" w:line="240" w:lineRule="auto"/>
              <w:jc w:val="center"/>
            </w:pPr>
            <w:r>
              <w:rPr>
                <w:rFonts w:ascii="Arial" w:hAnsi="Arial" w:eastAsia="Arial"/>
                <w:b/>
                <w:i w:val="0"/>
                <w:color w:val="FFFFFF"/>
                <w:sz w:val="13"/>
              </w:rPr>
              <w:t>Overall rank</w:t>
            </w:r>
          </w:p>
        </w:tc>
        <w:tc>
          <w:tcPr>
            <w:tcW w:w="151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43C39E0D">
            <w:pPr>
              <w:spacing w:before="0" w:after="0" w:line="240" w:lineRule="auto"/>
              <w:jc w:val="center"/>
            </w:pPr>
            <w:r>
              <w:rPr>
                <w:rFonts w:ascii="Arial" w:hAnsi="Arial" w:eastAsia="Arial"/>
                <w:b/>
                <w:i w:val="0"/>
                <w:color w:val="FFFFFF"/>
                <w:sz w:val="13"/>
              </w:rPr>
              <w:t>Indicator</w:t>
            </w:r>
          </w:p>
        </w:tc>
        <w:tc>
          <w:tcPr>
            <w:tcW w:w="223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8EAA9A4">
            <w:pPr>
              <w:spacing w:before="0" w:after="0" w:line="240" w:lineRule="auto"/>
              <w:jc w:val="center"/>
            </w:pPr>
            <w:r>
              <w:rPr>
                <w:rFonts w:ascii="Arial" w:hAnsi="Arial" w:eastAsia="Arial"/>
                <w:b/>
                <w:i w:val="0"/>
                <w:color w:val="FFFFFF"/>
                <w:sz w:val="13"/>
              </w:rPr>
              <w:t>Development OR per SD (95% CI)</w:t>
            </w:r>
          </w:p>
        </w:tc>
        <w:tc>
          <w:tcPr>
            <w:tcW w:w="93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4009A092">
            <w:pPr>
              <w:spacing w:before="0" w:after="0" w:line="240" w:lineRule="auto"/>
              <w:jc w:val="center"/>
            </w:pPr>
            <w:r>
              <w:rPr>
                <w:rFonts w:ascii="Arial" w:hAnsi="Arial" w:eastAsia="Arial"/>
                <w:b/>
                <w:i w:val="0"/>
                <w:color w:val="FFFFFF"/>
                <w:sz w:val="13"/>
              </w:rPr>
              <w:t>FDR q</w:t>
            </w:r>
          </w:p>
        </w:tc>
        <w:tc>
          <w:tcPr>
            <w:tcW w:w="122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95AF219">
            <w:pPr>
              <w:spacing w:before="0" w:after="0" w:line="240" w:lineRule="auto"/>
              <w:jc w:val="center"/>
            </w:pPr>
            <w:r>
              <w:rPr>
                <w:rFonts w:ascii="Arial" w:hAnsi="Arial" w:eastAsia="Arial"/>
                <w:b/>
                <w:i w:val="0"/>
                <w:color w:val="FFFFFF"/>
                <w:sz w:val="13"/>
              </w:rPr>
              <w:t>Association rank</w:t>
            </w:r>
          </w:p>
        </w:tc>
        <w:tc>
          <w:tcPr>
            <w:tcW w:w="122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4736D85">
            <w:pPr>
              <w:spacing w:before="0" w:after="0" w:line="240" w:lineRule="auto"/>
              <w:jc w:val="center"/>
            </w:pPr>
            <w:r>
              <w:rPr>
                <w:rFonts w:ascii="Arial" w:hAnsi="Arial" w:eastAsia="Arial"/>
                <w:b/>
                <w:i w:val="0"/>
                <w:color w:val="FFFFFF"/>
                <w:sz w:val="13"/>
              </w:rPr>
              <w:t>Predictive rank</w:t>
            </w:r>
          </w:p>
        </w:tc>
        <w:tc>
          <w:tcPr>
            <w:tcW w:w="122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584BFCB">
            <w:pPr>
              <w:spacing w:before="0" w:after="0" w:line="240" w:lineRule="auto"/>
              <w:jc w:val="center"/>
            </w:pPr>
            <w:r>
              <w:rPr>
                <w:rFonts w:ascii="Arial" w:hAnsi="Arial" w:eastAsia="Arial"/>
                <w:b/>
                <w:i w:val="0"/>
                <w:color w:val="FFFFFF"/>
                <w:sz w:val="13"/>
              </w:rPr>
              <w:t>Incremental rank</w:t>
            </w:r>
          </w:p>
        </w:tc>
        <w:tc>
          <w:tcPr>
            <w:tcW w:w="115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0173FAE">
            <w:pPr>
              <w:spacing w:before="0" w:after="0" w:line="240" w:lineRule="auto"/>
              <w:jc w:val="center"/>
            </w:pPr>
            <w:r>
              <w:rPr>
                <w:rFonts w:ascii="Arial" w:hAnsi="Arial" w:eastAsia="Arial"/>
                <w:b/>
                <w:i w:val="0"/>
                <w:color w:val="FFFFFF"/>
                <w:sz w:val="13"/>
              </w:rPr>
              <w:t>Transport rank</w:t>
            </w:r>
          </w:p>
        </w:tc>
        <w:tc>
          <w:tcPr>
            <w:tcW w:w="136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E3782C4">
            <w:pPr>
              <w:spacing w:before="0" w:after="0" w:line="240" w:lineRule="auto"/>
              <w:jc w:val="center"/>
            </w:pPr>
            <w:r>
              <w:rPr>
                <w:rFonts w:ascii="Arial" w:hAnsi="Arial" w:eastAsia="Arial"/>
                <w:b/>
                <w:i w:val="0"/>
                <w:color w:val="FFFFFF"/>
                <w:sz w:val="13"/>
              </w:rPr>
              <w:t>Champion probability</w:t>
            </w:r>
          </w:p>
        </w:tc>
        <w:tc>
          <w:tcPr>
            <w:tcW w:w="122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543FDB4">
            <w:pPr>
              <w:spacing w:before="0" w:after="0" w:line="240" w:lineRule="auto"/>
              <w:jc w:val="center"/>
            </w:pPr>
            <w:r>
              <w:rPr>
                <w:rFonts w:ascii="Arial" w:hAnsi="Arial" w:eastAsia="Arial"/>
                <w:b/>
                <w:i w:val="0"/>
                <w:color w:val="FFFFFF"/>
                <w:sz w:val="13"/>
              </w:rPr>
              <w:t>Top-3 probability</w:t>
            </w:r>
          </w:p>
        </w:tc>
        <w:tc>
          <w:tcPr>
            <w:tcW w:w="244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5CA63103">
            <w:pPr>
              <w:spacing w:before="0" w:after="0" w:line="240" w:lineRule="auto"/>
              <w:jc w:val="center"/>
            </w:pPr>
            <w:r>
              <w:rPr>
                <w:rFonts w:ascii="Arial" w:hAnsi="Arial" w:eastAsia="Arial"/>
                <w:b/>
                <w:i w:val="0"/>
                <w:color w:val="FFFFFF"/>
                <w:sz w:val="13"/>
              </w:rPr>
              <w:t>Evidence role</w:t>
            </w:r>
          </w:p>
        </w:tc>
      </w:tr>
      <w:tr w14:paraId="62478C8A">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73DEB73">
            <w:pPr>
              <w:spacing w:before="0" w:after="0" w:line="240" w:lineRule="auto"/>
              <w:jc w:val="center"/>
            </w:pPr>
            <w:r>
              <w:rPr>
                <w:rFonts w:ascii="Arial" w:hAnsi="Arial" w:eastAsia="Arial"/>
                <w:b w:val="0"/>
                <w:i w:val="0"/>
                <w:color w:val="1F1F1F"/>
                <w:sz w:val="13"/>
              </w:rPr>
              <w:t>1</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581C6B1">
            <w:pPr>
              <w:spacing w:before="0" w:after="0" w:line="240" w:lineRule="auto"/>
              <w:jc w:val="left"/>
            </w:pPr>
            <w:r>
              <w:rPr>
                <w:rFonts w:ascii="Arial" w:hAnsi="Arial" w:eastAsia="Arial"/>
                <w:b w:val="0"/>
                <w:i w:val="0"/>
                <w:color w:val="1F1F1F"/>
                <w:sz w:val="13"/>
              </w:rPr>
              <w:t>AIP</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6E162DC">
            <w:pPr>
              <w:spacing w:before="0" w:after="0" w:line="240" w:lineRule="auto"/>
              <w:jc w:val="center"/>
            </w:pPr>
            <w:r>
              <w:rPr>
                <w:rFonts w:ascii="Arial" w:hAnsi="Arial" w:eastAsia="Arial"/>
                <w:b w:val="0"/>
                <w:i w:val="0"/>
                <w:color w:val="1F1F1F"/>
                <w:sz w:val="13"/>
              </w:rPr>
              <w:t>1.12 (1.00–1.26)</w:t>
            </w:r>
          </w:p>
        </w:tc>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219CED5">
            <w:pPr>
              <w:spacing w:before="0" w:after="0" w:line="240" w:lineRule="auto"/>
              <w:jc w:val="center"/>
            </w:pPr>
            <w:r>
              <w:rPr>
                <w:rFonts w:ascii="Arial" w:hAnsi="Arial" w:eastAsia="Arial"/>
                <w:b w:val="0"/>
                <w:i w:val="0"/>
                <w:color w:val="1F1F1F"/>
                <w:sz w:val="13"/>
              </w:rPr>
              <w:t>0.096</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3EEE064">
            <w:pPr>
              <w:spacing w:before="0" w:after="0" w:line="240" w:lineRule="auto"/>
              <w:jc w:val="center"/>
            </w:pPr>
            <w:r>
              <w:rPr>
                <w:rFonts w:ascii="Arial" w:hAnsi="Arial" w:eastAsia="Arial"/>
                <w:b w:val="0"/>
                <w:i w:val="0"/>
                <w:color w:val="1F1F1F"/>
                <w:sz w:val="13"/>
              </w:rPr>
              <w:t>4.5</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4C8AB99">
            <w:pPr>
              <w:spacing w:before="0" w:after="0" w:line="240" w:lineRule="auto"/>
              <w:jc w:val="center"/>
            </w:pPr>
            <w:r>
              <w:rPr>
                <w:rFonts w:ascii="Arial" w:hAnsi="Arial" w:eastAsia="Arial"/>
                <w:b w:val="0"/>
                <w:i w:val="0"/>
                <w:color w:val="1F1F1F"/>
                <w:sz w:val="13"/>
              </w:rPr>
              <w:t>3.6</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4B09F27">
            <w:pPr>
              <w:spacing w:before="0" w:after="0" w:line="240" w:lineRule="auto"/>
              <w:jc w:val="center"/>
            </w:pPr>
            <w:r>
              <w:rPr>
                <w:rFonts w:ascii="Arial" w:hAnsi="Arial" w:eastAsia="Arial"/>
                <w:b w:val="0"/>
                <w:i w:val="0"/>
                <w:color w:val="1F1F1F"/>
                <w:sz w:val="13"/>
              </w:rPr>
              <w:t>2.89</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256FF1D">
            <w:pPr>
              <w:spacing w:before="0" w:after="0" w:line="240" w:lineRule="auto"/>
              <w:jc w:val="center"/>
            </w:pPr>
            <w:r>
              <w:rPr>
                <w:rFonts w:ascii="Arial" w:hAnsi="Arial" w:eastAsia="Arial"/>
                <w:b w:val="0"/>
                <w:i w:val="0"/>
                <w:color w:val="1F1F1F"/>
                <w:sz w:val="13"/>
              </w:rPr>
              <w:t>4.4</w:t>
            </w:r>
          </w:p>
        </w:tc>
        <w:tc>
          <w:tcPr>
            <w:tcW w:w="136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4A548EE">
            <w:pPr>
              <w:spacing w:before="0" w:after="0" w:line="240" w:lineRule="auto"/>
              <w:jc w:val="center"/>
            </w:pPr>
            <w:r>
              <w:rPr>
                <w:rFonts w:ascii="Arial" w:hAnsi="Arial" w:eastAsia="Arial"/>
                <w:b w:val="0"/>
                <w:i w:val="0"/>
                <w:color w:val="1F1F1F"/>
                <w:sz w:val="13"/>
              </w:rPr>
              <w:t>39.4%</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B93166C">
            <w:pPr>
              <w:spacing w:before="0" w:after="0" w:line="240" w:lineRule="auto"/>
              <w:jc w:val="center"/>
            </w:pPr>
            <w:r>
              <w:rPr>
                <w:rFonts w:ascii="Arial" w:hAnsi="Arial" w:eastAsia="Arial"/>
                <w:b w:val="0"/>
                <w:i w:val="0"/>
                <w:color w:val="1F1F1F"/>
                <w:sz w:val="13"/>
              </w:rPr>
              <w:t>75.0%</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9CD9F06">
            <w:pPr>
              <w:spacing w:before="0" w:after="0" w:line="240" w:lineRule="auto"/>
              <w:jc w:val="left"/>
            </w:pPr>
            <w:r>
              <w:rPr>
                <w:rFonts w:ascii="Arial" w:hAnsi="Arial" w:eastAsia="Arial"/>
                <w:b w:val="0"/>
                <w:i w:val="0"/>
                <w:color w:val="1F1F1F"/>
                <w:sz w:val="13"/>
              </w:rPr>
              <w:t>Moderate consensus champion</w:t>
            </w:r>
          </w:p>
        </w:tc>
      </w:tr>
      <w:tr w14:paraId="1A58E11C">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C2155A4">
            <w:pPr>
              <w:spacing w:before="0" w:after="0" w:line="240" w:lineRule="auto"/>
              <w:jc w:val="center"/>
            </w:pPr>
            <w:r>
              <w:rPr>
                <w:rFonts w:ascii="Arial" w:hAnsi="Arial" w:eastAsia="Arial"/>
                <w:b w:val="0"/>
                <w:i w:val="0"/>
                <w:color w:val="1F1F1F"/>
                <w:sz w:val="13"/>
              </w:rPr>
              <w:t>2</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44142CB">
            <w:pPr>
              <w:spacing w:before="0" w:after="0" w:line="240" w:lineRule="auto"/>
              <w:jc w:val="left"/>
            </w:pPr>
            <w:r>
              <w:rPr>
                <w:rFonts w:ascii="Arial" w:hAnsi="Arial" w:eastAsia="Arial"/>
                <w:b w:val="0"/>
                <w:i w:val="0"/>
                <w:color w:val="1F1F1F"/>
                <w:sz w:val="13"/>
              </w:rPr>
              <w:t>TG/HDL-C</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5D6D7B4">
            <w:pPr>
              <w:spacing w:before="0" w:after="0" w:line="240" w:lineRule="auto"/>
              <w:jc w:val="center"/>
            </w:pPr>
            <w:r>
              <w:rPr>
                <w:rFonts w:ascii="Arial" w:hAnsi="Arial" w:eastAsia="Arial"/>
                <w:b w:val="0"/>
                <w:i w:val="0"/>
                <w:color w:val="1F1F1F"/>
                <w:sz w:val="13"/>
              </w:rPr>
              <w:t>1.11 (1.02–1.21)</w:t>
            </w:r>
          </w:p>
        </w:tc>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D910C1B">
            <w:pPr>
              <w:spacing w:before="0" w:after="0" w:line="240" w:lineRule="auto"/>
              <w:jc w:val="center"/>
            </w:pPr>
            <w:r>
              <w:rPr>
                <w:rFonts w:ascii="Arial" w:hAnsi="Arial" w:eastAsia="Arial"/>
                <w:b w:val="0"/>
                <w:i w:val="0"/>
                <w:color w:val="1F1F1F"/>
                <w:sz w:val="13"/>
              </w:rPr>
              <w:t>0.074</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CFF5AE9">
            <w:pPr>
              <w:spacing w:before="0" w:after="0" w:line="240" w:lineRule="auto"/>
              <w:jc w:val="center"/>
            </w:pPr>
            <w:r>
              <w:rPr>
                <w:rFonts w:ascii="Arial" w:hAnsi="Arial" w:eastAsia="Arial"/>
                <w:b w:val="0"/>
                <w:i w:val="0"/>
                <w:color w:val="1F1F1F"/>
                <w:sz w:val="13"/>
              </w:rPr>
              <w:t>3.75</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B4D8A8B">
            <w:pPr>
              <w:spacing w:before="0" w:after="0" w:line="240" w:lineRule="auto"/>
              <w:jc w:val="center"/>
            </w:pPr>
            <w:r>
              <w:rPr>
                <w:rFonts w:ascii="Arial" w:hAnsi="Arial" w:eastAsia="Arial"/>
                <w:b w:val="0"/>
                <w:i w:val="0"/>
                <w:color w:val="1F1F1F"/>
                <w:sz w:val="13"/>
              </w:rPr>
              <w:t>3.8</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D45F32C">
            <w:pPr>
              <w:spacing w:before="0" w:after="0" w:line="240" w:lineRule="auto"/>
              <w:jc w:val="center"/>
            </w:pPr>
            <w:r>
              <w:rPr>
                <w:rFonts w:ascii="Arial" w:hAnsi="Arial" w:eastAsia="Arial"/>
                <w:b w:val="0"/>
                <w:i w:val="0"/>
                <w:color w:val="1F1F1F"/>
                <w:sz w:val="13"/>
              </w:rPr>
              <w:t>3.44</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AFF33EA">
            <w:pPr>
              <w:spacing w:before="0" w:after="0" w:line="240" w:lineRule="auto"/>
              <w:jc w:val="center"/>
            </w:pPr>
            <w:r>
              <w:rPr>
                <w:rFonts w:ascii="Arial" w:hAnsi="Arial" w:eastAsia="Arial"/>
                <w:b w:val="0"/>
                <w:i w:val="0"/>
                <w:color w:val="1F1F1F"/>
                <w:sz w:val="13"/>
              </w:rPr>
              <w:t>6.6</w:t>
            </w:r>
          </w:p>
        </w:tc>
        <w:tc>
          <w:tcPr>
            <w:tcW w:w="136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ABBB51F">
            <w:pPr>
              <w:spacing w:before="0" w:after="0" w:line="240" w:lineRule="auto"/>
              <w:jc w:val="center"/>
            </w:pPr>
            <w:r>
              <w:rPr>
                <w:rFonts w:ascii="Arial" w:hAnsi="Arial" w:eastAsia="Arial"/>
                <w:b w:val="0"/>
                <w:i w:val="0"/>
                <w:color w:val="1F1F1F"/>
                <w:sz w:val="13"/>
              </w:rPr>
              <w:t>11.4%</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95DB837">
            <w:pPr>
              <w:spacing w:before="0" w:after="0" w:line="240" w:lineRule="auto"/>
              <w:jc w:val="center"/>
            </w:pPr>
            <w:r>
              <w:rPr>
                <w:rFonts w:ascii="Arial" w:hAnsi="Arial" w:eastAsia="Arial"/>
                <w:b w:val="0"/>
                <w:i w:val="0"/>
                <w:color w:val="1F1F1F"/>
                <w:sz w:val="13"/>
              </w:rPr>
              <w:t>57.2%</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6CB6977">
            <w:pPr>
              <w:spacing w:before="0" w:after="0" w:line="240" w:lineRule="auto"/>
              <w:jc w:val="left"/>
            </w:pPr>
            <w:r>
              <w:rPr>
                <w:rFonts w:ascii="Arial" w:hAnsi="Arial" w:eastAsia="Arial"/>
                <w:b w:val="0"/>
                <w:i w:val="0"/>
                <w:color w:val="1F1F1F"/>
                <w:sz w:val="13"/>
              </w:rPr>
              <w:t>Pareto-front contender</w:t>
            </w:r>
          </w:p>
        </w:tc>
      </w:tr>
      <w:tr w14:paraId="7965B467">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6982BBE">
            <w:pPr>
              <w:spacing w:before="0" w:after="0" w:line="240" w:lineRule="auto"/>
              <w:jc w:val="center"/>
            </w:pPr>
            <w:r>
              <w:rPr>
                <w:rFonts w:ascii="Arial" w:hAnsi="Arial" w:eastAsia="Arial"/>
                <w:b w:val="0"/>
                <w:i w:val="0"/>
                <w:color w:val="1F1F1F"/>
                <w:sz w:val="13"/>
              </w:rPr>
              <w:t>3</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2E71088">
            <w:pPr>
              <w:spacing w:before="0" w:after="0" w:line="240" w:lineRule="auto"/>
              <w:jc w:val="left"/>
            </w:pPr>
            <w:r>
              <w:rPr>
                <w:rFonts w:ascii="Arial" w:hAnsi="Arial" w:eastAsia="Arial"/>
                <w:b w:val="0"/>
                <w:i w:val="0"/>
                <w:color w:val="1F1F1F"/>
                <w:sz w:val="13"/>
              </w:rPr>
              <w:t>TyG-WC</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BA5B9F0">
            <w:pPr>
              <w:spacing w:before="0" w:after="0" w:line="240" w:lineRule="auto"/>
              <w:jc w:val="center"/>
            </w:pPr>
            <w:r>
              <w:rPr>
                <w:rFonts w:ascii="Arial" w:hAnsi="Arial" w:eastAsia="Arial"/>
                <w:b w:val="0"/>
                <w:i w:val="0"/>
                <w:color w:val="1F1F1F"/>
                <w:sz w:val="13"/>
              </w:rPr>
              <w:t>1.13 (1.02–1.26)</w:t>
            </w:r>
          </w:p>
        </w:tc>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AB504D6">
            <w:pPr>
              <w:spacing w:before="0" w:after="0" w:line="240" w:lineRule="auto"/>
              <w:jc w:val="center"/>
            </w:pPr>
            <w:r>
              <w:rPr>
                <w:rFonts w:ascii="Arial" w:hAnsi="Arial" w:eastAsia="Arial"/>
                <w:b w:val="0"/>
                <w:i w:val="0"/>
                <w:color w:val="1F1F1F"/>
                <w:sz w:val="13"/>
              </w:rPr>
              <w:t>0.074</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68A92F9">
            <w:pPr>
              <w:spacing w:before="0" w:after="0" w:line="240" w:lineRule="auto"/>
              <w:jc w:val="center"/>
            </w:pPr>
            <w:r>
              <w:rPr>
                <w:rFonts w:ascii="Arial" w:hAnsi="Arial" w:eastAsia="Arial"/>
                <w:b w:val="0"/>
                <w:i w:val="0"/>
                <w:color w:val="1F1F1F"/>
                <w:sz w:val="13"/>
              </w:rPr>
              <w:t>1.75</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314EF3A">
            <w:pPr>
              <w:spacing w:before="0" w:after="0" w:line="240" w:lineRule="auto"/>
              <w:jc w:val="center"/>
            </w:pPr>
            <w:r>
              <w:rPr>
                <w:rFonts w:ascii="Arial" w:hAnsi="Arial" w:eastAsia="Arial"/>
                <w:b w:val="0"/>
                <w:i w:val="0"/>
                <w:color w:val="1F1F1F"/>
                <w:sz w:val="13"/>
              </w:rPr>
              <w:t>5.4</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07C45F2">
            <w:pPr>
              <w:spacing w:before="0" w:after="0" w:line="240" w:lineRule="auto"/>
              <w:jc w:val="center"/>
            </w:pPr>
            <w:r>
              <w:rPr>
                <w:rFonts w:ascii="Arial" w:hAnsi="Arial" w:eastAsia="Arial"/>
                <w:b w:val="0"/>
                <w:i w:val="0"/>
                <w:color w:val="1F1F1F"/>
                <w:sz w:val="13"/>
              </w:rPr>
              <w:t>5.56</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0B2934F">
            <w:pPr>
              <w:spacing w:before="0" w:after="0" w:line="240" w:lineRule="auto"/>
              <w:jc w:val="center"/>
            </w:pPr>
            <w:r>
              <w:rPr>
                <w:rFonts w:ascii="Arial" w:hAnsi="Arial" w:eastAsia="Arial"/>
                <w:b w:val="0"/>
                <w:i w:val="0"/>
                <w:color w:val="1F1F1F"/>
                <w:sz w:val="13"/>
              </w:rPr>
              <w:t>5.4</w:t>
            </w:r>
          </w:p>
        </w:tc>
        <w:tc>
          <w:tcPr>
            <w:tcW w:w="136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E8D574D">
            <w:pPr>
              <w:spacing w:before="0" w:after="0" w:line="240" w:lineRule="auto"/>
              <w:jc w:val="center"/>
            </w:pPr>
            <w:r>
              <w:rPr>
                <w:rFonts w:ascii="Arial" w:hAnsi="Arial" w:eastAsia="Arial"/>
                <w:b w:val="0"/>
                <w:i w:val="0"/>
                <w:color w:val="1F1F1F"/>
                <w:sz w:val="13"/>
              </w:rPr>
              <w:t>4.4%</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04B835B">
            <w:pPr>
              <w:spacing w:before="0" w:after="0" w:line="240" w:lineRule="auto"/>
              <w:jc w:val="center"/>
            </w:pPr>
            <w:r>
              <w:rPr>
                <w:rFonts w:ascii="Arial" w:hAnsi="Arial" w:eastAsia="Arial"/>
                <w:b w:val="0"/>
                <w:i w:val="0"/>
                <w:color w:val="1F1F1F"/>
                <w:sz w:val="13"/>
              </w:rPr>
              <w:t>23.2%</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C20EF9F">
            <w:pPr>
              <w:spacing w:before="0" w:after="0" w:line="240" w:lineRule="auto"/>
              <w:jc w:val="left"/>
            </w:pPr>
            <w:r>
              <w:rPr>
                <w:rFonts w:ascii="Arial" w:hAnsi="Arial" w:eastAsia="Arial"/>
                <w:b w:val="0"/>
                <w:i w:val="0"/>
                <w:color w:val="1F1F1F"/>
                <w:sz w:val="13"/>
              </w:rPr>
              <w:t>Pareto-front contender</w:t>
            </w:r>
          </w:p>
        </w:tc>
      </w:tr>
      <w:tr w14:paraId="757189E4">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8F5D1AE">
            <w:pPr>
              <w:spacing w:before="0" w:after="0" w:line="240" w:lineRule="auto"/>
              <w:jc w:val="center"/>
            </w:pPr>
            <w:r>
              <w:rPr>
                <w:rFonts w:ascii="Arial" w:hAnsi="Arial" w:eastAsia="Arial"/>
                <w:b w:val="0"/>
                <w:i w:val="0"/>
                <w:color w:val="1F1F1F"/>
                <w:sz w:val="13"/>
              </w:rPr>
              <w:t>4</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6781D44">
            <w:pPr>
              <w:spacing w:before="0" w:after="0" w:line="240" w:lineRule="auto"/>
              <w:jc w:val="left"/>
            </w:pPr>
            <w:r>
              <w:rPr>
                <w:rFonts w:ascii="Arial" w:hAnsi="Arial" w:eastAsia="Arial"/>
                <w:b w:val="0"/>
                <w:i w:val="0"/>
                <w:color w:val="1F1F1F"/>
                <w:sz w:val="13"/>
              </w:rPr>
              <w:t>TyG</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7CF51E2">
            <w:pPr>
              <w:spacing w:before="0" w:after="0" w:line="240" w:lineRule="auto"/>
              <w:jc w:val="center"/>
            </w:pPr>
            <w:r>
              <w:rPr>
                <w:rFonts w:ascii="Arial" w:hAnsi="Arial" w:eastAsia="Arial"/>
                <w:b w:val="0"/>
                <w:i w:val="0"/>
                <w:color w:val="1F1F1F"/>
                <w:sz w:val="13"/>
              </w:rPr>
              <w:t>1.08 (0.97–1.21)</w:t>
            </w:r>
          </w:p>
        </w:tc>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CF512E6">
            <w:pPr>
              <w:spacing w:before="0" w:after="0" w:line="240" w:lineRule="auto"/>
              <w:jc w:val="center"/>
            </w:pPr>
            <w:r>
              <w:rPr>
                <w:rFonts w:ascii="Arial" w:hAnsi="Arial" w:eastAsia="Arial"/>
                <w:b w:val="0"/>
                <w:i w:val="0"/>
                <w:color w:val="1F1F1F"/>
                <w:sz w:val="13"/>
              </w:rPr>
              <w:t>0.194</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91CBAE4">
            <w:pPr>
              <w:spacing w:before="0" w:after="0" w:line="240" w:lineRule="auto"/>
              <w:jc w:val="center"/>
            </w:pPr>
            <w:r>
              <w:rPr>
                <w:rFonts w:ascii="Arial" w:hAnsi="Arial" w:eastAsia="Arial"/>
                <w:b w:val="0"/>
                <w:i w:val="0"/>
                <w:color w:val="1F1F1F"/>
                <w:sz w:val="13"/>
              </w:rPr>
              <w:t>8.5</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C744B5B">
            <w:pPr>
              <w:spacing w:before="0" w:after="0" w:line="240" w:lineRule="auto"/>
              <w:jc w:val="center"/>
            </w:pPr>
            <w:r>
              <w:rPr>
                <w:rFonts w:ascii="Arial" w:hAnsi="Arial" w:eastAsia="Arial"/>
                <w:b w:val="0"/>
                <w:i w:val="0"/>
                <w:color w:val="1F1F1F"/>
                <w:sz w:val="13"/>
              </w:rPr>
              <w:t>4.4</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761A228">
            <w:pPr>
              <w:spacing w:before="0" w:after="0" w:line="240" w:lineRule="auto"/>
              <w:jc w:val="center"/>
            </w:pPr>
            <w:r>
              <w:rPr>
                <w:rFonts w:ascii="Arial" w:hAnsi="Arial" w:eastAsia="Arial"/>
                <w:b w:val="0"/>
                <w:i w:val="0"/>
                <w:color w:val="1F1F1F"/>
                <w:sz w:val="13"/>
              </w:rPr>
              <w:t>4.56</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3B7C0B8">
            <w:pPr>
              <w:spacing w:before="0" w:after="0" w:line="240" w:lineRule="auto"/>
              <w:jc w:val="center"/>
            </w:pPr>
            <w:r>
              <w:rPr>
                <w:rFonts w:ascii="Arial" w:hAnsi="Arial" w:eastAsia="Arial"/>
                <w:b w:val="0"/>
                <w:i w:val="0"/>
                <w:color w:val="1F1F1F"/>
                <w:sz w:val="13"/>
              </w:rPr>
              <w:t>1.2</w:t>
            </w:r>
          </w:p>
        </w:tc>
        <w:tc>
          <w:tcPr>
            <w:tcW w:w="136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8832D7F">
            <w:pPr>
              <w:spacing w:before="0" w:after="0" w:line="240" w:lineRule="auto"/>
              <w:jc w:val="center"/>
            </w:pPr>
            <w:r>
              <w:rPr>
                <w:rFonts w:ascii="Arial" w:hAnsi="Arial" w:eastAsia="Arial"/>
                <w:b w:val="0"/>
                <w:i w:val="0"/>
                <w:color w:val="1F1F1F"/>
                <w:sz w:val="13"/>
              </w:rPr>
              <w:t>19.1%</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D16C24F">
            <w:pPr>
              <w:spacing w:before="0" w:after="0" w:line="240" w:lineRule="auto"/>
              <w:jc w:val="center"/>
            </w:pPr>
            <w:r>
              <w:rPr>
                <w:rFonts w:ascii="Arial" w:hAnsi="Arial" w:eastAsia="Arial"/>
                <w:b w:val="0"/>
                <w:i w:val="0"/>
                <w:color w:val="1F1F1F"/>
                <w:sz w:val="13"/>
              </w:rPr>
              <w:t>67.4%</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6148C7E">
            <w:pPr>
              <w:spacing w:before="0" w:after="0" w:line="240" w:lineRule="auto"/>
              <w:jc w:val="left"/>
            </w:pPr>
            <w:r>
              <w:rPr>
                <w:rFonts w:ascii="Arial" w:hAnsi="Arial" w:eastAsia="Arial"/>
                <w:b w:val="0"/>
                <w:i w:val="0"/>
                <w:color w:val="1F1F1F"/>
                <w:sz w:val="13"/>
              </w:rPr>
              <w:t>Pareto-front contender</w:t>
            </w:r>
          </w:p>
        </w:tc>
      </w:tr>
      <w:tr w14:paraId="2E196DF5">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FB61DE8">
            <w:pPr>
              <w:spacing w:before="0" w:after="0" w:line="240" w:lineRule="auto"/>
              <w:jc w:val="center"/>
            </w:pPr>
            <w:r>
              <w:rPr>
                <w:rFonts w:ascii="Arial" w:hAnsi="Arial" w:eastAsia="Arial"/>
                <w:b w:val="0"/>
                <w:i w:val="0"/>
                <w:color w:val="1F1F1F"/>
                <w:sz w:val="13"/>
              </w:rPr>
              <w:t>5</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74E9CF3">
            <w:pPr>
              <w:spacing w:before="0" w:after="0" w:line="240" w:lineRule="auto"/>
              <w:jc w:val="left"/>
            </w:pPr>
            <w:r>
              <w:rPr>
                <w:rFonts w:ascii="Arial" w:hAnsi="Arial" w:eastAsia="Arial"/>
                <w:b w:val="0"/>
                <w:i w:val="0"/>
                <w:color w:val="1F1F1F"/>
                <w:sz w:val="13"/>
              </w:rPr>
              <w:t>METS-IR</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E3CB42E">
            <w:pPr>
              <w:spacing w:before="0" w:after="0" w:line="240" w:lineRule="auto"/>
              <w:jc w:val="center"/>
            </w:pPr>
            <w:r>
              <w:rPr>
                <w:rFonts w:ascii="Arial" w:hAnsi="Arial" w:eastAsia="Arial"/>
                <w:b w:val="0"/>
                <w:i w:val="0"/>
                <w:color w:val="1F1F1F"/>
                <w:sz w:val="13"/>
              </w:rPr>
              <w:t>1.13 (1.02–1.25)</w:t>
            </w:r>
          </w:p>
        </w:tc>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1723D59">
            <w:pPr>
              <w:spacing w:before="0" w:after="0" w:line="240" w:lineRule="auto"/>
              <w:jc w:val="center"/>
            </w:pPr>
            <w:r>
              <w:rPr>
                <w:rFonts w:ascii="Arial" w:hAnsi="Arial" w:eastAsia="Arial"/>
                <w:b w:val="0"/>
                <w:i w:val="0"/>
                <w:color w:val="1F1F1F"/>
                <w:sz w:val="13"/>
              </w:rPr>
              <w:t>0.074</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67AE815">
            <w:pPr>
              <w:spacing w:before="0" w:after="0" w:line="240" w:lineRule="auto"/>
              <w:jc w:val="center"/>
            </w:pPr>
            <w:r>
              <w:rPr>
                <w:rFonts w:ascii="Arial" w:hAnsi="Arial" w:eastAsia="Arial"/>
                <w:b w:val="0"/>
                <w:i w:val="0"/>
                <w:color w:val="1F1F1F"/>
                <w:sz w:val="13"/>
              </w:rPr>
              <w:t>2.75</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DC3027D">
            <w:pPr>
              <w:spacing w:before="0" w:after="0" w:line="240" w:lineRule="auto"/>
              <w:jc w:val="center"/>
            </w:pPr>
            <w:r>
              <w:rPr>
                <w:rFonts w:ascii="Arial" w:hAnsi="Arial" w:eastAsia="Arial"/>
                <w:b w:val="0"/>
                <w:i w:val="0"/>
                <w:color w:val="1F1F1F"/>
                <w:sz w:val="13"/>
              </w:rPr>
              <w:t>5.33</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7AD42E2">
            <w:pPr>
              <w:spacing w:before="0" w:after="0" w:line="240" w:lineRule="auto"/>
              <w:jc w:val="center"/>
            </w:pPr>
            <w:r>
              <w:rPr>
                <w:rFonts w:ascii="Arial" w:hAnsi="Arial" w:eastAsia="Arial"/>
                <w:b w:val="0"/>
                <w:i w:val="0"/>
                <w:color w:val="1F1F1F"/>
                <w:sz w:val="13"/>
              </w:rPr>
              <w:t>5.0</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C116125">
            <w:pPr>
              <w:spacing w:before="0" w:after="0" w:line="240" w:lineRule="auto"/>
              <w:jc w:val="center"/>
            </w:pPr>
            <w:r>
              <w:rPr>
                <w:rFonts w:ascii="Arial" w:hAnsi="Arial" w:eastAsia="Arial"/>
                <w:b w:val="0"/>
                <w:i w:val="0"/>
                <w:color w:val="1F1F1F"/>
                <w:sz w:val="13"/>
              </w:rPr>
              <w:t>6.2</w:t>
            </w:r>
          </w:p>
        </w:tc>
        <w:tc>
          <w:tcPr>
            <w:tcW w:w="136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91D9361">
            <w:pPr>
              <w:spacing w:before="0" w:after="0" w:line="240" w:lineRule="auto"/>
              <w:jc w:val="center"/>
            </w:pPr>
            <w:r>
              <w:rPr>
                <w:rFonts w:ascii="Arial" w:hAnsi="Arial" w:eastAsia="Arial"/>
                <w:b w:val="0"/>
                <w:i w:val="0"/>
                <w:color w:val="1F1F1F"/>
                <w:sz w:val="13"/>
              </w:rPr>
              <w:t>14.1%</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A5BCC22">
            <w:pPr>
              <w:spacing w:before="0" w:after="0" w:line="240" w:lineRule="auto"/>
              <w:jc w:val="center"/>
            </w:pPr>
            <w:r>
              <w:rPr>
                <w:rFonts w:ascii="Arial" w:hAnsi="Arial" w:eastAsia="Arial"/>
                <w:b w:val="0"/>
                <w:i w:val="0"/>
                <w:color w:val="1F1F1F"/>
                <w:sz w:val="13"/>
              </w:rPr>
              <w:t>37.6%</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64D90D5">
            <w:pPr>
              <w:spacing w:before="0" w:after="0" w:line="240" w:lineRule="auto"/>
              <w:jc w:val="left"/>
            </w:pPr>
            <w:r>
              <w:rPr>
                <w:rFonts w:ascii="Arial" w:hAnsi="Arial" w:eastAsia="Arial"/>
                <w:b w:val="0"/>
                <w:i w:val="0"/>
                <w:color w:val="1F1F1F"/>
                <w:sz w:val="13"/>
              </w:rPr>
              <w:t>Pareto-front contender</w:t>
            </w:r>
          </w:p>
        </w:tc>
      </w:tr>
      <w:tr w14:paraId="36187B1A">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AF90B38">
            <w:pPr>
              <w:spacing w:before="0" w:after="0" w:line="240" w:lineRule="auto"/>
              <w:jc w:val="center"/>
            </w:pPr>
            <w:r>
              <w:rPr>
                <w:rFonts w:ascii="Arial" w:hAnsi="Arial" w:eastAsia="Arial"/>
                <w:b w:val="0"/>
                <w:i w:val="0"/>
                <w:color w:val="1F1F1F"/>
                <w:sz w:val="13"/>
              </w:rPr>
              <w:t>6</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2072AF7">
            <w:pPr>
              <w:spacing w:before="0" w:after="0" w:line="240" w:lineRule="auto"/>
              <w:jc w:val="left"/>
            </w:pPr>
            <w:r>
              <w:rPr>
                <w:rFonts w:ascii="Arial" w:hAnsi="Arial" w:eastAsia="Arial"/>
                <w:b w:val="0"/>
                <w:i w:val="0"/>
                <w:color w:val="1F1F1F"/>
                <w:sz w:val="13"/>
              </w:rPr>
              <w:t>WHtR</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562AFB5">
            <w:pPr>
              <w:spacing w:before="0" w:after="0" w:line="240" w:lineRule="auto"/>
              <w:jc w:val="center"/>
            </w:pPr>
            <w:r>
              <w:rPr>
                <w:rFonts w:ascii="Arial" w:hAnsi="Arial" w:eastAsia="Arial"/>
                <w:b w:val="0"/>
                <w:i w:val="0"/>
                <w:color w:val="1F1F1F"/>
                <w:sz w:val="13"/>
              </w:rPr>
              <w:t>1.09 (0.98–1.22)</w:t>
            </w:r>
          </w:p>
        </w:tc>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FF0BE86">
            <w:pPr>
              <w:spacing w:before="0" w:after="0" w:line="240" w:lineRule="auto"/>
              <w:jc w:val="center"/>
            </w:pPr>
            <w:r>
              <w:rPr>
                <w:rFonts w:ascii="Arial" w:hAnsi="Arial" w:eastAsia="Arial"/>
                <w:b w:val="0"/>
                <w:i w:val="0"/>
                <w:color w:val="1F1F1F"/>
                <w:sz w:val="13"/>
              </w:rPr>
              <w:t>0.158</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0D80E0F">
            <w:pPr>
              <w:spacing w:before="0" w:after="0" w:line="240" w:lineRule="auto"/>
              <w:jc w:val="center"/>
            </w:pPr>
            <w:r>
              <w:rPr>
                <w:rFonts w:ascii="Arial" w:hAnsi="Arial" w:eastAsia="Arial"/>
                <w:b w:val="0"/>
                <w:i w:val="0"/>
                <w:color w:val="1F1F1F"/>
                <w:sz w:val="13"/>
              </w:rPr>
              <w:t>7.5</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133472E">
            <w:pPr>
              <w:spacing w:before="0" w:after="0" w:line="240" w:lineRule="auto"/>
              <w:jc w:val="center"/>
            </w:pPr>
            <w:r>
              <w:rPr>
                <w:rFonts w:ascii="Arial" w:hAnsi="Arial" w:eastAsia="Arial"/>
                <w:b w:val="0"/>
                <w:i w:val="0"/>
                <w:color w:val="1F1F1F"/>
                <w:sz w:val="13"/>
              </w:rPr>
              <w:t>5.2</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68699ED">
            <w:pPr>
              <w:spacing w:before="0" w:after="0" w:line="240" w:lineRule="auto"/>
              <w:jc w:val="center"/>
            </w:pPr>
            <w:r>
              <w:rPr>
                <w:rFonts w:ascii="Arial" w:hAnsi="Arial" w:eastAsia="Arial"/>
                <w:b w:val="0"/>
                <w:i w:val="0"/>
                <w:color w:val="1F1F1F"/>
                <w:sz w:val="13"/>
              </w:rPr>
              <w:t>5.33</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39A28F2">
            <w:pPr>
              <w:spacing w:before="0" w:after="0" w:line="240" w:lineRule="auto"/>
              <w:jc w:val="center"/>
            </w:pPr>
            <w:r>
              <w:rPr>
                <w:rFonts w:ascii="Arial" w:hAnsi="Arial" w:eastAsia="Arial"/>
                <w:b w:val="0"/>
                <w:i w:val="0"/>
                <w:color w:val="1F1F1F"/>
                <w:sz w:val="13"/>
              </w:rPr>
              <w:t>5.4</w:t>
            </w:r>
          </w:p>
        </w:tc>
        <w:tc>
          <w:tcPr>
            <w:tcW w:w="136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206AEE3">
            <w:pPr>
              <w:spacing w:before="0" w:after="0" w:line="240" w:lineRule="auto"/>
              <w:jc w:val="center"/>
            </w:pPr>
            <w:r>
              <w:rPr>
                <w:rFonts w:ascii="Arial" w:hAnsi="Arial" w:eastAsia="Arial"/>
                <w:b w:val="0"/>
                <w:i w:val="0"/>
                <w:color w:val="1F1F1F"/>
                <w:sz w:val="13"/>
              </w:rPr>
              <w:t>9.3%</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6C788D2">
            <w:pPr>
              <w:spacing w:before="0" w:after="0" w:line="240" w:lineRule="auto"/>
              <w:jc w:val="center"/>
            </w:pPr>
            <w:r>
              <w:rPr>
                <w:rFonts w:ascii="Arial" w:hAnsi="Arial" w:eastAsia="Arial"/>
                <w:b w:val="0"/>
                <w:i w:val="0"/>
                <w:color w:val="1F1F1F"/>
                <w:sz w:val="13"/>
              </w:rPr>
              <w:t>27.2%</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AC9EC1E">
            <w:pPr>
              <w:spacing w:before="0" w:after="0" w:line="240" w:lineRule="auto"/>
              <w:jc w:val="left"/>
            </w:pPr>
            <w:r>
              <w:rPr>
                <w:rFonts w:ascii="Arial" w:hAnsi="Arial" w:eastAsia="Arial"/>
                <w:b w:val="0"/>
                <w:i w:val="0"/>
                <w:color w:val="1F1F1F"/>
                <w:sz w:val="13"/>
              </w:rPr>
              <w:t>Non-champion</w:t>
            </w:r>
          </w:p>
        </w:tc>
      </w:tr>
      <w:tr w14:paraId="18BD3020">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333C04D">
            <w:pPr>
              <w:spacing w:before="0" w:after="0" w:line="240" w:lineRule="auto"/>
              <w:jc w:val="center"/>
            </w:pPr>
            <w:r>
              <w:rPr>
                <w:rFonts w:ascii="Arial" w:hAnsi="Arial" w:eastAsia="Arial"/>
                <w:b w:val="0"/>
                <w:i w:val="0"/>
                <w:color w:val="1F1F1F"/>
                <w:sz w:val="13"/>
              </w:rPr>
              <w:t>7</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F9E589A">
            <w:pPr>
              <w:spacing w:before="0" w:after="0" w:line="240" w:lineRule="auto"/>
              <w:jc w:val="left"/>
            </w:pPr>
            <w:r>
              <w:rPr>
                <w:rFonts w:ascii="Arial" w:hAnsi="Arial" w:eastAsia="Arial"/>
                <w:b w:val="0"/>
                <w:i w:val="0"/>
                <w:color w:val="1F1F1F"/>
                <w:sz w:val="13"/>
              </w:rPr>
              <w:t>Lower SPISE</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7C05005">
            <w:pPr>
              <w:spacing w:before="0" w:after="0" w:line="240" w:lineRule="auto"/>
              <w:jc w:val="center"/>
            </w:pPr>
            <w:r>
              <w:rPr>
                <w:rFonts w:ascii="Arial" w:hAnsi="Arial" w:eastAsia="Arial"/>
                <w:b w:val="0"/>
                <w:i w:val="0"/>
                <w:color w:val="1F1F1F"/>
                <w:sz w:val="13"/>
              </w:rPr>
              <w:t>1.13 (1.01–1.27)</w:t>
            </w:r>
          </w:p>
        </w:tc>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2B2E622">
            <w:pPr>
              <w:spacing w:before="0" w:after="0" w:line="240" w:lineRule="auto"/>
              <w:jc w:val="center"/>
            </w:pPr>
            <w:r>
              <w:rPr>
                <w:rFonts w:ascii="Arial" w:hAnsi="Arial" w:eastAsia="Arial"/>
                <w:b w:val="0"/>
                <w:i w:val="0"/>
                <w:color w:val="1F1F1F"/>
                <w:sz w:val="13"/>
              </w:rPr>
              <w:t>0.074</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EFED520">
            <w:pPr>
              <w:spacing w:before="0" w:after="0" w:line="240" w:lineRule="auto"/>
              <w:jc w:val="center"/>
            </w:pPr>
            <w:r>
              <w:rPr>
                <w:rFonts w:ascii="Arial" w:hAnsi="Arial" w:eastAsia="Arial"/>
                <w:b w:val="0"/>
                <w:i w:val="0"/>
                <w:color w:val="1F1F1F"/>
                <w:sz w:val="13"/>
              </w:rPr>
              <w:t>2.25</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1F4B22D">
            <w:pPr>
              <w:spacing w:before="0" w:after="0" w:line="240" w:lineRule="auto"/>
              <w:jc w:val="center"/>
            </w:pPr>
            <w:r>
              <w:rPr>
                <w:rFonts w:ascii="Arial" w:hAnsi="Arial" w:eastAsia="Arial"/>
                <w:b w:val="0"/>
                <w:i w:val="0"/>
                <w:color w:val="1F1F1F"/>
                <w:sz w:val="13"/>
              </w:rPr>
              <w:t>7.07</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2431826">
            <w:pPr>
              <w:spacing w:before="0" w:after="0" w:line="240" w:lineRule="auto"/>
              <w:jc w:val="center"/>
            </w:pPr>
            <w:r>
              <w:rPr>
                <w:rFonts w:ascii="Arial" w:hAnsi="Arial" w:eastAsia="Arial"/>
                <w:b w:val="0"/>
                <w:i w:val="0"/>
                <w:color w:val="1F1F1F"/>
                <w:sz w:val="13"/>
              </w:rPr>
              <w:t>7.22</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758CC5A">
            <w:pPr>
              <w:spacing w:before="0" w:after="0" w:line="240" w:lineRule="auto"/>
              <w:jc w:val="center"/>
            </w:pPr>
            <w:r>
              <w:rPr>
                <w:rFonts w:ascii="Arial" w:hAnsi="Arial" w:eastAsia="Arial"/>
                <w:b w:val="0"/>
                <w:i w:val="0"/>
                <w:color w:val="1F1F1F"/>
                <w:sz w:val="13"/>
              </w:rPr>
              <w:t>8.4</w:t>
            </w:r>
          </w:p>
        </w:tc>
        <w:tc>
          <w:tcPr>
            <w:tcW w:w="136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0194BDB">
            <w:pPr>
              <w:spacing w:before="0" w:after="0" w:line="240" w:lineRule="auto"/>
              <w:jc w:val="center"/>
            </w:pPr>
            <w:r>
              <w:rPr>
                <w:rFonts w:ascii="Arial" w:hAnsi="Arial" w:eastAsia="Arial"/>
                <w:b w:val="0"/>
                <w:i w:val="0"/>
                <w:color w:val="1F1F1F"/>
                <w:sz w:val="13"/>
              </w:rPr>
              <w:t>0.6%</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BC24ADE">
            <w:pPr>
              <w:spacing w:before="0" w:after="0" w:line="240" w:lineRule="auto"/>
              <w:jc w:val="center"/>
            </w:pPr>
            <w:r>
              <w:rPr>
                <w:rFonts w:ascii="Arial" w:hAnsi="Arial" w:eastAsia="Arial"/>
                <w:b w:val="0"/>
                <w:i w:val="0"/>
                <w:color w:val="1F1F1F"/>
                <w:sz w:val="13"/>
              </w:rPr>
              <w:t>4.0%</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386DEC4">
            <w:pPr>
              <w:spacing w:before="0" w:after="0" w:line="240" w:lineRule="auto"/>
              <w:jc w:val="left"/>
            </w:pPr>
            <w:r>
              <w:rPr>
                <w:rFonts w:ascii="Arial" w:hAnsi="Arial" w:eastAsia="Arial"/>
                <w:b w:val="0"/>
                <w:i w:val="0"/>
                <w:color w:val="1F1F1F"/>
                <w:sz w:val="13"/>
              </w:rPr>
              <w:t>Non-champion</w:t>
            </w:r>
          </w:p>
        </w:tc>
      </w:tr>
      <w:tr w14:paraId="2C0D4CD5">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552C85C">
            <w:pPr>
              <w:spacing w:before="0" w:after="0" w:line="240" w:lineRule="auto"/>
              <w:jc w:val="center"/>
            </w:pPr>
            <w:r>
              <w:rPr>
                <w:rFonts w:ascii="Arial" w:hAnsi="Arial" w:eastAsia="Arial"/>
                <w:b w:val="0"/>
                <w:i w:val="0"/>
                <w:color w:val="1F1F1F"/>
                <w:sz w:val="13"/>
              </w:rPr>
              <w:t>8</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A70BC96">
            <w:pPr>
              <w:spacing w:before="0" w:after="0" w:line="240" w:lineRule="auto"/>
              <w:jc w:val="left"/>
            </w:pPr>
            <w:r>
              <w:rPr>
                <w:rFonts w:ascii="Arial" w:hAnsi="Arial" w:eastAsia="Arial"/>
                <w:b w:val="0"/>
                <w:i w:val="0"/>
                <w:color w:val="1F1F1F"/>
                <w:sz w:val="13"/>
              </w:rPr>
              <w:t>TyG-BMI</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B84BF76">
            <w:pPr>
              <w:spacing w:before="0" w:after="0" w:line="240" w:lineRule="auto"/>
              <w:jc w:val="center"/>
            </w:pPr>
            <w:r>
              <w:rPr>
                <w:rFonts w:ascii="Arial" w:hAnsi="Arial" w:eastAsia="Arial"/>
                <w:b w:val="0"/>
                <w:i w:val="0"/>
                <w:color w:val="1F1F1F"/>
                <w:sz w:val="13"/>
              </w:rPr>
              <w:t>1.10 (0.99–1.23)</w:t>
            </w:r>
          </w:p>
        </w:tc>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FCA9CA3">
            <w:pPr>
              <w:spacing w:before="0" w:after="0" w:line="240" w:lineRule="auto"/>
              <w:jc w:val="center"/>
            </w:pPr>
            <w:r>
              <w:rPr>
                <w:rFonts w:ascii="Arial" w:hAnsi="Arial" w:eastAsia="Arial"/>
                <w:b w:val="0"/>
                <w:i w:val="0"/>
                <w:color w:val="1F1F1F"/>
                <w:sz w:val="13"/>
              </w:rPr>
              <w:t>0.122</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CB663BC">
            <w:pPr>
              <w:spacing w:before="0" w:after="0" w:line="240" w:lineRule="auto"/>
              <w:jc w:val="center"/>
            </w:pPr>
            <w:r>
              <w:rPr>
                <w:rFonts w:ascii="Arial" w:hAnsi="Arial" w:eastAsia="Arial"/>
                <w:b w:val="0"/>
                <w:i w:val="0"/>
                <w:color w:val="1F1F1F"/>
                <w:sz w:val="13"/>
              </w:rPr>
              <w:t>6.5</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35283D2">
            <w:pPr>
              <w:spacing w:before="0" w:after="0" w:line="240" w:lineRule="auto"/>
              <w:jc w:val="center"/>
            </w:pPr>
            <w:r>
              <w:rPr>
                <w:rFonts w:ascii="Arial" w:hAnsi="Arial" w:eastAsia="Arial"/>
                <w:b w:val="0"/>
                <w:i w:val="0"/>
                <w:color w:val="1F1F1F"/>
                <w:sz w:val="13"/>
              </w:rPr>
              <w:t>6.4</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352B60A">
            <w:pPr>
              <w:spacing w:before="0" w:after="0" w:line="240" w:lineRule="auto"/>
              <w:jc w:val="center"/>
            </w:pPr>
            <w:r>
              <w:rPr>
                <w:rFonts w:ascii="Arial" w:hAnsi="Arial" w:eastAsia="Arial"/>
                <w:b w:val="0"/>
                <w:i w:val="0"/>
                <w:color w:val="1F1F1F"/>
                <w:sz w:val="13"/>
              </w:rPr>
              <w:t>6.11</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0F1CC4B">
            <w:pPr>
              <w:spacing w:before="0" w:after="0" w:line="240" w:lineRule="auto"/>
              <w:jc w:val="center"/>
            </w:pPr>
            <w:r>
              <w:rPr>
                <w:rFonts w:ascii="Arial" w:hAnsi="Arial" w:eastAsia="Arial"/>
                <w:b w:val="0"/>
                <w:i w:val="0"/>
                <w:color w:val="1F1F1F"/>
                <w:sz w:val="13"/>
              </w:rPr>
              <w:t>6.2</w:t>
            </w:r>
          </w:p>
        </w:tc>
        <w:tc>
          <w:tcPr>
            <w:tcW w:w="136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CD82ED9">
            <w:pPr>
              <w:spacing w:before="0" w:after="0" w:line="240" w:lineRule="auto"/>
              <w:jc w:val="center"/>
            </w:pPr>
            <w:r>
              <w:rPr>
                <w:rFonts w:ascii="Arial" w:hAnsi="Arial" w:eastAsia="Arial"/>
                <w:b w:val="0"/>
                <w:i w:val="0"/>
                <w:color w:val="1F1F1F"/>
                <w:sz w:val="13"/>
              </w:rPr>
              <w:t>0.3%</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651E409">
            <w:pPr>
              <w:spacing w:before="0" w:after="0" w:line="240" w:lineRule="auto"/>
              <w:jc w:val="center"/>
            </w:pPr>
            <w:r>
              <w:rPr>
                <w:rFonts w:ascii="Arial" w:hAnsi="Arial" w:eastAsia="Arial"/>
                <w:b w:val="0"/>
                <w:i w:val="0"/>
                <w:color w:val="1F1F1F"/>
                <w:sz w:val="13"/>
              </w:rPr>
              <w:t>8.2%</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CA82F84">
            <w:pPr>
              <w:spacing w:before="0" w:after="0" w:line="240" w:lineRule="auto"/>
              <w:jc w:val="left"/>
            </w:pPr>
            <w:r>
              <w:rPr>
                <w:rFonts w:ascii="Arial" w:hAnsi="Arial" w:eastAsia="Arial"/>
                <w:b w:val="0"/>
                <w:i w:val="0"/>
                <w:color w:val="1F1F1F"/>
                <w:sz w:val="13"/>
              </w:rPr>
              <w:t>Non-champion</w:t>
            </w:r>
          </w:p>
        </w:tc>
      </w:tr>
      <w:tr w14:paraId="39C5F18F">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5C2EB7A">
            <w:pPr>
              <w:spacing w:before="0" w:after="0" w:line="240" w:lineRule="auto"/>
              <w:jc w:val="center"/>
            </w:pPr>
            <w:r>
              <w:rPr>
                <w:rFonts w:ascii="Arial" w:hAnsi="Arial" w:eastAsia="Arial"/>
                <w:b w:val="0"/>
                <w:i w:val="0"/>
                <w:color w:val="1F1F1F"/>
                <w:sz w:val="13"/>
              </w:rPr>
              <w:t>9</w:t>
            </w:r>
          </w:p>
        </w:tc>
        <w:tc>
          <w:tcPr>
            <w:tcW w:w="151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BEA4C3B">
            <w:pPr>
              <w:spacing w:before="0" w:after="0" w:line="240" w:lineRule="auto"/>
              <w:jc w:val="left"/>
            </w:pPr>
            <w:r>
              <w:rPr>
                <w:rFonts w:ascii="Arial" w:hAnsi="Arial" w:eastAsia="Arial"/>
                <w:b w:val="0"/>
                <w:i w:val="0"/>
                <w:color w:val="1F1F1F"/>
                <w:sz w:val="13"/>
              </w:rPr>
              <w:t>Lower eGDR</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80DA63D">
            <w:pPr>
              <w:spacing w:before="0" w:after="0" w:line="240" w:lineRule="auto"/>
              <w:jc w:val="center"/>
            </w:pPr>
            <w:r>
              <w:rPr>
                <w:rFonts w:ascii="Arial" w:hAnsi="Arial" w:eastAsia="Arial"/>
                <w:b w:val="0"/>
                <w:i w:val="0"/>
                <w:color w:val="1F1F1F"/>
                <w:sz w:val="13"/>
              </w:rPr>
              <w:t>1.11 (0.95–1.29)</w:t>
            </w:r>
          </w:p>
        </w:tc>
        <w:tc>
          <w:tcPr>
            <w:tcW w:w="9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A1204E9">
            <w:pPr>
              <w:spacing w:before="0" w:after="0" w:line="240" w:lineRule="auto"/>
              <w:jc w:val="center"/>
            </w:pPr>
            <w:r>
              <w:rPr>
                <w:rFonts w:ascii="Arial" w:hAnsi="Arial" w:eastAsia="Arial"/>
                <w:b w:val="0"/>
                <w:i w:val="0"/>
                <w:color w:val="1F1F1F"/>
                <w:sz w:val="13"/>
              </w:rPr>
              <w:t>0.206</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083BB80">
            <w:pPr>
              <w:spacing w:before="0" w:after="0" w:line="240" w:lineRule="auto"/>
              <w:jc w:val="center"/>
            </w:pPr>
            <w:r>
              <w:rPr>
                <w:rFonts w:ascii="Arial" w:hAnsi="Arial" w:eastAsia="Arial"/>
                <w:b w:val="0"/>
                <w:i w:val="0"/>
                <w:color w:val="1F1F1F"/>
                <w:sz w:val="13"/>
              </w:rPr>
              <w:t>7.5</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749FE28">
            <w:pPr>
              <w:spacing w:before="0" w:after="0" w:line="240" w:lineRule="auto"/>
              <w:jc w:val="center"/>
            </w:pPr>
            <w:r>
              <w:rPr>
                <w:rFonts w:ascii="Arial" w:hAnsi="Arial" w:eastAsia="Arial"/>
                <w:b w:val="0"/>
                <w:i w:val="0"/>
                <w:color w:val="1F1F1F"/>
                <w:sz w:val="13"/>
              </w:rPr>
              <w:t>7.27</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4A95651">
            <w:pPr>
              <w:spacing w:before="0" w:after="0" w:line="240" w:lineRule="auto"/>
              <w:jc w:val="center"/>
            </w:pPr>
            <w:r>
              <w:rPr>
                <w:rFonts w:ascii="Arial" w:hAnsi="Arial" w:eastAsia="Arial"/>
                <w:b w:val="0"/>
                <w:i w:val="0"/>
                <w:color w:val="1F1F1F"/>
                <w:sz w:val="13"/>
              </w:rPr>
              <w:t>8.0</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0A63484">
            <w:pPr>
              <w:spacing w:before="0" w:after="0" w:line="240" w:lineRule="auto"/>
              <w:jc w:val="center"/>
            </w:pPr>
            <w:r>
              <w:rPr>
                <w:rFonts w:ascii="Arial" w:hAnsi="Arial" w:eastAsia="Arial"/>
                <w:b w:val="0"/>
                <w:i w:val="0"/>
                <w:color w:val="1F1F1F"/>
                <w:sz w:val="13"/>
              </w:rPr>
              <w:t>5.6</w:t>
            </w:r>
          </w:p>
        </w:tc>
        <w:tc>
          <w:tcPr>
            <w:tcW w:w="136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D54B44B">
            <w:pPr>
              <w:spacing w:before="0" w:after="0" w:line="240" w:lineRule="auto"/>
              <w:jc w:val="center"/>
            </w:pPr>
            <w:r>
              <w:rPr>
                <w:rFonts w:ascii="Arial" w:hAnsi="Arial" w:eastAsia="Arial"/>
                <w:b w:val="0"/>
                <w:i w:val="0"/>
                <w:color w:val="1F1F1F"/>
                <w:sz w:val="13"/>
              </w:rPr>
              <w:t>0.5%</w:t>
            </w:r>
          </w:p>
        </w:tc>
        <w:tc>
          <w:tcPr>
            <w:tcW w:w="12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5DF2BCB">
            <w:pPr>
              <w:spacing w:before="0" w:after="0" w:line="240" w:lineRule="auto"/>
              <w:jc w:val="center"/>
            </w:pPr>
            <w:r>
              <w:rPr>
                <w:rFonts w:ascii="Arial" w:hAnsi="Arial" w:eastAsia="Arial"/>
                <w:b w:val="0"/>
                <w:i w:val="0"/>
                <w:color w:val="1F1F1F"/>
                <w:sz w:val="13"/>
              </w:rPr>
              <w:t>3.8%</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CD2940F">
            <w:pPr>
              <w:spacing w:before="0" w:after="0" w:line="240" w:lineRule="auto"/>
              <w:jc w:val="left"/>
            </w:pPr>
            <w:r>
              <w:rPr>
                <w:rFonts w:ascii="Arial" w:hAnsi="Arial" w:eastAsia="Arial"/>
                <w:b w:val="0"/>
                <w:i w:val="0"/>
                <w:color w:val="1F1F1F"/>
                <w:sz w:val="13"/>
              </w:rPr>
              <w:t>Non-champion</w:t>
            </w:r>
          </w:p>
        </w:tc>
      </w:tr>
      <w:tr w14:paraId="247FB189">
        <w:tblPrEx>
          <w:tblCellMar>
            <w:top w:w="0" w:type="dxa"/>
            <w:left w:w="108" w:type="dxa"/>
            <w:bottom w:w="0" w:type="dxa"/>
            <w:right w:w="108" w:type="dxa"/>
          </w:tblCellMar>
        </w:tblPrEx>
        <w:trPr>
          <w:cantSplit/>
          <w:jc w:val="center"/>
        </w:trPr>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B4BF94B">
            <w:pPr>
              <w:spacing w:before="0" w:after="0" w:line="240" w:lineRule="auto"/>
              <w:jc w:val="center"/>
            </w:pPr>
            <w:r>
              <w:rPr>
                <w:rFonts w:ascii="Arial" w:hAnsi="Arial" w:eastAsia="Arial"/>
                <w:b w:val="0"/>
                <w:i w:val="0"/>
                <w:color w:val="1F1F1F"/>
                <w:sz w:val="13"/>
              </w:rPr>
              <w:t>10</w:t>
            </w:r>
          </w:p>
        </w:tc>
        <w:tc>
          <w:tcPr>
            <w:tcW w:w="151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1CEE7AA">
            <w:pPr>
              <w:spacing w:before="0" w:after="0" w:line="240" w:lineRule="auto"/>
              <w:jc w:val="left"/>
            </w:pPr>
            <w:r>
              <w:rPr>
                <w:rFonts w:ascii="Arial" w:hAnsi="Arial" w:eastAsia="Arial"/>
                <w:b w:val="0"/>
                <w:i w:val="0"/>
                <w:color w:val="1F1F1F"/>
                <w:sz w:val="13"/>
              </w:rPr>
              <w:t>non-HDL-C</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A5351C5">
            <w:pPr>
              <w:spacing w:before="0" w:after="0" w:line="240" w:lineRule="auto"/>
              <w:jc w:val="center"/>
            </w:pPr>
            <w:r>
              <w:rPr>
                <w:rFonts w:ascii="Arial" w:hAnsi="Arial" w:eastAsia="Arial"/>
                <w:b w:val="0"/>
                <w:i w:val="0"/>
                <w:color w:val="1F1F1F"/>
                <w:sz w:val="13"/>
              </w:rPr>
              <w:t>1.02 (0.90–1.15)</w:t>
            </w:r>
          </w:p>
        </w:tc>
        <w:tc>
          <w:tcPr>
            <w:tcW w:w="9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CFBF38D">
            <w:pPr>
              <w:spacing w:before="0" w:after="0" w:line="240" w:lineRule="auto"/>
              <w:jc w:val="center"/>
            </w:pPr>
            <w:r>
              <w:rPr>
                <w:rFonts w:ascii="Arial" w:hAnsi="Arial" w:eastAsia="Arial"/>
                <w:b w:val="0"/>
                <w:i w:val="0"/>
                <w:color w:val="1F1F1F"/>
                <w:sz w:val="13"/>
              </w:rPr>
              <w:t>0.808</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92C9B27">
            <w:pPr>
              <w:spacing w:before="0" w:after="0" w:line="240" w:lineRule="auto"/>
              <w:jc w:val="center"/>
            </w:pPr>
            <w:r>
              <w:rPr>
                <w:rFonts w:ascii="Arial" w:hAnsi="Arial" w:eastAsia="Arial"/>
                <w:b w:val="0"/>
                <w:i w:val="0"/>
                <w:color w:val="1F1F1F"/>
                <w:sz w:val="13"/>
              </w:rPr>
              <w:t>10.0</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E48FD3E">
            <w:pPr>
              <w:spacing w:before="0" w:after="0" w:line="240" w:lineRule="auto"/>
              <w:jc w:val="center"/>
            </w:pPr>
            <w:r>
              <w:rPr>
                <w:rFonts w:ascii="Arial" w:hAnsi="Arial" w:eastAsia="Arial"/>
                <w:b w:val="0"/>
                <w:i w:val="0"/>
                <w:color w:val="1F1F1F"/>
                <w:sz w:val="13"/>
              </w:rPr>
              <w:t>6.53</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B33B521">
            <w:pPr>
              <w:spacing w:before="0" w:after="0" w:line="240" w:lineRule="auto"/>
              <w:jc w:val="center"/>
            </w:pPr>
            <w:r>
              <w:rPr>
                <w:rFonts w:ascii="Arial" w:hAnsi="Arial" w:eastAsia="Arial"/>
                <w:b w:val="0"/>
                <w:i w:val="0"/>
                <w:color w:val="1F1F1F"/>
                <w:sz w:val="13"/>
              </w:rPr>
              <w:t>6.89</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39C5378">
            <w:pPr>
              <w:spacing w:before="0" w:after="0" w:line="240" w:lineRule="auto"/>
              <w:jc w:val="center"/>
            </w:pPr>
            <w:r>
              <w:rPr>
                <w:rFonts w:ascii="Arial" w:hAnsi="Arial" w:eastAsia="Arial"/>
                <w:b w:val="0"/>
                <w:i w:val="0"/>
                <w:color w:val="1F1F1F"/>
                <w:sz w:val="13"/>
              </w:rPr>
              <w:t>5.6</w:t>
            </w:r>
          </w:p>
        </w:tc>
        <w:tc>
          <w:tcPr>
            <w:tcW w:w="136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0D9C550">
            <w:pPr>
              <w:spacing w:before="0" w:after="0" w:line="240" w:lineRule="auto"/>
              <w:jc w:val="center"/>
            </w:pPr>
            <w:r>
              <w:rPr>
                <w:rFonts w:ascii="Arial" w:hAnsi="Arial" w:eastAsia="Arial"/>
                <w:b w:val="0"/>
                <w:i w:val="0"/>
                <w:color w:val="1F1F1F"/>
                <w:sz w:val="13"/>
              </w:rPr>
              <w:t>0.9%</w:t>
            </w:r>
          </w:p>
        </w:tc>
        <w:tc>
          <w:tcPr>
            <w:tcW w:w="12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28153CF">
            <w:pPr>
              <w:spacing w:before="0" w:after="0" w:line="240" w:lineRule="auto"/>
              <w:jc w:val="center"/>
            </w:pPr>
            <w:r>
              <w:rPr>
                <w:rFonts w:ascii="Arial" w:hAnsi="Arial" w:eastAsia="Arial"/>
                <w:b w:val="0"/>
                <w:i w:val="0"/>
                <w:color w:val="1F1F1F"/>
                <w:sz w:val="13"/>
              </w:rPr>
              <w:t>8.0%</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F50B916">
            <w:pPr>
              <w:spacing w:before="0" w:after="0" w:line="240" w:lineRule="auto"/>
              <w:jc w:val="left"/>
            </w:pPr>
            <w:r>
              <w:rPr>
                <w:rFonts w:ascii="Arial" w:hAnsi="Arial" w:eastAsia="Arial"/>
                <w:b w:val="0"/>
                <w:i w:val="0"/>
                <w:color w:val="1F1F1F"/>
                <w:sz w:val="13"/>
              </w:rPr>
              <w:t>Non-champion</w:t>
            </w:r>
          </w:p>
        </w:tc>
      </w:tr>
    </w:tbl>
    <w:p w14:paraId="7F01F3FF">
      <w:pPr>
        <w:spacing w:before="80" w:after="40" w:line="240" w:lineRule="auto"/>
      </w:pPr>
      <w:r>
        <w:rPr>
          <w:rFonts w:ascii="Arial" w:hAnsi="Arial" w:eastAsia="Arial"/>
          <w:b/>
          <w:i w:val="0"/>
          <w:color w:val="666666"/>
          <w:sz w:val="15"/>
        </w:rPr>
        <w:t xml:space="preserve">Note: </w:t>
      </w:r>
      <w:r>
        <w:rPr>
          <w:rFonts w:ascii="Arial" w:hAnsi="Arial" w:eastAsia="Arial"/>
          <w:b w:val="0"/>
          <w:i w:val="0"/>
          <w:color w:val="666666"/>
          <w:sz w:val="15"/>
        </w:rPr>
        <w:t>Rankings were recalculated after enforcing one unique record for each indicator-by-domain combination. Every ranking set included all 10 candidate indicators, and ranks were constrained to 1–10. Lower domain ranks indicate better performance. AIP ranked first overall, but no indicator was uniformly superior across all evidence domains. TyG had the strongest transportability rank. Focused validation therefore retained AIP as the lipid-ratio representative, TyG as a distinct glycolipid axis, and Core-3 Equal as the prespecified new score; TG/HDL-C was not duplicated because it is a monotonic transformation of AIP.</w:t>
      </w:r>
    </w:p>
    <w:p w14:paraId="7E67D69D">
      <w:pPr>
        <w:sectPr>
          <w:pgSz w:w="16834" w:h="11909" w:orient="landscape"/>
          <w:pgMar w:top="792" w:right="691" w:bottom="792" w:left="691" w:header="720" w:footer="720" w:gutter="0"/>
          <w:cols w:space="720" w:num="1"/>
          <w:docGrid w:linePitch="360" w:charSpace="0"/>
        </w:sectPr>
      </w:pPr>
    </w:p>
    <w:p w14:paraId="1ACCE712">
      <w:pPr>
        <w:keepNext/>
        <w:spacing w:before="40" w:after="120"/>
      </w:pPr>
      <w:r>
        <w:rPr>
          <w:rFonts w:ascii="Arial" w:hAnsi="Arial" w:eastAsia="Arial"/>
          <w:b/>
          <w:i w:val="0"/>
          <w:color w:val="1F4E78"/>
          <w:sz w:val="23"/>
        </w:rPr>
        <w:t xml:space="preserve">Table S4. </w:t>
      </w:r>
      <w:r>
        <w:rPr>
          <w:rFonts w:ascii="Arial" w:hAnsi="Arial" w:eastAsia="Arial"/>
          <w:b/>
          <w:i w:val="0"/>
          <w:color w:val="1F1F1F"/>
          <w:sz w:val="23"/>
        </w:rPr>
        <w:t>Focused benchmark and prespecified new-score challenge models</w:t>
      </w:r>
    </w:p>
    <w:tbl>
      <w:tblPr>
        <w:tblStyle w:val="32"/>
        <w:tblW w:w="0" w:type="auto"/>
        <w:jc w:val="center"/>
        <w:tblLayout w:type="fixed"/>
        <w:tblCellMar>
          <w:top w:w="0" w:type="dxa"/>
          <w:left w:w="108" w:type="dxa"/>
          <w:bottom w:w="0" w:type="dxa"/>
          <w:right w:w="108" w:type="dxa"/>
        </w:tblCellMar>
      </w:tblPr>
      <w:tblGrid>
        <w:gridCol w:w="1053"/>
        <w:gridCol w:w="1053"/>
        <w:gridCol w:w="1053"/>
        <w:gridCol w:w="1053"/>
        <w:gridCol w:w="1053"/>
        <w:gridCol w:w="1053"/>
        <w:gridCol w:w="1053"/>
        <w:gridCol w:w="1053"/>
        <w:gridCol w:w="1053"/>
        <w:gridCol w:w="1053"/>
      </w:tblGrid>
      <w:tr w14:paraId="45A8BDA9">
        <w:tblPrEx>
          <w:tblCellMar>
            <w:top w:w="0" w:type="dxa"/>
            <w:left w:w="108" w:type="dxa"/>
            <w:bottom w:w="0" w:type="dxa"/>
            <w:right w:w="108" w:type="dxa"/>
          </w:tblCellMar>
        </w:tblPrEx>
        <w:trPr>
          <w:cantSplit/>
          <w:tblHeader/>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50E2833C">
            <w:pPr>
              <w:spacing w:before="0" w:after="0" w:line="240" w:lineRule="auto"/>
              <w:jc w:val="center"/>
            </w:pPr>
            <w:r>
              <w:rPr>
                <w:rFonts w:ascii="Arial" w:hAnsi="Arial" w:eastAsia="Arial"/>
                <w:b/>
                <w:i w:val="0"/>
                <w:color w:val="FFFFFF"/>
                <w:sz w:val="13"/>
              </w:rPr>
              <w:t>Model</w:t>
            </w:r>
          </w:p>
        </w:tc>
        <w:tc>
          <w:tcPr>
            <w:tcW w:w="1699"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5D63ABAD">
            <w:pPr>
              <w:spacing w:before="0" w:after="0" w:line="240" w:lineRule="auto"/>
              <w:jc w:val="center"/>
            </w:pPr>
            <w:r>
              <w:rPr>
                <w:rFonts w:ascii="Arial" w:hAnsi="Arial" w:eastAsia="Arial"/>
                <w:b/>
                <w:i w:val="0"/>
                <w:color w:val="FFFFFF"/>
                <w:sz w:val="13"/>
              </w:rPr>
              <w:t>Role</w:t>
            </w:r>
          </w:p>
        </w:tc>
        <w:tc>
          <w:tcPr>
            <w:tcW w:w="118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657CA50">
            <w:pPr>
              <w:spacing w:before="0" w:after="0" w:line="240" w:lineRule="auto"/>
              <w:jc w:val="center"/>
            </w:pPr>
            <w:r>
              <w:rPr>
                <w:rFonts w:ascii="Arial" w:hAnsi="Arial" w:eastAsia="Arial"/>
                <w:b/>
                <w:i w:val="0"/>
                <w:color w:val="FFFFFF"/>
                <w:sz w:val="13"/>
              </w:rPr>
              <w:t>ELSA temporal AUROC</w:t>
            </w:r>
          </w:p>
        </w:tc>
        <w:tc>
          <w:tcPr>
            <w:tcW w:w="118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2A33C00">
            <w:pPr>
              <w:spacing w:before="0" w:after="0" w:line="240" w:lineRule="auto"/>
              <w:jc w:val="center"/>
            </w:pPr>
            <w:r>
              <w:rPr>
                <w:rFonts w:ascii="Arial" w:hAnsi="Arial" w:eastAsia="Arial"/>
                <w:b/>
                <w:i w:val="0"/>
                <w:color w:val="FFFFFF"/>
                <w:sz w:val="13"/>
              </w:rPr>
              <w:t>ELSA temporal AUPRC</w:t>
            </w:r>
          </w:p>
        </w:tc>
        <w:tc>
          <w:tcPr>
            <w:tcW w:w="1267"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252CAEB">
            <w:pPr>
              <w:spacing w:before="0" w:after="0" w:line="240" w:lineRule="auto"/>
              <w:jc w:val="center"/>
            </w:pPr>
            <w:r>
              <w:rPr>
                <w:rFonts w:ascii="Arial" w:hAnsi="Arial" w:eastAsia="Arial"/>
                <w:b/>
                <w:i w:val="0"/>
                <w:color w:val="FFFFFF"/>
                <w:sz w:val="13"/>
              </w:rPr>
              <w:t>ELSA temporal Brier</w:t>
            </w:r>
          </w:p>
        </w:tc>
        <w:tc>
          <w:tcPr>
            <w:tcW w:w="103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4B4D0028">
            <w:pPr>
              <w:spacing w:before="0" w:after="0" w:line="240" w:lineRule="auto"/>
              <w:jc w:val="center"/>
            </w:pPr>
            <w:r>
              <w:rPr>
                <w:rFonts w:ascii="Arial" w:hAnsi="Arial" w:eastAsia="Arial"/>
                <w:b/>
                <w:i w:val="0"/>
                <w:color w:val="FFFFFF"/>
                <w:sz w:val="13"/>
              </w:rPr>
              <w:t>HRS AUROC</w:t>
            </w:r>
          </w:p>
        </w:tc>
        <w:tc>
          <w:tcPr>
            <w:tcW w:w="103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470D0C28">
            <w:pPr>
              <w:spacing w:before="0" w:after="0" w:line="240" w:lineRule="auto"/>
              <w:jc w:val="center"/>
            </w:pPr>
            <w:r>
              <w:rPr>
                <w:rFonts w:ascii="Arial" w:hAnsi="Arial" w:eastAsia="Arial"/>
                <w:b/>
                <w:i w:val="0"/>
                <w:color w:val="FFFFFF"/>
                <w:sz w:val="13"/>
              </w:rPr>
              <w:t>HRS AUPRC</w:t>
            </w:r>
          </w:p>
        </w:tc>
        <w:tc>
          <w:tcPr>
            <w:tcW w:w="115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68254CB">
            <w:pPr>
              <w:spacing w:before="0" w:after="0" w:line="240" w:lineRule="auto"/>
              <w:jc w:val="center"/>
            </w:pPr>
            <w:r>
              <w:rPr>
                <w:rFonts w:ascii="Arial" w:hAnsi="Arial" w:eastAsia="Arial"/>
                <w:b/>
                <w:i w:val="0"/>
                <w:color w:val="FFFFFF"/>
                <w:sz w:val="13"/>
              </w:rPr>
              <w:t>HRS Brier</w:t>
            </w:r>
          </w:p>
        </w:tc>
        <w:tc>
          <w:tcPr>
            <w:tcW w:w="1267"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E4AAED4">
            <w:pPr>
              <w:spacing w:before="0" w:after="0" w:line="240" w:lineRule="auto"/>
              <w:jc w:val="center"/>
            </w:pPr>
            <w:r>
              <w:rPr>
                <w:rFonts w:ascii="Arial" w:hAnsi="Arial" w:eastAsia="Arial"/>
                <w:b/>
                <w:i w:val="0"/>
                <w:color w:val="FFFFFF"/>
                <w:sz w:val="13"/>
              </w:rPr>
              <w:t>Mean validation rank</w:t>
            </w:r>
          </w:p>
        </w:tc>
        <w:tc>
          <w:tcPr>
            <w:tcW w:w="388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04C3A09">
            <w:pPr>
              <w:spacing w:before="0" w:after="0" w:line="240" w:lineRule="auto"/>
              <w:jc w:val="center"/>
            </w:pPr>
            <w:r>
              <w:rPr>
                <w:rFonts w:ascii="Arial" w:hAnsi="Arial" w:eastAsia="Arial"/>
                <w:b/>
                <w:i w:val="0"/>
                <w:color w:val="FFFFFF"/>
                <w:sz w:val="13"/>
              </w:rPr>
              <w:t>Interpretation</w:t>
            </w:r>
          </w:p>
        </w:tc>
      </w:tr>
      <w:tr w14:paraId="0350B824">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C3D953E">
            <w:pPr>
              <w:spacing w:before="0" w:after="0" w:line="240" w:lineRule="auto"/>
              <w:jc w:val="left"/>
            </w:pPr>
            <w:r>
              <w:rPr>
                <w:rFonts w:ascii="Arial" w:hAnsi="Arial" w:eastAsia="Arial"/>
                <w:b w:val="0"/>
                <w:i w:val="0"/>
                <w:color w:val="1F1F1F"/>
                <w:sz w:val="13"/>
              </w:rPr>
              <w:t>Clinical</w:t>
            </w:r>
          </w:p>
        </w:tc>
        <w:tc>
          <w:tcPr>
            <w:tcW w:w="1699"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6857E5F">
            <w:pPr>
              <w:spacing w:before="0" w:after="0" w:line="240" w:lineRule="auto"/>
              <w:jc w:val="left"/>
            </w:pPr>
            <w:r>
              <w:rPr>
                <w:rFonts w:ascii="Arial" w:hAnsi="Arial" w:eastAsia="Arial"/>
                <w:b w:val="0"/>
                <w:i w:val="0"/>
                <w:color w:val="1F1F1F"/>
                <w:sz w:val="13"/>
              </w:rPr>
              <w:t>Reference</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604321D">
            <w:pPr>
              <w:spacing w:before="0" w:after="0" w:line="240" w:lineRule="auto"/>
              <w:jc w:val="center"/>
            </w:pPr>
            <w:r>
              <w:rPr>
                <w:rFonts w:ascii="Arial" w:hAnsi="Arial" w:eastAsia="Arial"/>
                <w:b w:val="0"/>
                <w:i w:val="0"/>
                <w:color w:val="1F1F1F"/>
                <w:sz w:val="13"/>
              </w:rPr>
              <w:t>0.669</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AF70FEA">
            <w:pPr>
              <w:spacing w:before="0" w:after="0" w:line="240" w:lineRule="auto"/>
              <w:jc w:val="center"/>
            </w:pPr>
            <w:r>
              <w:rPr>
                <w:rFonts w:ascii="Arial" w:hAnsi="Arial" w:eastAsia="Arial"/>
                <w:b w:val="0"/>
                <w:i w:val="0"/>
                <w:color w:val="1F1F1F"/>
                <w:sz w:val="13"/>
              </w:rPr>
              <w:t>0.056</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0DD7C88">
            <w:pPr>
              <w:spacing w:before="0" w:after="0" w:line="240" w:lineRule="auto"/>
              <w:jc w:val="center"/>
            </w:pPr>
            <w:r>
              <w:rPr>
                <w:rFonts w:ascii="Arial" w:hAnsi="Arial" w:eastAsia="Arial"/>
                <w:b w:val="0"/>
                <w:i w:val="0"/>
                <w:color w:val="1F1F1F"/>
                <w:sz w:val="13"/>
              </w:rPr>
              <w:t>0.02724</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18C4044">
            <w:pPr>
              <w:spacing w:before="0" w:after="0" w:line="240" w:lineRule="auto"/>
              <w:jc w:val="center"/>
            </w:pPr>
            <w:r>
              <w:rPr>
                <w:rFonts w:ascii="Arial" w:hAnsi="Arial" w:eastAsia="Arial"/>
                <w:b w:val="0"/>
                <w:i w:val="0"/>
                <w:color w:val="1F1F1F"/>
                <w:sz w:val="13"/>
              </w:rPr>
              <w:t>0.643</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E19F55E">
            <w:pPr>
              <w:spacing w:before="0" w:after="0" w:line="240" w:lineRule="auto"/>
              <w:jc w:val="center"/>
            </w:pPr>
            <w:r>
              <w:rPr>
                <w:rFonts w:ascii="Arial" w:hAnsi="Arial" w:eastAsia="Arial"/>
                <w:b w:val="0"/>
                <w:i w:val="0"/>
                <w:color w:val="1F1F1F"/>
                <w:sz w:val="13"/>
              </w:rPr>
              <w:t>0.056</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13DF770">
            <w:pPr>
              <w:spacing w:before="0" w:after="0" w:line="240" w:lineRule="auto"/>
              <w:jc w:val="center"/>
            </w:pPr>
            <w:r>
              <w:rPr>
                <w:rFonts w:ascii="Arial" w:hAnsi="Arial" w:eastAsia="Arial"/>
                <w:b w:val="0"/>
                <w:i w:val="0"/>
                <w:color w:val="1F1F1F"/>
                <w:sz w:val="13"/>
              </w:rPr>
              <w:t>0.03247</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A67B5B9">
            <w:pPr>
              <w:spacing w:before="0" w:after="0" w:line="240" w:lineRule="auto"/>
              <w:jc w:val="center"/>
            </w:pPr>
            <w:r>
              <w:rPr>
                <w:rFonts w:ascii="Arial" w:hAnsi="Arial" w:eastAsia="Arial"/>
                <w:b w:val="0"/>
                <w:i w:val="0"/>
                <w:color w:val="1F1F1F"/>
                <w:sz w:val="13"/>
              </w:rPr>
              <w:t>10.67</w:t>
            </w:r>
          </w:p>
        </w:tc>
        <w:tc>
          <w:tcPr>
            <w:tcW w:w="38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8170927">
            <w:pPr>
              <w:spacing w:before="0" w:after="0" w:line="240" w:lineRule="auto"/>
              <w:jc w:val="left"/>
            </w:pPr>
            <w:r>
              <w:rPr>
                <w:rFonts w:ascii="Arial" w:hAnsi="Arial" w:eastAsia="Arial"/>
                <w:b w:val="0"/>
                <w:i w:val="0"/>
                <w:color w:val="1F1F1F"/>
                <w:sz w:val="13"/>
              </w:rPr>
              <w:t>Reference model; not winner eligible</w:t>
            </w:r>
          </w:p>
        </w:tc>
      </w:tr>
      <w:tr w14:paraId="20F7BCCB">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3F5A04D">
            <w:pPr>
              <w:spacing w:before="0" w:after="0" w:line="240" w:lineRule="auto"/>
              <w:jc w:val="left"/>
            </w:pPr>
            <w:r>
              <w:rPr>
                <w:rFonts w:ascii="Arial" w:hAnsi="Arial" w:eastAsia="Arial"/>
                <w:b w:val="0"/>
                <w:i w:val="0"/>
                <w:color w:val="1F1F1F"/>
                <w:sz w:val="13"/>
              </w:rPr>
              <w:t>Clinical + TyG</w:t>
            </w:r>
          </w:p>
        </w:tc>
        <w:tc>
          <w:tcPr>
            <w:tcW w:w="1699"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ABD594B">
            <w:pPr>
              <w:spacing w:before="0" w:after="0" w:line="240" w:lineRule="auto"/>
              <w:jc w:val="left"/>
            </w:pPr>
            <w:r>
              <w:rPr>
                <w:rFonts w:ascii="Arial" w:hAnsi="Arial" w:eastAsia="Arial"/>
                <w:b w:val="0"/>
                <w:i w:val="0"/>
                <w:color w:val="1F1F1F"/>
                <w:sz w:val="13"/>
              </w:rPr>
              <w:t>Existing Benchmark</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1D4BD3B">
            <w:pPr>
              <w:spacing w:before="0" w:after="0" w:line="240" w:lineRule="auto"/>
              <w:jc w:val="center"/>
            </w:pPr>
            <w:r>
              <w:rPr>
                <w:rFonts w:ascii="Arial" w:hAnsi="Arial" w:eastAsia="Arial"/>
                <w:b w:val="0"/>
                <w:i w:val="0"/>
                <w:color w:val="1F1F1F"/>
                <w:sz w:val="13"/>
              </w:rPr>
              <w:t>0.676</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96D3527">
            <w:pPr>
              <w:spacing w:before="0" w:after="0" w:line="240" w:lineRule="auto"/>
              <w:jc w:val="center"/>
            </w:pPr>
            <w:r>
              <w:rPr>
                <w:rFonts w:ascii="Arial" w:hAnsi="Arial" w:eastAsia="Arial"/>
                <w:b w:val="0"/>
                <w:i w:val="0"/>
                <w:color w:val="1F1F1F"/>
                <w:sz w:val="13"/>
              </w:rPr>
              <w:t>0.057</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05F7BD5">
            <w:pPr>
              <w:spacing w:before="0" w:after="0" w:line="240" w:lineRule="auto"/>
              <w:jc w:val="center"/>
            </w:pPr>
            <w:r>
              <w:rPr>
                <w:rFonts w:ascii="Arial" w:hAnsi="Arial" w:eastAsia="Arial"/>
                <w:b w:val="0"/>
                <w:i w:val="0"/>
                <w:color w:val="1F1F1F"/>
                <w:sz w:val="13"/>
              </w:rPr>
              <w:t>0.02722</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60F7809">
            <w:pPr>
              <w:spacing w:before="0" w:after="0" w:line="240" w:lineRule="auto"/>
              <w:jc w:val="center"/>
            </w:pPr>
            <w:r>
              <w:rPr>
                <w:rFonts w:ascii="Arial" w:hAnsi="Arial" w:eastAsia="Arial"/>
                <w:b w:val="0"/>
                <w:i w:val="0"/>
                <w:color w:val="1F1F1F"/>
                <w:sz w:val="13"/>
              </w:rPr>
              <w:t>0.652</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D5A3F75">
            <w:pPr>
              <w:spacing w:before="0" w:after="0" w:line="240" w:lineRule="auto"/>
              <w:jc w:val="center"/>
            </w:pPr>
            <w:r>
              <w:rPr>
                <w:rFonts w:ascii="Arial" w:hAnsi="Arial" w:eastAsia="Arial"/>
                <w:b w:val="0"/>
                <w:i w:val="0"/>
                <w:color w:val="1F1F1F"/>
                <w:sz w:val="13"/>
              </w:rPr>
              <w:t>0.058</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B1ED29C">
            <w:pPr>
              <w:spacing w:before="0" w:after="0" w:line="240" w:lineRule="auto"/>
              <w:jc w:val="center"/>
            </w:pPr>
            <w:r>
              <w:rPr>
                <w:rFonts w:ascii="Arial" w:hAnsi="Arial" w:eastAsia="Arial"/>
                <w:b w:val="0"/>
                <w:i w:val="0"/>
                <w:color w:val="1F1F1F"/>
                <w:sz w:val="13"/>
              </w:rPr>
              <w:t>0.03242</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516A98E">
            <w:pPr>
              <w:spacing w:before="0" w:after="0" w:line="240" w:lineRule="auto"/>
              <w:jc w:val="center"/>
            </w:pPr>
            <w:r>
              <w:rPr>
                <w:rFonts w:ascii="Arial" w:hAnsi="Arial" w:eastAsia="Arial"/>
                <w:b w:val="0"/>
                <w:i w:val="0"/>
                <w:color w:val="1F1F1F"/>
                <w:sz w:val="13"/>
              </w:rPr>
              <w:t>5.67</w:t>
            </w:r>
          </w:p>
        </w:tc>
        <w:tc>
          <w:tcPr>
            <w:tcW w:w="38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3A544F4">
            <w:pPr>
              <w:spacing w:before="0" w:after="0" w:line="240" w:lineRule="auto"/>
              <w:jc w:val="left"/>
            </w:pPr>
            <w:r>
              <w:rPr>
                <w:rFonts w:ascii="Arial" w:hAnsi="Arial" w:eastAsia="Arial"/>
                <w:b w:val="0"/>
                <w:i w:val="0"/>
                <w:color w:val="1F1F1F"/>
                <w:sz w:val="13"/>
              </w:rPr>
              <w:t>Existing-indicator benchmark; hierarchy retained</w:t>
            </w:r>
          </w:p>
        </w:tc>
      </w:tr>
      <w:tr w14:paraId="2AAADC3E">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97A082D">
            <w:pPr>
              <w:spacing w:before="0" w:after="0" w:line="240" w:lineRule="auto"/>
              <w:jc w:val="left"/>
            </w:pPr>
            <w:r>
              <w:rPr>
                <w:rFonts w:ascii="Arial" w:hAnsi="Arial" w:eastAsia="Arial"/>
                <w:b w:val="0"/>
                <w:i w:val="0"/>
                <w:color w:val="1F1F1F"/>
                <w:sz w:val="13"/>
              </w:rPr>
              <w:t>Clinical + AIP</w:t>
            </w:r>
          </w:p>
        </w:tc>
        <w:tc>
          <w:tcPr>
            <w:tcW w:w="1699"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CCDF891">
            <w:pPr>
              <w:spacing w:before="0" w:after="0" w:line="240" w:lineRule="auto"/>
              <w:jc w:val="left"/>
            </w:pPr>
            <w:r>
              <w:rPr>
                <w:rFonts w:ascii="Arial" w:hAnsi="Arial" w:eastAsia="Arial"/>
                <w:b w:val="0"/>
                <w:i w:val="0"/>
                <w:color w:val="1F1F1F"/>
                <w:sz w:val="13"/>
              </w:rPr>
              <w:t>Existing Benchmark</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F53308D">
            <w:pPr>
              <w:spacing w:before="0" w:after="0" w:line="240" w:lineRule="auto"/>
              <w:jc w:val="center"/>
            </w:pPr>
            <w:r>
              <w:rPr>
                <w:rFonts w:ascii="Arial" w:hAnsi="Arial" w:eastAsia="Arial"/>
                <w:b w:val="0"/>
                <w:i w:val="0"/>
                <w:color w:val="1F1F1F"/>
                <w:sz w:val="13"/>
              </w:rPr>
              <w:t>0.678</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B180913">
            <w:pPr>
              <w:spacing w:before="0" w:after="0" w:line="240" w:lineRule="auto"/>
              <w:jc w:val="center"/>
            </w:pPr>
            <w:r>
              <w:rPr>
                <w:rFonts w:ascii="Arial" w:hAnsi="Arial" w:eastAsia="Arial"/>
                <w:b w:val="0"/>
                <w:i w:val="0"/>
                <w:color w:val="1F1F1F"/>
                <w:sz w:val="13"/>
              </w:rPr>
              <w:t>0.062</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5849100">
            <w:pPr>
              <w:spacing w:before="0" w:after="0" w:line="240" w:lineRule="auto"/>
              <w:jc w:val="center"/>
            </w:pPr>
            <w:r>
              <w:rPr>
                <w:rFonts w:ascii="Arial" w:hAnsi="Arial" w:eastAsia="Arial"/>
                <w:b w:val="0"/>
                <w:i w:val="0"/>
                <w:color w:val="1F1F1F"/>
                <w:sz w:val="13"/>
              </w:rPr>
              <w:t>0.02722</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3F09C90">
            <w:pPr>
              <w:spacing w:before="0" w:after="0" w:line="240" w:lineRule="auto"/>
              <w:jc w:val="center"/>
            </w:pPr>
            <w:r>
              <w:rPr>
                <w:rFonts w:ascii="Arial" w:hAnsi="Arial" w:eastAsia="Arial"/>
                <w:b w:val="0"/>
                <w:i w:val="0"/>
                <w:color w:val="1F1F1F"/>
                <w:sz w:val="13"/>
              </w:rPr>
              <w:t>0.650</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CFCA774">
            <w:pPr>
              <w:spacing w:before="0" w:after="0" w:line="240" w:lineRule="auto"/>
              <w:jc w:val="center"/>
            </w:pPr>
            <w:r>
              <w:rPr>
                <w:rFonts w:ascii="Arial" w:hAnsi="Arial" w:eastAsia="Arial"/>
                <w:b w:val="0"/>
                <w:i w:val="0"/>
                <w:color w:val="1F1F1F"/>
                <w:sz w:val="13"/>
              </w:rPr>
              <w:t>0.057</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63791C6">
            <w:pPr>
              <w:spacing w:before="0" w:after="0" w:line="240" w:lineRule="auto"/>
              <w:jc w:val="center"/>
            </w:pPr>
            <w:r>
              <w:rPr>
                <w:rFonts w:ascii="Arial" w:hAnsi="Arial" w:eastAsia="Arial"/>
                <w:b w:val="0"/>
                <w:i w:val="0"/>
                <w:color w:val="1F1F1F"/>
                <w:sz w:val="13"/>
              </w:rPr>
              <w:t>0.03245</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D971B9C">
            <w:pPr>
              <w:spacing w:before="0" w:after="0" w:line="240" w:lineRule="auto"/>
              <w:jc w:val="center"/>
            </w:pPr>
            <w:r>
              <w:rPr>
                <w:rFonts w:ascii="Arial" w:hAnsi="Arial" w:eastAsia="Arial"/>
                <w:b w:val="0"/>
                <w:i w:val="0"/>
                <w:color w:val="1F1F1F"/>
                <w:sz w:val="13"/>
              </w:rPr>
              <w:t>4.00</w:t>
            </w:r>
          </w:p>
        </w:tc>
        <w:tc>
          <w:tcPr>
            <w:tcW w:w="38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3247D1E">
            <w:pPr>
              <w:spacing w:before="0" w:after="0" w:line="240" w:lineRule="auto"/>
              <w:jc w:val="left"/>
            </w:pPr>
            <w:r>
              <w:rPr>
                <w:rFonts w:ascii="Arial" w:hAnsi="Arial" w:eastAsia="Arial"/>
                <w:b w:val="0"/>
                <w:i w:val="0"/>
                <w:color w:val="1F1F1F"/>
                <w:sz w:val="13"/>
              </w:rPr>
              <w:t>Existing-indicator benchmark; hierarchy retained</w:t>
            </w:r>
          </w:p>
        </w:tc>
      </w:tr>
      <w:tr w14:paraId="413EBA12">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6CF039A">
            <w:pPr>
              <w:spacing w:before="0" w:after="0" w:line="240" w:lineRule="auto"/>
              <w:jc w:val="left"/>
            </w:pPr>
            <w:r>
              <w:rPr>
                <w:rFonts w:ascii="Arial" w:hAnsi="Arial" w:eastAsia="Arial"/>
                <w:b w:val="0"/>
                <w:i w:val="0"/>
                <w:color w:val="1F1F1F"/>
                <w:sz w:val="13"/>
              </w:rPr>
              <w:t>Clinical + TG/HDL-C</w:t>
            </w:r>
          </w:p>
        </w:tc>
        <w:tc>
          <w:tcPr>
            <w:tcW w:w="1699"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697855A">
            <w:pPr>
              <w:spacing w:before="0" w:after="0" w:line="240" w:lineRule="auto"/>
              <w:jc w:val="left"/>
            </w:pPr>
            <w:r>
              <w:rPr>
                <w:rFonts w:ascii="Arial" w:hAnsi="Arial" w:eastAsia="Arial"/>
                <w:b w:val="0"/>
                <w:i w:val="0"/>
                <w:color w:val="1F1F1F"/>
                <w:sz w:val="13"/>
              </w:rPr>
              <w:t>Existing Benchmark</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B261C2D">
            <w:pPr>
              <w:spacing w:before="0" w:after="0" w:line="240" w:lineRule="auto"/>
              <w:jc w:val="center"/>
            </w:pPr>
            <w:r>
              <w:rPr>
                <w:rFonts w:ascii="Arial" w:hAnsi="Arial" w:eastAsia="Arial"/>
                <w:b w:val="0"/>
                <w:i w:val="0"/>
                <w:color w:val="1F1F1F"/>
                <w:sz w:val="13"/>
              </w:rPr>
              <w:t>0.677</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CBD577D">
            <w:pPr>
              <w:spacing w:before="0" w:after="0" w:line="240" w:lineRule="auto"/>
              <w:jc w:val="center"/>
            </w:pPr>
            <w:r>
              <w:rPr>
                <w:rFonts w:ascii="Arial" w:hAnsi="Arial" w:eastAsia="Arial"/>
                <w:b w:val="0"/>
                <w:i w:val="0"/>
                <w:color w:val="1F1F1F"/>
                <w:sz w:val="13"/>
              </w:rPr>
              <w:t>0.061</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8A5B4B4">
            <w:pPr>
              <w:spacing w:before="0" w:after="0" w:line="240" w:lineRule="auto"/>
              <w:jc w:val="center"/>
            </w:pPr>
            <w:r>
              <w:rPr>
                <w:rFonts w:ascii="Arial" w:hAnsi="Arial" w:eastAsia="Arial"/>
                <w:b w:val="0"/>
                <w:i w:val="0"/>
                <w:color w:val="1F1F1F"/>
                <w:sz w:val="13"/>
              </w:rPr>
              <w:t>0.02722</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485ADC7">
            <w:pPr>
              <w:spacing w:before="0" w:after="0" w:line="240" w:lineRule="auto"/>
              <w:jc w:val="center"/>
            </w:pPr>
            <w:r>
              <w:rPr>
                <w:rFonts w:ascii="Arial" w:hAnsi="Arial" w:eastAsia="Arial"/>
                <w:b w:val="0"/>
                <w:i w:val="0"/>
                <w:color w:val="1F1F1F"/>
                <w:sz w:val="13"/>
              </w:rPr>
              <w:t>0.652</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99438CE">
            <w:pPr>
              <w:spacing w:before="0" w:after="0" w:line="240" w:lineRule="auto"/>
              <w:jc w:val="center"/>
            </w:pPr>
            <w:r>
              <w:rPr>
                <w:rFonts w:ascii="Arial" w:hAnsi="Arial" w:eastAsia="Arial"/>
                <w:b w:val="0"/>
                <w:i w:val="0"/>
                <w:color w:val="1F1F1F"/>
                <w:sz w:val="13"/>
              </w:rPr>
              <w:t>0.055</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A2523EA">
            <w:pPr>
              <w:spacing w:before="0" w:after="0" w:line="240" w:lineRule="auto"/>
              <w:jc w:val="center"/>
            </w:pPr>
            <w:r>
              <w:rPr>
                <w:rFonts w:ascii="Arial" w:hAnsi="Arial" w:eastAsia="Arial"/>
                <w:b w:val="0"/>
                <w:i w:val="0"/>
                <w:color w:val="1F1F1F"/>
                <w:sz w:val="13"/>
              </w:rPr>
              <w:t>0.03280</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47BEC39">
            <w:pPr>
              <w:spacing w:before="0" w:after="0" w:line="240" w:lineRule="auto"/>
              <w:jc w:val="center"/>
            </w:pPr>
            <w:r>
              <w:rPr>
                <w:rFonts w:ascii="Arial" w:hAnsi="Arial" w:eastAsia="Arial"/>
                <w:b w:val="0"/>
                <w:i w:val="0"/>
                <w:color w:val="1F1F1F"/>
                <w:sz w:val="13"/>
              </w:rPr>
              <w:t>6.00</w:t>
            </w:r>
          </w:p>
        </w:tc>
        <w:tc>
          <w:tcPr>
            <w:tcW w:w="38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D288B3F">
            <w:pPr>
              <w:spacing w:before="0" w:after="0" w:line="240" w:lineRule="auto"/>
              <w:jc w:val="left"/>
            </w:pPr>
            <w:r>
              <w:rPr>
                <w:rFonts w:ascii="Arial" w:hAnsi="Arial" w:eastAsia="Arial"/>
                <w:b w:val="0"/>
                <w:i w:val="0"/>
                <w:color w:val="1F1F1F"/>
                <w:sz w:val="13"/>
              </w:rPr>
              <w:t>Existing-indicator benchmark; hierarchy retained</w:t>
            </w:r>
          </w:p>
        </w:tc>
      </w:tr>
      <w:tr w14:paraId="78DBF76C">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71CBD24">
            <w:pPr>
              <w:spacing w:before="0" w:after="0" w:line="240" w:lineRule="auto"/>
              <w:jc w:val="left"/>
            </w:pPr>
            <w:r>
              <w:rPr>
                <w:rFonts w:ascii="Arial" w:hAnsi="Arial" w:eastAsia="Arial"/>
                <w:b w:val="0"/>
                <w:i w:val="0"/>
                <w:color w:val="1F1F1F"/>
                <w:sz w:val="13"/>
              </w:rPr>
              <w:t>Clinical + Core-3 Equal</w:t>
            </w:r>
          </w:p>
        </w:tc>
        <w:tc>
          <w:tcPr>
            <w:tcW w:w="1699"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4BD1050">
            <w:pPr>
              <w:spacing w:before="0" w:after="0" w:line="240" w:lineRule="auto"/>
              <w:jc w:val="left"/>
            </w:pPr>
            <w:r>
              <w:rPr>
                <w:rFonts w:ascii="Arial" w:hAnsi="Arial" w:eastAsia="Arial"/>
                <w:b w:val="0"/>
                <w:i w:val="0"/>
                <w:color w:val="1F1F1F"/>
                <w:sz w:val="13"/>
              </w:rPr>
              <w:t>Primary New Score</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80702B0">
            <w:pPr>
              <w:spacing w:before="0" w:after="0" w:line="240" w:lineRule="auto"/>
              <w:jc w:val="center"/>
            </w:pPr>
            <w:r>
              <w:rPr>
                <w:rFonts w:ascii="Arial" w:hAnsi="Arial" w:eastAsia="Arial"/>
                <w:b w:val="0"/>
                <w:i w:val="0"/>
                <w:color w:val="1F1F1F"/>
                <w:sz w:val="13"/>
              </w:rPr>
              <w:t>0.674</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863CEDA">
            <w:pPr>
              <w:spacing w:before="0" w:after="0" w:line="240" w:lineRule="auto"/>
              <w:jc w:val="center"/>
            </w:pPr>
            <w:r>
              <w:rPr>
                <w:rFonts w:ascii="Arial" w:hAnsi="Arial" w:eastAsia="Arial"/>
                <w:b w:val="0"/>
                <w:i w:val="0"/>
                <w:color w:val="1F1F1F"/>
                <w:sz w:val="13"/>
              </w:rPr>
              <w:t>0.059</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50CCC14">
            <w:pPr>
              <w:spacing w:before="0" w:after="0" w:line="240" w:lineRule="auto"/>
              <w:jc w:val="center"/>
            </w:pPr>
            <w:r>
              <w:rPr>
                <w:rFonts w:ascii="Arial" w:hAnsi="Arial" w:eastAsia="Arial"/>
                <w:b w:val="0"/>
                <w:i w:val="0"/>
                <w:color w:val="1F1F1F"/>
                <w:sz w:val="13"/>
              </w:rPr>
              <w:t>0.02723</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03252BA">
            <w:pPr>
              <w:spacing w:before="0" w:after="0" w:line="240" w:lineRule="auto"/>
              <w:jc w:val="center"/>
            </w:pPr>
            <w:r>
              <w:rPr>
                <w:rFonts w:ascii="Arial" w:hAnsi="Arial" w:eastAsia="Arial"/>
                <w:b w:val="0"/>
                <w:i w:val="0"/>
                <w:color w:val="1F1F1F"/>
                <w:sz w:val="13"/>
              </w:rPr>
              <w:t>0.658</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513AFFE">
            <w:pPr>
              <w:spacing w:before="0" w:after="0" w:line="240" w:lineRule="auto"/>
              <w:jc w:val="center"/>
            </w:pPr>
            <w:r>
              <w:rPr>
                <w:rFonts w:ascii="Arial" w:hAnsi="Arial" w:eastAsia="Arial"/>
                <w:b w:val="0"/>
                <w:i w:val="0"/>
                <w:color w:val="1F1F1F"/>
                <w:sz w:val="13"/>
              </w:rPr>
              <w:t>0.060</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113D077">
            <w:pPr>
              <w:spacing w:before="0" w:after="0" w:line="240" w:lineRule="auto"/>
              <w:jc w:val="center"/>
            </w:pPr>
            <w:r>
              <w:rPr>
                <w:rFonts w:ascii="Arial" w:hAnsi="Arial" w:eastAsia="Arial"/>
                <w:b w:val="0"/>
                <w:i w:val="0"/>
                <w:color w:val="1F1F1F"/>
                <w:sz w:val="13"/>
              </w:rPr>
              <w:t>0.03243</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56255D5">
            <w:pPr>
              <w:spacing w:before="0" w:after="0" w:line="240" w:lineRule="auto"/>
              <w:jc w:val="center"/>
            </w:pPr>
            <w:r>
              <w:rPr>
                <w:rFonts w:ascii="Arial" w:hAnsi="Arial" w:eastAsia="Arial"/>
                <w:b w:val="0"/>
                <w:i w:val="0"/>
                <w:color w:val="1F1F1F"/>
                <w:sz w:val="13"/>
              </w:rPr>
              <w:t>4.83</w:t>
            </w:r>
          </w:p>
        </w:tc>
        <w:tc>
          <w:tcPr>
            <w:tcW w:w="38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771CEA2">
            <w:pPr>
              <w:spacing w:before="0" w:after="0" w:line="240" w:lineRule="auto"/>
              <w:jc w:val="left"/>
            </w:pPr>
            <w:r>
              <w:rPr>
                <w:rFonts w:ascii="Arial" w:hAnsi="Arial" w:eastAsia="Arial"/>
                <w:b w:val="0"/>
                <w:i w:val="0"/>
                <w:color w:val="1F1F1F"/>
                <w:sz w:val="13"/>
              </w:rPr>
              <w:t>Transparent supportive compression score; not a validated replacement</w:t>
            </w:r>
          </w:p>
        </w:tc>
      </w:tr>
      <w:tr w14:paraId="0A36E9E1">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D6A148C">
            <w:pPr>
              <w:spacing w:before="0" w:after="0" w:line="240" w:lineRule="auto"/>
              <w:jc w:val="left"/>
            </w:pPr>
            <w:r>
              <w:rPr>
                <w:rFonts w:ascii="Arial" w:hAnsi="Arial" w:eastAsia="Arial"/>
                <w:b w:val="0"/>
                <w:i w:val="0"/>
                <w:color w:val="1F1F1F"/>
                <w:sz w:val="13"/>
              </w:rPr>
              <w:t>Clinical + Extended-4 Equal</w:t>
            </w:r>
          </w:p>
        </w:tc>
        <w:tc>
          <w:tcPr>
            <w:tcW w:w="1699"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6FD016B">
            <w:pPr>
              <w:spacing w:before="0" w:after="0" w:line="240" w:lineRule="auto"/>
              <w:jc w:val="left"/>
            </w:pPr>
            <w:r>
              <w:rPr>
                <w:rFonts w:ascii="Arial" w:hAnsi="Arial" w:eastAsia="Arial"/>
                <w:b w:val="0"/>
                <w:i w:val="0"/>
                <w:color w:val="1F1F1F"/>
                <w:sz w:val="13"/>
              </w:rPr>
              <w:t>Key Extension</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59F7181">
            <w:pPr>
              <w:spacing w:before="0" w:after="0" w:line="240" w:lineRule="auto"/>
              <w:jc w:val="center"/>
            </w:pPr>
            <w:r>
              <w:rPr>
                <w:rFonts w:ascii="Arial" w:hAnsi="Arial" w:eastAsia="Arial"/>
                <w:b w:val="0"/>
                <w:i w:val="0"/>
                <w:color w:val="1F1F1F"/>
                <w:sz w:val="13"/>
              </w:rPr>
              <w:t>0.673</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E573DB6">
            <w:pPr>
              <w:spacing w:before="0" w:after="0" w:line="240" w:lineRule="auto"/>
              <w:jc w:val="center"/>
            </w:pPr>
            <w:r>
              <w:rPr>
                <w:rFonts w:ascii="Arial" w:hAnsi="Arial" w:eastAsia="Arial"/>
                <w:b w:val="0"/>
                <w:i w:val="0"/>
                <w:color w:val="1F1F1F"/>
                <w:sz w:val="13"/>
              </w:rPr>
              <w:t>0.059</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9703AA1">
            <w:pPr>
              <w:spacing w:before="0" w:after="0" w:line="240" w:lineRule="auto"/>
              <w:jc w:val="center"/>
            </w:pPr>
            <w:r>
              <w:rPr>
                <w:rFonts w:ascii="Arial" w:hAnsi="Arial" w:eastAsia="Arial"/>
                <w:b w:val="0"/>
                <w:i w:val="0"/>
                <w:color w:val="1F1F1F"/>
                <w:sz w:val="13"/>
              </w:rPr>
              <w:t>0.02724</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AE527E4">
            <w:pPr>
              <w:spacing w:before="0" w:after="0" w:line="240" w:lineRule="auto"/>
              <w:jc w:val="center"/>
            </w:pPr>
            <w:r>
              <w:rPr>
                <w:rFonts w:ascii="Arial" w:hAnsi="Arial" w:eastAsia="Arial"/>
                <w:b w:val="0"/>
                <w:i w:val="0"/>
                <w:color w:val="1F1F1F"/>
                <w:sz w:val="13"/>
              </w:rPr>
              <w:t>0.659</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387927D">
            <w:pPr>
              <w:spacing w:before="0" w:after="0" w:line="240" w:lineRule="auto"/>
              <w:jc w:val="center"/>
            </w:pPr>
            <w:r>
              <w:rPr>
                <w:rFonts w:ascii="Arial" w:hAnsi="Arial" w:eastAsia="Arial"/>
                <w:b w:val="0"/>
                <w:i w:val="0"/>
                <w:color w:val="1F1F1F"/>
                <w:sz w:val="13"/>
              </w:rPr>
              <w:t>0.061</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36A9282">
            <w:pPr>
              <w:spacing w:before="0" w:after="0" w:line="240" w:lineRule="auto"/>
              <w:jc w:val="center"/>
            </w:pPr>
            <w:r>
              <w:rPr>
                <w:rFonts w:ascii="Arial" w:hAnsi="Arial" w:eastAsia="Arial"/>
                <w:b w:val="0"/>
                <w:i w:val="0"/>
                <w:color w:val="1F1F1F"/>
                <w:sz w:val="13"/>
              </w:rPr>
              <w:t>0.03241</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23BDFEA">
            <w:pPr>
              <w:spacing w:before="0" w:after="0" w:line="240" w:lineRule="auto"/>
              <w:jc w:val="center"/>
            </w:pPr>
            <w:r>
              <w:rPr>
                <w:rFonts w:ascii="Arial" w:hAnsi="Arial" w:eastAsia="Arial"/>
                <w:b w:val="0"/>
                <w:i w:val="0"/>
                <w:color w:val="1F1F1F"/>
                <w:sz w:val="13"/>
              </w:rPr>
              <w:t>4.67</w:t>
            </w:r>
          </w:p>
        </w:tc>
        <w:tc>
          <w:tcPr>
            <w:tcW w:w="38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AD78D37">
            <w:pPr>
              <w:spacing w:before="0" w:after="0" w:line="240" w:lineRule="auto"/>
              <w:jc w:val="left"/>
            </w:pPr>
            <w:r>
              <w:rPr>
                <w:rFonts w:ascii="Arial" w:hAnsi="Arial" w:eastAsia="Arial"/>
                <w:b w:val="0"/>
                <w:i w:val="0"/>
                <w:color w:val="1F1F1F"/>
                <w:sz w:val="13"/>
              </w:rPr>
              <w:t>Extension did not meet promotion criterion</w:t>
            </w:r>
          </w:p>
        </w:tc>
      </w:tr>
      <w:tr w14:paraId="21D22F25">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5B69FB6">
            <w:pPr>
              <w:spacing w:before="0" w:after="0" w:line="240" w:lineRule="auto"/>
              <w:jc w:val="left"/>
            </w:pPr>
            <w:r>
              <w:rPr>
                <w:rFonts w:ascii="Arial" w:hAnsi="Arial" w:eastAsia="Arial"/>
                <w:b w:val="0"/>
                <w:i w:val="0"/>
                <w:color w:val="1F1F1F"/>
                <w:sz w:val="13"/>
              </w:rPr>
              <w:t>Clinical + Core-3 PCA</w:t>
            </w:r>
          </w:p>
        </w:tc>
        <w:tc>
          <w:tcPr>
            <w:tcW w:w="1699"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691FD23">
            <w:pPr>
              <w:spacing w:before="0" w:after="0" w:line="240" w:lineRule="auto"/>
              <w:jc w:val="left"/>
            </w:pPr>
            <w:r>
              <w:rPr>
                <w:rFonts w:ascii="Arial" w:hAnsi="Arial" w:eastAsia="Arial"/>
                <w:b w:val="0"/>
                <w:i w:val="0"/>
                <w:color w:val="1F1F1F"/>
                <w:sz w:val="13"/>
              </w:rPr>
              <w:t>Supportive</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E824425">
            <w:pPr>
              <w:spacing w:before="0" w:after="0" w:line="240" w:lineRule="auto"/>
              <w:jc w:val="center"/>
            </w:pPr>
            <w:r>
              <w:rPr>
                <w:rFonts w:ascii="Arial" w:hAnsi="Arial" w:eastAsia="Arial"/>
                <w:b w:val="0"/>
                <w:i w:val="0"/>
                <w:color w:val="1F1F1F"/>
                <w:sz w:val="13"/>
              </w:rPr>
              <w:t>0.677</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232C4FC">
            <w:pPr>
              <w:spacing w:before="0" w:after="0" w:line="240" w:lineRule="auto"/>
              <w:jc w:val="center"/>
            </w:pPr>
            <w:r>
              <w:rPr>
                <w:rFonts w:ascii="Arial" w:hAnsi="Arial" w:eastAsia="Arial"/>
                <w:b w:val="0"/>
                <w:i w:val="0"/>
                <w:color w:val="1F1F1F"/>
                <w:sz w:val="13"/>
              </w:rPr>
              <w:t>0.061</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8CAA303">
            <w:pPr>
              <w:spacing w:before="0" w:after="0" w:line="240" w:lineRule="auto"/>
              <w:jc w:val="center"/>
            </w:pPr>
            <w:r>
              <w:rPr>
                <w:rFonts w:ascii="Arial" w:hAnsi="Arial" w:eastAsia="Arial"/>
                <w:b w:val="0"/>
                <w:i w:val="0"/>
                <w:color w:val="1F1F1F"/>
                <w:sz w:val="13"/>
              </w:rPr>
              <w:t>0.02722</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49BEB6A">
            <w:pPr>
              <w:spacing w:before="0" w:after="0" w:line="240" w:lineRule="auto"/>
              <w:jc w:val="center"/>
            </w:pPr>
            <w:r>
              <w:rPr>
                <w:rFonts w:ascii="Arial" w:hAnsi="Arial" w:eastAsia="Arial"/>
                <w:b w:val="0"/>
                <w:i w:val="0"/>
                <w:color w:val="1F1F1F"/>
                <w:sz w:val="13"/>
              </w:rPr>
              <w:t>0.656</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13BCA08">
            <w:pPr>
              <w:spacing w:before="0" w:after="0" w:line="240" w:lineRule="auto"/>
              <w:jc w:val="center"/>
            </w:pPr>
            <w:r>
              <w:rPr>
                <w:rFonts w:ascii="Arial" w:hAnsi="Arial" w:eastAsia="Arial"/>
                <w:b w:val="0"/>
                <w:i w:val="0"/>
                <w:color w:val="1F1F1F"/>
                <w:sz w:val="13"/>
              </w:rPr>
              <w:t>0.059</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E105887">
            <w:pPr>
              <w:spacing w:before="0" w:after="0" w:line="240" w:lineRule="auto"/>
              <w:jc w:val="center"/>
            </w:pPr>
            <w:r>
              <w:rPr>
                <w:rFonts w:ascii="Arial" w:hAnsi="Arial" w:eastAsia="Arial"/>
                <w:b w:val="0"/>
                <w:i w:val="0"/>
                <w:color w:val="1F1F1F"/>
                <w:sz w:val="13"/>
              </w:rPr>
              <w:t>0.03244</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7436BAA">
            <w:pPr>
              <w:spacing w:before="0" w:after="0" w:line="240" w:lineRule="auto"/>
              <w:jc w:val="center"/>
            </w:pPr>
            <w:r>
              <w:rPr>
                <w:rFonts w:ascii="Arial" w:hAnsi="Arial" w:eastAsia="Arial"/>
                <w:b w:val="0"/>
                <w:i w:val="0"/>
                <w:color w:val="1F1F1F"/>
                <w:sz w:val="13"/>
              </w:rPr>
              <w:t>3.83</w:t>
            </w:r>
          </w:p>
        </w:tc>
        <w:tc>
          <w:tcPr>
            <w:tcW w:w="38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9048136">
            <w:pPr>
              <w:spacing w:before="0" w:after="0" w:line="240" w:lineRule="auto"/>
              <w:jc w:val="left"/>
            </w:pPr>
            <w:r>
              <w:rPr>
                <w:rFonts w:ascii="Arial" w:hAnsi="Arial" w:eastAsia="Arial"/>
                <w:b w:val="0"/>
                <w:i w:val="0"/>
                <w:color w:val="1F1F1F"/>
                <w:sz w:val="13"/>
              </w:rPr>
              <w:t>Supportive data-driven score; descriptive only</w:t>
            </w:r>
          </w:p>
        </w:tc>
      </w:tr>
      <w:tr w14:paraId="7C82D153">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EACF462">
            <w:pPr>
              <w:spacing w:before="0" w:after="0" w:line="240" w:lineRule="auto"/>
              <w:jc w:val="left"/>
            </w:pPr>
            <w:r>
              <w:rPr>
                <w:rFonts w:ascii="Arial" w:hAnsi="Arial" w:eastAsia="Arial"/>
                <w:b w:val="0"/>
                <w:i w:val="0"/>
                <w:color w:val="1F1F1F"/>
                <w:sz w:val="13"/>
              </w:rPr>
              <w:t>Clinical + Extended-4 PCA</w:t>
            </w:r>
          </w:p>
        </w:tc>
        <w:tc>
          <w:tcPr>
            <w:tcW w:w="1699"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A61E6D2">
            <w:pPr>
              <w:spacing w:before="0" w:after="0" w:line="240" w:lineRule="auto"/>
              <w:jc w:val="left"/>
            </w:pPr>
            <w:r>
              <w:rPr>
                <w:rFonts w:ascii="Arial" w:hAnsi="Arial" w:eastAsia="Arial"/>
                <w:b w:val="0"/>
                <w:i w:val="0"/>
                <w:color w:val="1F1F1F"/>
                <w:sz w:val="13"/>
              </w:rPr>
              <w:t>Supportive</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C674E57">
            <w:pPr>
              <w:spacing w:before="0" w:after="0" w:line="240" w:lineRule="auto"/>
              <w:jc w:val="center"/>
            </w:pPr>
            <w:r>
              <w:rPr>
                <w:rFonts w:ascii="Arial" w:hAnsi="Arial" w:eastAsia="Arial"/>
                <w:b w:val="0"/>
                <w:i w:val="0"/>
                <w:color w:val="1F1F1F"/>
                <w:sz w:val="13"/>
              </w:rPr>
              <w:t>0.676</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0C60D31">
            <w:pPr>
              <w:spacing w:before="0" w:after="0" w:line="240" w:lineRule="auto"/>
              <w:jc w:val="center"/>
            </w:pPr>
            <w:r>
              <w:rPr>
                <w:rFonts w:ascii="Arial" w:hAnsi="Arial" w:eastAsia="Arial"/>
                <w:b w:val="0"/>
                <w:i w:val="0"/>
                <w:color w:val="1F1F1F"/>
                <w:sz w:val="13"/>
              </w:rPr>
              <w:t>0.058</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BB66930">
            <w:pPr>
              <w:spacing w:before="0" w:after="0" w:line="240" w:lineRule="auto"/>
              <w:jc w:val="center"/>
            </w:pPr>
            <w:r>
              <w:rPr>
                <w:rFonts w:ascii="Arial" w:hAnsi="Arial" w:eastAsia="Arial"/>
                <w:b w:val="0"/>
                <w:i w:val="0"/>
                <w:color w:val="1F1F1F"/>
                <w:sz w:val="13"/>
              </w:rPr>
              <w:t>0.02723</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E719B12">
            <w:pPr>
              <w:spacing w:before="0" w:after="0" w:line="240" w:lineRule="auto"/>
              <w:jc w:val="center"/>
            </w:pPr>
            <w:r>
              <w:rPr>
                <w:rFonts w:ascii="Arial" w:hAnsi="Arial" w:eastAsia="Arial"/>
                <w:b w:val="0"/>
                <w:i w:val="0"/>
                <w:color w:val="1F1F1F"/>
                <w:sz w:val="13"/>
              </w:rPr>
              <w:t>0.657</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60E9C05">
            <w:pPr>
              <w:spacing w:before="0" w:after="0" w:line="240" w:lineRule="auto"/>
              <w:jc w:val="center"/>
            </w:pPr>
            <w:r>
              <w:rPr>
                <w:rFonts w:ascii="Arial" w:hAnsi="Arial" w:eastAsia="Arial"/>
                <w:b w:val="0"/>
                <w:i w:val="0"/>
                <w:color w:val="1F1F1F"/>
                <w:sz w:val="13"/>
              </w:rPr>
              <w:t>0.058</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EE8FE53">
            <w:pPr>
              <w:spacing w:before="0" w:after="0" w:line="240" w:lineRule="auto"/>
              <w:jc w:val="center"/>
            </w:pPr>
            <w:r>
              <w:rPr>
                <w:rFonts w:ascii="Arial" w:hAnsi="Arial" w:eastAsia="Arial"/>
                <w:b w:val="0"/>
                <w:i w:val="0"/>
                <w:color w:val="1F1F1F"/>
                <w:sz w:val="13"/>
              </w:rPr>
              <w:t>0.03242</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DDBBFB8">
            <w:pPr>
              <w:spacing w:before="0" w:after="0" w:line="240" w:lineRule="auto"/>
              <w:jc w:val="center"/>
            </w:pPr>
            <w:r>
              <w:rPr>
                <w:rFonts w:ascii="Arial" w:hAnsi="Arial" w:eastAsia="Arial"/>
                <w:b w:val="0"/>
                <w:i w:val="0"/>
                <w:color w:val="1F1F1F"/>
                <w:sz w:val="13"/>
              </w:rPr>
              <w:t>5.17</w:t>
            </w:r>
          </w:p>
        </w:tc>
        <w:tc>
          <w:tcPr>
            <w:tcW w:w="38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9265A7A">
            <w:pPr>
              <w:spacing w:before="0" w:after="0" w:line="240" w:lineRule="auto"/>
              <w:jc w:val="left"/>
            </w:pPr>
            <w:r>
              <w:rPr>
                <w:rFonts w:ascii="Arial" w:hAnsi="Arial" w:eastAsia="Arial"/>
                <w:b w:val="0"/>
                <w:i w:val="0"/>
                <w:color w:val="1F1F1F"/>
                <w:sz w:val="13"/>
              </w:rPr>
              <w:t>Supportive data-driven score; descriptive only</w:t>
            </w:r>
          </w:p>
        </w:tc>
      </w:tr>
      <w:tr w14:paraId="2C83A140">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4134BE1">
            <w:pPr>
              <w:spacing w:before="0" w:after="0" w:line="240" w:lineRule="auto"/>
              <w:jc w:val="left"/>
            </w:pPr>
            <w:r>
              <w:rPr>
                <w:rFonts w:ascii="Arial" w:hAnsi="Arial" w:eastAsia="Arial"/>
                <w:b w:val="0"/>
                <w:i w:val="0"/>
                <w:color w:val="1F1F1F"/>
                <w:sz w:val="13"/>
              </w:rPr>
              <w:t>Core-3 conditional Ridge</w:t>
            </w:r>
          </w:p>
        </w:tc>
        <w:tc>
          <w:tcPr>
            <w:tcW w:w="1699"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1050AF0">
            <w:pPr>
              <w:spacing w:before="0" w:after="0" w:line="240" w:lineRule="auto"/>
              <w:jc w:val="left"/>
            </w:pPr>
            <w:r>
              <w:rPr>
                <w:rFonts w:ascii="Arial" w:hAnsi="Arial" w:eastAsia="Arial"/>
                <w:b w:val="0"/>
                <w:i w:val="0"/>
                <w:color w:val="1F1F1F"/>
                <w:sz w:val="13"/>
              </w:rPr>
              <w:t>Exploratory</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4722A35">
            <w:pPr>
              <w:spacing w:before="0" w:after="0" w:line="240" w:lineRule="auto"/>
              <w:jc w:val="center"/>
            </w:pPr>
            <w:r>
              <w:rPr>
                <w:rFonts w:ascii="Arial" w:hAnsi="Arial" w:eastAsia="Arial"/>
                <w:b w:val="0"/>
                <w:i w:val="0"/>
                <w:color w:val="1F1F1F"/>
                <w:sz w:val="13"/>
              </w:rPr>
              <w:t>0.670</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CD89A5A">
            <w:pPr>
              <w:spacing w:before="0" w:after="0" w:line="240" w:lineRule="auto"/>
              <w:jc w:val="center"/>
            </w:pPr>
            <w:r>
              <w:rPr>
                <w:rFonts w:ascii="Arial" w:hAnsi="Arial" w:eastAsia="Arial"/>
                <w:b w:val="0"/>
                <w:i w:val="0"/>
                <w:color w:val="1F1F1F"/>
                <w:sz w:val="13"/>
              </w:rPr>
              <w:t>0.057</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047CD68">
            <w:pPr>
              <w:spacing w:before="0" w:after="0" w:line="240" w:lineRule="auto"/>
              <w:jc w:val="center"/>
            </w:pPr>
            <w:r>
              <w:rPr>
                <w:rFonts w:ascii="Arial" w:hAnsi="Arial" w:eastAsia="Arial"/>
                <w:b w:val="0"/>
                <w:i w:val="0"/>
                <w:color w:val="1F1F1F"/>
                <w:sz w:val="13"/>
              </w:rPr>
              <w:t>0.02724</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BDE36D7">
            <w:pPr>
              <w:spacing w:before="0" w:after="0" w:line="240" w:lineRule="auto"/>
              <w:jc w:val="center"/>
            </w:pPr>
            <w:r>
              <w:rPr>
                <w:rFonts w:ascii="Arial" w:hAnsi="Arial" w:eastAsia="Arial"/>
                <w:b w:val="0"/>
                <w:i w:val="0"/>
                <w:color w:val="1F1F1F"/>
                <w:sz w:val="13"/>
              </w:rPr>
              <w:t>0.643</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EB6C363">
            <w:pPr>
              <w:spacing w:before="0" w:after="0" w:line="240" w:lineRule="auto"/>
              <w:jc w:val="center"/>
            </w:pPr>
            <w:r>
              <w:rPr>
                <w:rFonts w:ascii="Arial" w:hAnsi="Arial" w:eastAsia="Arial"/>
                <w:b w:val="0"/>
                <w:i w:val="0"/>
                <w:color w:val="1F1F1F"/>
                <w:sz w:val="13"/>
              </w:rPr>
              <w:t>0.056</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3238EC5">
            <w:pPr>
              <w:spacing w:before="0" w:after="0" w:line="240" w:lineRule="auto"/>
              <w:jc w:val="center"/>
            </w:pPr>
            <w:r>
              <w:rPr>
                <w:rFonts w:ascii="Arial" w:hAnsi="Arial" w:eastAsia="Arial"/>
                <w:b w:val="0"/>
                <w:i w:val="0"/>
                <w:color w:val="1F1F1F"/>
                <w:sz w:val="13"/>
              </w:rPr>
              <w:t>0.03247</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35672CC">
            <w:pPr>
              <w:spacing w:before="0" w:after="0" w:line="240" w:lineRule="auto"/>
              <w:jc w:val="center"/>
            </w:pPr>
            <w:r>
              <w:rPr>
                <w:rFonts w:ascii="Arial" w:hAnsi="Arial" w:eastAsia="Arial"/>
                <w:b w:val="0"/>
                <w:i w:val="0"/>
                <w:color w:val="1F1F1F"/>
                <w:sz w:val="13"/>
              </w:rPr>
              <w:t>9.33</w:t>
            </w:r>
          </w:p>
        </w:tc>
        <w:tc>
          <w:tcPr>
            <w:tcW w:w="38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0BFDB4A">
            <w:pPr>
              <w:spacing w:before="0" w:after="0" w:line="240" w:lineRule="auto"/>
              <w:jc w:val="left"/>
            </w:pPr>
            <w:r>
              <w:rPr>
                <w:rFonts w:ascii="Arial" w:hAnsi="Arial" w:eastAsia="Arial"/>
                <w:b w:val="0"/>
                <w:i w:val="0"/>
                <w:color w:val="1F1F1F"/>
                <w:sz w:val="13"/>
              </w:rPr>
              <w:t>Exploratory conditional model; no hierarchy revision</w:t>
            </w:r>
          </w:p>
        </w:tc>
      </w:tr>
      <w:tr w14:paraId="5BE02FE7">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5774446">
            <w:pPr>
              <w:spacing w:before="0" w:after="0" w:line="240" w:lineRule="auto"/>
              <w:jc w:val="left"/>
            </w:pPr>
            <w:r>
              <w:rPr>
                <w:rFonts w:ascii="Arial" w:hAnsi="Arial" w:eastAsia="Arial"/>
                <w:b w:val="0"/>
                <w:i w:val="0"/>
                <w:color w:val="1F1F1F"/>
                <w:sz w:val="13"/>
              </w:rPr>
              <w:t>Extended-4 conditional Ridge</w:t>
            </w:r>
          </w:p>
        </w:tc>
        <w:tc>
          <w:tcPr>
            <w:tcW w:w="1699"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CEA49AF">
            <w:pPr>
              <w:spacing w:before="0" w:after="0" w:line="240" w:lineRule="auto"/>
              <w:jc w:val="left"/>
            </w:pPr>
            <w:r>
              <w:rPr>
                <w:rFonts w:ascii="Arial" w:hAnsi="Arial" w:eastAsia="Arial"/>
                <w:b w:val="0"/>
                <w:i w:val="0"/>
                <w:color w:val="1F1F1F"/>
                <w:sz w:val="13"/>
              </w:rPr>
              <w:t>Exploratory</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F912D30">
            <w:pPr>
              <w:spacing w:before="0" w:after="0" w:line="240" w:lineRule="auto"/>
              <w:jc w:val="center"/>
            </w:pPr>
            <w:r>
              <w:rPr>
                <w:rFonts w:ascii="Arial" w:hAnsi="Arial" w:eastAsia="Arial"/>
                <w:b w:val="0"/>
                <w:i w:val="0"/>
                <w:color w:val="1F1F1F"/>
                <w:sz w:val="13"/>
              </w:rPr>
              <w:t>0.669</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903C807">
            <w:pPr>
              <w:spacing w:before="0" w:after="0" w:line="240" w:lineRule="auto"/>
              <w:jc w:val="center"/>
            </w:pPr>
            <w:r>
              <w:rPr>
                <w:rFonts w:ascii="Arial" w:hAnsi="Arial" w:eastAsia="Arial"/>
                <w:b w:val="0"/>
                <w:i w:val="0"/>
                <w:color w:val="1F1F1F"/>
                <w:sz w:val="13"/>
              </w:rPr>
              <w:t>0.057</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31030CB">
            <w:pPr>
              <w:spacing w:before="0" w:after="0" w:line="240" w:lineRule="auto"/>
              <w:jc w:val="center"/>
            </w:pPr>
            <w:r>
              <w:rPr>
                <w:rFonts w:ascii="Arial" w:hAnsi="Arial" w:eastAsia="Arial"/>
                <w:b w:val="0"/>
                <w:i w:val="0"/>
                <w:color w:val="1F1F1F"/>
                <w:sz w:val="13"/>
              </w:rPr>
              <w:t>0.02724</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8076209">
            <w:pPr>
              <w:spacing w:before="0" w:after="0" w:line="240" w:lineRule="auto"/>
              <w:jc w:val="center"/>
            </w:pPr>
            <w:r>
              <w:rPr>
                <w:rFonts w:ascii="Arial" w:hAnsi="Arial" w:eastAsia="Arial"/>
                <w:b w:val="0"/>
                <w:i w:val="0"/>
                <w:color w:val="1F1F1F"/>
                <w:sz w:val="13"/>
              </w:rPr>
              <w:t>0.643</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9A50DB0">
            <w:pPr>
              <w:spacing w:before="0" w:after="0" w:line="240" w:lineRule="auto"/>
              <w:jc w:val="center"/>
            </w:pPr>
            <w:r>
              <w:rPr>
                <w:rFonts w:ascii="Arial" w:hAnsi="Arial" w:eastAsia="Arial"/>
                <w:b w:val="0"/>
                <w:i w:val="0"/>
                <w:color w:val="1F1F1F"/>
                <w:sz w:val="13"/>
              </w:rPr>
              <w:t>0.056</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7555263">
            <w:pPr>
              <w:spacing w:before="0" w:after="0" w:line="240" w:lineRule="auto"/>
              <w:jc w:val="center"/>
            </w:pPr>
            <w:r>
              <w:rPr>
                <w:rFonts w:ascii="Arial" w:hAnsi="Arial" w:eastAsia="Arial"/>
                <w:b w:val="0"/>
                <w:i w:val="0"/>
                <w:color w:val="1F1F1F"/>
                <w:sz w:val="13"/>
              </w:rPr>
              <w:t>0.03247</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083722E">
            <w:pPr>
              <w:spacing w:before="0" w:after="0" w:line="240" w:lineRule="auto"/>
              <w:jc w:val="center"/>
            </w:pPr>
            <w:r>
              <w:rPr>
                <w:rFonts w:ascii="Arial" w:hAnsi="Arial" w:eastAsia="Arial"/>
                <w:b w:val="0"/>
                <w:i w:val="0"/>
                <w:color w:val="1F1F1F"/>
                <w:sz w:val="13"/>
              </w:rPr>
              <w:t>9.00</w:t>
            </w:r>
          </w:p>
        </w:tc>
        <w:tc>
          <w:tcPr>
            <w:tcW w:w="38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5E83963">
            <w:pPr>
              <w:spacing w:before="0" w:after="0" w:line="240" w:lineRule="auto"/>
              <w:jc w:val="left"/>
            </w:pPr>
            <w:r>
              <w:rPr>
                <w:rFonts w:ascii="Arial" w:hAnsi="Arial" w:eastAsia="Arial"/>
                <w:b w:val="0"/>
                <w:i w:val="0"/>
                <w:color w:val="1F1F1F"/>
                <w:sz w:val="13"/>
              </w:rPr>
              <w:t>Exploratory conditional model; no hierarchy revision</w:t>
            </w:r>
          </w:p>
        </w:tc>
      </w:tr>
      <w:tr w14:paraId="5A5D5F1E">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D39DDC2">
            <w:pPr>
              <w:spacing w:before="0" w:after="0" w:line="240" w:lineRule="auto"/>
              <w:jc w:val="left"/>
            </w:pPr>
            <w:r>
              <w:rPr>
                <w:rFonts w:ascii="Arial" w:hAnsi="Arial" w:eastAsia="Arial"/>
                <w:b w:val="0"/>
                <w:i w:val="0"/>
                <w:color w:val="1F1F1F"/>
                <w:sz w:val="13"/>
              </w:rPr>
              <w:t>Clinical + Core-3 raw components</w:t>
            </w:r>
          </w:p>
        </w:tc>
        <w:tc>
          <w:tcPr>
            <w:tcW w:w="1699"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691C209">
            <w:pPr>
              <w:spacing w:before="0" w:after="0" w:line="240" w:lineRule="auto"/>
              <w:jc w:val="left"/>
            </w:pPr>
            <w:r>
              <w:rPr>
                <w:rFonts w:ascii="Arial" w:hAnsi="Arial" w:eastAsia="Arial"/>
                <w:b w:val="0"/>
                <w:i w:val="0"/>
                <w:color w:val="1F1F1F"/>
                <w:sz w:val="13"/>
              </w:rPr>
              <w:t>Information Upper Bound</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066C861">
            <w:pPr>
              <w:spacing w:before="0" w:after="0" w:line="240" w:lineRule="auto"/>
              <w:jc w:val="center"/>
            </w:pPr>
            <w:r>
              <w:rPr>
                <w:rFonts w:ascii="Arial" w:hAnsi="Arial" w:eastAsia="Arial"/>
                <w:b w:val="0"/>
                <w:i w:val="0"/>
                <w:color w:val="1F1F1F"/>
                <w:sz w:val="13"/>
              </w:rPr>
              <w:t>0.679</w:t>
            </w:r>
          </w:p>
        </w:tc>
        <w:tc>
          <w:tcPr>
            <w:tcW w:w="118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0382639">
            <w:pPr>
              <w:spacing w:before="0" w:after="0" w:line="240" w:lineRule="auto"/>
              <w:jc w:val="center"/>
            </w:pPr>
            <w:r>
              <w:rPr>
                <w:rFonts w:ascii="Arial" w:hAnsi="Arial" w:eastAsia="Arial"/>
                <w:b w:val="0"/>
                <w:i w:val="0"/>
                <w:color w:val="1F1F1F"/>
                <w:sz w:val="13"/>
              </w:rPr>
              <w:t>0.060</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0A6D1AE">
            <w:pPr>
              <w:spacing w:before="0" w:after="0" w:line="240" w:lineRule="auto"/>
              <w:jc w:val="center"/>
            </w:pPr>
            <w:r>
              <w:rPr>
                <w:rFonts w:ascii="Arial" w:hAnsi="Arial" w:eastAsia="Arial"/>
                <w:b w:val="0"/>
                <w:i w:val="0"/>
                <w:color w:val="1F1F1F"/>
                <w:sz w:val="13"/>
              </w:rPr>
              <w:t>0.02722</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600A8C2">
            <w:pPr>
              <w:spacing w:before="0" w:after="0" w:line="240" w:lineRule="auto"/>
              <w:jc w:val="center"/>
            </w:pPr>
            <w:r>
              <w:rPr>
                <w:rFonts w:ascii="Arial" w:hAnsi="Arial" w:eastAsia="Arial"/>
                <w:b w:val="0"/>
                <w:i w:val="0"/>
                <w:color w:val="1F1F1F"/>
                <w:sz w:val="13"/>
              </w:rPr>
              <w:t>0.640</w:t>
            </w:r>
          </w:p>
        </w:tc>
        <w:tc>
          <w:tcPr>
            <w:tcW w:w="10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F0AFFD3">
            <w:pPr>
              <w:spacing w:before="0" w:after="0" w:line="240" w:lineRule="auto"/>
              <w:jc w:val="center"/>
            </w:pPr>
            <w:r>
              <w:rPr>
                <w:rFonts w:ascii="Arial" w:hAnsi="Arial" w:eastAsia="Arial"/>
                <w:b w:val="0"/>
                <w:i w:val="0"/>
                <w:color w:val="1F1F1F"/>
                <w:sz w:val="13"/>
              </w:rPr>
              <w:t>0.053</w:t>
            </w:r>
          </w:p>
        </w:tc>
        <w:tc>
          <w:tcPr>
            <w:tcW w:w="11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2A6B949">
            <w:pPr>
              <w:spacing w:before="0" w:after="0" w:line="240" w:lineRule="auto"/>
              <w:jc w:val="center"/>
            </w:pPr>
            <w:r>
              <w:rPr>
                <w:rFonts w:ascii="Arial" w:hAnsi="Arial" w:eastAsia="Arial"/>
                <w:b w:val="0"/>
                <w:i w:val="0"/>
                <w:color w:val="1F1F1F"/>
                <w:sz w:val="13"/>
              </w:rPr>
              <w:t>0.03254</w:t>
            </w:r>
          </w:p>
        </w:tc>
        <w:tc>
          <w:tcPr>
            <w:tcW w:w="126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92F36B6">
            <w:pPr>
              <w:spacing w:before="0" w:after="0" w:line="240" w:lineRule="auto"/>
              <w:jc w:val="center"/>
            </w:pPr>
            <w:r>
              <w:rPr>
                <w:rFonts w:ascii="Arial" w:hAnsi="Arial" w:eastAsia="Arial"/>
                <w:b w:val="0"/>
                <w:i w:val="0"/>
                <w:color w:val="1F1F1F"/>
                <w:sz w:val="13"/>
              </w:rPr>
              <w:t>6.67</w:t>
            </w:r>
          </w:p>
        </w:tc>
        <w:tc>
          <w:tcPr>
            <w:tcW w:w="38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1383589">
            <w:pPr>
              <w:spacing w:before="0" w:after="0" w:line="240" w:lineRule="auto"/>
              <w:jc w:val="left"/>
            </w:pPr>
            <w:r>
              <w:rPr>
                <w:rFonts w:ascii="Arial" w:hAnsi="Arial" w:eastAsia="Arial"/>
                <w:b w:val="0"/>
                <w:i w:val="0"/>
                <w:color w:val="1F1F1F"/>
                <w:sz w:val="13"/>
              </w:rPr>
              <w:t>Information upper bound; not winner eligible</w:t>
            </w:r>
          </w:p>
        </w:tc>
      </w:tr>
      <w:tr w14:paraId="5ED46B03">
        <w:tblPrEx>
          <w:tblCellMar>
            <w:top w:w="0" w:type="dxa"/>
            <w:left w:w="108" w:type="dxa"/>
            <w:bottom w:w="0" w:type="dxa"/>
            <w:right w:w="108" w:type="dxa"/>
          </w:tblCellMar>
        </w:tblPrEx>
        <w:trPr>
          <w:cantSplit/>
          <w:jc w:val="center"/>
        </w:trPr>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9BBED8D">
            <w:pPr>
              <w:spacing w:before="0" w:after="0" w:line="240" w:lineRule="auto"/>
              <w:jc w:val="left"/>
            </w:pPr>
            <w:r>
              <w:rPr>
                <w:rFonts w:ascii="Arial" w:hAnsi="Arial" w:eastAsia="Arial"/>
                <w:b w:val="0"/>
                <w:i w:val="0"/>
                <w:color w:val="1F1F1F"/>
                <w:sz w:val="13"/>
              </w:rPr>
              <w:t>Clinical + Extended-4 raw components</w:t>
            </w:r>
          </w:p>
        </w:tc>
        <w:tc>
          <w:tcPr>
            <w:tcW w:w="1699"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674B79C">
            <w:pPr>
              <w:spacing w:before="0" w:after="0" w:line="240" w:lineRule="auto"/>
              <w:jc w:val="left"/>
            </w:pPr>
            <w:r>
              <w:rPr>
                <w:rFonts w:ascii="Arial" w:hAnsi="Arial" w:eastAsia="Arial"/>
                <w:b w:val="0"/>
                <w:i w:val="0"/>
                <w:color w:val="1F1F1F"/>
                <w:sz w:val="13"/>
              </w:rPr>
              <w:t>Information Upper Bound</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CA053F0">
            <w:pPr>
              <w:spacing w:before="0" w:after="0" w:line="240" w:lineRule="auto"/>
              <w:jc w:val="center"/>
            </w:pPr>
            <w:r>
              <w:rPr>
                <w:rFonts w:ascii="Arial" w:hAnsi="Arial" w:eastAsia="Arial"/>
                <w:b w:val="0"/>
                <w:i w:val="0"/>
                <w:color w:val="1F1F1F"/>
                <w:sz w:val="13"/>
              </w:rPr>
              <w:t>0.677</w:t>
            </w:r>
          </w:p>
        </w:tc>
        <w:tc>
          <w:tcPr>
            <w:tcW w:w="118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49E8258">
            <w:pPr>
              <w:spacing w:before="0" w:after="0" w:line="240" w:lineRule="auto"/>
              <w:jc w:val="center"/>
            </w:pPr>
            <w:r>
              <w:rPr>
                <w:rFonts w:ascii="Arial" w:hAnsi="Arial" w:eastAsia="Arial"/>
                <w:b w:val="0"/>
                <w:i w:val="0"/>
                <w:color w:val="1F1F1F"/>
                <w:sz w:val="13"/>
              </w:rPr>
              <w:t>0.059</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923EC9B">
            <w:pPr>
              <w:spacing w:before="0" w:after="0" w:line="240" w:lineRule="auto"/>
              <w:jc w:val="center"/>
            </w:pPr>
            <w:r>
              <w:rPr>
                <w:rFonts w:ascii="Arial" w:hAnsi="Arial" w:eastAsia="Arial"/>
                <w:b w:val="0"/>
                <w:i w:val="0"/>
                <w:color w:val="1F1F1F"/>
                <w:sz w:val="13"/>
              </w:rPr>
              <w:t>0.02723</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4A1DE63">
            <w:pPr>
              <w:spacing w:before="0" w:after="0" w:line="240" w:lineRule="auto"/>
              <w:jc w:val="center"/>
            </w:pPr>
            <w:r>
              <w:rPr>
                <w:rFonts w:ascii="Arial" w:hAnsi="Arial" w:eastAsia="Arial"/>
                <w:b w:val="0"/>
                <w:i w:val="0"/>
                <w:color w:val="1F1F1F"/>
                <w:sz w:val="13"/>
              </w:rPr>
              <w:t>0.638</w:t>
            </w:r>
          </w:p>
        </w:tc>
        <w:tc>
          <w:tcPr>
            <w:tcW w:w="10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B09DC2A">
            <w:pPr>
              <w:spacing w:before="0" w:after="0" w:line="240" w:lineRule="auto"/>
              <w:jc w:val="center"/>
            </w:pPr>
            <w:r>
              <w:rPr>
                <w:rFonts w:ascii="Arial" w:hAnsi="Arial" w:eastAsia="Arial"/>
                <w:b w:val="0"/>
                <w:i w:val="0"/>
                <w:color w:val="1F1F1F"/>
                <w:sz w:val="13"/>
              </w:rPr>
              <w:t>0.053</w:t>
            </w:r>
          </w:p>
        </w:tc>
        <w:tc>
          <w:tcPr>
            <w:tcW w:w="11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4CA4AE7">
            <w:pPr>
              <w:spacing w:before="0" w:after="0" w:line="240" w:lineRule="auto"/>
              <w:jc w:val="center"/>
            </w:pPr>
            <w:r>
              <w:rPr>
                <w:rFonts w:ascii="Arial" w:hAnsi="Arial" w:eastAsia="Arial"/>
                <w:b w:val="0"/>
                <w:i w:val="0"/>
                <w:color w:val="1F1F1F"/>
                <w:sz w:val="13"/>
              </w:rPr>
              <w:t>0.03252</w:t>
            </w:r>
          </w:p>
        </w:tc>
        <w:tc>
          <w:tcPr>
            <w:tcW w:w="126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D5B0242">
            <w:pPr>
              <w:spacing w:before="0" w:after="0" w:line="240" w:lineRule="auto"/>
              <w:jc w:val="center"/>
            </w:pPr>
            <w:r>
              <w:rPr>
                <w:rFonts w:ascii="Arial" w:hAnsi="Arial" w:eastAsia="Arial"/>
                <w:b w:val="0"/>
                <w:i w:val="0"/>
                <w:color w:val="1F1F1F"/>
                <w:sz w:val="13"/>
              </w:rPr>
              <w:t>8.17</w:t>
            </w:r>
          </w:p>
        </w:tc>
        <w:tc>
          <w:tcPr>
            <w:tcW w:w="38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0347443">
            <w:pPr>
              <w:spacing w:before="0" w:after="0" w:line="240" w:lineRule="auto"/>
              <w:jc w:val="left"/>
            </w:pPr>
            <w:r>
              <w:rPr>
                <w:rFonts w:ascii="Arial" w:hAnsi="Arial" w:eastAsia="Arial"/>
                <w:b w:val="0"/>
                <w:i w:val="0"/>
                <w:color w:val="1F1F1F"/>
                <w:sz w:val="13"/>
              </w:rPr>
              <w:t>Information upper bound; not winner eligible</w:t>
            </w:r>
          </w:p>
        </w:tc>
      </w:tr>
    </w:tbl>
    <w:p w14:paraId="55712B82">
      <w:pPr>
        <w:spacing w:before="80" w:after="40" w:line="240" w:lineRule="auto"/>
      </w:pPr>
      <w:r>
        <w:rPr>
          <w:rFonts w:ascii="Arial" w:hAnsi="Arial" w:eastAsia="Arial"/>
          <w:b/>
          <w:i w:val="0"/>
          <w:color w:val="666666"/>
          <w:sz w:val="15"/>
        </w:rPr>
        <w:t xml:space="preserve">Note: </w:t>
      </w:r>
      <w:r>
        <w:rPr>
          <w:rFonts w:ascii="Arial" w:hAnsi="Arial" w:eastAsia="Arial"/>
          <w:b w:val="0"/>
          <w:i w:val="0"/>
          <w:color w:val="666666"/>
          <w:sz w:val="15"/>
        </w:rPr>
        <w:t>Performance estimates are frozen point estimates. Brier scores are displayed to five decimal places. Mean validation rank is the mean of the AUROC, AUPRC, and Brier ranks within ELSA temporal validation and HRS external validation, averaged across the two stages; lower values indicate better descriptive performance. These ranks do not overwrite the verified multi-evidence hierarchy. Core-3 Equal remains a supportive transparent compression score; Extended-4 Equal did not meet the promotion criterion. PCA and conditional-ridge variants are supportive or exploratory, and raw-component models are information upper bounds rather than simplified-score candidates.</w:t>
      </w:r>
    </w:p>
    <w:p w14:paraId="125F4802">
      <w:pPr>
        <w:sectPr>
          <w:pgSz w:w="11909" w:h="16834" w:orient="landscape"/>
          <w:pgMar w:top="792" w:right="691" w:bottom="792" w:left="691" w:header="720" w:footer="720" w:gutter="0"/>
          <w:cols w:space="720" w:num="1"/>
          <w:docGrid w:linePitch="360" w:charSpace="0"/>
        </w:sectPr>
      </w:pPr>
    </w:p>
    <w:p w14:paraId="4B074B47">
      <w:pPr>
        <w:keepNext/>
        <w:spacing w:before="40" w:after="120"/>
      </w:pPr>
      <w:r>
        <w:rPr>
          <w:rFonts w:ascii="Arial" w:hAnsi="Arial" w:eastAsia="Arial"/>
          <w:b/>
          <w:i w:val="0"/>
          <w:color w:val="1F4E78"/>
          <w:sz w:val="23"/>
        </w:rPr>
        <w:t xml:space="preserve">Table S5. </w:t>
      </w:r>
      <w:r>
        <w:rPr>
          <w:rFonts w:ascii="Arial" w:hAnsi="Arial" w:eastAsia="Arial"/>
          <w:b/>
          <w:i w:val="0"/>
          <w:color w:val="1F1F1F"/>
          <w:sz w:val="23"/>
        </w:rPr>
        <w:t>Transport, missingness, and component-heterogeneity diagnostics</w:t>
      </w:r>
    </w:p>
    <w:p w14:paraId="6698AA9D">
      <w:pPr>
        <w:keepNext/>
        <w:spacing w:before="140" w:after="80"/>
      </w:pPr>
      <w:r>
        <w:rPr>
          <w:rFonts w:ascii="Arial" w:hAnsi="Arial" w:eastAsia="Arial"/>
          <w:b/>
          <w:i w:val="0"/>
          <w:color w:val="1F4E78"/>
          <w:sz w:val="18"/>
        </w:rPr>
        <w:t>Panel A. Technical reconstruction and missingness diagnosis</w:t>
      </w:r>
    </w:p>
    <w:tbl>
      <w:tblPr>
        <w:tblStyle w:val="32"/>
        <w:tblW w:w="0" w:type="auto"/>
        <w:jc w:val="center"/>
        <w:tblLayout w:type="fixed"/>
        <w:tblCellMar>
          <w:top w:w="0" w:type="dxa"/>
          <w:left w:w="108" w:type="dxa"/>
          <w:bottom w:w="0" w:type="dxa"/>
          <w:right w:w="108" w:type="dxa"/>
        </w:tblCellMar>
      </w:tblPr>
      <w:tblGrid>
        <w:gridCol w:w="3374"/>
        <w:gridCol w:w="3374"/>
        <w:gridCol w:w="3374"/>
      </w:tblGrid>
      <w:tr w14:paraId="534EC930">
        <w:tblPrEx>
          <w:tblCellMar>
            <w:top w:w="0" w:type="dxa"/>
            <w:left w:w="108" w:type="dxa"/>
            <w:bottom w:w="0" w:type="dxa"/>
            <w:right w:w="108" w:type="dxa"/>
          </w:tblCellMar>
        </w:tblPrEx>
        <w:trPr>
          <w:cantSplit/>
          <w:tblHeader/>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F3E26CC">
            <w:pPr>
              <w:spacing w:before="0" w:after="0" w:line="240" w:lineRule="auto"/>
              <w:jc w:val="center"/>
            </w:pPr>
            <w:r>
              <w:rPr>
                <w:rFonts w:ascii="Arial" w:hAnsi="Arial" w:eastAsia="Arial"/>
                <w:b/>
                <w:i w:val="0"/>
                <w:color w:val="FFFFFF"/>
                <w:sz w:val="15"/>
              </w:rPr>
              <w:t>Diagnostic item</w:t>
            </w:r>
          </w:p>
        </w:tc>
        <w:tc>
          <w:tcPr>
            <w:tcW w:w="266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51E7449">
            <w:pPr>
              <w:spacing w:before="0" w:after="0" w:line="240" w:lineRule="auto"/>
              <w:jc w:val="center"/>
            </w:pPr>
            <w:r>
              <w:rPr>
                <w:rFonts w:ascii="Arial" w:hAnsi="Arial" w:eastAsia="Arial"/>
                <w:b/>
                <w:i w:val="0"/>
                <w:color w:val="FFFFFF"/>
                <w:sz w:val="15"/>
              </w:rPr>
              <w:t>Result</w:t>
            </w:r>
          </w:p>
        </w:tc>
        <w:tc>
          <w:tcPr>
            <w:tcW w:w="475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E8D2524">
            <w:pPr>
              <w:spacing w:before="0" w:after="0" w:line="240" w:lineRule="auto"/>
              <w:jc w:val="center"/>
            </w:pPr>
            <w:r>
              <w:rPr>
                <w:rFonts w:ascii="Arial" w:hAnsi="Arial" w:eastAsia="Arial"/>
                <w:b/>
                <w:i w:val="0"/>
                <w:color w:val="FFFFFF"/>
                <w:sz w:val="15"/>
              </w:rPr>
              <w:t>Interpretation</w:t>
            </w:r>
          </w:p>
        </w:tc>
      </w:tr>
      <w:tr w14:paraId="3CE671A6">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ECC5313">
            <w:pPr>
              <w:spacing w:before="0" w:after="0" w:line="240" w:lineRule="auto"/>
              <w:jc w:val="left"/>
            </w:pPr>
            <w:r>
              <w:rPr>
                <w:rFonts w:ascii="Arial" w:hAnsi="Arial" w:eastAsia="Arial"/>
                <w:b w:val="0"/>
                <w:i w:val="0"/>
                <w:color w:val="1F1F1F"/>
                <w:sz w:val="15"/>
              </w:rPr>
              <w:t>Raw-unit and formula checks</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8AD41FC">
            <w:pPr>
              <w:spacing w:before="0" w:after="0" w:line="240" w:lineRule="auto"/>
              <w:jc w:val="left"/>
            </w:pPr>
            <w:r>
              <w:rPr>
                <w:rFonts w:ascii="Arial" w:hAnsi="Arial" w:eastAsia="Arial"/>
                <w:b w:val="0"/>
                <w:i w:val="0"/>
                <w:color w:val="1F1F1F"/>
                <w:sz w:val="15"/>
              </w:rPr>
              <w:t>Passed</w:t>
            </w:r>
          </w:p>
        </w:tc>
        <w:tc>
          <w:tcPr>
            <w:tcW w:w="47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1703694">
            <w:pPr>
              <w:spacing w:before="0" w:after="0" w:line="240" w:lineRule="auto"/>
              <w:jc w:val="left"/>
            </w:pPr>
            <w:r>
              <w:rPr>
                <w:rFonts w:ascii="Arial" w:hAnsi="Arial" w:eastAsia="Arial"/>
                <w:b w:val="0"/>
                <w:i w:val="0"/>
                <w:color w:val="1F1F1F"/>
                <w:sz w:val="15"/>
              </w:rPr>
              <w:t>Units and published formulas reproduced the locked indicators</w:t>
            </w:r>
          </w:p>
        </w:tc>
      </w:tr>
      <w:tr w14:paraId="5A3F6F17">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77F4795">
            <w:pPr>
              <w:spacing w:before="0" w:after="0" w:line="240" w:lineRule="auto"/>
              <w:jc w:val="left"/>
            </w:pPr>
            <w:r>
              <w:rPr>
                <w:rFonts w:ascii="Arial" w:hAnsi="Arial" w:eastAsia="Arial"/>
                <w:b w:val="0"/>
                <w:i w:val="0"/>
                <w:color w:val="1F1F1F"/>
                <w:sz w:val="15"/>
              </w:rPr>
              <w:t>Frozen preprocessing and prediction checks</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2324177">
            <w:pPr>
              <w:spacing w:before="0" w:after="0" w:line="240" w:lineRule="auto"/>
              <w:jc w:val="left"/>
            </w:pPr>
            <w:r>
              <w:rPr>
                <w:rFonts w:ascii="Arial" w:hAnsi="Arial" w:eastAsia="Arial"/>
                <w:b w:val="0"/>
                <w:i w:val="0"/>
                <w:color w:val="1F1F1F"/>
                <w:sz w:val="15"/>
              </w:rPr>
              <w:t>Passed</w:t>
            </w:r>
          </w:p>
        </w:tc>
        <w:tc>
          <w:tcPr>
            <w:tcW w:w="47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E47A45B">
            <w:pPr>
              <w:spacing w:before="0" w:after="0" w:line="240" w:lineRule="auto"/>
              <w:jc w:val="left"/>
            </w:pPr>
            <w:r>
              <w:rPr>
                <w:rFonts w:ascii="Arial" w:hAnsi="Arial" w:eastAsia="Arial"/>
                <w:b w:val="0"/>
                <w:i w:val="0"/>
                <w:color w:val="1F1F1F"/>
                <w:sz w:val="15"/>
              </w:rPr>
              <w:t>Development-derived centers, scales, imputations, and frozen predictions were reproduced</w:t>
            </w:r>
          </w:p>
        </w:tc>
      </w:tr>
      <w:tr w14:paraId="0DFF51E2">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F50F9F0">
            <w:pPr>
              <w:spacing w:before="0" w:after="0" w:line="240" w:lineRule="auto"/>
              <w:jc w:val="left"/>
            </w:pPr>
            <w:r>
              <w:rPr>
                <w:rFonts w:ascii="Arial" w:hAnsi="Arial" w:eastAsia="Arial"/>
                <w:b w:val="0"/>
                <w:i w:val="0"/>
                <w:color w:val="1F1F1F"/>
                <w:sz w:val="15"/>
              </w:rPr>
              <w:t>ELSA temporal validation: all rows / complete cases</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B3CF561">
            <w:pPr>
              <w:spacing w:before="0" w:after="0" w:line="240" w:lineRule="auto"/>
              <w:jc w:val="left"/>
            </w:pPr>
            <w:r>
              <w:rPr>
                <w:rFonts w:ascii="Arial" w:hAnsi="Arial" w:eastAsia="Arial"/>
                <w:b w:val="0"/>
                <w:i w:val="0"/>
                <w:color w:val="1F1F1F"/>
                <w:sz w:val="15"/>
              </w:rPr>
              <w:t>5,779 / 2,549 rows; 163 / 55 events</w:t>
            </w:r>
          </w:p>
        </w:tc>
        <w:tc>
          <w:tcPr>
            <w:tcW w:w="47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2DE0CBC">
            <w:pPr>
              <w:spacing w:before="0" w:after="0" w:line="240" w:lineRule="auto"/>
              <w:jc w:val="left"/>
            </w:pPr>
            <w:r>
              <w:rPr>
                <w:rFonts w:ascii="Arial" w:hAnsi="Arial" w:eastAsia="Arial"/>
                <w:b w:val="0"/>
                <w:i w:val="0"/>
                <w:color w:val="1F1F1F"/>
                <w:sz w:val="15"/>
              </w:rPr>
              <w:t>Complete-case restriction retained 44.1% of rows and changed at least one comparison direction</w:t>
            </w:r>
          </w:p>
        </w:tc>
      </w:tr>
      <w:tr w14:paraId="00279063">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1106F38">
            <w:pPr>
              <w:spacing w:before="0" w:after="0" w:line="240" w:lineRule="auto"/>
              <w:jc w:val="left"/>
            </w:pPr>
            <w:r>
              <w:rPr>
                <w:rFonts w:ascii="Arial" w:hAnsi="Arial" w:eastAsia="Arial"/>
                <w:b w:val="0"/>
                <w:i w:val="0"/>
                <w:color w:val="1F1F1F"/>
                <w:sz w:val="15"/>
              </w:rPr>
              <w:t>HRS external validation: all rows / complete cases</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E3A52FD">
            <w:pPr>
              <w:spacing w:before="0" w:after="0" w:line="240" w:lineRule="auto"/>
              <w:jc w:val="left"/>
            </w:pPr>
            <w:r>
              <w:rPr>
                <w:rFonts w:ascii="Arial" w:hAnsi="Arial" w:eastAsia="Arial"/>
                <w:b w:val="0"/>
                <w:i w:val="0"/>
                <w:color w:val="1F1F1F"/>
                <w:sz w:val="15"/>
              </w:rPr>
              <w:t>5,067 / 5,008 rows; 171 / 168 events</w:t>
            </w:r>
          </w:p>
        </w:tc>
        <w:tc>
          <w:tcPr>
            <w:tcW w:w="47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BFE7AAA">
            <w:pPr>
              <w:spacing w:before="0" w:after="0" w:line="240" w:lineRule="auto"/>
              <w:jc w:val="left"/>
            </w:pPr>
            <w:r>
              <w:rPr>
                <w:rFonts w:ascii="Arial" w:hAnsi="Arial" w:eastAsia="Arial"/>
                <w:b w:val="0"/>
                <w:i w:val="0"/>
                <w:color w:val="1F1F1F"/>
                <w:sz w:val="15"/>
              </w:rPr>
              <w:t>Complete-case restriction retained 98.8% of rows and did not materially alter conclusions</w:t>
            </w:r>
          </w:p>
        </w:tc>
      </w:tr>
      <w:tr w14:paraId="5830358D">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71442E1">
            <w:pPr>
              <w:spacing w:before="0" w:after="0" w:line="240" w:lineRule="auto"/>
              <w:jc w:val="left"/>
            </w:pPr>
            <w:r>
              <w:rPr>
                <w:rFonts w:ascii="Arial" w:hAnsi="Arial" w:eastAsia="Arial"/>
                <w:b w:val="0"/>
                <w:i w:val="0"/>
                <w:color w:val="1F1F1F"/>
                <w:sz w:val="15"/>
              </w:rPr>
              <w:t>ELSA temporal validation: any Core-3 component imputed</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F05C25F">
            <w:pPr>
              <w:spacing w:before="0" w:after="0" w:line="240" w:lineRule="auto"/>
              <w:jc w:val="left"/>
            </w:pPr>
            <w:r>
              <w:rPr>
                <w:rFonts w:ascii="Arial" w:hAnsi="Arial" w:eastAsia="Arial"/>
                <w:b w:val="0"/>
                <w:i w:val="0"/>
                <w:color w:val="1F1F1F"/>
                <w:sz w:val="15"/>
              </w:rPr>
              <w:t>3,230 rows; 108 events (55.9%)</w:t>
            </w:r>
          </w:p>
        </w:tc>
        <w:tc>
          <w:tcPr>
            <w:tcW w:w="47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9231321">
            <w:pPr>
              <w:spacing w:before="0" w:after="0" w:line="240" w:lineRule="auto"/>
              <w:jc w:val="left"/>
            </w:pPr>
            <w:r>
              <w:rPr>
                <w:rFonts w:ascii="Arial" w:hAnsi="Arial" w:eastAsia="Arial"/>
                <w:b w:val="0"/>
                <w:i w:val="0"/>
                <w:color w:val="1F1F1F"/>
                <w:sz w:val="15"/>
              </w:rPr>
              <w:t>Substantial differential information completeness</w:t>
            </w:r>
          </w:p>
        </w:tc>
      </w:tr>
      <w:tr w14:paraId="417310F3">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560776C">
            <w:pPr>
              <w:spacing w:before="0" w:after="0" w:line="240" w:lineRule="auto"/>
              <w:jc w:val="left"/>
            </w:pPr>
            <w:r>
              <w:rPr>
                <w:rFonts w:ascii="Arial" w:hAnsi="Arial" w:eastAsia="Arial"/>
                <w:b w:val="0"/>
                <w:i w:val="0"/>
                <w:color w:val="1F1F1F"/>
                <w:sz w:val="15"/>
              </w:rPr>
              <w:t>HRS external validation: any Core-3 component imputed</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8E98A5D">
            <w:pPr>
              <w:spacing w:before="0" w:after="0" w:line="240" w:lineRule="auto"/>
              <w:jc w:val="left"/>
            </w:pPr>
            <w:r>
              <w:rPr>
                <w:rFonts w:ascii="Arial" w:hAnsi="Arial" w:eastAsia="Arial"/>
                <w:b w:val="0"/>
                <w:i w:val="0"/>
                <w:color w:val="1F1F1F"/>
                <w:sz w:val="15"/>
              </w:rPr>
              <w:t>59 rows; 3 events (1.2%)</w:t>
            </w:r>
          </w:p>
        </w:tc>
        <w:tc>
          <w:tcPr>
            <w:tcW w:w="47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013C58F">
            <w:pPr>
              <w:spacing w:before="0" w:after="0" w:line="240" w:lineRule="auto"/>
              <w:jc w:val="left"/>
            </w:pPr>
            <w:r>
              <w:rPr>
                <w:rFonts w:ascii="Arial" w:hAnsi="Arial" w:eastAsia="Arial"/>
                <w:b w:val="0"/>
                <w:i w:val="0"/>
                <w:color w:val="1F1F1F"/>
                <w:sz w:val="15"/>
              </w:rPr>
              <w:t>Very little component imputation</w:t>
            </w:r>
          </w:p>
        </w:tc>
      </w:tr>
      <w:tr w14:paraId="60BCC40C">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ABBEE88">
            <w:pPr>
              <w:spacing w:before="0" w:after="0" w:line="240" w:lineRule="auto"/>
              <w:jc w:val="left"/>
            </w:pPr>
            <w:r>
              <w:rPr>
                <w:rFonts w:ascii="Arial" w:hAnsi="Arial" w:eastAsia="Arial"/>
                <w:b w:val="0"/>
                <w:i w:val="0"/>
                <w:color w:val="1F1F1F"/>
                <w:sz w:val="15"/>
              </w:rPr>
              <w:t>ELSA all-row Core-3 vs TyG, ΔAUROC</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D69B2E7">
            <w:pPr>
              <w:spacing w:before="0" w:after="0" w:line="240" w:lineRule="auto"/>
              <w:jc w:val="left"/>
            </w:pPr>
            <w:r>
              <w:rPr>
                <w:rFonts w:ascii="Arial" w:hAnsi="Arial" w:eastAsia="Arial"/>
                <w:b w:val="0"/>
                <w:i w:val="0"/>
                <w:color w:val="1F1F1F"/>
                <w:sz w:val="15"/>
              </w:rPr>
              <w:t>−0.23 percentage points</w:t>
            </w:r>
          </w:p>
        </w:tc>
        <w:tc>
          <w:tcPr>
            <w:tcW w:w="47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5A831DC">
            <w:pPr>
              <w:spacing w:before="0" w:after="0" w:line="240" w:lineRule="auto"/>
              <w:jc w:val="left"/>
            </w:pPr>
            <w:r>
              <w:rPr>
                <w:rFonts w:ascii="Arial" w:hAnsi="Arial" w:eastAsia="Arial"/>
                <w:b w:val="0"/>
                <w:i w:val="0"/>
                <w:color w:val="1F1F1F"/>
                <w:sz w:val="15"/>
              </w:rPr>
              <w:t>Core-3 performed slightly worse on discrimination</w:t>
            </w:r>
          </w:p>
        </w:tc>
      </w:tr>
      <w:tr w14:paraId="6516E89C">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013E9C6">
            <w:pPr>
              <w:spacing w:before="0" w:after="0" w:line="240" w:lineRule="auto"/>
              <w:jc w:val="left"/>
            </w:pPr>
            <w:r>
              <w:rPr>
                <w:rFonts w:ascii="Arial" w:hAnsi="Arial" w:eastAsia="Arial"/>
                <w:b w:val="0"/>
                <w:i w:val="0"/>
                <w:color w:val="1F1F1F"/>
                <w:sz w:val="15"/>
              </w:rPr>
              <w:t>ELSA all-row Core-3 vs AIP, ΔAUROC</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9C6971A">
            <w:pPr>
              <w:spacing w:before="0" w:after="0" w:line="240" w:lineRule="auto"/>
              <w:jc w:val="left"/>
            </w:pPr>
            <w:r>
              <w:rPr>
                <w:rFonts w:ascii="Arial" w:hAnsi="Arial" w:eastAsia="Arial"/>
                <w:b w:val="0"/>
                <w:i w:val="0"/>
                <w:color w:val="1F1F1F"/>
                <w:sz w:val="15"/>
              </w:rPr>
              <w:t>−0.43 percentage points</w:t>
            </w:r>
          </w:p>
        </w:tc>
        <w:tc>
          <w:tcPr>
            <w:tcW w:w="47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7E210D7">
            <w:pPr>
              <w:spacing w:before="0" w:after="0" w:line="240" w:lineRule="auto"/>
              <w:jc w:val="left"/>
            </w:pPr>
            <w:r>
              <w:rPr>
                <w:rFonts w:ascii="Arial" w:hAnsi="Arial" w:eastAsia="Arial"/>
                <w:b w:val="0"/>
                <w:i w:val="0"/>
                <w:color w:val="1F1F1F"/>
                <w:sz w:val="15"/>
              </w:rPr>
              <w:t>Core-3 performed slightly worse on discrimination</w:t>
            </w:r>
          </w:p>
        </w:tc>
      </w:tr>
      <w:tr w14:paraId="6F649485">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54A2816">
            <w:pPr>
              <w:spacing w:before="0" w:after="0" w:line="240" w:lineRule="auto"/>
              <w:jc w:val="left"/>
            </w:pPr>
            <w:r>
              <w:rPr>
                <w:rFonts w:ascii="Arial" w:hAnsi="Arial" w:eastAsia="Arial"/>
                <w:b w:val="0"/>
                <w:i w:val="0"/>
                <w:color w:val="1F1F1F"/>
                <w:sz w:val="15"/>
              </w:rPr>
              <w:t>HRS all-row Core-3 vs TyG, ΔAUROC</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53E25A5">
            <w:pPr>
              <w:spacing w:before="0" w:after="0" w:line="240" w:lineRule="auto"/>
              <w:jc w:val="left"/>
            </w:pPr>
            <w:r>
              <w:rPr>
                <w:rFonts w:ascii="Arial" w:hAnsi="Arial" w:eastAsia="Arial"/>
                <w:b w:val="0"/>
                <w:i w:val="0"/>
                <w:color w:val="1F1F1F"/>
                <w:sz w:val="15"/>
              </w:rPr>
              <w:t>+0.52 percentage points</w:t>
            </w:r>
          </w:p>
        </w:tc>
        <w:tc>
          <w:tcPr>
            <w:tcW w:w="47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1E75095">
            <w:pPr>
              <w:spacing w:before="0" w:after="0" w:line="240" w:lineRule="auto"/>
              <w:jc w:val="left"/>
            </w:pPr>
            <w:r>
              <w:rPr>
                <w:rFonts w:ascii="Arial" w:hAnsi="Arial" w:eastAsia="Arial"/>
                <w:b w:val="0"/>
                <w:i w:val="0"/>
                <w:color w:val="1F1F1F"/>
                <w:sz w:val="15"/>
              </w:rPr>
              <w:t>Core-3 performed slightly better on discrimination</w:t>
            </w:r>
          </w:p>
        </w:tc>
      </w:tr>
      <w:tr w14:paraId="1A9DF626">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6204B04">
            <w:pPr>
              <w:spacing w:before="0" w:after="0" w:line="240" w:lineRule="auto"/>
              <w:jc w:val="left"/>
            </w:pPr>
            <w:r>
              <w:rPr>
                <w:rFonts w:ascii="Arial" w:hAnsi="Arial" w:eastAsia="Arial"/>
                <w:b w:val="0"/>
                <w:i w:val="0"/>
                <w:color w:val="1F1F1F"/>
                <w:sz w:val="15"/>
              </w:rPr>
              <w:t>HRS all-row Core-3 vs AIP, ΔAUROC</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8F2ABF4">
            <w:pPr>
              <w:spacing w:before="0" w:after="0" w:line="240" w:lineRule="auto"/>
              <w:jc w:val="left"/>
            </w:pPr>
            <w:r>
              <w:rPr>
                <w:rFonts w:ascii="Arial" w:hAnsi="Arial" w:eastAsia="Arial"/>
                <w:b w:val="0"/>
                <w:i w:val="0"/>
                <w:color w:val="1F1F1F"/>
                <w:sz w:val="15"/>
              </w:rPr>
              <w:t>+0.80 percentage points</w:t>
            </w:r>
          </w:p>
        </w:tc>
        <w:tc>
          <w:tcPr>
            <w:tcW w:w="47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8F58580">
            <w:pPr>
              <w:spacing w:before="0" w:after="0" w:line="240" w:lineRule="auto"/>
              <w:jc w:val="left"/>
            </w:pPr>
            <w:r>
              <w:rPr>
                <w:rFonts w:ascii="Arial" w:hAnsi="Arial" w:eastAsia="Arial"/>
                <w:b w:val="0"/>
                <w:i w:val="0"/>
                <w:color w:val="1F1F1F"/>
                <w:sz w:val="15"/>
              </w:rPr>
              <w:t>Core-3 performed slightly better on discrimination</w:t>
            </w:r>
          </w:p>
        </w:tc>
      </w:tr>
      <w:tr w14:paraId="062515A0">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80C36C1">
            <w:pPr>
              <w:spacing w:before="0" w:after="0" w:line="240" w:lineRule="auto"/>
              <w:jc w:val="left"/>
            </w:pPr>
            <w:r>
              <w:rPr>
                <w:rFonts w:ascii="Arial" w:hAnsi="Arial" w:eastAsia="Arial"/>
                <w:b w:val="0"/>
                <w:i w:val="0"/>
                <w:color w:val="1F1F1F"/>
                <w:sz w:val="15"/>
              </w:rPr>
              <w:t>Frozen-score distribution shift</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800CA93">
            <w:pPr>
              <w:spacing w:before="0" w:after="0" w:line="240" w:lineRule="auto"/>
              <w:jc w:val="left"/>
            </w:pPr>
            <w:r>
              <w:rPr>
                <w:rFonts w:ascii="Arial" w:hAnsi="Arial" w:eastAsia="Arial"/>
                <w:b w:val="0"/>
                <w:i w:val="0"/>
                <w:color w:val="1F1F1F"/>
                <w:sz w:val="15"/>
              </w:rPr>
              <w:t>Moderate-or-larger shift detected</w:t>
            </w:r>
          </w:p>
        </w:tc>
        <w:tc>
          <w:tcPr>
            <w:tcW w:w="475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2A3AD04">
            <w:pPr>
              <w:spacing w:before="0" w:after="0" w:line="240" w:lineRule="auto"/>
              <w:jc w:val="left"/>
            </w:pPr>
            <w:r>
              <w:rPr>
                <w:rFonts w:ascii="Arial" w:hAnsi="Arial" w:eastAsia="Arial"/>
                <w:b w:val="0"/>
                <w:i w:val="0"/>
                <w:color w:val="1F1F1F"/>
                <w:sz w:val="15"/>
              </w:rPr>
              <w:t>Limits direct transport interpretation</w:t>
            </w:r>
          </w:p>
        </w:tc>
      </w:tr>
      <w:tr w14:paraId="0998F527">
        <w:tblPrEx>
          <w:tblCellMar>
            <w:top w:w="0" w:type="dxa"/>
            <w:left w:w="108" w:type="dxa"/>
            <w:bottom w:w="0" w:type="dxa"/>
            <w:right w:w="108" w:type="dxa"/>
          </w:tblCellMar>
        </w:tblPrEx>
        <w:trPr>
          <w:cantSplit/>
          <w:jc w:val="center"/>
        </w:trPr>
        <w:tc>
          <w:tcPr>
            <w:tcW w:w="32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EA02B80">
            <w:pPr>
              <w:spacing w:before="0" w:after="0" w:line="240" w:lineRule="auto"/>
              <w:jc w:val="left"/>
            </w:pPr>
            <w:r>
              <w:rPr>
                <w:rFonts w:ascii="Arial" w:hAnsi="Arial" w:eastAsia="Arial"/>
                <w:b w:val="0"/>
                <w:i w:val="0"/>
                <w:color w:val="1F1F1F"/>
                <w:sz w:val="15"/>
              </w:rPr>
              <w:t>Primary missingness diagnosis</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4D7652E">
            <w:pPr>
              <w:spacing w:before="0" w:after="0" w:line="240" w:lineRule="auto"/>
              <w:jc w:val="left"/>
            </w:pPr>
            <w:r>
              <w:rPr>
                <w:rFonts w:ascii="Arial" w:hAnsi="Arial" w:eastAsia="Arial"/>
                <w:b w:val="0"/>
                <w:i w:val="0"/>
                <w:color w:val="1F1F1F"/>
                <w:sz w:val="15"/>
              </w:rPr>
              <w:t>Differential imputation materially influenced ELSA contrasts</w:t>
            </w:r>
          </w:p>
        </w:tc>
        <w:tc>
          <w:tcPr>
            <w:tcW w:w="475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906A6CF">
            <w:pPr>
              <w:spacing w:before="0" w:after="0" w:line="240" w:lineRule="auto"/>
              <w:jc w:val="left"/>
            </w:pPr>
            <w:r>
              <w:rPr>
                <w:rFonts w:ascii="Arial" w:hAnsi="Arial" w:eastAsia="Arial"/>
                <w:b w:val="0"/>
                <w:i w:val="0"/>
                <w:color w:val="1F1F1F"/>
                <w:sz w:val="15"/>
              </w:rPr>
              <w:t>Sensitivity evidence; the frozen all-row validation remains primary</w:t>
            </w:r>
          </w:p>
        </w:tc>
      </w:tr>
    </w:tbl>
    <w:p w14:paraId="7006A82E">
      <w:pPr>
        <w:keepNext/>
        <w:spacing w:before="140" w:after="80"/>
      </w:pPr>
      <w:r>
        <w:rPr>
          <w:rFonts w:ascii="Arial" w:hAnsi="Arial" w:eastAsia="Arial"/>
          <w:b/>
          <w:i w:val="0"/>
          <w:color w:val="1F4E78"/>
          <w:sz w:val="18"/>
        </w:rPr>
        <w:t>Panel B. Frozen-component heterogeneity between ELSA temporal validation and HRS external validation</w:t>
      </w:r>
    </w:p>
    <w:tbl>
      <w:tblPr>
        <w:tblStyle w:val="32"/>
        <w:tblW w:w="0" w:type="auto"/>
        <w:jc w:val="center"/>
        <w:tblLayout w:type="fixed"/>
        <w:tblCellMar>
          <w:top w:w="0" w:type="dxa"/>
          <w:left w:w="108" w:type="dxa"/>
          <w:bottom w:w="0" w:type="dxa"/>
          <w:right w:w="108" w:type="dxa"/>
        </w:tblCellMar>
      </w:tblPr>
      <w:tblGrid>
        <w:gridCol w:w="3374"/>
        <w:gridCol w:w="3374"/>
        <w:gridCol w:w="3374"/>
      </w:tblGrid>
      <w:tr w14:paraId="20C399E6">
        <w:tblPrEx>
          <w:tblCellMar>
            <w:top w:w="0" w:type="dxa"/>
            <w:left w:w="108" w:type="dxa"/>
            <w:bottom w:w="0" w:type="dxa"/>
            <w:right w:w="108" w:type="dxa"/>
          </w:tblCellMar>
        </w:tblPrEx>
        <w:trPr>
          <w:cantSplit/>
          <w:tblHeader/>
          <w:jc w:val="center"/>
        </w:trPr>
        <w:tc>
          <w:tcPr>
            <w:tcW w:w="3671"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B344B56">
            <w:pPr>
              <w:spacing w:before="0" w:after="0" w:line="240" w:lineRule="auto"/>
              <w:jc w:val="center"/>
            </w:pPr>
            <w:r>
              <w:rPr>
                <w:rFonts w:ascii="Arial" w:hAnsi="Arial" w:eastAsia="Arial"/>
                <w:b/>
                <w:i w:val="0"/>
                <w:color w:val="FFFFFF"/>
                <w:sz w:val="14"/>
              </w:rPr>
              <w:t>Diagnostic item</w:t>
            </w:r>
          </w:p>
        </w:tc>
        <w:tc>
          <w:tcPr>
            <w:tcW w:w="244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34F61BF1">
            <w:pPr>
              <w:spacing w:before="0" w:after="0" w:line="240" w:lineRule="auto"/>
              <w:jc w:val="center"/>
            </w:pPr>
            <w:r>
              <w:rPr>
                <w:rFonts w:ascii="Arial" w:hAnsi="Arial" w:eastAsia="Arial"/>
                <w:b/>
                <w:i w:val="0"/>
                <w:color w:val="FFFFFF"/>
                <w:sz w:val="14"/>
              </w:rPr>
              <w:t>Estimate / decision</w:t>
            </w:r>
          </w:p>
        </w:tc>
        <w:tc>
          <w:tcPr>
            <w:tcW w:w="453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4CD29859">
            <w:pPr>
              <w:spacing w:before="0" w:after="0" w:line="240" w:lineRule="auto"/>
              <w:jc w:val="center"/>
            </w:pPr>
            <w:r>
              <w:rPr>
                <w:rFonts w:ascii="Arial" w:hAnsi="Arial" w:eastAsia="Arial"/>
                <w:b/>
                <w:i w:val="0"/>
                <w:color w:val="FFFFFF"/>
                <w:sz w:val="14"/>
              </w:rPr>
              <w:t>Scale / interpretation</w:t>
            </w:r>
          </w:p>
        </w:tc>
      </w:tr>
      <w:tr w14:paraId="382B6E77">
        <w:tblPrEx>
          <w:tblCellMar>
            <w:top w:w="0" w:type="dxa"/>
            <w:left w:w="108" w:type="dxa"/>
            <w:bottom w:w="0" w:type="dxa"/>
            <w:right w:w="108" w:type="dxa"/>
          </w:tblCellMar>
        </w:tblPrEx>
        <w:trPr>
          <w:cantSplit/>
          <w:jc w:val="center"/>
        </w:trPr>
        <w:tc>
          <w:tcPr>
            <w:tcW w:w="367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E7DBA19">
            <w:pPr>
              <w:spacing w:before="0" w:after="0" w:line="240" w:lineRule="auto"/>
              <w:jc w:val="left"/>
            </w:pPr>
            <w:r>
              <w:rPr>
                <w:rFonts w:ascii="Arial" w:hAnsi="Arial" w:eastAsia="Arial"/>
                <w:b w:val="0"/>
                <w:i w:val="0"/>
                <w:color w:val="1F1F1F"/>
                <w:sz w:val="14"/>
              </w:rPr>
              <w:t>Joint log-glucose component β, ELSA temporal validation</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28BCEA4">
            <w:pPr>
              <w:spacing w:before="0" w:after="0" w:line="240" w:lineRule="auto"/>
              <w:jc w:val="center"/>
            </w:pPr>
            <w:r>
              <w:rPr>
                <w:rFonts w:ascii="Arial" w:hAnsi="Arial" w:eastAsia="Arial"/>
                <w:b w:val="0"/>
                <w:i w:val="0"/>
                <w:color w:val="1F1F1F"/>
                <w:sz w:val="14"/>
              </w:rPr>
              <w:t>−0.065</w:t>
            </w:r>
          </w:p>
        </w:tc>
        <w:tc>
          <w:tcPr>
            <w:tcW w:w="45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A5C0BD0">
            <w:pPr>
              <w:spacing w:before="0" w:after="0" w:line="240" w:lineRule="auto"/>
              <w:jc w:val="left"/>
            </w:pPr>
            <w:r>
              <w:rPr>
                <w:rFonts w:ascii="Arial" w:hAnsi="Arial" w:eastAsia="Arial"/>
                <w:b w:val="0"/>
                <w:i w:val="0"/>
                <w:color w:val="1F1F1F"/>
                <w:sz w:val="14"/>
              </w:rPr>
              <w:t>Log-odds coefficient per frozen ELSA-development component SD</w:t>
            </w:r>
          </w:p>
        </w:tc>
      </w:tr>
      <w:tr w14:paraId="285FB16B">
        <w:tblPrEx>
          <w:tblCellMar>
            <w:top w:w="0" w:type="dxa"/>
            <w:left w:w="108" w:type="dxa"/>
            <w:bottom w:w="0" w:type="dxa"/>
            <w:right w:w="108" w:type="dxa"/>
          </w:tblCellMar>
        </w:tblPrEx>
        <w:trPr>
          <w:cantSplit/>
          <w:jc w:val="center"/>
        </w:trPr>
        <w:tc>
          <w:tcPr>
            <w:tcW w:w="367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7B7ED20">
            <w:pPr>
              <w:spacing w:before="0" w:after="0" w:line="240" w:lineRule="auto"/>
              <w:jc w:val="left"/>
            </w:pPr>
            <w:r>
              <w:rPr>
                <w:rFonts w:ascii="Arial" w:hAnsi="Arial" w:eastAsia="Arial"/>
                <w:b w:val="0"/>
                <w:i w:val="0"/>
                <w:color w:val="1F1F1F"/>
                <w:sz w:val="14"/>
              </w:rPr>
              <w:t>Joint log-glucose component β, HRS external validation</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A095C59">
            <w:pPr>
              <w:spacing w:before="0" w:after="0" w:line="240" w:lineRule="auto"/>
              <w:jc w:val="center"/>
            </w:pPr>
            <w:r>
              <w:rPr>
                <w:rFonts w:ascii="Arial" w:hAnsi="Arial" w:eastAsia="Arial"/>
                <w:b w:val="0"/>
                <w:i w:val="0"/>
                <w:color w:val="1F1F1F"/>
                <w:sz w:val="14"/>
              </w:rPr>
              <w:t>0.072</w:t>
            </w:r>
          </w:p>
        </w:tc>
        <w:tc>
          <w:tcPr>
            <w:tcW w:w="45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9C4F545">
            <w:pPr>
              <w:spacing w:before="0" w:after="0" w:line="240" w:lineRule="auto"/>
              <w:jc w:val="left"/>
            </w:pPr>
            <w:r>
              <w:rPr>
                <w:rFonts w:ascii="Arial" w:hAnsi="Arial" w:eastAsia="Arial"/>
                <w:b w:val="0"/>
                <w:i w:val="0"/>
                <w:color w:val="1F1F1F"/>
                <w:sz w:val="14"/>
              </w:rPr>
              <w:t>Log-odds coefficient per frozen ELSA-development component SD</w:t>
            </w:r>
          </w:p>
        </w:tc>
      </w:tr>
      <w:tr w14:paraId="17348878">
        <w:tblPrEx>
          <w:tblCellMar>
            <w:top w:w="0" w:type="dxa"/>
            <w:left w:w="108" w:type="dxa"/>
            <w:bottom w:w="0" w:type="dxa"/>
            <w:right w:w="108" w:type="dxa"/>
          </w:tblCellMar>
        </w:tblPrEx>
        <w:trPr>
          <w:cantSplit/>
          <w:jc w:val="center"/>
        </w:trPr>
        <w:tc>
          <w:tcPr>
            <w:tcW w:w="367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5EBAD4A">
            <w:pPr>
              <w:spacing w:before="0" w:after="0" w:line="240" w:lineRule="auto"/>
              <w:jc w:val="left"/>
            </w:pPr>
            <w:r>
              <w:rPr>
                <w:rFonts w:ascii="Arial" w:hAnsi="Arial" w:eastAsia="Arial"/>
                <w:b w:val="0"/>
                <w:i w:val="0"/>
                <w:color w:val="1F1F1F"/>
                <w:sz w:val="14"/>
              </w:rPr>
              <w:t>Difference in β, HRS minus ELSA</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4346B03">
            <w:pPr>
              <w:spacing w:before="0" w:after="0" w:line="240" w:lineRule="auto"/>
              <w:jc w:val="center"/>
            </w:pPr>
            <w:r>
              <w:rPr>
                <w:rFonts w:ascii="Arial" w:hAnsi="Arial" w:eastAsia="Arial"/>
                <w:b w:val="0"/>
                <w:i w:val="0"/>
                <w:color w:val="1F1F1F"/>
                <w:sz w:val="14"/>
              </w:rPr>
              <w:t>0.138</w:t>
            </w:r>
          </w:p>
        </w:tc>
        <w:tc>
          <w:tcPr>
            <w:tcW w:w="45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93A4AE6">
            <w:pPr>
              <w:spacing w:before="0" w:after="0" w:line="240" w:lineRule="auto"/>
              <w:jc w:val="left"/>
            </w:pPr>
            <w:r>
              <w:rPr>
                <w:rFonts w:ascii="Arial" w:hAnsi="Arial" w:eastAsia="Arial"/>
                <w:b w:val="0"/>
                <w:i w:val="0"/>
                <w:color w:val="1F1F1F"/>
                <w:sz w:val="14"/>
              </w:rPr>
              <w:t>Same frozen component-SD and log-odds scale</w:t>
            </w:r>
          </w:p>
        </w:tc>
      </w:tr>
      <w:tr w14:paraId="58283A9A">
        <w:tblPrEx>
          <w:tblCellMar>
            <w:top w:w="0" w:type="dxa"/>
            <w:left w:w="108" w:type="dxa"/>
            <w:bottom w:w="0" w:type="dxa"/>
            <w:right w:w="108" w:type="dxa"/>
          </w:tblCellMar>
        </w:tblPrEx>
        <w:trPr>
          <w:cantSplit/>
          <w:jc w:val="center"/>
        </w:trPr>
        <w:tc>
          <w:tcPr>
            <w:tcW w:w="367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27EDEC5">
            <w:pPr>
              <w:spacing w:before="0" w:after="0" w:line="240" w:lineRule="auto"/>
              <w:jc w:val="left"/>
            </w:pPr>
            <w:r>
              <w:rPr>
                <w:rFonts w:ascii="Arial" w:hAnsi="Arial" w:eastAsia="Arial"/>
                <w:b w:val="0"/>
                <w:i w:val="0"/>
                <w:color w:val="1F1F1F"/>
                <w:sz w:val="14"/>
              </w:rPr>
              <w:t>Stage × log-glucose interaction P value</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61F68B4">
            <w:pPr>
              <w:spacing w:before="0" w:after="0" w:line="240" w:lineRule="auto"/>
              <w:jc w:val="center"/>
            </w:pPr>
            <w:r>
              <w:rPr>
                <w:rFonts w:ascii="Arial" w:hAnsi="Arial" w:eastAsia="Arial"/>
                <w:b w:val="0"/>
                <w:i w:val="0"/>
                <w:color w:val="1F1F1F"/>
                <w:sz w:val="14"/>
              </w:rPr>
              <w:t>0.100</w:t>
            </w:r>
          </w:p>
        </w:tc>
        <w:tc>
          <w:tcPr>
            <w:tcW w:w="45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B2B6389">
            <w:pPr>
              <w:spacing w:before="0" w:after="0" w:line="240" w:lineRule="auto"/>
              <w:jc w:val="left"/>
            </w:pPr>
            <w:r>
              <w:rPr>
                <w:rFonts w:ascii="Arial" w:hAnsi="Arial" w:eastAsia="Arial"/>
                <w:b w:val="0"/>
                <w:i w:val="0"/>
                <w:color w:val="1F1F1F"/>
                <w:sz w:val="14"/>
              </w:rPr>
              <w:t>Not decisive at α=0.05</w:t>
            </w:r>
          </w:p>
        </w:tc>
      </w:tr>
      <w:tr w14:paraId="0EF11755">
        <w:tblPrEx>
          <w:tblCellMar>
            <w:top w:w="0" w:type="dxa"/>
            <w:left w:w="108" w:type="dxa"/>
            <w:bottom w:w="0" w:type="dxa"/>
            <w:right w:w="108" w:type="dxa"/>
          </w:tblCellMar>
        </w:tblPrEx>
        <w:trPr>
          <w:cantSplit/>
          <w:jc w:val="center"/>
        </w:trPr>
        <w:tc>
          <w:tcPr>
            <w:tcW w:w="367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BE2714C">
            <w:pPr>
              <w:spacing w:before="0" w:after="0" w:line="240" w:lineRule="auto"/>
              <w:jc w:val="left"/>
            </w:pPr>
            <w:r>
              <w:rPr>
                <w:rFonts w:ascii="Arial" w:hAnsi="Arial" w:eastAsia="Arial"/>
                <w:b w:val="0"/>
                <w:i w:val="0"/>
                <w:color w:val="1F1F1F"/>
                <w:sz w:val="14"/>
              </w:rPr>
              <w:t>Complete-case difference in β, HRS minus ELSA</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452487A">
            <w:pPr>
              <w:spacing w:before="0" w:after="0" w:line="240" w:lineRule="auto"/>
              <w:jc w:val="center"/>
            </w:pPr>
            <w:r>
              <w:rPr>
                <w:rFonts w:ascii="Arial" w:hAnsi="Arial" w:eastAsia="Arial"/>
                <w:b w:val="0"/>
                <w:i w:val="0"/>
                <w:color w:val="1F1F1F"/>
                <w:sz w:val="14"/>
              </w:rPr>
              <w:t>0.081</w:t>
            </w:r>
          </w:p>
        </w:tc>
        <w:tc>
          <w:tcPr>
            <w:tcW w:w="45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B5EE3B8">
            <w:pPr>
              <w:spacing w:before="0" w:after="0" w:line="240" w:lineRule="auto"/>
              <w:jc w:val="left"/>
            </w:pPr>
            <w:r>
              <w:rPr>
                <w:rFonts w:ascii="Arial" w:hAnsi="Arial" w:eastAsia="Arial"/>
                <w:b w:val="0"/>
                <w:i w:val="0"/>
                <w:color w:val="1F1F1F"/>
                <w:sz w:val="14"/>
              </w:rPr>
              <w:t>Interaction P=0.420</w:t>
            </w:r>
          </w:p>
        </w:tc>
      </w:tr>
      <w:tr w14:paraId="1DFB21AA">
        <w:tblPrEx>
          <w:tblCellMar>
            <w:top w:w="0" w:type="dxa"/>
            <w:left w:w="108" w:type="dxa"/>
            <w:bottom w:w="0" w:type="dxa"/>
            <w:right w:w="108" w:type="dxa"/>
          </w:tblCellMar>
        </w:tblPrEx>
        <w:trPr>
          <w:cantSplit/>
          <w:jc w:val="center"/>
        </w:trPr>
        <w:tc>
          <w:tcPr>
            <w:tcW w:w="367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0E96420">
            <w:pPr>
              <w:spacing w:before="0" w:after="0" w:line="240" w:lineRule="auto"/>
              <w:jc w:val="left"/>
            </w:pPr>
            <w:r>
              <w:rPr>
                <w:rFonts w:ascii="Arial" w:hAnsi="Arial" w:eastAsia="Arial"/>
                <w:b w:val="0"/>
                <w:i w:val="0"/>
                <w:color w:val="1F1F1F"/>
                <w:sz w:val="14"/>
              </w:rPr>
              <w:t>Three-component omnibus interaction P, all rows</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84471F4">
            <w:pPr>
              <w:spacing w:before="0" w:after="0" w:line="240" w:lineRule="auto"/>
              <w:jc w:val="center"/>
            </w:pPr>
            <w:r>
              <w:rPr>
                <w:rFonts w:ascii="Arial" w:hAnsi="Arial" w:eastAsia="Arial"/>
                <w:b w:val="0"/>
                <w:i w:val="0"/>
                <w:color w:val="1F1F1F"/>
                <w:sz w:val="14"/>
              </w:rPr>
              <w:t>0.188</w:t>
            </w:r>
          </w:p>
        </w:tc>
        <w:tc>
          <w:tcPr>
            <w:tcW w:w="45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DCC5A09">
            <w:pPr>
              <w:spacing w:before="0" w:after="0" w:line="240" w:lineRule="auto"/>
              <w:jc w:val="left"/>
            </w:pPr>
            <w:r>
              <w:rPr>
                <w:rFonts w:ascii="Arial" w:hAnsi="Arial" w:eastAsia="Arial"/>
                <w:b w:val="0"/>
                <w:i w:val="0"/>
                <w:color w:val="1F1F1F"/>
                <w:sz w:val="14"/>
              </w:rPr>
              <w:t>No decisive joint heterogeneity</w:t>
            </w:r>
          </w:p>
        </w:tc>
      </w:tr>
      <w:tr w14:paraId="3217BBAA">
        <w:tblPrEx>
          <w:tblCellMar>
            <w:top w:w="0" w:type="dxa"/>
            <w:left w:w="108" w:type="dxa"/>
            <w:bottom w:w="0" w:type="dxa"/>
            <w:right w:w="108" w:type="dxa"/>
          </w:tblCellMar>
        </w:tblPrEx>
        <w:trPr>
          <w:cantSplit/>
          <w:jc w:val="center"/>
        </w:trPr>
        <w:tc>
          <w:tcPr>
            <w:tcW w:w="367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B21245E">
            <w:pPr>
              <w:spacing w:before="0" w:after="0" w:line="240" w:lineRule="auto"/>
              <w:jc w:val="left"/>
            </w:pPr>
            <w:r>
              <w:rPr>
                <w:rFonts w:ascii="Arial" w:hAnsi="Arial" w:eastAsia="Arial"/>
                <w:b w:val="0"/>
                <w:i w:val="0"/>
                <w:color w:val="1F1F1F"/>
                <w:sz w:val="14"/>
              </w:rPr>
              <w:t>Three-component omnibus interaction P, complete cases</w:t>
            </w:r>
          </w:p>
        </w:tc>
        <w:tc>
          <w:tcPr>
            <w:tcW w:w="244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143A29E">
            <w:pPr>
              <w:spacing w:before="0" w:after="0" w:line="240" w:lineRule="auto"/>
              <w:jc w:val="center"/>
            </w:pPr>
            <w:r>
              <w:rPr>
                <w:rFonts w:ascii="Arial" w:hAnsi="Arial" w:eastAsia="Arial"/>
                <w:b w:val="0"/>
                <w:i w:val="0"/>
                <w:color w:val="1F1F1F"/>
                <w:sz w:val="14"/>
              </w:rPr>
              <w:t>0.262</w:t>
            </w:r>
          </w:p>
        </w:tc>
        <w:tc>
          <w:tcPr>
            <w:tcW w:w="453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EA8F486">
            <w:pPr>
              <w:spacing w:before="0" w:after="0" w:line="240" w:lineRule="auto"/>
              <w:jc w:val="left"/>
            </w:pPr>
            <w:r>
              <w:rPr>
                <w:rFonts w:ascii="Arial" w:hAnsi="Arial" w:eastAsia="Arial"/>
                <w:b w:val="0"/>
                <w:i w:val="0"/>
                <w:color w:val="1F1F1F"/>
                <w:sz w:val="14"/>
              </w:rPr>
              <w:t>No decisive joint heterogeneity</w:t>
            </w:r>
          </w:p>
        </w:tc>
      </w:tr>
      <w:tr w14:paraId="5B7A88B2">
        <w:tblPrEx>
          <w:tblCellMar>
            <w:top w:w="0" w:type="dxa"/>
            <w:left w:w="108" w:type="dxa"/>
            <w:bottom w:w="0" w:type="dxa"/>
            <w:right w:w="108" w:type="dxa"/>
          </w:tblCellMar>
        </w:tblPrEx>
        <w:trPr>
          <w:cantSplit/>
          <w:jc w:val="center"/>
        </w:trPr>
        <w:tc>
          <w:tcPr>
            <w:tcW w:w="367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FE689FB">
            <w:pPr>
              <w:spacing w:before="0" w:after="0" w:line="240" w:lineRule="auto"/>
              <w:jc w:val="left"/>
            </w:pPr>
            <w:r>
              <w:rPr>
                <w:rFonts w:ascii="Arial" w:hAnsi="Arial" w:eastAsia="Arial"/>
                <w:b w:val="0"/>
                <w:i w:val="0"/>
                <w:color w:val="1F1F1F"/>
                <w:sz w:val="14"/>
              </w:rPr>
              <w:t>Formal component-heterogeneity diagnosis</w:t>
            </w:r>
          </w:p>
        </w:tc>
        <w:tc>
          <w:tcPr>
            <w:tcW w:w="244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03E2C57">
            <w:pPr>
              <w:spacing w:before="0" w:after="0" w:line="240" w:lineRule="auto"/>
              <w:jc w:val="center"/>
            </w:pPr>
            <w:r>
              <w:rPr>
                <w:rFonts w:ascii="Arial" w:hAnsi="Arial" w:eastAsia="Arial"/>
                <w:b w:val="0"/>
                <w:i w:val="0"/>
                <w:color w:val="1F1F1F"/>
                <w:sz w:val="14"/>
              </w:rPr>
              <w:t>Limited formal evidence with residual effect differences</w:t>
            </w:r>
          </w:p>
        </w:tc>
        <w:tc>
          <w:tcPr>
            <w:tcW w:w="453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BA38E0F">
            <w:pPr>
              <w:spacing w:before="0" w:after="0" w:line="240" w:lineRule="auto"/>
              <w:jc w:val="left"/>
            </w:pPr>
            <w:r>
              <w:rPr>
                <w:rFonts w:ascii="Arial" w:hAnsi="Arial" w:eastAsia="Arial"/>
                <w:b w:val="0"/>
                <w:i w:val="0"/>
                <w:color w:val="1F1F1F"/>
                <w:sz w:val="14"/>
              </w:rPr>
              <w:t>Event counts limited interaction precision</w:t>
            </w:r>
          </w:p>
        </w:tc>
      </w:tr>
    </w:tbl>
    <w:p w14:paraId="7950433D">
      <w:pPr>
        <w:keepNext/>
        <w:spacing w:before="140" w:after="80"/>
      </w:pPr>
      <w:r>
        <w:rPr>
          <w:rFonts w:ascii="Arial" w:hAnsi="Arial" w:eastAsia="Arial"/>
          <w:b/>
          <w:i w:val="0"/>
          <w:color w:val="1F4E78"/>
          <w:sz w:val="18"/>
        </w:rPr>
        <w:t>Panel C. Exploratory reverse-transport diagnosis</w:t>
      </w:r>
    </w:p>
    <w:tbl>
      <w:tblPr>
        <w:tblStyle w:val="32"/>
        <w:tblW w:w="0" w:type="auto"/>
        <w:jc w:val="center"/>
        <w:tblLayout w:type="fixed"/>
        <w:tblCellMar>
          <w:top w:w="0" w:type="dxa"/>
          <w:left w:w="108" w:type="dxa"/>
          <w:bottom w:w="0" w:type="dxa"/>
          <w:right w:w="108" w:type="dxa"/>
        </w:tblCellMar>
      </w:tblPr>
      <w:tblGrid>
        <w:gridCol w:w="3374"/>
        <w:gridCol w:w="3374"/>
        <w:gridCol w:w="3374"/>
      </w:tblGrid>
      <w:tr w14:paraId="1C69ABE0">
        <w:tblPrEx>
          <w:tblCellMar>
            <w:top w:w="0" w:type="dxa"/>
            <w:left w:w="108" w:type="dxa"/>
            <w:bottom w:w="0" w:type="dxa"/>
            <w:right w:w="108" w:type="dxa"/>
          </w:tblCellMar>
        </w:tblPrEx>
        <w:trPr>
          <w:cantSplit/>
          <w:tblHeader/>
          <w:jc w:val="center"/>
        </w:trPr>
        <w:tc>
          <w:tcPr>
            <w:tcW w:w="381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92C9AD0">
            <w:pPr>
              <w:spacing w:before="0" w:after="0" w:line="240" w:lineRule="auto"/>
              <w:jc w:val="center"/>
            </w:pPr>
            <w:r>
              <w:rPr>
                <w:rFonts w:ascii="Arial" w:hAnsi="Arial" w:eastAsia="Arial"/>
                <w:b/>
                <w:i w:val="0"/>
                <w:color w:val="FFFFFF"/>
                <w:sz w:val="14"/>
              </w:rPr>
              <w:t>Comparison</w:t>
            </w:r>
          </w:p>
        </w:tc>
        <w:tc>
          <w:tcPr>
            <w:tcW w:w="302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760D1B7">
            <w:pPr>
              <w:spacing w:before="0" w:after="0" w:line="240" w:lineRule="auto"/>
              <w:jc w:val="center"/>
            </w:pPr>
            <w:r>
              <w:rPr>
                <w:rFonts w:ascii="Arial" w:hAnsi="Arial" w:eastAsia="Arial"/>
                <w:b/>
                <w:i w:val="0"/>
                <w:color w:val="FFFFFF"/>
                <w:sz w:val="14"/>
              </w:rPr>
              <w:t>Majority-win probability / decision</w:t>
            </w:r>
          </w:p>
        </w:tc>
        <w:tc>
          <w:tcPr>
            <w:tcW w:w="381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990DD76">
            <w:pPr>
              <w:spacing w:before="0" w:after="0" w:line="240" w:lineRule="auto"/>
              <w:jc w:val="center"/>
            </w:pPr>
            <w:r>
              <w:rPr>
                <w:rFonts w:ascii="Arial" w:hAnsi="Arial" w:eastAsia="Arial"/>
                <w:b/>
                <w:i w:val="0"/>
                <w:color w:val="FFFFFF"/>
                <w:sz w:val="14"/>
              </w:rPr>
              <w:t>Interpretation</w:t>
            </w:r>
          </w:p>
        </w:tc>
      </w:tr>
      <w:tr w14:paraId="753EE47D">
        <w:tblPrEx>
          <w:tblCellMar>
            <w:top w:w="0" w:type="dxa"/>
            <w:left w:w="108" w:type="dxa"/>
            <w:bottom w:w="0" w:type="dxa"/>
            <w:right w:w="108" w:type="dxa"/>
          </w:tblCellMar>
        </w:tblPrEx>
        <w:trPr>
          <w:cantSplit/>
          <w:jc w:val="center"/>
        </w:trPr>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5425C34">
            <w:pPr>
              <w:spacing w:before="0" w:after="0" w:line="240" w:lineRule="auto"/>
              <w:jc w:val="left"/>
            </w:pPr>
            <w:r>
              <w:rPr>
                <w:rFonts w:ascii="Arial" w:hAnsi="Arial" w:eastAsia="Arial"/>
                <w:b w:val="0"/>
                <w:i w:val="0"/>
                <w:color w:val="1F1F1F"/>
                <w:sz w:val="14"/>
              </w:rPr>
              <w:t>HRS grouped OOF: Core-3 vs TyG</w:t>
            </w:r>
          </w:p>
        </w:tc>
        <w:tc>
          <w:tcPr>
            <w:tcW w:w="30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0CB624B">
            <w:pPr>
              <w:spacing w:before="0" w:after="0" w:line="240" w:lineRule="auto"/>
              <w:jc w:val="center"/>
            </w:pPr>
            <w:r>
              <w:rPr>
                <w:rFonts w:ascii="Arial" w:hAnsi="Arial" w:eastAsia="Arial"/>
                <w:b w:val="0"/>
                <w:i w:val="0"/>
                <w:color w:val="1F1F1F"/>
                <w:sz w:val="14"/>
              </w:rPr>
              <w:t>82.4%</w:t>
            </w:r>
          </w:p>
        </w:tc>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49D9EA5">
            <w:pPr>
              <w:spacing w:before="0" w:after="0" w:line="240" w:lineRule="auto"/>
              <w:jc w:val="left"/>
            </w:pPr>
            <w:r>
              <w:rPr>
                <w:rFonts w:ascii="Arial" w:hAnsi="Arial" w:eastAsia="Arial"/>
                <w:b w:val="0"/>
                <w:i w:val="0"/>
                <w:color w:val="1F1F1F"/>
                <w:sz w:val="14"/>
              </w:rPr>
              <w:t>Majority-win probability favored Core-3</w:t>
            </w:r>
          </w:p>
        </w:tc>
      </w:tr>
      <w:tr w14:paraId="2061E102">
        <w:tblPrEx>
          <w:tblCellMar>
            <w:top w:w="0" w:type="dxa"/>
            <w:left w:w="108" w:type="dxa"/>
            <w:bottom w:w="0" w:type="dxa"/>
            <w:right w:w="108" w:type="dxa"/>
          </w:tblCellMar>
        </w:tblPrEx>
        <w:trPr>
          <w:cantSplit/>
          <w:jc w:val="center"/>
        </w:trPr>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328EE49">
            <w:pPr>
              <w:spacing w:before="0" w:after="0" w:line="240" w:lineRule="auto"/>
              <w:jc w:val="left"/>
            </w:pPr>
            <w:r>
              <w:rPr>
                <w:rFonts w:ascii="Arial" w:hAnsi="Arial" w:eastAsia="Arial"/>
                <w:b w:val="0"/>
                <w:i w:val="0"/>
                <w:color w:val="1F1F1F"/>
                <w:sz w:val="14"/>
              </w:rPr>
              <w:t>HRS grouped OOF: Core-3 vs AIP</w:t>
            </w:r>
          </w:p>
        </w:tc>
        <w:tc>
          <w:tcPr>
            <w:tcW w:w="30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EAC5AD2">
            <w:pPr>
              <w:spacing w:before="0" w:after="0" w:line="240" w:lineRule="auto"/>
              <w:jc w:val="center"/>
            </w:pPr>
            <w:r>
              <w:rPr>
                <w:rFonts w:ascii="Arial" w:hAnsi="Arial" w:eastAsia="Arial"/>
                <w:b w:val="0"/>
                <w:i w:val="0"/>
                <w:color w:val="1F1F1F"/>
                <w:sz w:val="14"/>
              </w:rPr>
              <w:t>95.8%</w:t>
            </w:r>
          </w:p>
        </w:tc>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D5E7126">
            <w:pPr>
              <w:spacing w:before="0" w:after="0" w:line="240" w:lineRule="auto"/>
              <w:jc w:val="left"/>
            </w:pPr>
            <w:r>
              <w:rPr>
                <w:rFonts w:ascii="Arial" w:hAnsi="Arial" w:eastAsia="Arial"/>
                <w:b w:val="0"/>
                <w:i w:val="0"/>
                <w:color w:val="1F1F1F"/>
                <w:sz w:val="14"/>
              </w:rPr>
              <w:t>Majority-win probability favored Core-3</w:t>
            </w:r>
          </w:p>
        </w:tc>
      </w:tr>
      <w:tr w14:paraId="19037827">
        <w:tblPrEx>
          <w:tblCellMar>
            <w:top w:w="0" w:type="dxa"/>
            <w:left w:w="108" w:type="dxa"/>
            <w:bottom w:w="0" w:type="dxa"/>
            <w:right w:w="108" w:type="dxa"/>
          </w:tblCellMar>
        </w:tblPrEx>
        <w:trPr>
          <w:cantSplit/>
          <w:jc w:val="center"/>
        </w:trPr>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AF4BBF7">
            <w:pPr>
              <w:spacing w:before="0" w:after="0" w:line="240" w:lineRule="auto"/>
              <w:jc w:val="left"/>
            </w:pPr>
            <w:r>
              <w:rPr>
                <w:rFonts w:ascii="Arial" w:hAnsi="Arial" w:eastAsia="Arial"/>
                <w:b w:val="0"/>
                <w:i w:val="0"/>
                <w:color w:val="1F1F1F"/>
                <w:sz w:val="14"/>
              </w:rPr>
              <w:t>ELSA temporal validation, HRS-frozen: Core-3 vs TyG</w:t>
            </w:r>
          </w:p>
        </w:tc>
        <w:tc>
          <w:tcPr>
            <w:tcW w:w="30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B8E75B4">
            <w:pPr>
              <w:spacing w:before="0" w:after="0" w:line="240" w:lineRule="auto"/>
              <w:jc w:val="center"/>
            </w:pPr>
            <w:r>
              <w:rPr>
                <w:rFonts w:ascii="Arial" w:hAnsi="Arial" w:eastAsia="Arial"/>
                <w:b w:val="0"/>
                <w:i w:val="0"/>
                <w:color w:val="1F1F1F"/>
                <w:sz w:val="14"/>
              </w:rPr>
              <w:t>68.8%</w:t>
            </w:r>
          </w:p>
        </w:tc>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E7AE734">
            <w:pPr>
              <w:spacing w:before="0" w:after="0" w:line="240" w:lineRule="auto"/>
              <w:jc w:val="left"/>
            </w:pPr>
            <w:r>
              <w:rPr>
                <w:rFonts w:ascii="Arial" w:hAnsi="Arial" w:eastAsia="Arial"/>
                <w:b w:val="0"/>
                <w:i w:val="0"/>
                <w:color w:val="1F1F1F"/>
                <w:sz w:val="14"/>
              </w:rPr>
              <w:t>Partial reverse-direction support</w:t>
            </w:r>
          </w:p>
        </w:tc>
      </w:tr>
      <w:tr w14:paraId="7F09AEA2">
        <w:tblPrEx>
          <w:tblCellMar>
            <w:top w:w="0" w:type="dxa"/>
            <w:left w:w="108" w:type="dxa"/>
            <w:bottom w:w="0" w:type="dxa"/>
            <w:right w:w="108" w:type="dxa"/>
          </w:tblCellMar>
        </w:tblPrEx>
        <w:trPr>
          <w:cantSplit/>
          <w:jc w:val="center"/>
        </w:trPr>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6ECFC1C">
            <w:pPr>
              <w:spacing w:before="0" w:after="0" w:line="240" w:lineRule="auto"/>
              <w:jc w:val="left"/>
            </w:pPr>
            <w:r>
              <w:rPr>
                <w:rFonts w:ascii="Arial" w:hAnsi="Arial" w:eastAsia="Arial"/>
                <w:b w:val="0"/>
                <w:i w:val="0"/>
                <w:color w:val="1F1F1F"/>
                <w:sz w:val="14"/>
              </w:rPr>
              <w:t>ELSA temporal validation, HRS-frozen: Core-3 vs AIP</w:t>
            </w:r>
          </w:p>
        </w:tc>
        <w:tc>
          <w:tcPr>
            <w:tcW w:w="30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7D492EF">
            <w:pPr>
              <w:spacing w:before="0" w:after="0" w:line="240" w:lineRule="auto"/>
              <w:jc w:val="center"/>
            </w:pPr>
            <w:r>
              <w:rPr>
                <w:rFonts w:ascii="Arial" w:hAnsi="Arial" w:eastAsia="Arial"/>
                <w:b w:val="0"/>
                <w:i w:val="0"/>
                <w:color w:val="1F1F1F"/>
                <w:sz w:val="14"/>
              </w:rPr>
              <w:t>87.6%</w:t>
            </w:r>
          </w:p>
        </w:tc>
        <w:tc>
          <w:tcPr>
            <w:tcW w:w="381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2769F17">
            <w:pPr>
              <w:spacing w:before="0" w:after="0" w:line="240" w:lineRule="auto"/>
              <w:jc w:val="left"/>
            </w:pPr>
            <w:r>
              <w:rPr>
                <w:rFonts w:ascii="Arial" w:hAnsi="Arial" w:eastAsia="Arial"/>
                <w:b w:val="0"/>
                <w:i w:val="0"/>
                <w:color w:val="1F1F1F"/>
                <w:sz w:val="14"/>
              </w:rPr>
              <w:t>Partial reverse-direction support</w:t>
            </w:r>
          </w:p>
        </w:tc>
      </w:tr>
      <w:tr w14:paraId="6EA1F541">
        <w:tblPrEx>
          <w:tblCellMar>
            <w:top w:w="0" w:type="dxa"/>
            <w:left w:w="108" w:type="dxa"/>
            <w:bottom w:w="0" w:type="dxa"/>
            <w:right w:w="108" w:type="dxa"/>
          </w:tblCellMar>
        </w:tblPrEx>
        <w:trPr>
          <w:cantSplit/>
          <w:jc w:val="center"/>
        </w:trPr>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B91BF15">
            <w:pPr>
              <w:spacing w:before="0" w:after="0" w:line="240" w:lineRule="auto"/>
              <w:jc w:val="left"/>
            </w:pPr>
            <w:r>
              <w:rPr>
                <w:rFonts w:ascii="Arial" w:hAnsi="Arial" w:eastAsia="Arial"/>
                <w:b w:val="0"/>
                <w:i w:val="0"/>
                <w:color w:val="1F1F1F"/>
                <w:sz w:val="14"/>
              </w:rPr>
              <w:t>Reverse-transport diagnosis</w:t>
            </w:r>
          </w:p>
        </w:tc>
        <w:tc>
          <w:tcPr>
            <w:tcW w:w="30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76632A5">
            <w:pPr>
              <w:spacing w:before="0" w:after="0" w:line="240" w:lineRule="auto"/>
              <w:jc w:val="center"/>
            </w:pPr>
            <w:r>
              <w:rPr>
                <w:rFonts w:ascii="Arial" w:hAnsi="Arial" w:eastAsia="Arial"/>
                <w:b w:val="0"/>
                <w:i w:val="0"/>
                <w:color w:val="1F1F1F"/>
                <w:sz w:val="14"/>
              </w:rPr>
              <w:t>Partial bidirectional transport without clear universal superiority</w:t>
            </w:r>
          </w:p>
        </w:tc>
        <w:tc>
          <w:tcPr>
            <w:tcW w:w="381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669DD1E">
            <w:pPr>
              <w:spacing w:before="0" w:after="0" w:line="240" w:lineRule="auto"/>
              <w:jc w:val="left"/>
            </w:pPr>
            <w:r>
              <w:rPr>
                <w:rFonts w:ascii="Arial" w:hAnsi="Arial" w:eastAsia="Arial"/>
                <w:b w:val="0"/>
                <w:i w:val="0"/>
                <w:color w:val="1F1F1F"/>
                <w:sz w:val="14"/>
              </w:rPr>
              <w:t>Exploratory diagnosis; the primary development hierarchy was not revised</w:t>
            </w:r>
          </w:p>
        </w:tc>
      </w:tr>
    </w:tbl>
    <w:p w14:paraId="32FB9BE6">
      <w:pPr>
        <w:spacing w:before="80" w:after="40" w:line="240" w:lineRule="auto"/>
      </w:pPr>
      <w:r>
        <w:rPr>
          <w:rFonts w:ascii="Arial" w:hAnsi="Arial" w:eastAsia="Arial"/>
          <w:b/>
          <w:i w:val="0"/>
          <w:color w:val="666666"/>
          <w:sz w:val="15"/>
        </w:rPr>
        <w:t xml:space="preserve">Note: </w:t>
      </w:r>
      <w:r>
        <w:rPr>
          <w:rFonts w:ascii="Arial" w:hAnsi="Arial" w:eastAsia="Arial"/>
          <w:b w:val="0"/>
          <w:i w:val="0"/>
          <w:color w:val="666666"/>
          <w:sz w:val="15"/>
        </w:rPr>
        <w:t>Technical and formula errors were effectively ruled out. Differential information completeness materially influenced the ELSA contrasts, while HRS was almost entirely complete for the Core-3 components. Component coefficients are reported on the frozen ELSA-development component-SD log-odds scale. The locked compact heterogeneity output retained point estimates and interaction P values; confidence intervals were not recomputed during table assembly. Reverse transport was exploratory and did not revise the primary development hierarchy.</w:t>
      </w:r>
    </w:p>
    <w:p w14:paraId="28E99BC1">
      <w:pPr>
        <w:sectPr>
          <w:pgSz w:w="11909" w:h="16834"/>
          <w:pgMar w:top="936" w:right="893" w:bottom="936" w:left="893" w:header="720" w:footer="720" w:gutter="0"/>
          <w:cols w:space="720" w:num="1"/>
          <w:docGrid w:linePitch="360" w:charSpace="0"/>
        </w:sectPr>
      </w:pPr>
    </w:p>
    <w:p w14:paraId="4D279CED">
      <w:pPr>
        <w:keepNext/>
        <w:spacing w:before="40" w:after="120"/>
      </w:pPr>
      <w:r>
        <w:rPr>
          <w:rFonts w:ascii="Arial" w:hAnsi="Arial" w:eastAsia="Arial"/>
          <w:b/>
          <w:i w:val="0"/>
          <w:color w:val="1F4E78"/>
          <w:sz w:val="23"/>
        </w:rPr>
        <w:t xml:space="preserve">Table S6. </w:t>
      </w:r>
      <w:r>
        <w:rPr>
          <w:rFonts w:ascii="Arial" w:hAnsi="Arial" w:eastAsia="Arial"/>
          <w:b/>
          <w:i w:val="0"/>
          <w:color w:val="1F1F1F"/>
          <w:sz w:val="23"/>
        </w:rPr>
        <w:t>Machine-learning stability and frozen contribution transport</w:t>
      </w:r>
    </w:p>
    <w:p w14:paraId="7D86AE47">
      <w:pPr>
        <w:keepNext/>
        <w:spacing w:before="140" w:after="80"/>
      </w:pPr>
      <w:r>
        <w:rPr>
          <w:rFonts w:ascii="Arial" w:hAnsi="Arial" w:eastAsia="Arial"/>
          <w:b/>
          <w:i w:val="0"/>
          <w:color w:val="1F4E78"/>
          <w:sz w:val="18"/>
        </w:rPr>
        <w:t>Panel A. Constrained probability-forest design and reporting decision</w:t>
      </w:r>
    </w:p>
    <w:tbl>
      <w:tblPr>
        <w:tblStyle w:val="32"/>
        <w:tblW w:w="0" w:type="auto"/>
        <w:jc w:val="center"/>
        <w:tblLayout w:type="fixed"/>
        <w:tblCellMar>
          <w:top w:w="0" w:type="dxa"/>
          <w:left w:w="108" w:type="dxa"/>
          <w:bottom w:w="0" w:type="dxa"/>
          <w:right w:w="108" w:type="dxa"/>
        </w:tblCellMar>
      </w:tblPr>
      <w:tblGrid>
        <w:gridCol w:w="3374"/>
        <w:gridCol w:w="3374"/>
        <w:gridCol w:w="3374"/>
      </w:tblGrid>
      <w:tr w14:paraId="21D591A1">
        <w:tblPrEx>
          <w:tblCellMar>
            <w:top w:w="0" w:type="dxa"/>
            <w:left w:w="108" w:type="dxa"/>
            <w:bottom w:w="0" w:type="dxa"/>
            <w:right w:w="108" w:type="dxa"/>
          </w:tblCellMar>
        </w:tblPrEx>
        <w:trPr>
          <w:cantSplit/>
          <w:tblHeader/>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4BE0B8F">
            <w:pPr>
              <w:spacing w:before="0" w:after="0" w:line="240" w:lineRule="auto"/>
              <w:jc w:val="center"/>
            </w:pPr>
            <w:r>
              <w:rPr>
                <w:rFonts w:ascii="Arial" w:hAnsi="Arial" w:eastAsia="Arial"/>
                <w:b/>
                <w:i w:val="0"/>
                <w:color w:val="FFFFFF"/>
                <w:sz w:val="15"/>
              </w:rPr>
              <w:t>Item</w:t>
            </w:r>
          </w:p>
        </w:tc>
        <w:tc>
          <w:tcPr>
            <w:tcW w:w="302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86774F0">
            <w:pPr>
              <w:spacing w:before="0" w:after="0" w:line="240" w:lineRule="auto"/>
              <w:jc w:val="center"/>
            </w:pPr>
            <w:r>
              <w:rPr>
                <w:rFonts w:ascii="Arial" w:hAnsi="Arial" w:eastAsia="Arial"/>
                <w:b/>
                <w:i w:val="0"/>
                <w:color w:val="FFFFFF"/>
                <w:sz w:val="15"/>
              </w:rPr>
              <w:t>Locked value</w:t>
            </w:r>
          </w:p>
        </w:tc>
        <w:tc>
          <w:tcPr>
            <w:tcW w:w="554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99A20CD">
            <w:pPr>
              <w:spacing w:before="0" w:after="0" w:line="240" w:lineRule="auto"/>
              <w:jc w:val="center"/>
            </w:pPr>
            <w:r>
              <w:rPr>
                <w:rFonts w:ascii="Arial" w:hAnsi="Arial" w:eastAsia="Arial"/>
                <w:b/>
                <w:i w:val="0"/>
                <w:color w:val="FFFFFF"/>
                <w:sz w:val="15"/>
              </w:rPr>
              <w:t>Interpretation</w:t>
            </w:r>
          </w:p>
        </w:tc>
      </w:tr>
      <w:tr w14:paraId="14AB6828">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50F4CD6">
            <w:pPr>
              <w:spacing w:before="0" w:after="0" w:line="240" w:lineRule="auto"/>
              <w:jc w:val="left"/>
            </w:pPr>
            <w:r>
              <w:rPr>
                <w:rFonts w:ascii="Arial" w:hAnsi="Arial" w:eastAsia="Arial"/>
                <w:b w:val="0"/>
                <w:i w:val="0"/>
                <w:color w:val="1F1F1F"/>
                <w:sz w:val="15"/>
              </w:rPr>
              <w:t>Outer resampling</w:t>
            </w:r>
          </w:p>
        </w:tc>
        <w:tc>
          <w:tcPr>
            <w:tcW w:w="30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A71CC53">
            <w:pPr>
              <w:spacing w:before="0" w:after="0" w:line="240" w:lineRule="auto"/>
              <w:jc w:val="left"/>
            </w:pPr>
            <w:r>
              <w:rPr>
                <w:rFonts w:ascii="Arial" w:hAnsi="Arial" w:eastAsia="Arial"/>
                <w:b w:val="0"/>
                <w:i w:val="0"/>
                <w:color w:val="1F1F1F"/>
                <w:sz w:val="15"/>
              </w:rPr>
              <w:t>5 folds × 10 repeats</w:t>
            </w:r>
          </w:p>
        </w:tc>
        <w:tc>
          <w:tcPr>
            <w:tcW w:w="55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16CEB21">
            <w:pPr>
              <w:spacing w:before="0" w:after="0" w:line="240" w:lineRule="auto"/>
              <w:jc w:val="left"/>
            </w:pPr>
            <w:r>
              <w:rPr>
                <w:rFonts w:ascii="Arial" w:hAnsi="Arial" w:eastAsia="Arial"/>
                <w:b w:val="0"/>
                <w:i w:val="0"/>
                <w:color w:val="1F1F1F"/>
                <w:sz w:val="15"/>
              </w:rPr>
              <w:t>50 participant-grouped outer models</w:t>
            </w:r>
          </w:p>
        </w:tc>
      </w:tr>
      <w:tr w14:paraId="16838F64">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3F91F43">
            <w:pPr>
              <w:spacing w:before="0" w:after="0" w:line="240" w:lineRule="auto"/>
              <w:jc w:val="left"/>
            </w:pPr>
            <w:r>
              <w:rPr>
                <w:rFonts w:ascii="Arial" w:hAnsi="Arial" w:eastAsia="Arial"/>
                <w:b w:val="0"/>
                <w:i w:val="0"/>
                <w:color w:val="1F1F1F"/>
                <w:sz w:val="15"/>
              </w:rPr>
              <w:t>Input features</w:t>
            </w:r>
          </w:p>
        </w:tc>
        <w:tc>
          <w:tcPr>
            <w:tcW w:w="30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7AD3B26">
            <w:pPr>
              <w:spacing w:before="0" w:after="0" w:line="240" w:lineRule="auto"/>
              <w:jc w:val="left"/>
            </w:pPr>
            <w:r>
              <w:rPr>
                <w:rFonts w:ascii="Arial" w:hAnsi="Arial" w:eastAsia="Arial"/>
                <w:b w:val="0"/>
                <w:i w:val="0"/>
                <w:color w:val="1F1F1F"/>
                <w:sz w:val="15"/>
              </w:rPr>
              <w:t>18</w:t>
            </w:r>
          </w:p>
        </w:tc>
        <w:tc>
          <w:tcPr>
            <w:tcW w:w="55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018AC40">
            <w:pPr>
              <w:spacing w:before="0" w:after="0" w:line="240" w:lineRule="auto"/>
              <w:jc w:val="left"/>
            </w:pPr>
            <w:r>
              <w:rPr>
                <w:rFonts w:ascii="Arial" w:hAnsi="Arial" w:eastAsia="Arial"/>
                <w:b w:val="0"/>
                <w:i w:val="0"/>
                <w:color w:val="1F1F1F"/>
                <w:sz w:val="15"/>
              </w:rPr>
              <w:t>Full prespecified explanatory panel</w:t>
            </w:r>
          </w:p>
        </w:tc>
      </w:tr>
      <w:tr w14:paraId="6C4709A3">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B01BC16">
            <w:pPr>
              <w:spacing w:before="0" w:after="0" w:line="240" w:lineRule="auto"/>
              <w:jc w:val="left"/>
            </w:pPr>
            <w:r>
              <w:rPr>
                <w:rFonts w:ascii="Arial" w:hAnsi="Arial" w:eastAsia="Arial"/>
                <w:b w:val="0"/>
                <w:i w:val="0"/>
                <w:color w:val="1F1F1F"/>
                <w:sz w:val="15"/>
              </w:rPr>
              <w:t>Forest engine</w:t>
            </w:r>
          </w:p>
        </w:tc>
        <w:tc>
          <w:tcPr>
            <w:tcW w:w="30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BEFA768">
            <w:pPr>
              <w:spacing w:before="0" w:after="0" w:line="240" w:lineRule="auto"/>
              <w:jc w:val="left"/>
            </w:pPr>
            <w:r>
              <w:rPr>
                <w:rFonts w:ascii="Arial" w:hAnsi="Arial" w:eastAsia="Arial"/>
                <w:b w:val="0"/>
                <w:i w:val="0"/>
                <w:color w:val="1F1F1F"/>
                <w:sz w:val="15"/>
              </w:rPr>
              <w:t>ranger probability forest</w:t>
            </w:r>
          </w:p>
        </w:tc>
        <w:tc>
          <w:tcPr>
            <w:tcW w:w="55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A08DD46">
            <w:pPr>
              <w:spacing w:before="0" w:after="0" w:line="240" w:lineRule="auto"/>
              <w:jc w:val="left"/>
            </w:pPr>
            <w:r>
              <w:rPr>
                <w:rFonts w:ascii="Arial" w:hAnsi="Arial" w:eastAsia="Arial"/>
                <w:b w:val="0"/>
                <w:i w:val="0"/>
                <w:color w:val="1F1F1F"/>
                <w:sz w:val="15"/>
              </w:rPr>
              <w:t>Shallow, constrained probability trees</w:t>
            </w:r>
          </w:p>
        </w:tc>
      </w:tr>
      <w:tr w14:paraId="68A6D37F">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04D972C">
            <w:pPr>
              <w:spacing w:before="0" w:after="0" w:line="240" w:lineRule="auto"/>
              <w:jc w:val="left"/>
            </w:pPr>
            <w:r>
              <w:rPr>
                <w:rFonts w:ascii="Arial" w:hAnsi="Arial" w:eastAsia="Arial"/>
                <w:b w:val="0"/>
                <w:i w:val="0"/>
                <w:color w:val="1F1F1F"/>
                <w:sz w:val="15"/>
              </w:rPr>
              <w:t>Frozen selected grid</w:t>
            </w:r>
          </w:p>
        </w:tc>
        <w:tc>
          <w:tcPr>
            <w:tcW w:w="30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E4BBFA9">
            <w:pPr>
              <w:spacing w:before="0" w:after="0" w:line="240" w:lineRule="auto"/>
              <w:jc w:val="left"/>
            </w:pPr>
            <w:r>
              <w:rPr>
                <w:rFonts w:ascii="Arial" w:hAnsi="Arial" w:eastAsia="Arial"/>
                <w:b w:val="0"/>
                <w:i w:val="0"/>
                <w:color w:val="1F1F1F"/>
                <w:sz w:val="15"/>
              </w:rPr>
              <w:t>R3</w:t>
            </w:r>
          </w:p>
        </w:tc>
        <w:tc>
          <w:tcPr>
            <w:tcW w:w="55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EDBBDBC">
            <w:pPr>
              <w:spacing w:before="0" w:after="0" w:line="240" w:lineRule="auto"/>
              <w:jc w:val="left"/>
            </w:pPr>
            <w:r>
              <w:rPr>
                <w:rFonts w:ascii="Arial" w:hAnsi="Arial" w:eastAsia="Arial"/>
                <w:b w:val="0"/>
                <w:i w:val="0"/>
                <w:color w:val="1F1F1F"/>
                <w:sz w:val="15"/>
              </w:rPr>
              <w:t>350 trees; mtry=9; minimum node size=20; maximum depth=4; sample fraction=0.85</w:t>
            </w:r>
          </w:p>
        </w:tc>
      </w:tr>
      <w:tr w14:paraId="592EBB5E">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1039835">
            <w:pPr>
              <w:spacing w:before="0" w:after="0" w:line="240" w:lineRule="auto"/>
              <w:jc w:val="left"/>
            </w:pPr>
            <w:r>
              <w:rPr>
                <w:rFonts w:ascii="Arial" w:hAnsi="Arial" w:eastAsia="Arial"/>
                <w:b w:val="0"/>
                <w:i w:val="0"/>
                <w:color w:val="1F1F1F"/>
                <w:sz w:val="15"/>
              </w:rPr>
              <w:t>HRS used for tuning</w:t>
            </w:r>
          </w:p>
        </w:tc>
        <w:tc>
          <w:tcPr>
            <w:tcW w:w="30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353EF9E">
            <w:pPr>
              <w:spacing w:before="0" w:after="0" w:line="240" w:lineRule="auto"/>
              <w:jc w:val="left"/>
            </w:pPr>
            <w:r>
              <w:rPr>
                <w:rFonts w:ascii="Arial" w:hAnsi="Arial" w:eastAsia="Arial"/>
                <w:b w:val="0"/>
                <w:i w:val="0"/>
                <w:color w:val="1F1F1F"/>
                <w:sz w:val="15"/>
              </w:rPr>
              <w:t>No</w:t>
            </w:r>
          </w:p>
        </w:tc>
        <w:tc>
          <w:tcPr>
            <w:tcW w:w="55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D4FCF83">
            <w:pPr>
              <w:spacing w:before="0" w:after="0" w:line="240" w:lineRule="auto"/>
              <w:jc w:val="left"/>
            </w:pPr>
            <w:r>
              <w:rPr>
                <w:rFonts w:ascii="Arial" w:hAnsi="Arial" w:eastAsia="Arial"/>
                <w:b w:val="0"/>
                <w:i w:val="0"/>
                <w:color w:val="1F1F1F"/>
                <w:sz w:val="15"/>
              </w:rPr>
              <w:t>External validation remained untouched</w:t>
            </w:r>
          </w:p>
        </w:tc>
      </w:tr>
      <w:tr w14:paraId="77596A2C">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7F556C4">
            <w:pPr>
              <w:spacing w:before="0" w:after="0" w:line="240" w:lineRule="auto"/>
              <w:jc w:val="left"/>
            </w:pPr>
            <w:r>
              <w:rPr>
                <w:rFonts w:ascii="Arial" w:hAnsi="Arial" w:eastAsia="Arial"/>
                <w:b w:val="0"/>
                <w:i w:val="0"/>
                <w:color w:val="1F1F1F"/>
                <w:sz w:val="15"/>
              </w:rPr>
              <w:t>Class rebalancing</w:t>
            </w:r>
          </w:p>
        </w:tc>
        <w:tc>
          <w:tcPr>
            <w:tcW w:w="30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166B61F">
            <w:pPr>
              <w:spacing w:before="0" w:after="0" w:line="240" w:lineRule="auto"/>
              <w:jc w:val="left"/>
            </w:pPr>
            <w:r>
              <w:rPr>
                <w:rFonts w:ascii="Arial" w:hAnsi="Arial" w:eastAsia="Arial"/>
                <w:b w:val="0"/>
                <w:i w:val="0"/>
                <w:color w:val="1F1F1F"/>
                <w:sz w:val="15"/>
              </w:rPr>
              <w:t>No</w:t>
            </w:r>
          </w:p>
        </w:tc>
        <w:tc>
          <w:tcPr>
            <w:tcW w:w="55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45038E7">
            <w:pPr>
              <w:spacing w:before="0" w:after="0" w:line="240" w:lineRule="auto"/>
              <w:jc w:val="left"/>
            </w:pPr>
            <w:r>
              <w:rPr>
                <w:rFonts w:ascii="Arial" w:hAnsi="Arial" w:eastAsia="Arial"/>
                <w:b w:val="0"/>
                <w:i w:val="0"/>
                <w:color w:val="1F1F1F"/>
                <w:sz w:val="15"/>
              </w:rPr>
              <w:t>No SMOTE or outcome-guided resampling</w:t>
            </w:r>
          </w:p>
        </w:tc>
      </w:tr>
      <w:tr w14:paraId="75FA9EF4">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6F87B0A">
            <w:pPr>
              <w:spacing w:before="0" w:after="0" w:line="240" w:lineRule="auto"/>
              <w:jc w:val="left"/>
            </w:pPr>
            <w:r>
              <w:rPr>
                <w:rFonts w:ascii="Arial" w:hAnsi="Arial" w:eastAsia="Arial"/>
                <w:b w:val="0"/>
                <w:i w:val="0"/>
                <w:color w:val="1F1F1F"/>
                <w:sz w:val="15"/>
              </w:rPr>
              <w:t>Parent-model upgrade criterion</w:t>
            </w:r>
          </w:p>
        </w:tc>
        <w:tc>
          <w:tcPr>
            <w:tcW w:w="302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5A5E398">
            <w:pPr>
              <w:spacing w:before="0" w:after="0" w:line="240" w:lineRule="auto"/>
              <w:jc w:val="left"/>
            </w:pPr>
            <w:r>
              <w:rPr>
                <w:rFonts w:ascii="Arial" w:hAnsi="Arial" w:eastAsia="Arial"/>
                <w:b w:val="0"/>
                <w:i w:val="0"/>
                <w:color w:val="1F1F1F"/>
                <w:sz w:val="15"/>
              </w:rPr>
              <w:t>Not met</w:t>
            </w:r>
          </w:p>
        </w:tc>
        <w:tc>
          <w:tcPr>
            <w:tcW w:w="554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D1E95C8">
            <w:pPr>
              <w:spacing w:before="0" w:after="0" w:line="240" w:lineRule="auto"/>
              <w:jc w:val="left"/>
            </w:pPr>
            <w:r>
              <w:rPr>
                <w:rFonts w:ascii="Arial" w:hAnsi="Arial" w:eastAsia="Arial"/>
                <w:b w:val="0"/>
                <w:i w:val="0"/>
                <w:color w:val="1F1F1F"/>
                <w:sz w:val="15"/>
              </w:rPr>
              <w:t>External performance and/or calibration did not justify a predictive-model upgrade</w:t>
            </w:r>
          </w:p>
        </w:tc>
      </w:tr>
      <w:tr w14:paraId="15DAE639">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69DD4A9">
            <w:pPr>
              <w:spacing w:before="0" w:after="0" w:line="240" w:lineRule="auto"/>
              <w:jc w:val="left"/>
            </w:pPr>
            <w:r>
              <w:rPr>
                <w:rFonts w:ascii="Arial" w:hAnsi="Arial" w:eastAsia="Arial"/>
                <w:b w:val="0"/>
                <w:i w:val="0"/>
                <w:color w:val="1F1F1F"/>
                <w:sz w:val="15"/>
              </w:rPr>
              <w:t>Reporting placement</w:t>
            </w:r>
          </w:p>
        </w:tc>
        <w:tc>
          <w:tcPr>
            <w:tcW w:w="302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907C983">
            <w:pPr>
              <w:spacing w:before="0" w:after="0" w:line="240" w:lineRule="auto"/>
              <w:jc w:val="left"/>
            </w:pPr>
            <w:r>
              <w:rPr>
                <w:rFonts w:ascii="Arial" w:hAnsi="Arial" w:eastAsia="Arial"/>
                <w:b w:val="0"/>
                <w:i w:val="0"/>
                <w:color w:val="1F1F1F"/>
                <w:sz w:val="15"/>
              </w:rPr>
              <w:t>Supplement only</w:t>
            </w:r>
          </w:p>
        </w:tc>
        <w:tc>
          <w:tcPr>
            <w:tcW w:w="554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411BFB6">
            <w:pPr>
              <w:spacing w:before="0" w:after="0" w:line="240" w:lineRule="auto"/>
              <w:jc w:val="left"/>
            </w:pPr>
            <w:r>
              <w:rPr>
                <w:rFonts w:ascii="Arial" w:hAnsi="Arial" w:eastAsia="Arial"/>
                <w:b w:val="0"/>
                <w:i w:val="0"/>
                <w:color w:val="1F1F1F"/>
                <w:sz w:val="15"/>
              </w:rPr>
              <w:t>Full validation curves and stage-performance estimates are displayed in Supplementary Figure S4</w:t>
            </w:r>
          </w:p>
        </w:tc>
      </w:tr>
    </w:tbl>
    <w:p w14:paraId="0F589813">
      <w:pPr>
        <w:keepNext/>
        <w:spacing w:before="140" w:after="80"/>
      </w:pPr>
      <w:r>
        <w:rPr>
          <w:rFonts w:ascii="Arial" w:hAnsi="Arial" w:eastAsia="Arial"/>
          <w:b/>
          <w:i w:val="0"/>
          <w:color w:val="1F4E78"/>
          <w:sz w:val="18"/>
        </w:rPr>
        <w:t>Panel B. Top cross-fold approximate-Shapley features</w:t>
      </w:r>
    </w:p>
    <w:tbl>
      <w:tblPr>
        <w:tblStyle w:val="32"/>
        <w:tblW w:w="0" w:type="auto"/>
        <w:jc w:val="center"/>
        <w:tblLayout w:type="fixed"/>
        <w:tblCellMar>
          <w:top w:w="0" w:type="dxa"/>
          <w:left w:w="108" w:type="dxa"/>
          <w:bottom w:w="0" w:type="dxa"/>
          <w:right w:w="108" w:type="dxa"/>
        </w:tblCellMar>
      </w:tblPr>
      <w:tblGrid>
        <w:gridCol w:w="2531"/>
        <w:gridCol w:w="2531"/>
        <w:gridCol w:w="2531"/>
        <w:gridCol w:w="2531"/>
      </w:tblGrid>
      <w:tr w14:paraId="50179CB4">
        <w:tblPrEx>
          <w:tblCellMar>
            <w:top w:w="0" w:type="dxa"/>
            <w:left w:w="108" w:type="dxa"/>
            <w:bottom w:w="0" w:type="dxa"/>
            <w:right w:w="108" w:type="dxa"/>
          </w:tblCellMar>
        </w:tblPrEx>
        <w:trPr>
          <w:cantSplit/>
          <w:tblHeader/>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C6F0BA3">
            <w:pPr>
              <w:spacing w:before="0" w:after="0" w:line="240" w:lineRule="auto"/>
              <w:jc w:val="center"/>
            </w:pPr>
            <w:r>
              <w:rPr>
                <w:rFonts w:ascii="Arial" w:hAnsi="Arial" w:eastAsia="Arial"/>
                <w:b/>
                <w:i w:val="0"/>
                <w:color w:val="FFFFFF"/>
                <w:sz w:val="15"/>
              </w:rPr>
              <w:t>Rank</w:t>
            </w:r>
          </w:p>
        </w:tc>
        <w:tc>
          <w:tcPr>
            <w:tcW w:w="4031"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CE9BCA3">
            <w:pPr>
              <w:spacing w:before="0" w:after="0" w:line="240" w:lineRule="auto"/>
              <w:jc w:val="center"/>
            </w:pPr>
            <w:r>
              <w:rPr>
                <w:rFonts w:ascii="Arial" w:hAnsi="Arial" w:eastAsia="Arial"/>
                <w:b/>
                <w:i w:val="0"/>
                <w:color w:val="FFFFFF"/>
                <w:sz w:val="15"/>
              </w:rPr>
              <w:t>Feature</w:t>
            </w:r>
          </w:p>
        </w:tc>
        <w:tc>
          <w:tcPr>
            <w:tcW w:w="180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08D895C">
            <w:pPr>
              <w:spacing w:before="0" w:after="0" w:line="240" w:lineRule="auto"/>
              <w:jc w:val="center"/>
            </w:pPr>
            <w:r>
              <w:rPr>
                <w:rFonts w:ascii="Arial" w:hAnsi="Arial" w:eastAsia="Arial"/>
                <w:b/>
                <w:i w:val="0"/>
                <w:color w:val="FFFFFF"/>
                <w:sz w:val="15"/>
              </w:rPr>
              <w:t>Mean rank</w:t>
            </w:r>
          </w:p>
        </w:tc>
        <w:tc>
          <w:tcPr>
            <w:tcW w:w="223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5B4833AF">
            <w:pPr>
              <w:spacing w:before="0" w:after="0" w:line="240" w:lineRule="auto"/>
              <w:jc w:val="center"/>
            </w:pPr>
            <w:r>
              <w:rPr>
                <w:rFonts w:ascii="Arial" w:hAnsi="Arial" w:eastAsia="Arial"/>
                <w:b/>
                <w:i w:val="0"/>
                <w:color w:val="FFFFFF"/>
                <w:sz w:val="15"/>
              </w:rPr>
              <w:t>Top-5 frequency</w:t>
            </w:r>
          </w:p>
        </w:tc>
      </w:tr>
      <w:tr w14:paraId="1E40DB91">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DA0D66C">
            <w:pPr>
              <w:spacing w:before="0" w:after="0" w:line="240" w:lineRule="auto"/>
              <w:jc w:val="center"/>
            </w:pPr>
            <w:r>
              <w:rPr>
                <w:rFonts w:ascii="Arial" w:hAnsi="Arial" w:eastAsia="Arial"/>
                <w:b w:val="0"/>
                <w:i w:val="0"/>
                <w:color w:val="1F1F1F"/>
                <w:sz w:val="15"/>
              </w:rPr>
              <w:t>1</w:t>
            </w:r>
          </w:p>
        </w:tc>
        <w:tc>
          <w:tcPr>
            <w:tcW w:w="403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D6AFAEE">
            <w:pPr>
              <w:spacing w:before="0" w:after="0" w:line="240" w:lineRule="auto"/>
              <w:jc w:val="left"/>
            </w:pPr>
            <w:r>
              <w:rPr>
                <w:rFonts w:ascii="Arial" w:hAnsi="Arial" w:eastAsia="Arial"/>
                <w:b w:val="0"/>
                <w:i w:val="0"/>
                <w:color w:val="1F1F1F"/>
                <w:sz w:val="15"/>
              </w:rPr>
              <w:t>Age</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1F1DCCE">
            <w:pPr>
              <w:spacing w:before="0" w:after="0" w:line="240" w:lineRule="auto"/>
              <w:jc w:val="center"/>
            </w:pPr>
            <w:r>
              <w:rPr>
                <w:rFonts w:ascii="Arial" w:hAnsi="Arial" w:eastAsia="Arial"/>
                <w:b w:val="0"/>
                <w:i w:val="0"/>
                <w:color w:val="1F1F1F"/>
                <w:sz w:val="15"/>
              </w:rPr>
              <w:t>1.00</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DF9F951">
            <w:pPr>
              <w:spacing w:before="0" w:after="0" w:line="240" w:lineRule="auto"/>
              <w:jc w:val="center"/>
            </w:pPr>
            <w:r>
              <w:rPr>
                <w:rFonts w:ascii="Arial" w:hAnsi="Arial" w:eastAsia="Arial"/>
                <w:b w:val="0"/>
                <w:i w:val="0"/>
                <w:color w:val="1F1F1F"/>
                <w:sz w:val="15"/>
              </w:rPr>
              <w:t>100.0%</w:t>
            </w:r>
          </w:p>
        </w:tc>
      </w:tr>
      <w:tr w14:paraId="37E916C6">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3F05CDA">
            <w:pPr>
              <w:spacing w:before="0" w:after="0" w:line="240" w:lineRule="auto"/>
              <w:jc w:val="center"/>
            </w:pPr>
            <w:r>
              <w:rPr>
                <w:rFonts w:ascii="Arial" w:hAnsi="Arial" w:eastAsia="Arial"/>
                <w:b w:val="0"/>
                <w:i w:val="0"/>
                <w:color w:val="1F1F1F"/>
                <w:sz w:val="15"/>
              </w:rPr>
              <w:t>2</w:t>
            </w:r>
          </w:p>
        </w:tc>
        <w:tc>
          <w:tcPr>
            <w:tcW w:w="403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D0B1F12">
            <w:pPr>
              <w:spacing w:before="0" w:after="0" w:line="240" w:lineRule="auto"/>
              <w:jc w:val="left"/>
            </w:pPr>
            <w:r>
              <w:rPr>
                <w:rFonts w:ascii="Arial" w:hAnsi="Arial" w:eastAsia="Arial"/>
                <w:b w:val="0"/>
                <w:i w:val="0"/>
                <w:color w:val="1F1F1F"/>
                <w:sz w:val="15"/>
              </w:rPr>
              <w:t>Hypertension</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3EF2114">
            <w:pPr>
              <w:spacing w:before="0" w:after="0" w:line="240" w:lineRule="auto"/>
              <w:jc w:val="center"/>
            </w:pPr>
            <w:r>
              <w:rPr>
                <w:rFonts w:ascii="Arial" w:hAnsi="Arial" w:eastAsia="Arial"/>
                <w:b w:val="0"/>
                <w:i w:val="0"/>
                <w:color w:val="1F1F1F"/>
                <w:sz w:val="15"/>
              </w:rPr>
              <w:t>3.66</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F82D5ED">
            <w:pPr>
              <w:spacing w:before="0" w:after="0" w:line="240" w:lineRule="auto"/>
              <w:jc w:val="center"/>
            </w:pPr>
            <w:r>
              <w:rPr>
                <w:rFonts w:ascii="Arial" w:hAnsi="Arial" w:eastAsia="Arial"/>
                <w:b w:val="0"/>
                <w:i w:val="0"/>
                <w:color w:val="1F1F1F"/>
                <w:sz w:val="15"/>
              </w:rPr>
              <w:t>86.0%</w:t>
            </w:r>
          </w:p>
        </w:tc>
      </w:tr>
      <w:tr w14:paraId="276095E1">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8094594">
            <w:pPr>
              <w:spacing w:before="0" w:after="0" w:line="240" w:lineRule="auto"/>
              <w:jc w:val="center"/>
            </w:pPr>
            <w:r>
              <w:rPr>
                <w:rFonts w:ascii="Arial" w:hAnsi="Arial" w:eastAsia="Arial"/>
                <w:b w:val="0"/>
                <w:i w:val="0"/>
                <w:color w:val="1F1F1F"/>
                <w:sz w:val="15"/>
              </w:rPr>
              <w:t>3</w:t>
            </w:r>
          </w:p>
        </w:tc>
        <w:tc>
          <w:tcPr>
            <w:tcW w:w="403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C46B7A4">
            <w:pPr>
              <w:spacing w:before="0" w:after="0" w:line="240" w:lineRule="auto"/>
              <w:jc w:val="left"/>
            </w:pPr>
            <w:r>
              <w:rPr>
                <w:rFonts w:ascii="Arial" w:hAnsi="Arial" w:eastAsia="Arial"/>
                <w:b w:val="0"/>
                <w:i w:val="0"/>
                <w:color w:val="1F1F1F"/>
                <w:sz w:val="15"/>
              </w:rPr>
              <w:t>Lower eGDR</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29CB881">
            <w:pPr>
              <w:spacing w:before="0" w:after="0" w:line="240" w:lineRule="auto"/>
              <w:jc w:val="center"/>
            </w:pPr>
            <w:r>
              <w:rPr>
                <w:rFonts w:ascii="Arial" w:hAnsi="Arial" w:eastAsia="Arial"/>
                <w:b w:val="0"/>
                <w:i w:val="0"/>
                <w:color w:val="1F1F1F"/>
                <w:sz w:val="15"/>
              </w:rPr>
              <w:t>3.66</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4968340">
            <w:pPr>
              <w:spacing w:before="0" w:after="0" w:line="240" w:lineRule="auto"/>
              <w:jc w:val="center"/>
            </w:pPr>
            <w:r>
              <w:rPr>
                <w:rFonts w:ascii="Arial" w:hAnsi="Arial" w:eastAsia="Arial"/>
                <w:b w:val="0"/>
                <w:i w:val="0"/>
                <w:color w:val="1F1F1F"/>
                <w:sz w:val="15"/>
              </w:rPr>
              <w:t>94.0%</w:t>
            </w:r>
          </w:p>
        </w:tc>
      </w:tr>
      <w:tr w14:paraId="5F39FA6A">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5A3868D">
            <w:pPr>
              <w:spacing w:before="0" w:after="0" w:line="240" w:lineRule="auto"/>
              <w:jc w:val="center"/>
            </w:pPr>
            <w:r>
              <w:rPr>
                <w:rFonts w:ascii="Arial" w:hAnsi="Arial" w:eastAsia="Arial"/>
                <w:b w:val="0"/>
                <w:i w:val="0"/>
                <w:color w:val="1F1F1F"/>
                <w:sz w:val="15"/>
              </w:rPr>
              <w:t>4</w:t>
            </w:r>
          </w:p>
        </w:tc>
        <w:tc>
          <w:tcPr>
            <w:tcW w:w="403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F9DA583">
            <w:pPr>
              <w:spacing w:before="0" w:after="0" w:line="240" w:lineRule="auto"/>
              <w:jc w:val="left"/>
            </w:pPr>
            <w:r>
              <w:rPr>
                <w:rFonts w:ascii="Arial" w:hAnsi="Arial" w:eastAsia="Arial"/>
                <w:b w:val="0"/>
                <w:i w:val="0"/>
                <w:color w:val="1F1F1F"/>
                <w:sz w:val="15"/>
              </w:rPr>
              <w:t>WHtR</w:t>
            </w:r>
          </w:p>
        </w:tc>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82894B7">
            <w:pPr>
              <w:spacing w:before="0" w:after="0" w:line="240" w:lineRule="auto"/>
              <w:jc w:val="center"/>
            </w:pPr>
            <w:r>
              <w:rPr>
                <w:rFonts w:ascii="Arial" w:hAnsi="Arial" w:eastAsia="Arial"/>
                <w:b w:val="0"/>
                <w:i w:val="0"/>
                <w:color w:val="1F1F1F"/>
                <w:sz w:val="15"/>
              </w:rPr>
              <w:t>4.26</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9D76DE4">
            <w:pPr>
              <w:spacing w:before="0" w:after="0" w:line="240" w:lineRule="auto"/>
              <w:jc w:val="center"/>
            </w:pPr>
            <w:r>
              <w:rPr>
                <w:rFonts w:ascii="Arial" w:hAnsi="Arial" w:eastAsia="Arial"/>
                <w:b w:val="0"/>
                <w:i w:val="0"/>
                <w:color w:val="1F1F1F"/>
                <w:sz w:val="15"/>
              </w:rPr>
              <w:t>76.0%</w:t>
            </w:r>
          </w:p>
        </w:tc>
      </w:tr>
      <w:tr w14:paraId="07C655D8">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1312A1F">
            <w:pPr>
              <w:spacing w:before="0" w:after="0" w:line="240" w:lineRule="auto"/>
              <w:jc w:val="center"/>
            </w:pPr>
            <w:r>
              <w:rPr>
                <w:rFonts w:ascii="Arial" w:hAnsi="Arial" w:eastAsia="Arial"/>
                <w:b w:val="0"/>
                <w:i w:val="0"/>
                <w:color w:val="1F1F1F"/>
                <w:sz w:val="15"/>
              </w:rPr>
              <w:t>5</w:t>
            </w:r>
          </w:p>
        </w:tc>
        <w:tc>
          <w:tcPr>
            <w:tcW w:w="403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731467E">
            <w:pPr>
              <w:spacing w:before="0" w:after="0" w:line="240" w:lineRule="auto"/>
              <w:jc w:val="left"/>
            </w:pPr>
            <w:r>
              <w:rPr>
                <w:rFonts w:ascii="Arial" w:hAnsi="Arial" w:eastAsia="Arial"/>
                <w:b w:val="0"/>
                <w:i w:val="0"/>
                <w:color w:val="1F1F1F"/>
                <w:sz w:val="15"/>
              </w:rPr>
              <w:t>non-HDL-C</w:t>
            </w:r>
          </w:p>
        </w:tc>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7531BC3">
            <w:pPr>
              <w:spacing w:before="0" w:after="0" w:line="240" w:lineRule="auto"/>
              <w:jc w:val="center"/>
            </w:pPr>
            <w:r>
              <w:rPr>
                <w:rFonts w:ascii="Arial" w:hAnsi="Arial" w:eastAsia="Arial"/>
                <w:b w:val="0"/>
                <w:i w:val="0"/>
                <w:color w:val="1F1F1F"/>
                <w:sz w:val="15"/>
              </w:rPr>
              <w:t>4.66</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FB788FB">
            <w:pPr>
              <w:spacing w:before="0" w:after="0" w:line="240" w:lineRule="auto"/>
              <w:jc w:val="center"/>
            </w:pPr>
            <w:r>
              <w:rPr>
                <w:rFonts w:ascii="Arial" w:hAnsi="Arial" w:eastAsia="Arial"/>
                <w:b w:val="0"/>
                <w:i w:val="0"/>
                <w:color w:val="1F1F1F"/>
                <w:sz w:val="15"/>
              </w:rPr>
              <w:t>68.0%</w:t>
            </w:r>
          </w:p>
        </w:tc>
      </w:tr>
    </w:tbl>
    <w:p w14:paraId="2DFA6905">
      <w:pPr>
        <w:keepNext/>
        <w:spacing w:before="140" w:after="80"/>
      </w:pPr>
      <w:r>
        <w:rPr>
          <w:rFonts w:ascii="Arial" w:hAnsi="Arial" w:eastAsia="Arial"/>
          <w:b/>
          <w:i w:val="0"/>
          <w:color w:val="1F4E78"/>
          <w:sz w:val="18"/>
        </w:rPr>
        <w:t>Panel C. Top cross-fold feature families</w:t>
      </w:r>
    </w:p>
    <w:tbl>
      <w:tblPr>
        <w:tblStyle w:val="32"/>
        <w:tblW w:w="0" w:type="auto"/>
        <w:jc w:val="center"/>
        <w:tblLayout w:type="fixed"/>
        <w:tblCellMar>
          <w:top w:w="0" w:type="dxa"/>
          <w:left w:w="108" w:type="dxa"/>
          <w:bottom w:w="0" w:type="dxa"/>
          <w:right w:w="108" w:type="dxa"/>
        </w:tblCellMar>
      </w:tblPr>
      <w:tblGrid>
        <w:gridCol w:w="2531"/>
        <w:gridCol w:w="2531"/>
        <w:gridCol w:w="2531"/>
        <w:gridCol w:w="2531"/>
      </w:tblGrid>
      <w:tr w14:paraId="51E14227">
        <w:tblPrEx>
          <w:tblCellMar>
            <w:top w:w="0" w:type="dxa"/>
            <w:left w:w="108" w:type="dxa"/>
            <w:bottom w:w="0" w:type="dxa"/>
            <w:right w:w="108" w:type="dxa"/>
          </w:tblCellMar>
        </w:tblPrEx>
        <w:trPr>
          <w:cantSplit/>
          <w:tblHeader/>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1B3D1984">
            <w:pPr>
              <w:spacing w:before="0" w:after="0" w:line="240" w:lineRule="auto"/>
              <w:jc w:val="center"/>
            </w:pPr>
            <w:r>
              <w:rPr>
                <w:rFonts w:ascii="Arial" w:hAnsi="Arial" w:eastAsia="Arial"/>
                <w:b/>
                <w:i w:val="0"/>
                <w:color w:val="FFFFFF"/>
                <w:sz w:val="15"/>
              </w:rPr>
              <w:t>Rank</w:t>
            </w:r>
          </w:p>
        </w:tc>
        <w:tc>
          <w:tcPr>
            <w:tcW w:w="4031"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A15F9B0">
            <w:pPr>
              <w:spacing w:before="0" w:after="0" w:line="240" w:lineRule="auto"/>
              <w:jc w:val="center"/>
            </w:pPr>
            <w:r>
              <w:rPr>
                <w:rFonts w:ascii="Arial" w:hAnsi="Arial" w:eastAsia="Arial"/>
                <w:b/>
                <w:i w:val="0"/>
                <w:color w:val="FFFFFF"/>
                <w:sz w:val="15"/>
              </w:rPr>
              <w:t>Feature family</w:t>
            </w:r>
          </w:p>
        </w:tc>
        <w:tc>
          <w:tcPr>
            <w:tcW w:w="208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6FF7C9A">
            <w:pPr>
              <w:spacing w:before="0" w:after="0" w:line="240" w:lineRule="auto"/>
              <w:jc w:val="center"/>
            </w:pPr>
            <w:r>
              <w:rPr>
                <w:rFonts w:ascii="Arial" w:hAnsi="Arial" w:eastAsia="Arial"/>
                <w:b/>
                <w:i w:val="0"/>
                <w:color w:val="FFFFFF"/>
                <w:sz w:val="15"/>
              </w:rPr>
              <w:t>Mean family rank</w:t>
            </w:r>
          </w:p>
        </w:tc>
        <w:tc>
          <w:tcPr>
            <w:tcW w:w="223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473C809">
            <w:pPr>
              <w:spacing w:before="0" w:after="0" w:line="240" w:lineRule="auto"/>
              <w:jc w:val="center"/>
            </w:pPr>
            <w:r>
              <w:rPr>
                <w:rFonts w:ascii="Arial" w:hAnsi="Arial" w:eastAsia="Arial"/>
                <w:b/>
                <w:i w:val="0"/>
                <w:color w:val="FFFFFF"/>
                <w:sz w:val="15"/>
              </w:rPr>
              <w:t>Top-5 frequency</w:t>
            </w:r>
          </w:p>
        </w:tc>
      </w:tr>
      <w:tr w14:paraId="3A383304">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A3171C3">
            <w:pPr>
              <w:spacing w:before="0" w:after="0" w:line="240" w:lineRule="auto"/>
              <w:jc w:val="center"/>
            </w:pPr>
            <w:r>
              <w:rPr>
                <w:rFonts w:ascii="Arial" w:hAnsi="Arial" w:eastAsia="Arial"/>
                <w:b w:val="0"/>
                <w:i w:val="0"/>
                <w:color w:val="1F1F1F"/>
                <w:sz w:val="15"/>
              </w:rPr>
              <w:t>1</w:t>
            </w:r>
          </w:p>
        </w:tc>
        <w:tc>
          <w:tcPr>
            <w:tcW w:w="403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8A1BB40">
            <w:pPr>
              <w:spacing w:before="0" w:after="0" w:line="240" w:lineRule="auto"/>
              <w:jc w:val="left"/>
            </w:pPr>
            <w:r>
              <w:rPr>
                <w:rFonts w:ascii="Arial" w:hAnsi="Arial" w:eastAsia="Arial"/>
                <w:b w:val="0"/>
                <w:i w:val="0"/>
                <w:color w:val="1F1F1F"/>
                <w:sz w:val="15"/>
              </w:rPr>
              <w:t>Clinical</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8BAA8D5">
            <w:pPr>
              <w:spacing w:before="0" w:after="0" w:line="240" w:lineRule="auto"/>
              <w:jc w:val="center"/>
            </w:pPr>
            <w:r>
              <w:rPr>
                <w:rFonts w:ascii="Arial" w:hAnsi="Arial" w:eastAsia="Arial"/>
                <w:b w:val="0"/>
                <w:i w:val="0"/>
                <w:color w:val="1F1F1F"/>
                <w:sz w:val="15"/>
              </w:rPr>
              <w:t>1.00</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4DA1BDA">
            <w:pPr>
              <w:spacing w:before="0" w:after="0" w:line="240" w:lineRule="auto"/>
              <w:jc w:val="center"/>
            </w:pPr>
            <w:r>
              <w:rPr>
                <w:rFonts w:ascii="Arial" w:hAnsi="Arial" w:eastAsia="Arial"/>
                <w:b w:val="0"/>
                <w:i w:val="0"/>
                <w:color w:val="1F1F1F"/>
                <w:sz w:val="15"/>
              </w:rPr>
              <w:t>100.0%</w:t>
            </w:r>
          </w:p>
        </w:tc>
      </w:tr>
      <w:tr w14:paraId="00AC0C04">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05B8B1A">
            <w:pPr>
              <w:spacing w:before="0" w:after="0" w:line="240" w:lineRule="auto"/>
              <w:jc w:val="center"/>
            </w:pPr>
            <w:r>
              <w:rPr>
                <w:rFonts w:ascii="Arial" w:hAnsi="Arial" w:eastAsia="Arial"/>
                <w:b w:val="0"/>
                <w:i w:val="0"/>
                <w:color w:val="1F1F1F"/>
                <w:sz w:val="15"/>
              </w:rPr>
              <w:t>2</w:t>
            </w:r>
          </w:p>
        </w:tc>
        <w:tc>
          <w:tcPr>
            <w:tcW w:w="403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075BA51">
            <w:pPr>
              <w:spacing w:before="0" w:after="0" w:line="240" w:lineRule="auto"/>
              <w:jc w:val="left"/>
            </w:pPr>
            <w:r>
              <w:rPr>
                <w:rFonts w:ascii="Arial" w:hAnsi="Arial" w:eastAsia="Arial"/>
                <w:b w:val="0"/>
                <w:i w:val="0"/>
                <w:color w:val="1F1F1F"/>
                <w:sz w:val="15"/>
              </w:rPr>
              <w:t>Anthropometric-enhanced</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43C9C67">
            <w:pPr>
              <w:spacing w:before="0" w:after="0" w:line="240" w:lineRule="auto"/>
              <w:jc w:val="center"/>
            </w:pPr>
            <w:r>
              <w:rPr>
                <w:rFonts w:ascii="Arial" w:hAnsi="Arial" w:eastAsia="Arial"/>
                <w:b w:val="0"/>
                <w:i w:val="0"/>
                <w:color w:val="1F1F1F"/>
                <w:sz w:val="15"/>
              </w:rPr>
              <w:t>2.84</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6F22A8A">
            <w:pPr>
              <w:spacing w:before="0" w:after="0" w:line="240" w:lineRule="auto"/>
              <w:jc w:val="center"/>
            </w:pPr>
            <w:r>
              <w:rPr>
                <w:rFonts w:ascii="Arial" w:hAnsi="Arial" w:eastAsia="Arial"/>
                <w:b w:val="0"/>
                <w:i w:val="0"/>
                <w:color w:val="1F1F1F"/>
                <w:sz w:val="15"/>
              </w:rPr>
              <w:t>100.0%</w:t>
            </w:r>
          </w:p>
        </w:tc>
      </w:tr>
      <w:tr w14:paraId="7C2CEFCD">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B0F19BA">
            <w:pPr>
              <w:spacing w:before="0" w:after="0" w:line="240" w:lineRule="auto"/>
              <w:jc w:val="center"/>
            </w:pPr>
            <w:r>
              <w:rPr>
                <w:rFonts w:ascii="Arial" w:hAnsi="Arial" w:eastAsia="Arial"/>
                <w:b w:val="0"/>
                <w:i w:val="0"/>
                <w:color w:val="1F1F1F"/>
                <w:sz w:val="15"/>
              </w:rPr>
              <w:t>3</w:t>
            </w:r>
          </w:p>
        </w:tc>
        <w:tc>
          <w:tcPr>
            <w:tcW w:w="403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0E3B1BD">
            <w:pPr>
              <w:spacing w:before="0" w:after="0" w:line="240" w:lineRule="auto"/>
              <w:jc w:val="left"/>
            </w:pPr>
            <w:r>
              <w:rPr>
                <w:rFonts w:ascii="Arial" w:hAnsi="Arial" w:eastAsia="Arial"/>
                <w:b w:val="0"/>
                <w:i w:val="0"/>
                <w:color w:val="1F1F1F"/>
                <w:sz w:val="15"/>
              </w:rPr>
              <w:t>Multicomponent IR</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98129F5">
            <w:pPr>
              <w:spacing w:before="0" w:after="0" w:line="240" w:lineRule="auto"/>
              <w:jc w:val="center"/>
            </w:pPr>
            <w:r>
              <w:rPr>
                <w:rFonts w:ascii="Arial" w:hAnsi="Arial" w:eastAsia="Arial"/>
                <w:b w:val="0"/>
                <w:i w:val="0"/>
                <w:color w:val="1F1F1F"/>
                <w:sz w:val="15"/>
              </w:rPr>
              <w:t>2.84</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B07CC69">
            <w:pPr>
              <w:spacing w:before="0" w:after="0" w:line="240" w:lineRule="auto"/>
              <w:jc w:val="center"/>
            </w:pPr>
            <w:r>
              <w:rPr>
                <w:rFonts w:ascii="Arial" w:hAnsi="Arial" w:eastAsia="Arial"/>
                <w:b w:val="0"/>
                <w:i w:val="0"/>
                <w:color w:val="1F1F1F"/>
                <w:sz w:val="15"/>
              </w:rPr>
              <w:t>98.0%</w:t>
            </w:r>
          </w:p>
        </w:tc>
      </w:tr>
      <w:tr w14:paraId="7086AC31">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B6DE931">
            <w:pPr>
              <w:spacing w:before="0" w:after="0" w:line="240" w:lineRule="auto"/>
              <w:jc w:val="center"/>
            </w:pPr>
            <w:r>
              <w:rPr>
                <w:rFonts w:ascii="Arial" w:hAnsi="Arial" w:eastAsia="Arial"/>
                <w:b w:val="0"/>
                <w:i w:val="0"/>
                <w:color w:val="1F1F1F"/>
                <w:sz w:val="15"/>
              </w:rPr>
              <w:t>4</w:t>
            </w:r>
          </w:p>
        </w:tc>
        <w:tc>
          <w:tcPr>
            <w:tcW w:w="403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343415A">
            <w:pPr>
              <w:spacing w:before="0" w:after="0" w:line="240" w:lineRule="auto"/>
              <w:jc w:val="left"/>
            </w:pPr>
            <w:r>
              <w:rPr>
                <w:rFonts w:ascii="Arial" w:hAnsi="Arial" w:eastAsia="Arial"/>
                <w:b w:val="0"/>
                <w:i w:val="0"/>
                <w:color w:val="1F1F1F"/>
                <w:sz w:val="15"/>
              </w:rPr>
              <w:t>Cholesterol burden</w:t>
            </w:r>
          </w:p>
        </w:tc>
        <w:tc>
          <w:tcPr>
            <w:tcW w:w="208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EC378A7">
            <w:pPr>
              <w:spacing w:before="0" w:after="0" w:line="240" w:lineRule="auto"/>
              <w:jc w:val="center"/>
            </w:pPr>
            <w:r>
              <w:rPr>
                <w:rFonts w:ascii="Arial" w:hAnsi="Arial" w:eastAsia="Arial"/>
                <w:b w:val="0"/>
                <w:i w:val="0"/>
                <w:color w:val="1F1F1F"/>
                <w:sz w:val="15"/>
              </w:rPr>
              <w:t>4.06</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E8E8A2A">
            <w:pPr>
              <w:spacing w:before="0" w:after="0" w:line="240" w:lineRule="auto"/>
              <w:jc w:val="center"/>
            </w:pPr>
            <w:r>
              <w:rPr>
                <w:rFonts w:ascii="Arial" w:hAnsi="Arial" w:eastAsia="Arial"/>
                <w:b w:val="0"/>
                <w:i w:val="0"/>
                <w:color w:val="1F1F1F"/>
                <w:sz w:val="15"/>
              </w:rPr>
              <w:t>94.0%</w:t>
            </w:r>
          </w:p>
        </w:tc>
      </w:tr>
      <w:tr w14:paraId="04B86D4D">
        <w:tblPrEx>
          <w:tblCellMar>
            <w:top w:w="0" w:type="dxa"/>
            <w:left w:w="108" w:type="dxa"/>
            <w:bottom w:w="0" w:type="dxa"/>
            <w:right w:w="108" w:type="dxa"/>
          </w:tblCellMar>
        </w:tblPrEx>
        <w:trPr>
          <w:cantSplit/>
          <w:jc w:val="center"/>
        </w:trPr>
        <w:tc>
          <w:tcPr>
            <w:tcW w:w="1007"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63FB539">
            <w:pPr>
              <w:spacing w:before="0" w:after="0" w:line="240" w:lineRule="auto"/>
              <w:jc w:val="center"/>
            </w:pPr>
            <w:r>
              <w:rPr>
                <w:rFonts w:ascii="Arial" w:hAnsi="Arial" w:eastAsia="Arial"/>
                <w:b w:val="0"/>
                <w:i w:val="0"/>
                <w:color w:val="1F1F1F"/>
                <w:sz w:val="15"/>
              </w:rPr>
              <w:t>5</w:t>
            </w:r>
          </w:p>
        </w:tc>
        <w:tc>
          <w:tcPr>
            <w:tcW w:w="403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A8D3051">
            <w:pPr>
              <w:spacing w:before="0" w:after="0" w:line="240" w:lineRule="auto"/>
              <w:jc w:val="left"/>
            </w:pPr>
            <w:r>
              <w:rPr>
                <w:rFonts w:ascii="Arial" w:hAnsi="Arial" w:eastAsia="Arial"/>
                <w:b w:val="0"/>
                <w:i w:val="0"/>
                <w:color w:val="1F1F1F"/>
                <w:sz w:val="15"/>
              </w:rPr>
              <w:t>Prespecified new scores</w:t>
            </w:r>
          </w:p>
        </w:tc>
        <w:tc>
          <w:tcPr>
            <w:tcW w:w="208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C402FA2">
            <w:pPr>
              <w:spacing w:before="0" w:after="0" w:line="240" w:lineRule="auto"/>
              <w:jc w:val="center"/>
            </w:pPr>
            <w:r>
              <w:rPr>
                <w:rFonts w:ascii="Arial" w:hAnsi="Arial" w:eastAsia="Arial"/>
                <w:b w:val="0"/>
                <w:i w:val="0"/>
                <w:color w:val="1F1F1F"/>
                <w:sz w:val="15"/>
              </w:rPr>
              <w:t>4.56</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B1470CC">
            <w:pPr>
              <w:spacing w:before="0" w:after="0" w:line="240" w:lineRule="auto"/>
              <w:jc w:val="center"/>
            </w:pPr>
            <w:r>
              <w:rPr>
                <w:rFonts w:ascii="Arial" w:hAnsi="Arial" w:eastAsia="Arial"/>
                <w:b w:val="0"/>
                <w:i w:val="0"/>
                <w:color w:val="1F1F1F"/>
                <w:sz w:val="15"/>
              </w:rPr>
              <w:t>80.0%</w:t>
            </w:r>
          </w:p>
        </w:tc>
      </w:tr>
    </w:tbl>
    <w:p w14:paraId="09B4BD98">
      <w:pPr>
        <w:keepNext/>
        <w:spacing w:before="140" w:after="80"/>
      </w:pPr>
      <w:r>
        <w:rPr>
          <w:rFonts w:ascii="Arial" w:hAnsi="Arial" w:eastAsia="Arial"/>
          <w:b/>
          <w:i w:val="0"/>
          <w:color w:val="1F4E78"/>
          <w:sz w:val="18"/>
        </w:rPr>
        <w:t>Panel D. Contribution-transport interpretation guardrails</w:t>
      </w:r>
    </w:p>
    <w:tbl>
      <w:tblPr>
        <w:tblStyle w:val="32"/>
        <w:tblW w:w="0" w:type="auto"/>
        <w:jc w:val="center"/>
        <w:tblLayout w:type="fixed"/>
        <w:tblCellMar>
          <w:top w:w="0" w:type="dxa"/>
          <w:left w:w="108" w:type="dxa"/>
          <w:bottom w:w="0" w:type="dxa"/>
          <w:right w:w="108" w:type="dxa"/>
        </w:tblCellMar>
      </w:tblPr>
      <w:tblGrid>
        <w:gridCol w:w="3374"/>
        <w:gridCol w:w="3374"/>
        <w:gridCol w:w="3374"/>
      </w:tblGrid>
      <w:tr w14:paraId="110D61FB">
        <w:tblPrEx>
          <w:tblCellMar>
            <w:top w:w="0" w:type="dxa"/>
            <w:left w:w="108" w:type="dxa"/>
            <w:bottom w:w="0" w:type="dxa"/>
            <w:right w:w="108" w:type="dxa"/>
          </w:tblCellMar>
        </w:tblPrEx>
        <w:trPr>
          <w:cantSplit/>
          <w:tblHeader/>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B9B6BB5">
            <w:pPr>
              <w:spacing w:before="0" w:after="0" w:line="240" w:lineRule="auto"/>
              <w:jc w:val="center"/>
            </w:pPr>
            <w:r>
              <w:rPr>
                <w:rFonts w:ascii="Arial" w:hAnsi="Arial" w:eastAsia="Arial"/>
                <w:b/>
                <w:i w:val="0"/>
                <w:color w:val="FFFFFF"/>
                <w:sz w:val="15"/>
              </w:rPr>
              <w:t>Item</w:t>
            </w:r>
          </w:p>
        </w:tc>
        <w:tc>
          <w:tcPr>
            <w:tcW w:w="324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34F4BD17">
            <w:pPr>
              <w:spacing w:before="0" w:after="0" w:line="240" w:lineRule="auto"/>
              <w:jc w:val="center"/>
            </w:pPr>
            <w:r>
              <w:rPr>
                <w:rFonts w:ascii="Arial" w:hAnsi="Arial" w:eastAsia="Arial"/>
                <w:b/>
                <w:i w:val="0"/>
                <w:color w:val="FFFFFF"/>
                <w:sz w:val="15"/>
              </w:rPr>
              <w:t>Locked decision</w:t>
            </w:r>
          </w:p>
        </w:tc>
        <w:tc>
          <w:tcPr>
            <w:tcW w:w="532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E0B232F">
            <w:pPr>
              <w:spacing w:before="0" w:after="0" w:line="240" w:lineRule="auto"/>
              <w:jc w:val="center"/>
            </w:pPr>
            <w:r>
              <w:rPr>
                <w:rFonts w:ascii="Arial" w:hAnsi="Arial" w:eastAsia="Arial"/>
                <w:b/>
                <w:i w:val="0"/>
                <w:color w:val="FFFFFF"/>
                <w:sz w:val="15"/>
              </w:rPr>
              <w:t>Interpretation</w:t>
            </w:r>
          </w:p>
        </w:tc>
      </w:tr>
      <w:tr w14:paraId="55E0D32F">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63AC9D2">
            <w:pPr>
              <w:spacing w:before="0" w:after="0" w:line="240" w:lineRule="auto"/>
              <w:jc w:val="left"/>
            </w:pPr>
            <w:r>
              <w:rPr>
                <w:rFonts w:ascii="Arial" w:hAnsi="Arial" w:eastAsia="Arial"/>
                <w:b w:val="0"/>
                <w:i w:val="0"/>
                <w:color w:val="1F1F1F"/>
                <w:sz w:val="15"/>
              </w:rPr>
              <w:t>Feature-rank correlation, ELSA temporal to HRS</w:t>
            </w:r>
          </w:p>
        </w:tc>
        <w:tc>
          <w:tcPr>
            <w:tcW w:w="32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C7AFC28">
            <w:pPr>
              <w:spacing w:before="0" w:after="0" w:line="240" w:lineRule="auto"/>
              <w:jc w:val="left"/>
            </w:pPr>
            <w:r>
              <w:rPr>
                <w:rFonts w:ascii="Arial" w:hAnsi="Arial" w:eastAsia="Arial"/>
                <w:b w:val="0"/>
                <w:i w:val="0"/>
                <w:color w:val="1F1F1F"/>
                <w:sz w:val="15"/>
              </w:rPr>
              <w:t>Spearman ρ=0.959</w:t>
            </w:r>
          </w:p>
        </w:tc>
        <w:tc>
          <w:tcPr>
            <w:tcW w:w="532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F33D717">
            <w:pPr>
              <w:spacing w:before="0" w:after="0" w:line="240" w:lineRule="auto"/>
              <w:jc w:val="left"/>
            </w:pPr>
            <w:r>
              <w:rPr>
                <w:rFonts w:ascii="Arial" w:hAnsi="Arial" w:eastAsia="Arial"/>
                <w:b w:val="0"/>
                <w:i w:val="0"/>
                <w:color w:val="1F1F1F"/>
                <w:sz w:val="15"/>
              </w:rPr>
              <w:t>Strong descriptive feature-rank transport</w:t>
            </w:r>
          </w:p>
        </w:tc>
      </w:tr>
      <w:tr w14:paraId="534ED446">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ED2904A">
            <w:pPr>
              <w:spacing w:before="0" w:after="0" w:line="240" w:lineRule="auto"/>
              <w:jc w:val="left"/>
            </w:pPr>
            <w:r>
              <w:rPr>
                <w:rFonts w:ascii="Arial" w:hAnsi="Arial" w:eastAsia="Arial"/>
                <w:b w:val="0"/>
                <w:i w:val="0"/>
                <w:color w:val="1F1F1F"/>
                <w:sz w:val="15"/>
              </w:rPr>
              <w:t>Family-rank correlation, ELSA temporal to HRS</w:t>
            </w:r>
          </w:p>
        </w:tc>
        <w:tc>
          <w:tcPr>
            <w:tcW w:w="32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D9FC791">
            <w:pPr>
              <w:spacing w:before="0" w:after="0" w:line="240" w:lineRule="auto"/>
              <w:jc w:val="left"/>
            </w:pPr>
            <w:r>
              <w:rPr>
                <w:rFonts w:ascii="Arial" w:hAnsi="Arial" w:eastAsia="Arial"/>
                <w:b w:val="0"/>
                <w:i w:val="0"/>
                <w:color w:val="1F1F1F"/>
                <w:sz w:val="15"/>
              </w:rPr>
              <w:t>Spearman ρ=0.893</w:t>
            </w:r>
          </w:p>
        </w:tc>
        <w:tc>
          <w:tcPr>
            <w:tcW w:w="532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8847821">
            <w:pPr>
              <w:spacing w:before="0" w:after="0" w:line="240" w:lineRule="auto"/>
              <w:jc w:val="left"/>
            </w:pPr>
            <w:r>
              <w:rPr>
                <w:rFonts w:ascii="Arial" w:hAnsi="Arial" w:eastAsia="Arial"/>
                <w:b w:val="0"/>
                <w:i w:val="0"/>
                <w:color w:val="1F1F1F"/>
                <w:sz w:val="15"/>
              </w:rPr>
              <w:t>Strong descriptive family-rank transport</w:t>
            </w:r>
          </w:p>
        </w:tc>
      </w:tr>
      <w:tr w14:paraId="4462C101">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2281677">
            <w:pPr>
              <w:spacing w:before="0" w:after="0" w:line="240" w:lineRule="auto"/>
              <w:jc w:val="left"/>
            </w:pPr>
            <w:r>
              <w:rPr>
                <w:rFonts w:ascii="Arial" w:hAnsi="Arial" w:eastAsia="Arial"/>
                <w:b w:val="0"/>
                <w:i w:val="0"/>
                <w:color w:val="1F1F1F"/>
                <w:sz w:val="15"/>
              </w:rPr>
              <w:t>Top-five feature overlap</w:t>
            </w:r>
          </w:p>
        </w:tc>
        <w:tc>
          <w:tcPr>
            <w:tcW w:w="32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59EB21E">
            <w:pPr>
              <w:spacing w:before="0" w:after="0" w:line="240" w:lineRule="auto"/>
              <w:jc w:val="left"/>
            </w:pPr>
            <w:r>
              <w:rPr>
                <w:rFonts w:ascii="Arial" w:hAnsi="Arial" w:eastAsia="Arial"/>
                <w:b w:val="0"/>
                <w:i w:val="0"/>
                <w:color w:val="1F1F1F"/>
                <w:sz w:val="15"/>
              </w:rPr>
              <w:t>5/5</w:t>
            </w:r>
          </w:p>
        </w:tc>
        <w:tc>
          <w:tcPr>
            <w:tcW w:w="532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9AF939B">
            <w:pPr>
              <w:spacing w:before="0" w:after="0" w:line="240" w:lineRule="auto"/>
              <w:jc w:val="left"/>
            </w:pPr>
            <w:r>
              <w:rPr>
                <w:rFonts w:ascii="Arial" w:hAnsi="Arial" w:eastAsia="Arial"/>
                <w:b w:val="0"/>
                <w:i w:val="0"/>
                <w:color w:val="1F1F1F"/>
                <w:sz w:val="15"/>
              </w:rPr>
              <w:t>The same five leading features appeared in both validation settings</w:t>
            </w:r>
          </w:p>
        </w:tc>
      </w:tr>
      <w:tr w14:paraId="5E24A19E">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EEF1991">
            <w:pPr>
              <w:spacing w:before="0" w:after="0" w:line="240" w:lineRule="auto"/>
              <w:jc w:val="left"/>
            </w:pPr>
            <w:r>
              <w:rPr>
                <w:rFonts w:ascii="Arial" w:hAnsi="Arial" w:eastAsia="Arial"/>
                <w:b w:val="0"/>
                <w:i w:val="0"/>
                <w:color w:val="1F1F1F"/>
                <w:sz w:val="15"/>
              </w:rPr>
              <w:t>Parent-model upgrade criterion</w:t>
            </w:r>
          </w:p>
        </w:tc>
        <w:tc>
          <w:tcPr>
            <w:tcW w:w="32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A8EABF9">
            <w:pPr>
              <w:spacing w:before="0" w:after="0" w:line="240" w:lineRule="auto"/>
              <w:jc w:val="left"/>
            </w:pPr>
            <w:r>
              <w:rPr>
                <w:rFonts w:ascii="Arial" w:hAnsi="Arial" w:eastAsia="Arial"/>
                <w:b w:val="0"/>
                <w:i w:val="0"/>
                <w:color w:val="1F1F1F"/>
                <w:sz w:val="15"/>
              </w:rPr>
              <w:t>Not met</w:t>
            </w:r>
          </w:p>
        </w:tc>
        <w:tc>
          <w:tcPr>
            <w:tcW w:w="532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E3668FD">
            <w:pPr>
              <w:spacing w:before="0" w:after="0" w:line="240" w:lineRule="auto"/>
              <w:jc w:val="left"/>
            </w:pPr>
            <w:r>
              <w:rPr>
                <w:rFonts w:ascii="Arial" w:hAnsi="Arial" w:eastAsia="Arial"/>
                <w:b w:val="0"/>
                <w:i w:val="0"/>
                <w:color w:val="1F1F1F"/>
                <w:sz w:val="15"/>
              </w:rPr>
              <w:t>Stable explanation did not establish reliable external prediction</w:t>
            </w:r>
          </w:p>
        </w:tc>
      </w:tr>
      <w:tr w14:paraId="689A7EE7">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5BB13C8">
            <w:pPr>
              <w:spacing w:before="0" w:after="0" w:line="240" w:lineRule="auto"/>
              <w:jc w:val="left"/>
            </w:pPr>
            <w:r>
              <w:rPr>
                <w:rFonts w:ascii="Arial" w:hAnsi="Arial" w:eastAsia="Arial"/>
                <w:b w:val="0"/>
                <w:i w:val="0"/>
                <w:color w:val="1F1F1F"/>
                <w:sz w:val="15"/>
              </w:rPr>
              <w:t>Reporting placement</w:t>
            </w:r>
          </w:p>
        </w:tc>
        <w:tc>
          <w:tcPr>
            <w:tcW w:w="324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24E1309">
            <w:pPr>
              <w:spacing w:before="0" w:after="0" w:line="240" w:lineRule="auto"/>
              <w:jc w:val="left"/>
            </w:pPr>
            <w:r>
              <w:rPr>
                <w:rFonts w:ascii="Arial" w:hAnsi="Arial" w:eastAsia="Arial"/>
                <w:b w:val="0"/>
                <w:i w:val="0"/>
                <w:color w:val="1F1F1F"/>
                <w:sz w:val="15"/>
              </w:rPr>
              <w:t>Supplement only</w:t>
            </w:r>
          </w:p>
        </w:tc>
        <w:tc>
          <w:tcPr>
            <w:tcW w:w="532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72B74A2">
            <w:pPr>
              <w:spacing w:before="0" w:after="0" w:line="240" w:lineRule="auto"/>
              <w:jc w:val="left"/>
            </w:pPr>
            <w:r>
              <w:rPr>
                <w:rFonts w:ascii="Arial" w:hAnsi="Arial" w:eastAsia="Arial"/>
                <w:b w:val="0"/>
                <w:i w:val="0"/>
                <w:color w:val="1F1F1F"/>
                <w:sz w:val="15"/>
              </w:rPr>
              <w:t>Attributions remain model-dependent under correlated inputs</w:t>
            </w:r>
          </w:p>
        </w:tc>
      </w:tr>
      <w:tr w14:paraId="1903E1D1">
        <w:tblPrEx>
          <w:tblCellMar>
            <w:top w:w="0" w:type="dxa"/>
            <w:left w:w="108" w:type="dxa"/>
            <w:bottom w:w="0" w:type="dxa"/>
            <w:right w:w="108" w:type="dxa"/>
          </w:tblCellMar>
        </w:tblPrEx>
        <w:trPr>
          <w:cantSplit/>
          <w:jc w:val="center"/>
        </w:trPr>
        <w:tc>
          <w:tcPr>
            <w:tcW w:w="252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16BAFD7">
            <w:pPr>
              <w:spacing w:before="0" w:after="0" w:line="240" w:lineRule="auto"/>
              <w:jc w:val="left"/>
            </w:pPr>
            <w:r>
              <w:rPr>
                <w:rFonts w:ascii="Arial" w:hAnsi="Arial" w:eastAsia="Arial"/>
                <w:b w:val="0"/>
                <w:i w:val="0"/>
                <w:color w:val="1F1F1F"/>
                <w:sz w:val="15"/>
              </w:rPr>
              <w:t>Causal interpretation</w:t>
            </w:r>
          </w:p>
        </w:tc>
        <w:tc>
          <w:tcPr>
            <w:tcW w:w="324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4DF2E05">
            <w:pPr>
              <w:spacing w:before="0" w:after="0" w:line="240" w:lineRule="auto"/>
              <w:jc w:val="left"/>
            </w:pPr>
            <w:r>
              <w:rPr>
                <w:rFonts w:ascii="Arial" w:hAnsi="Arial" w:eastAsia="Arial"/>
                <w:b w:val="0"/>
                <w:i w:val="0"/>
                <w:color w:val="1F1F1F"/>
                <w:sz w:val="15"/>
              </w:rPr>
              <w:t>Not allowed</w:t>
            </w:r>
          </w:p>
        </w:tc>
        <w:tc>
          <w:tcPr>
            <w:tcW w:w="532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86F22B8">
            <w:pPr>
              <w:spacing w:before="0" w:after="0" w:line="240" w:lineRule="auto"/>
              <w:jc w:val="left"/>
            </w:pPr>
            <w:r>
              <w:rPr>
                <w:rFonts w:ascii="Arial" w:hAnsi="Arial" w:eastAsia="Arial"/>
                <w:b w:val="0"/>
                <w:i w:val="0"/>
                <w:color w:val="1F1F1F"/>
                <w:sz w:val="15"/>
              </w:rPr>
              <w:t>SHAP and permutation importance explain the fitted model, not biology</w:t>
            </w:r>
          </w:p>
        </w:tc>
      </w:tr>
    </w:tbl>
    <w:p w14:paraId="5E90E37F">
      <w:pPr>
        <w:spacing w:before="80" w:after="40" w:line="240" w:lineRule="auto"/>
      </w:pPr>
      <w:r>
        <w:rPr>
          <w:rFonts w:ascii="Arial" w:hAnsi="Arial" w:eastAsia="Arial"/>
          <w:b/>
          <w:i w:val="0"/>
          <w:color w:val="666666"/>
          <w:sz w:val="15"/>
        </w:rPr>
        <w:t xml:space="preserve">Note: </w:t>
      </w:r>
      <w:r>
        <w:rPr>
          <w:rFonts w:ascii="Arial" w:hAnsi="Arial" w:eastAsia="Arial"/>
          <w:b w:val="0"/>
          <w:i w:val="0"/>
          <w:color w:val="666666"/>
          <w:sz w:val="15"/>
        </w:rPr>
        <w:t>The probability forest was an explanatory support model. The same leading features and highly similar feature- and family-rank patterns were observed in ELSA temporal validation and HRS external validation, but the parent model did not meet the predictive-upgrade criterion. Stable attributions do not establish causal biology, resolve attribution ambiguity among correlated predictors, or revise the verified indicator hierarchy.</w:t>
      </w:r>
    </w:p>
    <w:p w14:paraId="562258F5">
      <w:pPr>
        <w:sectPr>
          <w:pgSz w:w="11909" w:h="16834"/>
          <w:pgMar w:top="936" w:right="893" w:bottom="936" w:left="893" w:header="720" w:footer="720" w:gutter="0"/>
          <w:cols w:space="720" w:num="1"/>
          <w:docGrid w:linePitch="360" w:charSpace="0"/>
        </w:sectPr>
      </w:pPr>
    </w:p>
    <w:p w14:paraId="0032E3AF">
      <w:pPr>
        <w:keepNext/>
        <w:spacing w:before="40" w:after="120"/>
      </w:pPr>
      <w:r>
        <w:rPr>
          <w:rFonts w:ascii="Arial" w:hAnsi="Arial" w:eastAsia="Arial"/>
          <w:b/>
          <w:i w:val="0"/>
          <w:color w:val="1F4E78"/>
          <w:sz w:val="23"/>
        </w:rPr>
        <w:t xml:space="preserve">Table S7. </w:t>
      </w:r>
      <w:r>
        <w:rPr>
          <w:rFonts w:ascii="Arial" w:hAnsi="Arial" w:eastAsia="Arial"/>
          <w:b/>
          <w:i w:val="0"/>
          <w:color w:val="1F1F1F"/>
          <w:sz w:val="23"/>
        </w:rPr>
        <w:t>Restricted cubic splines, decision curves, and complete calibration diagnostics</w:t>
      </w:r>
    </w:p>
    <w:p w14:paraId="74A59C1D">
      <w:pPr>
        <w:keepNext/>
        <w:spacing w:before="140" w:after="80"/>
      </w:pPr>
      <w:r>
        <w:rPr>
          <w:rFonts w:ascii="Arial" w:hAnsi="Arial" w:eastAsia="Arial"/>
          <w:b/>
          <w:i w:val="0"/>
          <w:color w:val="1F4E78"/>
          <w:sz w:val="18"/>
        </w:rPr>
        <w:t>Panel A. Focused four-knot restricted-cubic-spline audit</w:t>
      </w:r>
    </w:p>
    <w:tbl>
      <w:tblPr>
        <w:tblStyle w:val="32"/>
        <w:tblW w:w="0" w:type="auto"/>
        <w:jc w:val="center"/>
        <w:tblLayout w:type="fixed"/>
        <w:tblCellMar>
          <w:top w:w="0" w:type="dxa"/>
          <w:left w:w="108" w:type="dxa"/>
          <w:bottom w:w="0" w:type="dxa"/>
          <w:right w:w="108" w:type="dxa"/>
        </w:tblCellMar>
      </w:tblPr>
      <w:tblGrid>
        <w:gridCol w:w="3090"/>
        <w:gridCol w:w="3090"/>
        <w:gridCol w:w="3090"/>
        <w:gridCol w:w="3090"/>
        <w:gridCol w:w="3090"/>
      </w:tblGrid>
      <w:tr w14:paraId="69ACE895">
        <w:tblPrEx>
          <w:tblCellMar>
            <w:top w:w="0" w:type="dxa"/>
            <w:left w:w="108" w:type="dxa"/>
            <w:bottom w:w="0" w:type="dxa"/>
            <w:right w:w="108" w:type="dxa"/>
          </w:tblCellMar>
        </w:tblPrEx>
        <w:trPr>
          <w:cantSplit/>
          <w:tblHeader/>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3160467">
            <w:pPr>
              <w:spacing w:before="0" w:after="0" w:line="240" w:lineRule="auto"/>
              <w:jc w:val="center"/>
            </w:pPr>
            <w:r>
              <w:rPr>
                <w:rFonts w:ascii="Arial" w:hAnsi="Arial" w:eastAsia="Arial"/>
                <w:b/>
                <w:i w:val="0"/>
                <w:color w:val="FFFFFF"/>
                <w:sz w:val="14"/>
              </w:rPr>
              <w:t>Marker</w:t>
            </w:r>
          </w:p>
        </w:tc>
        <w:tc>
          <w:tcPr>
            <w:tcW w:w="237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F2BCDD5">
            <w:pPr>
              <w:spacing w:before="0" w:after="0" w:line="240" w:lineRule="auto"/>
              <w:jc w:val="center"/>
            </w:pPr>
            <w:r>
              <w:rPr>
                <w:rFonts w:ascii="Arial" w:hAnsi="Arial" w:eastAsia="Arial"/>
                <w:b/>
                <w:i w:val="0"/>
                <w:color w:val="FFFFFF"/>
                <w:sz w:val="14"/>
              </w:rPr>
              <w:t>P-nonlinear: development</w:t>
            </w:r>
          </w:p>
        </w:tc>
        <w:tc>
          <w:tcPr>
            <w:tcW w:w="2808"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AF19832">
            <w:pPr>
              <w:spacing w:before="0" w:after="0" w:line="240" w:lineRule="auto"/>
              <w:jc w:val="center"/>
            </w:pPr>
            <w:r>
              <w:rPr>
                <w:rFonts w:ascii="Arial" w:hAnsi="Arial" w:eastAsia="Arial"/>
                <w:b/>
                <w:i w:val="0"/>
                <w:color w:val="FFFFFF"/>
                <w:sz w:val="14"/>
              </w:rPr>
              <w:t>P-nonlinear: ELSA temporal validation</w:t>
            </w:r>
          </w:p>
        </w:tc>
        <w:tc>
          <w:tcPr>
            <w:tcW w:w="266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E9D9B5B">
            <w:pPr>
              <w:spacing w:before="0" w:after="0" w:line="240" w:lineRule="auto"/>
              <w:jc w:val="center"/>
            </w:pPr>
            <w:r>
              <w:rPr>
                <w:rFonts w:ascii="Arial" w:hAnsi="Arial" w:eastAsia="Arial"/>
                <w:b/>
                <w:i w:val="0"/>
                <w:color w:val="FFFFFF"/>
                <w:sz w:val="14"/>
              </w:rPr>
              <w:t>P-nonlinear: HRS external validation</w:t>
            </w:r>
          </w:p>
        </w:tc>
        <w:tc>
          <w:tcPr>
            <w:tcW w:w="5760"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48861C5">
            <w:pPr>
              <w:spacing w:before="0" w:after="0" w:line="240" w:lineRule="auto"/>
              <w:jc w:val="center"/>
            </w:pPr>
            <w:r>
              <w:rPr>
                <w:rFonts w:ascii="Arial" w:hAnsi="Arial" w:eastAsia="Arial"/>
                <w:b/>
                <w:i w:val="0"/>
                <w:color w:val="FFFFFF"/>
                <w:sz w:val="14"/>
              </w:rPr>
              <w:t>Shape decision</w:t>
            </w:r>
          </w:p>
        </w:tc>
      </w:tr>
      <w:tr w14:paraId="04B9DBE8">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F36E9C6">
            <w:pPr>
              <w:spacing w:before="0" w:after="0" w:line="240" w:lineRule="auto"/>
              <w:jc w:val="left"/>
            </w:pPr>
            <w:r>
              <w:rPr>
                <w:rFonts w:ascii="Arial" w:hAnsi="Arial" w:eastAsia="Arial"/>
                <w:b w:val="0"/>
                <w:i w:val="0"/>
                <w:color w:val="1F1F1F"/>
                <w:sz w:val="14"/>
              </w:rPr>
              <w:t>TyG</w:t>
            </w:r>
          </w:p>
        </w:tc>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AB51B1D">
            <w:pPr>
              <w:spacing w:before="0" w:after="0" w:line="240" w:lineRule="auto"/>
              <w:jc w:val="center"/>
            </w:pPr>
            <w:r>
              <w:rPr>
                <w:rFonts w:ascii="Arial" w:hAnsi="Arial" w:eastAsia="Arial"/>
                <w:b w:val="0"/>
                <w:i w:val="0"/>
                <w:color w:val="1F1F1F"/>
                <w:sz w:val="14"/>
              </w:rPr>
              <w:t>0.726</w:t>
            </w:r>
          </w:p>
        </w:tc>
        <w:tc>
          <w:tcPr>
            <w:tcW w:w="28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6F198C4">
            <w:pPr>
              <w:spacing w:before="0" w:after="0" w:line="240" w:lineRule="auto"/>
              <w:jc w:val="center"/>
            </w:pPr>
            <w:r>
              <w:rPr>
                <w:rFonts w:ascii="Arial" w:hAnsi="Arial" w:eastAsia="Arial"/>
                <w:b w:val="0"/>
                <w:i w:val="0"/>
                <w:color w:val="1F1F1F"/>
                <w:sz w:val="14"/>
              </w:rPr>
              <w:t>0.677</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E02EBEB">
            <w:pPr>
              <w:spacing w:before="0" w:after="0" w:line="240" w:lineRule="auto"/>
              <w:jc w:val="center"/>
            </w:pPr>
            <w:r>
              <w:rPr>
                <w:rFonts w:ascii="Arial" w:hAnsi="Arial" w:eastAsia="Arial"/>
                <w:b w:val="0"/>
                <w:i w:val="0"/>
                <w:color w:val="1F1F1F"/>
                <w:sz w:val="14"/>
              </w:rPr>
              <w:t>0.185</w:t>
            </w:r>
          </w:p>
        </w:tc>
        <w:tc>
          <w:tcPr>
            <w:tcW w:w="576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1A5B372">
            <w:pPr>
              <w:spacing w:before="0" w:after="0" w:line="240" w:lineRule="auto"/>
              <w:jc w:val="left"/>
            </w:pPr>
            <w:r>
              <w:rPr>
                <w:rFonts w:ascii="Arial" w:hAnsi="Arial" w:eastAsia="Arial"/>
                <w:b w:val="0"/>
                <w:i w:val="0"/>
                <w:color w:val="1F1F1F"/>
                <w:sz w:val="14"/>
              </w:rPr>
              <w:t>No strong nonlinearity evidence</w:t>
            </w:r>
          </w:p>
        </w:tc>
      </w:tr>
      <w:tr w14:paraId="0A8D8AAC">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71E8C05">
            <w:pPr>
              <w:spacing w:before="0" w:after="0" w:line="240" w:lineRule="auto"/>
              <w:jc w:val="left"/>
            </w:pPr>
            <w:r>
              <w:rPr>
                <w:rFonts w:ascii="Arial" w:hAnsi="Arial" w:eastAsia="Arial"/>
                <w:b w:val="0"/>
                <w:i w:val="0"/>
                <w:color w:val="1F1F1F"/>
                <w:sz w:val="14"/>
              </w:rPr>
              <w:t>AIP</w:t>
            </w:r>
          </w:p>
        </w:tc>
        <w:tc>
          <w:tcPr>
            <w:tcW w:w="237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51D320B">
            <w:pPr>
              <w:spacing w:before="0" w:after="0" w:line="240" w:lineRule="auto"/>
              <w:jc w:val="center"/>
            </w:pPr>
            <w:r>
              <w:rPr>
                <w:rFonts w:ascii="Arial" w:hAnsi="Arial" w:eastAsia="Arial"/>
                <w:b w:val="0"/>
                <w:i w:val="0"/>
                <w:color w:val="1F1F1F"/>
                <w:sz w:val="14"/>
              </w:rPr>
              <w:t>0.598</w:t>
            </w:r>
          </w:p>
        </w:tc>
        <w:tc>
          <w:tcPr>
            <w:tcW w:w="2808"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5CF6A15">
            <w:pPr>
              <w:spacing w:before="0" w:after="0" w:line="240" w:lineRule="auto"/>
              <w:jc w:val="center"/>
            </w:pPr>
            <w:r>
              <w:rPr>
                <w:rFonts w:ascii="Arial" w:hAnsi="Arial" w:eastAsia="Arial"/>
                <w:b w:val="0"/>
                <w:i w:val="0"/>
                <w:color w:val="1F1F1F"/>
                <w:sz w:val="14"/>
              </w:rPr>
              <w:t>0.841</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8A5A349">
            <w:pPr>
              <w:spacing w:before="0" w:after="0" w:line="240" w:lineRule="auto"/>
              <w:jc w:val="center"/>
            </w:pPr>
            <w:r>
              <w:rPr>
                <w:rFonts w:ascii="Arial" w:hAnsi="Arial" w:eastAsia="Arial"/>
                <w:b w:val="0"/>
                <w:i w:val="0"/>
                <w:color w:val="1F1F1F"/>
                <w:sz w:val="14"/>
              </w:rPr>
              <w:t>0.671</w:t>
            </w:r>
          </w:p>
        </w:tc>
        <w:tc>
          <w:tcPr>
            <w:tcW w:w="5760"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044BEC2">
            <w:pPr>
              <w:spacing w:before="0" w:after="0" w:line="240" w:lineRule="auto"/>
              <w:jc w:val="left"/>
            </w:pPr>
            <w:r>
              <w:rPr>
                <w:rFonts w:ascii="Arial" w:hAnsi="Arial" w:eastAsia="Arial"/>
                <w:b w:val="0"/>
                <w:i w:val="0"/>
                <w:color w:val="1F1F1F"/>
                <w:sz w:val="14"/>
              </w:rPr>
              <w:t>No strong nonlinearity evidence</w:t>
            </w:r>
          </w:p>
        </w:tc>
      </w:tr>
      <w:tr w14:paraId="033BD883">
        <w:tblPrEx>
          <w:tblCellMar>
            <w:top w:w="0" w:type="dxa"/>
            <w:left w:w="108" w:type="dxa"/>
            <w:bottom w:w="0" w:type="dxa"/>
            <w:right w:w="108" w:type="dxa"/>
          </w:tblCellMar>
        </w:tblPrEx>
        <w:trPr>
          <w:cantSplit/>
          <w:jc w:val="center"/>
        </w:trPr>
        <w:tc>
          <w:tcPr>
            <w:tcW w:w="180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555B247">
            <w:pPr>
              <w:spacing w:before="0" w:after="0" w:line="240" w:lineRule="auto"/>
              <w:jc w:val="left"/>
            </w:pPr>
            <w:r>
              <w:rPr>
                <w:rFonts w:ascii="Arial" w:hAnsi="Arial" w:eastAsia="Arial"/>
                <w:b w:val="0"/>
                <w:i w:val="0"/>
                <w:color w:val="1F1F1F"/>
                <w:sz w:val="14"/>
              </w:rPr>
              <w:t>Core-3 Equal</w:t>
            </w:r>
          </w:p>
        </w:tc>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BE1A5A7">
            <w:pPr>
              <w:spacing w:before="0" w:after="0" w:line="240" w:lineRule="auto"/>
              <w:jc w:val="center"/>
            </w:pPr>
            <w:r>
              <w:rPr>
                <w:rFonts w:ascii="Arial" w:hAnsi="Arial" w:eastAsia="Arial"/>
                <w:b w:val="0"/>
                <w:i w:val="0"/>
                <w:color w:val="1F1F1F"/>
                <w:sz w:val="14"/>
              </w:rPr>
              <w:t>0.738</w:t>
            </w:r>
          </w:p>
        </w:tc>
        <w:tc>
          <w:tcPr>
            <w:tcW w:w="2808"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4CB7B0F">
            <w:pPr>
              <w:spacing w:before="0" w:after="0" w:line="240" w:lineRule="auto"/>
              <w:jc w:val="center"/>
            </w:pPr>
            <w:r>
              <w:rPr>
                <w:rFonts w:ascii="Arial" w:hAnsi="Arial" w:eastAsia="Arial"/>
                <w:b w:val="0"/>
                <w:i w:val="0"/>
                <w:color w:val="1F1F1F"/>
                <w:sz w:val="14"/>
              </w:rPr>
              <w:t>0.869</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9A9F93B">
            <w:pPr>
              <w:spacing w:before="0" w:after="0" w:line="240" w:lineRule="auto"/>
              <w:jc w:val="center"/>
            </w:pPr>
            <w:r>
              <w:rPr>
                <w:rFonts w:ascii="Arial" w:hAnsi="Arial" w:eastAsia="Arial"/>
                <w:b w:val="0"/>
                <w:i w:val="0"/>
                <w:color w:val="1F1F1F"/>
                <w:sz w:val="14"/>
              </w:rPr>
              <w:t>0.868</w:t>
            </w:r>
          </w:p>
        </w:tc>
        <w:tc>
          <w:tcPr>
            <w:tcW w:w="5760"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B160EAA">
            <w:pPr>
              <w:spacing w:before="0" w:after="0" w:line="240" w:lineRule="auto"/>
              <w:jc w:val="left"/>
            </w:pPr>
            <w:r>
              <w:rPr>
                <w:rFonts w:ascii="Arial" w:hAnsi="Arial" w:eastAsia="Arial"/>
                <w:b w:val="0"/>
                <w:i w:val="0"/>
                <w:color w:val="1F1F1F"/>
                <w:sz w:val="14"/>
              </w:rPr>
              <w:t>No strong nonlinearity evidence</w:t>
            </w:r>
          </w:p>
        </w:tc>
      </w:tr>
    </w:tbl>
    <w:p w14:paraId="2660C000">
      <w:pPr>
        <w:keepNext/>
        <w:spacing w:before="140" w:after="80"/>
      </w:pPr>
      <w:r>
        <w:rPr>
          <w:rFonts w:ascii="Arial" w:hAnsi="Arial" w:eastAsia="Arial"/>
          <w:b/>
          <w:i w:val="0"/>
          <w:color w:val="1F4E78"/>
          <w:sz w:val="18"/>
        </w:rPr>
        <w:t>Panel B. Corrected calibration intercepts and slopes for frozen validation predictions</w:t>
      </w:r>
    </w:p>
    <w:tbl>
      <w:tblPr>
        <w:tblStyle w:val="32"/>
        <w:tblW w:w="0" w:type="auto"/>
        <w:jc w:val="center"/>
        <w:tblLayout w:type="fixed"/>
        <w:tblCellMar>
          <w:top w:w="0" w:type="dxa"/>
          <w:left w:w="108" w:type="dxa"/>
          <w:bottom w:w="0" w:type="dxa"/>
          <w:right w:w="108" w:type="dxa"/>
        </w:tblCellMar>
      </w:tblPr>
      <w:tblGrid>
        <w:gridCol w:w="3090"/>
        <w:gridCol w:w="3090"/>
        <w:gridCol w:w="3090"/>
        <w:gridCol w:w="3090"/>
        <w:gridCol w:w="3090"/>
      </w:tblGrid>
      <w:tr w14:paraId="321AA6C3">
        <w:tblPrEx>
          <w:tblCellMar>
            <w:top w:w="0" w:type="dxa"/>
            <w:left w:w="108" w:type="dxa"/>
            <w:bottom w:w="0" w:type="dxa"/>
            <w:right w:w="108" w:type="dxa"/>
          </w:tblCellMar>
        </w:tblPrEx>
        <w:trPr>
          <w:cantSplit/>
          <w:tblHeader/>
          <w:jc w:val="center"/>
        </w:trPr>
        <w:tc>
          <w:tcPr>
            <w:tcW w:w="223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2B16343F">
            <w:pPr>
              <w:spacing w:before="0" w:after="0" w:line="240" w:lineRule="auto"/>
              <w:jc w:val="center"/>
            </w:pPr>
            <w:r>
              <w:rPr>
                <w:rFonts w:ascii="Arial" w:hAnsi="Arial" w:eastAsia="Arial"/>
                <w:b/>
                <w:i w:val="0"/>
                <w:color w:val="FFFFFF"/>
                <w:sz w:val="14"/>
              </w:rPr>
              <w:t>Validation stage</w:t>
            </w:r>
          </w:p>
        </w:tc>
        <w:tc>
          <w:tcPr>
            <w:tcW w:w="2232"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F11F4BD">
            <w:pPr>
              <w:spacing w:before="0" w:after="0" w:line="240" w:lineRule="auto"/>
              <w:jc w:val="center"/>
            </w:pPr>
            <w:r>
              <w:rPr>
                <w:rFonts w:ascii="Arial" w:hAnsi="Arial" w:eastAsia="Arial"/>
                <w:b/>
                <w:i w:val="0"/>
                <w:color w:val="FFFFFF"/>
                <w:sz w:val="14"/>
              </w:rPr>
              <w:t>Model</w:t>
            </w:r>
          </w:p>
        </w:tc>
        <w:tc>
          <w:tcPr>
            <w:tcW w:w="2951"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3321BFA">
            <w:pPr>
              <w:spacing w:before="0" w:after="0" w:line="240" w:lineRule="auto"/>
              <w:jc w:val="center"/>
            </w:pPr>
            <w:r>
              <w:rPr>
                <w:rFonts w:ascii="Arial" w:hAnsi="Arial" w:eastAsia="Arial"/>
                <w:b/>
                <w:i w:val="0"/>
                <w:color w:val="FFFFFF"/>
                <w:sz w:val="14"/>
              </w:rPr>
              <w:t>Calibration intercept (95% CI)</w:t>
            </w:r>
          </w:p>
        </w:tc>
        <w:tc>
          <w:tcPr>
            <w:tcW w:w="266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270A3F6">
            <w:pPr>
              <w:spacing w:before="0" w:after="0" w:line="240" w:lineRule="auto"/>
              <w:jc w:val="center"/>
            </w:pPr>
            <w:r>
              <w:rPr>
                <w:rFonts w:ascii="Arial" w:hAnsi="Arial" w:eastAsia="Arial"/>
                <w:b/>
                <w:i w:val="0"/>
                <w:color w:val="FFFFFF"/>
                <w:sz w:val="14"/>
              </w:rPr>
              <w:t>Calibration slope (95% CI)</w:t>
            </w:r>
          </w:p>
        </w:tc>
        <w:tc>
          <w:tcPr>
            <w:tcW w:w="4464"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3B9A4F71">
            <w:pPr>
              <w:spacing w:before="0" w:after="0" w:line="240" w:lineRule="auto"/>
              <w:jc w:val="center"/>
            </w:pPr>
            <w:r>
              <w:rPr>
                <w:rFonts w:ascii="Arial" w:hAnsi="Arial" w:eastAsia="Arial"/>
                <w:b/>
                <w:i w:val="0"/>
                <w:color w:val="FFFFFF"/>
                <w:sz w:val="14"/>
              </w:rPr>
              <w:t>Descriptive calibration range</w:t>
            </w:r>
          </w:p>
        </w:tc>
      </w:tr>
      <w:tr w14:paraId="50CD60D7">
        <w:tblPrEx>
          <w:tblCellMar>
            <w:top w:w="0" w:type="dxa"/>
            <w:left w:w="108" w:type="dxa"/>
            <w:bottom w:w="0" w:type="dxa"/>
            <w:right w:w="108" w:type="dxa"/>
          </w:tblCellMar>
        </w:tblPrEx>
        <w:trPr>
          <w:cantSplit/>
          <w:jc w:val="center"/>
        </w:trPr>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A9286F4">
            <w:pPr>
              <w:spacing w:before="0" w:after="0" w:line="240" w:lineRule="auto"/>
              <w:jc w:val="left"/>
            </w:pPr>
            <w:r>
              <w:rPr>
                <w:rFonts w:ascii="Arial" w:hAnsi="Arial" w:eastAsia="Arial"/>
                <w:b w:val="0"/>
                <w:i w:val="0"/>
                <w:color w:val="1F1F1F"/>
                <w:sz w:val="14"/>
              </w:rPr>
              <w:t>ELSA temporal validation</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12C0CC2">
            <w:pPr>
              <w:spacing w:before="0" w:after="0" w:line="240" w:lineRule="auto"/>
              <w:jc w:val="left"/>
            </w:pPr>
            <w:r>
              <w:rPr>
                <w:rFonts w:ascii="Arial" w:hAnsi="Arial" w:eastAsia="Arial"/>
                <w:b w:val="0"/>
                <w:i w:val="0"/>
                <w:color w:val="1F1F1F"/>
                <w:sz w:val="14"/>
              </w:rPr>
              <w:t>Clinical</w:t>
            </w:r>
          </w:p>
        </w:tc>
        <w:tc>
          <w:tcPr>
            <w:tcW w:w="295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AB3765B">
            <w:pPr>
              <w:spacing w:before="0" w:after="0" w:line="240" w:lineRule="auto"/>
              <w:jc w:val="center"/>
            </w:pPr>
            <w:r>
              <w:rPr>
                <w:rFonts w:ascii="Arial" w:hAnsi="Arial" w:eastAsia="Arial"/>
                <w:b w:val="0"/>
                <w:i w:val="0"/>
                <w:color w:val="1F1F1F"/>
                <w:sz w:val="14"/>
              </w:rPr>
              <w:t>-0.16 (-0.31–-0.01)</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FF7801E">
            <w:pPr>
              <w:spacing w:before="0" w:after="0" w:line="240" w:lineRule="auto"/>
              <w:jc w:val="center"/>
            </w:pPr>
            <w:r>
              <w:rPr>
                <w:rFonts w:ascii="Arial" w:hAnsi="Arial" w:eastAsia="Arial"/>
                <w:b w:val="0"/>
                <w:i w:val="0"/>
                <w:color w:val="1F1F1F"/>
                <w:sz w:val="14"/>
              </w:rPr>
              <w:t>0.90 (0.66–1.09)</w:t>
            </w:r>
          </w:p>
        </w:tc>
        <w:tc>
          <w:tcPr>
            <w:tcW w:w="44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3E9503C">
            <w:pPr>
              <w:spacing w:before="0" w:after="0" w:line="240" w:lineRule="auto"/>
              <w:jc w:val="left"/>
            </w:pPr>
            <w:r>
              <w:rPr>
                <w:rFonts w:ascii="Arial" w:hAnsi="Arial" w:eastAsia="Arial"/>
                <w:b w:val="0"/>
                <w:i w:val="0"/>
                <w:color w:val="1F1F1F"/>
                <w:sz w:val="14"/>
              </w:rPr>
              <w:t>Met</w:t>
            </w:r>
          </w:p>
        </w:tc>
      </w:tr>
      <w:tr w14:paraId="07BB189B">
        <w:tblPrEx>
          <w:tblCellMar>
            <w:top w:w="0" w:type="dxa"/>
            <w:left w:w="108" w:type="dxa"/>
            <w:bottom w:w="0" w:type="dxa"/>
            <w:right w:w="108" w:type="dxa"/>
          </w:tblCellMar>
        </w:tblPrEx>
        <w:trPr>
          <w:cantSplit/>
          <w:jc w:val="center"/>
        </w:trPr>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7C77846">
            <w:pPr>
              <w:spacing w:before="0" w:after="0" w:line="240" w:lineRule="auto"/>
              <w:jc w:val="left"/>
            </w:pPr>
            <w:r>
              <w:rPr>
                <w:rFonts w:ascii="Arial" w:hAnsi="Arial" w:eastAsia="Arial"/>
                <w:b w:val="0"/>
                <w:i w:val="0"/>
                <w:color w:val="1F1F1F"/>
                <w:sz w:val="14"/>
              </w:rPr>
              <w:t>ELSA temporal validation</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1855D30">
            <w:pPr>
              <w:spacing w:before="0" w:after="0" w:line="240" w:lineRule="auto"/>
              <w:jc w:val="left"/>
            </w:pPr>
            <w:r>
              <w:rPr>
                <w:rFonts w:ascii="Arial" w:hAnsi="Arial" w:eastAsia="Arial"/>
                <w:b w:val="0"/>
                <w:i w:val="0"/>
                <w:color w:val="1F1F1F"/>
                <w:sz w:val="14"/>
              </w:rPr>
              <w:t>Clinical + AIP</w:t>
            </w:r>
          </w:p>
        </w:tc>
        <w:tc>
          <w:tcPr>
            <w:tcW w:w="295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0CF082C">
            <w:pPr>
              <w:spacing w:before="0" w:after="0" w:line="240" w:lineRule="auto"/>
              <w:jc w:val="center"/>
            </w:pPr>
            <w:r>
              <w:rPr>
                <w:rFonts w:ascii="Arial" w:hAnsi="Arial" w:eastAsia="Arial"/>
                <w:b w:val="0"/>
                <w:i w:val="0"/>
                <w:color w:val="1F1F1F"/>
                <w:sz w:val="14"/>
              </w:rPr>
              <w:t>-0.13 (-0.29–0.02)</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4329ED3">
            <w:pPr>
              <w:spacing w:before="0" w:after="0" w:line="240" w:lineRule="auto"/>
              <w:jc w:val="center"/>
            </w:pPr>
            <w:r>
              <w:rPr>
                <w:rFonts w:ascii="Arial" w:hAnsi="Arial" w:eastAsia="Arial"/>
                <w:b w:val="0"/>
                <w:i w:val="0"/>
                <w:color w:val="1F1F1F"/>
                <w:sz w:val="14"/>
              </w:rPr>
              <w:t>0.91 (0.68–1.10)</w:t>
            </w:r>
          </w:p>
        </w:tc>
        <w:tc>
          <w:tcPr>
            <w:tcW w:w="44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570EEC5">
            <w:pPr>
              <w:spacing w:before="0" w:after="0" w:line="240" w:lineRule="auto"/>
              <w:jc w:val="left"/>
            </w:pPr>
            <w:r>
              <w:rPr>
                <w:rFonts w:ascii="Arial" w:hAnsi="Arial" w:eastAsia="Arial"/>
                <w:b w:val="0"/>
                <w:i w:val="0"/>
                <w:color w:val="1F1F1F"/>
                <w:sz w:val="14"/>
              </w:rPr>
              <w:t>Met</w:t>
            </w:r>
          </w:p>
        </w:tc>
      </w:tr>
      <w:tr w14:paraId="014F2D87">
        <w:tblPrEx>
          <w:tblCellMar>
            <w:top w:w="0" w:type="dxa"/>
            <w:left w:w="108" w:type="dxa"/>
            <w:bottom w:w="0" w:type="dxa"/>
            <w:right w:w="108" w:type="dxa"/>
          </w:tblCellMar>
        </w:tblPrEx>
        <w:trPr>
          <w:cantSplit/>
          <w:jc w:val="center"/>
        </w:trPr>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968A44C">
            <w:pPr>
              <w:spacing w:before="0" w:after="0" w:line="240" w:lineRule="auto"/>
              <w:jc w:val="left"/>
            </w:pPr>
            <w:r>
              <w:rPr>
                <w:rFonts w:ascii="Arial" w:hAnsi="Arial" w:eastAsia="Arial"/>
                <w:b w:val="0"/>
                <w:i w:val="0"/>
                <w:color w:val="1F1F1F"/>
                <w:sz w:val="14"/>
              </w:rPr>
              <w:t>ELSA temporal validation</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718702C">
            <w:pPr>
              <w:spacing w:before="0" w:after="0" w:line="240" w:lineRule="auto"/>
              <w:jc w:val="left"/>
            </w:pPr>
            <w:r>
              <w:rPr>
                <w:rFonts w:ascii="Arial" w:hAnsi="Arial" w:eastAsia="Arial"/>
                <w:b w:val="0"/>
                <w:i w:val="0"/>
                <w:color w:val="1F1F1F"/>
                <w:sz w:val="14"/>
              </w:rPr>
              <w:t>Clinical + TyG</w:t>
            </w:r>
          </w:p>
        </w:tc>
        <w:tc>
          <w:tcPr>
            <w:tcW w:w="295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2A21305">
            <w:pPr>
              <w:spacing w:before="0" w:after="0" w:line="240" w:lineRule="auto"/>
              <w:jc w:val="center"/>
            </w:pPr>
            <w:r>
              <w:rPr>
                <w:rFonts w:ascii="Arial" w:hAnsi="Arial" w:eastAsia="Arial"/>
                <w:b w:val="0"/>
                <w:i w:val="0"/>
                <w:color w:val="1F1F1F"/>
                <w:sz w:val="14"/>
              </w:rPr>
              <w:t>-0.16 (-0.31–-0.01)</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1742C68">
            <w:pPr>
              <w:spacing w:before="0" w:after="0" w:line="240" w:lineRule="auto"/>
              <w:jc w:val="center"/>
            </w:pPr>
            <w:r>
              <w:rPr>
                <w:rFonts w:ascii="Arial" w:hAnsi="Arial" w:eastAsia="Arial"/>
                <w:b w:val="0"/>
                <w:i w:val="0"/>
                <w:color w:val="1F1F1F"/>
                <w:sz w:val="14"/>
              </w:rPr>
              <w:t>0.93 (0.69–1.12)</w:t>
            </w:r>
          </w:p>
        </w:tc>
        <w:tc>
          <w:tcPr>
            <w:tcW w:w="44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AA2DB53">
            <w:pPr>
              <w:spacing w:before="0" w:after="0" w:line="240" w:lineRule="auto"/>
              <w:jc w:val="left"/>
            </w:pPr>
            <w:r>
              <w:rPr>
                <w:rFonts w:ascii="Arial" w:hAnsi="Arial" w:eastAsia="Arial"/>
                <w:b w:val="0"/>
                <w:i w:val="0"/>
                <w:color w:val="1F1F1F"/>
                <w:sz w:val="14"/>
              </w:rPr>
              <w:t>Met</w:t>
            </w:r>
          </w:p>
        </w:tc>
      </w:tr>
      <w:tr w14:paraId="1E736986">
        <w:tblPrEx>
          <w:tblCellMar>
            <w:top w:w="0" w:type="dxa"/>
            <w:left w:w="108" w:type="dxa"/>
            <w:bottom w:w="0" w:type="dxa"/>
            <w:right w:w="108" w:type="dxa"/>
          </w:tblCellMar>
        </w:tblPrEx>
        <w:trPr>
          <w:cantSplit/>
          <w:jc w:val="center"/>
        </w:trPr>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F8ED3C1">
            <w:pPr>
              <w:spacing w:before="0" w:after="0" w:line="240" w:lineRule="auto"/>
              <w:jc w:val="left"/>
            </w:pPr>
            <w:r>
              <w:rPr>
                <w:rFonts w:ascii="Arial" w:hAnsi="Arial" w:eastAsia="Arial"/>
                <w:b w:val="0"/>
                <w:i w:val="0"/>
                <w:color w:val="1F1F1F"/>
                <w:sz w:val="14"/>
              </w:rPr>
              <w:t>ELSA temporal validation</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3C668B04">
            <w:pPr>
              <w:spacing w:before="0" w:after="0" w:line="240" w:lineRule="auto"/>
              <w:jc w:val="left"/>
            </w:pPr>
            <w:r>
              <w:rPr>
                <w:rFonts w:ascii="Arial" w:hAnsi="Arial" w:eastAsia="Arial"/>
                <w:b w:val="0"/>
                <w:i w:val="0"/>
                <w:color w:val="1F1F1F"/>
                <w:sz w:val="14"/>
              </w:rPr>
              <w:t>Clinical + Core-3 Equal</w:t>
            </w:r>
          </w:p>
        </w:tc>
        <w:tc>
          <w:tcPr>
            <w:tcW w:w="295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7859D456">
            <w:pPr>
              <w:spacing w:before="0" w:after="0" w:line="240" w:lineRule="auto"/>
              <w:jc w:val="center"/>
            </w:pPr>
            <w:r>
              <w:rPr>
                <w:rFonts w:ascii="Arial" w:hAnsi="Arial" w:eastAsia="Arial"/>
                <w:b w:val="0"/>
                <w:i w:val="0"/>
                <w:color w:val="1F1F1F"/>
                <w:sz w:val="14"/>
              </w:rPr>
              <w:t>-0.16 (-0.31–-0.01)</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FD7CC5D">
            <w:pPr>
              <w:spacing w:before="0" w:after="0" w:line="240" w:lineRule="auto"/>
              <w:jc w:val="center"/>
            </w:pPr>
            <w:r>
              <w:rPr>
                <w:rFonts w:ascii="Arial" w:hAnsi="Arial" w:eastAsia="Arial"/>
                <w:b w:val="0"/>
                <w:i w:val="0"/>
                <w:color w:val="1F1F1F"/>
                <w:sz w:val="14"/>
              </w:rPr>
              <w:t>0.91 (0.68–1.10)</w:t>
            </w:r>
          </w:p>
        </w:tc>
        <w:tc>
          <w:tcPr>
            <w:tcW w:w="44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80D3E33">
            <w:pPr>
              <w:spacing w:before="0" w:after="0" w:line="240" w:lineRule="auto"/>
              <w:jc w:val="left"/>
            </w:pPr>
            <w:r>
              <w:rPr>
                <w:rFonts w:ascii="Arial" w:hAnsi="Arial" w:eastAsia="Arial"/>
                <w:b w:val="0"/>
                <w:i w:val="0"/>
                <w:color w:val="1F1F1F"/>
                <w:sz w:val="14"/>
              </w:rPr>
              <w:t>Met</w:t>
            </w:r>
          </w:p>
        </w:tc>
      </w:tr>
      <w:tr w14:paraId="7FFB7600">
        <w:tblPrEx>
          <w:tblCellMar>
            <w:top w:w="0" w:type="dxa"/>
            <w:left w:w="108" w:type="dxa"/>
            <w:bottom w:w="0" w:type="dxa"/>
            <w:right w:w="108" w:type="dxa"/>
          </w:tblCellMar>
        </w:tblPrEx>
        <w:trPr>
          <w:cantSplit/>
          <w:jc w:val="center"/>
        </w:trPr>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E02001D">
            <w:pPr>
              <w:spacing w:before="0" w:after="0" w:line="240" w:lineRule="auto"/>
              <w:jc w:val="left"/>
            </w:pPr>
            <w:r>
              <w:rPr>
                <w:rFonts w:ascii="Arial" w:hAnsi="Arial" w:eastAsia="Arial"/>
                <w:b w:val="0"/>
                <w:i w:val="0"/>
                <w:color w:val="1F1F1F"/>
                <w:sz w:val="14"/>
              </w:rPr>
              <w:t>HRS external validation</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A98514A">
            <w:pPr>
              <w:spacing w:before="0" w:after="0" w:line="240" w:lineRule="auto"/>
              <w:jc w:val="left"/>
            </w:pPr>
            <w:r>
              <w:rPr>
                <w:rFonts w:ascii="Arial" w:hAnsi="Arial" w:eastAsia="Arial"/>
                <w:b w:val="0"/>
                <w:i w:val="0"/>
                <w:color w:val="1F1F1F"/>
                <w:sz w:val="14"/>
              </w:rPr>
              <w:t>Clinical</w:t>
            </w:r>
          </w:p>
        </w:tc>
        <w:tc>
          <w:tcPr>
            <w:tcW w:w="295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A27E24D">
            <w:pPr>
              <w:spacing w:before="0" w:after="0" w:line="240" w:lineRule="auto"/>
              <w:jc w:val="center"/>
            </w:pPr>
            <w:r>
              <w:rPr>
                <w:rFonts w:ascii="Arial" w:hAnsi="Arial" w:eastAsia="Arial"/>
                <w:b w:val="0"/>
                <w:i w:val="0"/>
                <w:color w:val="1F1F1F"/>
                <w:sz w:val="14"/>
              </w:rPr>
              <w:t>0.04 (-0.10–0.19)</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474B888">
            <w:pPr>
              <w:spacing w:before="0" w:after="0" w:line="240" w:lineRule="auto"/>
              <w:jc w:val="center"/>
            </w:pPr>
            <w:r>
              <w:rPr>
                <w:rFonts w:ascii="Arial" w:hAnsi="Arial" w:eastAsia="Arial"/>
                <w:b w:val="0"/>
                <w:i w:val="0"/>
                <w:color w:val="1F1F1F"/>
                <w:sz w:val="14"/>
              </w:rPr>
              <w:t>0.75 (0.53–0.96)</w:t>
            </w:r>
          </w:p>
        </w:tc>
        <w:tc>
          <w:tcPr>
            <w:tcW w:w="44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AC1F9A7">
            <w:pPr>
              <w:spacing w:before="0" w:after="0" w:line="240" w:lineRule="auto"/>
              <w:jc w:val="left"/>
            </w:pPr>
            <w:r>
              <w:rPr>
                <w:rFonts w:ascii="Arial" w:hAnsi="Arial" w:eastAsia="Arial"/>
                <w:b w:val="0"/>
                <w:i w:val="0"/>
                <w:color w:val="1F1F1F"/>
                <w:sz w:val="14"/>
              </w:rPr>
              <w:t>Not met</w:t>
            </w:r>
          </w:p>
        </w:tc>
      </w:tr>
      <w:tr w14:paraId="1686C0E4">
        <w:tblPrEx>
          <w:tblCellMar>
            <w:top w:w="0" w:type="dxa"/>
            <w:left w:w="108" w:type="dxa"/>
            <w:bottom w:w="0" w:type="dxa"/>
            <w:right w:w="108" w:type="dxa"/>
          </w:tblCellMar>
        </w:tblPrEx>
        <w:trPr>
          <w:cantSplit/>
          <w:jc w:val="center"/>
        </w:trPr>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1326504">
            <w:pPr>
              <w:spacing w:before="0" w:after="0" w:line="240" w:lineRule="auto"/>
              <w:jc w:val="left"/>
            </w:pPr>
            <w:r>
              <w:rPr>
                <w:rFonts w:ascii="Arial" w:hAnsi="Arial" w:eastAsia="Arial"/>
                <w:b w:val="0"/>
                <w:i w:val="0"/>
                <w:color w:val="1F1F1F"/>
                <w:sz w:val="14"/>
              </w:rPr>
              <w:t>HRS external validation</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B382962">
            <w:pPr>
              <w:spacing w:before="0" w:after="0" w:line="240" w:lineRule="auto"/>
              <w:jc w:val="left"/>
            </w:pPr>
            <w:r>
              <w:rPr>
                <w:rFonts w:ascii="Arial" w:hAnsi="Arial" w:eastAsia="Arial"/>
                <w:b w:val="0"/>
                <w:i w:val="0"/>
                <w:color w:val="1F1F1F"/>
                <w:sz w:val="14"/>
              </w:rPr>
              <w:t>Clinical + AIP</w:t>
            </w:r>
          </w:p>
        </w:tc>
        <w:tc>
          <w:tcPr>
            <w:tcW w:w="295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D7C0553">
            <w:pPr>
              <w:spacing w:before="0" w:after="0" w:line="240" w:lineRule="auto"/>
              <w:jc w:val="center"/>
            </w:pPr>
            <w:r>
              <w:rPr>
                <w:rFonts w:ascii="Arial" w:hAnsi="Arial" w:eastAsia="Arial"/>
                <w:b w:val="0"/>
                <w:i w:val="0"/>
                <w:color w:val="1F1F1F"/>
                <w:sz w:val="14"/>
              </w:rPr>
              <w:t>0.05 (-0.09–0.20)</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BCC9889">
            <w:pPr>
              <w:spacing w:before="0" w:after="0" w:line="240" w:lineRule="auto"/>
              <w:jc w:val="center"/>
            </w:pPr>
            <w:r>
              <w:rPr>
                <w:rFonts w:ascii="Arial" w:hAnsi="Arial" w:eastAsia="Arial"/>
                <w:b w:val="0"/>
                <w:i w:val="0"/>
                <w:color w:val="1F1F1F"/>
                <w:sz w:val="14"/>
              </w:rPr>
              <w:t>0.76 (0.55–0.98)</w:t>
            </w:r>
          </w:p>
        </w:tc>
        <w:tc>
          <w:tcPr>
            <w:tcW w:w="44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D6D4A45">
            <w:pPr>
              <w:spacing w:before="0" w:after="0" w:line="240" w:lineRule="auto"/>
              <w:jc w:val="left"/>
            </w:pPr>
            <w:r>
              <w:rPr>
                <w:rFonts w:ascii="Arial" w:hAnsi="Arial" w:eastAsia="Arial"/>
                <w:b w:val="0"/>
                <w:i w:val="0"/>
                <w:color w:val="1F1F1F"/>
                <w:sz w:val="14"/>
              </w:rPr>
              <w:t>Not met</w:t>
            </w:r>
          </w:p>
        </w:tc>
      </w:tr>
      <w:tr w14:paraId="795D6F8F">
        <w:tblPrEx>
          <w:tblCellMar>
            <w:top w:w="0" w:type="dxa"/>
            <w:left w:w="108" w:type="dxa"/>
            <w:bottom w:w="0" w:type="dxa"/>
            <w:right w:w="108" w:type="dxa"/>
          </w:tblCellMar>
        </w:tblPrEx>
        <w:trPr>
          <w:cantSplit/>
          <w:jc w:val="center"/>
        </w:trPr>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E581647">
            <w:pPr>
              <w:spacing w:before="0" w:after="0" w:line="240" w:lineRule="auto"/>
              <w:jc w:val="left"/>
            </w:pPr>
            <w:r>
              <w:rPr>
                <w:rFonts w:ascii="Arial" w:hAnsi="Arial" w:eastAsia="Arial"/>
                <w:b w:val="0"/>
                <w:i w:val="0"/>
                <w:color w:val="1F1F1F"/>
                <w:sz w:val="14"/>
              </w:rPr>
              <w:t>HRS external validation</w:t>
            </w:r>
          </w:p>
        </w:tc>
        <w:tc>
          <w:tcPr>
            <w:tcW w:w="2232"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E63EADB">
            <w:pPr>
              <w:spacing w:before="0" w:after="0" w:line="240" w:lineRule="auto"/>
              <w:jc w:val="left"/>
            </w:pPr>
            <w:r>
              <w:rPr>
                <w:rFonts w:ascii="Arial" w:hAnsi="Arial" w:eastAsia="Arial"/>
                <w:b w:val="0"/>
                <w:i w:val="0"/>
                <w:color w:val="1F1F1F"/>
                <w:sz w:val="14"/>
              </w:rPr>
              <w:t>Clinical + TyG</w:t>
            </w:r>
          </w:p>
        </w:tc>
        <w:tc>
          <w:tcPr>
            <w:tcW w:w="2951"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4691E98">
            <w:pPr>
              <w:spacing w:before="0" w:after="0" w:line="240" w:lineRule="auto"/>
              <w:jc w:val="center"/>
            </w:pPr>
            <w:r>
              <w:rPr>
                <w:rFonts w:ascii="Arial" w:hAnsi="Arial" w:eastAsia="Arial"/>
                <w:b w:val="0"/>
                <w:i w:val="0"/>
                <w:color w:val="1F1F1F"/>
                <w:sz w:val="14"/>
              </w:rPr>
              <w:t>0.03 (-0.11–0.18)</w:t>
            </w:r>
          </w:p>
        </w:tc>
        <w:tc>
          <w:tcPr>
            <w:tcW w:w="26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5F6A9C18">
            <w:pPr>
              <w:spacing w:before="0" w:after="0" w:line="240" w:lineRule="auto"/>
              <w:jc w:val="center"/>
            </w:pPr>
            <w:r>
              <w:rPr>
                <w:rFonts w:ascii="Arial" w:hAnsi="Arial" w:eastAsia="Arial"/>
                <w:b w:val="0"/>
                <w:i w:val="0"/>
                <w:color w:val="1F1F1F"/>
                <w:sz w:val="14"/>
              </w:rPr>
              <w:t>0.78 (0.57–1.01)</w:t>
            </w:r>
          </w:p>
        </w:tc>
        <w:tc>
          <w:tcPr>
            <w:tcW w:w="4464"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639747F3">
            <w:pPr>
              <w:spacing w:before="0" w:after="0" w:line="240" w:lineRule="auto"/>
              <w:jc w:val="left"/>
            </w:pPr>
            <w:r>
              <w:rPr>
                <w:rFonts w:ascii="Arial" w:hAnsi="Arial" w:eastAsia="Arial"/>
                <w:b w:val="0"/>
                <w:i w:val="0"/>
                <w:color w:val="1F1F1F"/>
                <w:sz w:val="14"/>
              </w:rPr>
              <w:t>Not met</w:t>
            </w:r>
          </w:p>
        </w:tc>
      </w:tr>
      <w:tr w14:paraId="7A109535">
        <w:tblPrEx>
          <w:tblCellMar>
            <w:top w:w="0" w:type="dxa"/>
            <w:left w:w="108" w:type="dxa"/>
            <w:bottom w:w="0" w:type="dxa"/>
            <w:right w:w="108" w:type="dxa"/>
          </w:tblCellMar>
        </w:tblPrEx>
        <w:trPr>
          <w:cantSplit/>
          <w:jc w:val="center"/>
        </w:trPr>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2C6BBCDA">
            <w:pPr>
              <w:spacing w:before="0" w:after="0" w:line="240" w:lineRule="auto"/>
              <w:jc w:val="left"/>
            </w:pPr>
            <w:r>
              <w:rPr>
                <w:rFonts w:ascii="Arial" w:hAnsi="Arial" w:eastAsia="Arial"/>
                <w:b w:val="0"/>
                <w:i w:val="0"/>
                <w:color w:val="1F1F1F"/>
                <w:sz w:val="14"/>
              </w:rPr>
              <w:t>HRS external validation</w:t>
            </w:r>
          </w:p>
        </w:tc>
        <w:tc>
          <w:tcPr>
            <w:tcW w:w="2232"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8614FD9">
            <w:pPr>
              <w:spacing w:before="0" w:after="0" w:line="240" w:lineRule="auto"/>
              <w:jc w:val="left"/>
            </w:pPr>
            <w:r>
              <w:rPr>
                <w:rFonts w:ascii="Arial" w:hAnsi="Arial" w:eastAsia="Arial"/>
                <w:b w:val="0"/>
                <w:i w:val="0"/>
                <w:color w:val="1F1F1F"/>
                <w:sz w:val="14"/>
              </w:rPr>
              <w:t>Clinical + Core-3 Equal</w:t>
            </w:r>
          </w:p>
        </w:tc>
        <w:tc>
          <w:tcPr>
            <w:tcW w:w="2951"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425D1C3E">
            <w:pPr>
              <w:spacing w:before="0" w:after="0" w:line="240" w:lineRule="auto"/>
              <w:jc w:val="center"/>
            </w:pPr>
            <w:r>
              <w:rPr>
                <w:rFonts w:ascii="Arial" w:hAnsi="Arial" w:eastAsia="Arial"/>
                <w:b w:val="0"/>
                <w:i w:val="0"/>
                <w:color w:val="1F1F1F"/>
                <w:sz w:val="14"/>
              </w:rPr>
              <w:t>-0.07 (-0.21–0.09)</w:t>
            </w:r>
          </w:p>
        </w:tc>
        <w:tc>
          <w:tcPr>
            <w:tcW w:w="26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00DD65BE">
            <w:pPr>
              <w:spacing w:before="0" w:after="0" w:line="240" w:lineRule="auto"/>
              <w:jc w:val="center"/>
            </w:pPr>
            <w:r>
              <w:rPr>
                <w:rFonts w:ascii="Arial" w:hAnsi="Arial" w:eastAsia="Arial"/>
                <w:b w:val="0"/>
                <w:i w:val="0"/>
                <w:color w:val="1F1F1F"/>
                <w:sz w:val="14"/>
              </w:rPr>
              <w:t>0.78 (0.59–0.99)</w:t>
            </w:r>
          </w:p>
        </w:tc>
        <w:tc>
          <w:tcPr>
            <w:tcW w:w="4464"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5CE32C78">
            <w:pPr>
              <w:spacing w:before="0" w:after="0" w:line="240" w:lineRule="auto"/>
              <w:jc w:val="left"/>
            </w:pPr>
            <w:r>
              <w:rPr>
                <w:rFonts w:ascii="Arial" w:hAnsi="Arial" w:eastAsia="Arial"/>
                <w:b w:val="0"/>
                <w:i w:val="0"/>
                <w:color w:val="1F1F1F"/>
                <w:sz w:val="14"/>
              </w:rPr>
              <w:t>Not met</w:t>
            </w:r>
          </w:p>
        </w:tc>
      </w:tr>
    </w:tbl>
    <w:p w14:paraId="1B93BC63">
      <w:pPr>
        <w:keepNext/>
        <w:spacing w:before="140" w:after="80"/>
      </w:pPr>
      <w:r>
        <w:rPr>
          <w:rFonts w:ascii="Arial" w:hAnsi="Arial" w:eastAsia="Arial"/>
          <w:b/>
          <w:i w:val="0"/>
          <w:color w:val="1F4E78"/>
          <w:sz w:val="18"/>
        </w:rPr>
        <w:t>Panel C. Decision-curve summary over thresholds from 1% to 10%</w:t>
      </w:r>
    </w:p>
    <w:tbl>
      <w:tblPr>
        <w:tblStyle w:val="32"/>
        <w:tblW w:w="0" w:type="auto"/>
        <w:jc w:val="center"/>
        <w:tblLayout w:type="fixed"/>
        <w:tblCellMar>
          <w:top w:w="0" w:type="dxa"/>
          <w:left w:w="108" w:type="dxa"/>
          <w:bottom w:w="0" w:type="dxa"/>
          <w:right w:w="108" w:type="dxa"/>
        </w:tblCellMar>
      </w:tblPr>
      <w:tblGrid>
        <w:gridCol w:w="3863"/>
        <w:gridCol w:w="3863"/>
        <w:gridCol w:w="3863"/>
        <w:gridCol w:w="3863"/>
      </w:tblGrid>
      <w:tr w14:paraId="1B54DA7F">
        <w:tblPrEx>
          <w:tblCellMar>
            <w:top w:w="0" w:type="dxa"/>
            <w:left w:w="108" w:type="dxa"/>
            <w:bottom w:w="0" w:type="dxa"/>
            <w:right w:w="108" w:type="dxa"/>
          </w:tblCellMar>
        </w:tblPrEx>
        <w:trPr>
          <w:cantSplit/>
          <w:tblHeader/>
          <w:jc w:val="center"/>
        </w:trPr>
        <w:tc>
          <w:tcPr>
            <w:tcW w:w="237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7B999460">
            <w:pPr>
              <w:spacing w:before="0" w:after="0" w:line="240" w:lineRule="auto"/>
              <w:jc w:val="center"/>
            </w:pPr>
            <w:r>
              <w:rPr>
                <w:rFonts w:ascii="Arial" w:hAnsi="Arial" w:eastAsia="Arial"/>
                <w:b/>
                <w:i w:val="0"/>
                <w:color w:val="FFFFFF"/>
                <w:sz w:val="14"/>
              </w:rPr>
              <w:t>Enhanced model</w:t>
            </w:r>
          </w:p>
        </w:tc>
        <w:tc>
          <w:tcPr>
            <w:tcW w:w="309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0C9DE11">
            <w:pPr>
              <w:spacing w:before="0" w:after="0" w:line="240" w:lineRule="auto"/>
              <w:jc w:val="center"/>
            </w:pPr>
            <w:r>
              <w:rPr>
                <w:rFonts w:ascii="Arial" w:hAnsi="Arial" w:eastAsia="Arial"/>
                <w:b/>
                <w:i w:val="0"/>
                <w:color w:val="FFFFFF"/>
                <w:sz w:val="14"/>
              </w:rPr>
              <w:t>Threshold grid favoring model: ELSA temporal validation</w:t>
            </w:r>
          </w:p>
        </w:tc>
        <w:tc>
          <w:tcPr>
            <w:tcW w:w="309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66B98698">
            <w:pPr>
              <w:spacing w:before="0" w:after="0" w:line="240" w:lineRule="auto"/>
              <w:jc w:val="center"/>
            </w:pPr>
            <w:r>
              <w:rPr>
                <w:rFonts w:ascii="Arial" w:hAnsi="Arial" w:eastAsia="Arial"/>
                <w:b/>
                <w:i w:val="0"/>
                <w:color w:val="FFFFFF"/>
                <w:sz w:val="14"/>
              </w:rPr>
              <w:t>Threshold grid favoring model: HRS external validation</w:t>
            </w:r>
          </w:p>
        </w:tc>
        <w:tc>
          <w:tcPr>
            <w:tcW w:w="5976" w:type="dxa"/>
            <w:tcBorders>
              <w:top w:val="single" w:color="BFBFBF" w:sz="4" w:space="0"/>
              <w:left w:val="single" w:color="BFBFBF" w:sz="4" w:space="0"/>
              <w:bottom w:val="single" w:color="BFBFBF" w:sz="4" w:space="0"/>
              <w:right w:val="single" w:color="BFBFBF" w:sz="4" w:space="0"/>
            </w:tcBorders>
            <w:shd w:val="clear" w:color="auto" w:fill="4472C4"/>
            <w:tcMar>
              <w:top w:w="60" w:type="dxa"/>
              <w:left w:w="70" w:type="dxa"/>
              <w:bottom w:w="60" w:type="dxa"/>
              <w:right w:w="70" w:type="dxa"/>
            </w:tcMar>
            <w:vAlign w:val="center"/>
          </w:tcPr>
          <w:p w14:paraId="0A099981">
            <w:pPr>
              <w:spacing w:before="0" w:after="0" w:line="240" w:lineRule="auto"/>
              <w:jc w:val="center"/>
            </w:pPr>
            <w:r>
              <w:rPr>
                <w:rFonts w:ascii="Arial" w:hAnsi="Arial" w:eastAsia="Arial"/>
                <w:b/>
                <w:i w:val="0"/>
                <w:color w:val="FFFFFF"/>
                <w:sz w:val="14"/>
              </w:rPr>
              <w:t>Interpretation</w:t>
            </w:r>
          </w:p>
        </w:tc>
      </w:tr>
      <w:tr w14:paraId="55162D2A">
        <w:tblPrEx>
          <w:tblCellMar>
            <w:top w:w="0" w:type="dxa"/>
            <w:left w:w="108" w:type="dxa"/>
            <w:bottom w:w="0" w:type="dxa"/>
            <w:right w:w="108" w:type="dxa"/>
          </w:tblCellMar>
        </w:tblPrEx>
        <w:trPr>
          <w:cantSplit/>
          <w:jc w:val="center"/>
        </w:trPr>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05B6658B">
            <w:pPr>
              <w:spacing w:before="0" w:after="0" w:line="240" w:lineRule="auto"/>
              <w:jc w:val="left"/>
            </w:pPr>
            <w:r>
              <w:rPr>
                <w:rFonts w:ascii="Arial" w:hAnsi="Arial" w:eastAsia="Arial"/>
                <w:b w:val="0"/>
                <w:i w:val="0"/>
                <w:color w:val="1F1F1F"/>
                <w:sz w:val="14"/>
              </w:rPr>
              <w:t>Clinical + TyG</w:t>
            </w:r>
          </w:p>
        </w:tc>
        <w:tc>
          <w:tcPr>
            <w:tcW w:w="309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B0CCFEA">
            <w:pPr>
              <w:spacing w:before="0" w:after="0" w:line="240" w:lineRule="auto"/>
              <w:jc w:val="center"/>
            </w:pPr>
            <w:r>
              <w:rPr>
                <w:rFonts w:ascii="Arial" w:hAnsi="Arial" w:eastAsia="Arial"/>
                <w:b w:val="0"/>
                <w:i w:val="0"/>
                <w:color w:val="1F1F1F"/>
                <w:sz w:val="14"/>
              </w:rPr>
              <w:t>52.6%</w:t>
            </w:r>
          </w:p>
        </w:tc>
        <w:tc>
          <w:tcPr>
            <w:tcW w:w="309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126A97FF">
            <w:pPr>
              <w:spacing w:before="0" w:after="0" w:line="240" w:lineRule="auto"/>
              <w:jc w:val="center"/>
            </w:pPr>
            <w:r>
              <w:rPr>
                <w:rFonts w:ascii="Arial" w:hAnsi="Arial" w:eastAsia="Arial"/>
                <w:b w:val="0"/>
                <w:i w:val="0"/>
                <w:color w:val="1F1F1F"/>
                <w:sz w:val="14"/>
              </w:rPr>
              <w:t>84.2%</w:t>
            </w:r>
          </w:p>
        </w:tc>
        <w:tc>
          <w:tcPr>
            <w:tcW w:w="59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786A3A3">
            <w:pPr>
              <w:spacing w:before="0" w:after="0" w:line="240" w:lineRule="auto"/>
              <w:jc w:val="left"/>
            </w:pPr>
            <w:r>
              <w:rPr>
                <w:rFonts w:ascii="Arial" w:hAnsi="Arial" w:eastAsia="Arial"/>
                <w:b w:val="0"/>
                <w:i w:val="0"/>
                <w:color w:val="1F1F1F"/>
                <w:sz w:val="14"/>
              </w:rPr>
              <w:t>Intermittent net-benefit gains did not overcome external-calibration limitations</w:t>
            </w:r>
          </w:p>
        </w:tc>
      </w:tr>
      <w:tr w14:paraId="05302BA2">
        <w:tblPrEx>
          <w:tblCellMar>
            <w:top w:w="0" w:type="dxa"/>
            <w:left w:w="108" w:type="dxa"/>
            <w:bottom w:w="0" w:type="dxa"/>
            <w:right w:w="108" w:type="dxa"/>
          </w:tblCellMar>
        </w:tblPrEx>
        <w:trPr>
          <w:cantSplit/>
          <w:jc w:val="center"/>
        </w:trPr>
        <w:tc>
          <w:tcPr>
            <w:tcW w:w="237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14BAD155">
            <w:pPr>
              <w:spacing w:before="0" w:after="0" w:line="240" w:lineRule="auto"/>
              <w:jc w:val="left"/>
            </w:pPr>
            <w:r>
              <w:rPr>
                <w:rFonts w:ascii="Arial" w:hAnsi="Arial" w:eastAsia="Arial"/>
                <w:b w:val="0"/>
                <w:i w:val="0"/>
                <w:color w:val="1F1F1F"/>
                <w:sz w:val="14"/>
              </w:rPr>
              <w:t>Clinical + AIP</w:t>
            </w:r>
          </w:p>
        </w:tc>
        <w:tc>
          <w:tcPr>
            <w:tcW w:w="309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DECC4EE">
            <w:pPr>
              <w:spacing w:before="0" w:after="0" w:line="240" w:lineRule="auto"/>
              <w:jc w:val="center"/>
            </w:pPr>
            <w:r>
              <w:rPr>
                <w:rFonts w:ascii="Arial" w:hAnsi="Arial" w:eastAsia="Arial"/>
                <w:b w:val="0"/>
                <w:i w:val="0"/>
                <w:color w:val="1F1F1F"/>
                <w:sz w:val="14"/>
              </w:rPr>
              <w:t>42.1%</w:t>
            </w:r>
          </w:p>
        </w:tc>
        <w:tc>
          <w:tcPr>
            <w:tcW w:w="309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77D9C8A">
            <w:pPr>
              <w:spacing w:before="0" w:after="0" w:line="240" w:lineRule="auto"/>
              <w:jc w:val="center"/>
            </w:pPr>
            <w:r>
              <w:rPr>
                <w:rFonts w:ascii="Arial" w:hAnsi="Arial" w:eastAsia="Arial"/>
                <w:b w:val="0"/>
                <w:i w:val="0"/>
                <w:color w:val="1F1F1F"/>
                <w:sz w:val="14"/>
              </w:rPr>
              <w:t>57.9%</w:t>
            </w:r>
          </w:p>
        </w:tc>
        <w:tc>
          <w:tcPr>
            <w:tcW w:w="5976" w:type="dxa"/>
            <w:tcBorders>
              <w:top w:val="single" w:color="BFBFBF" w:sz="4" w:space="0"/>
              <w:left w:val="single" w:color="BFBFBF" w:sz="4" w:space="0"/>
              <w:bottom w:val="single" w:color="BFBFBF" w:sz="4" w:space="0"/>
              <w:right w:val="single" w:color="BFBFBF" w:sz="4" w:space="0"/>
            </w:tcBorders>
            <w:shd w:val="clear" w:color="auto" w:fill="F8FAFC"/>
            <w:tcMar>
              <w:top w:w="60" w:type="dxa"/>
              <w:left w:w="70" w:type="dxa"/>
              <w:bottom w:w="60" w:type="dxa"/>
              <w:right w:w="70" w:type="dxa"/>
            </w:tcMar>
            <w:vAlign w:val="center"/>
          </w:tcPr>
          <w:p w14:paraId="6CC640E5">
            <w:pPr>
              <w:spacing w:before="0" w:after="0" w:line="240" w:lineRule="auto"/>
              <w:jc w:val="left"/>
            </w:pPr>
            <w:r>
              <w:rPr>
                <w:rFonts w:ascii="Arial" w:hAnsi="Arial" w:eastAsia="Arial"/>
                <w:b w:val="0"/>
                <w:i w:val="0"/>
                <w:color w:val="1F1F1F"/>
                <w:sz w:val="14"/>
              </w:rPr>
              <w:t>No stable net-benefit advantage across both validation settings</w:t>
            </w:r>
          </w:p>
        </w:tc>
      </w:tr>
      <w:tr w14:paraId="60C9A26E">
        <w:tblPrEx>
          <w:tblCellMar>
            <w:top w:w="0" w:type="dxa"/>
            <w:left w:w="108" w:type="dxa"/>
            <w:bottom w:w="0" w:type="dxa"/>
            <w:right w:w="108" w:type="dxa"/>
          </w:tblCellMar>
        </w:tblPrEx>
        <w:trPr>
          <w:cantSplit/>
          <w:jc w:val="center"/>
        </w:trPr>
        <w:tc>
          <w:tcPr>
            <w:tcW w:w="23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7ACF7214">
            <w:pPr>
              <w:spacing w:before="0" w:after="0" w:line="240" w:lineRule="auto"/>
              <w:jc w:val="left"/>
            </w:pPr>
            <w:r>
              <w:rPr>
                <w:rFonts w:ascii="Arial" w:hAnsi="Arial" w:eastAsia="Arial"/>
                <w:b w:val="0"/>
                <w:i w:val="0"/>
                <w:color w:val="1F1F1F"/>
                <w:sz w:val="14"/>
              </w:rPr>
              <w:t>Clinical + Core-3 Equal</w:t>
            </w:r>
          </w:p>
        </w:tc>
        <w:tc>
          <w:tcPr>
            <w:tcW w:w="309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349EC5F7">
            <w:pPr>
              <w:spacing w:before="0" w:after="0" w:line="240" w:lineRule="auto"/>
              <w:jc w:val="center"/>
            </w:pPr>
            <w:r>
              <w:rPr>
                <w:rFonts w:ascii="Arial" w:hAnsi="Arial" w:eastAsia="Arial"/>
                <w:b w:val="0"/>
                <w:i w:val="0"/>
                <w:color w:val="1F1F1F"/>
                <w:sz w:val="14"/>
              </w:rPr>
              <w:t>52.6%</w:t>
            </w:r>
          </w:p>
        </w:tc>
        <w:tc>
          <w:tcPr>
            <w:tcW w:w="309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4A2DC116">
            <w:pPr>
              <w:spacing w:before="0" w:after="0" w:line="240" w:lineRule="auto"/>
              <w:jc w:val="center"/>
            </w:pPr>
            <w:r>
              <w:rPr>
                <w:rFonts w:ascii="Arial" w:hAnsi="Arial" w:eastAsia="Arial"/>
                <w:b w:val="0"/>
                <w:i w:val="0"/>
                <w:color w:val="1F1F1F"/>
                <w:sz w:val="14"/>
              </w:rPr>
              <w:t>73.7%</w:t>
            </w:r>
          </w:p>
        </w:tc>
        <w:tc>
          <w:tcPr>
            <w:tcW w:w="5976" w:type="dxa"/>
            <w:tcBorders>
              <w:top w:val="single" w:color="BFBFBF" w:sz="4" w:space="0"/>
              <w:left w:val="single" w:color="BFBFBF" w:sz="4" w:space="0"/>
              <w:bottom w:val="single" w:color="BFBFBF" w:sz="4" w:space="0"/>
              <w:right w:val="single" w:color="BFBFBF" w:sz="4" w:space="0"/>
            </w:tcBorders>
            <w:shd w:val="clear" w:color="auto" w:fill="FFFFFF"/>
            <w:tcMar>
              <w:top w:w="60" w:type="dxa"/>
              <w:left w:w="70" w:type="dxa"/>
              <w:bottom w:w="60" w:type="dxa"/>
              <w:right w:w="70" w:type="dxa"/>
            </w:tcMar>
            <w:vAlign w:val="center"/>
          </w:tcPr>
          <w:p w14:paraId="2FF9EC25">
            <w:pPr>
              <w:spacing w:before="0" w:after="0" w:line="240" w:lineRule="auto"/>
              <w:jc w:val="left"/>
            </w:pPr>
            <w:r>
              <w:rPr>
                <w:rFonts w:ascii="Arial" w:hAnsi="Arial" w:eastAsia="Arial"/>
                <w:b w:val="0"/>
                <w:i w:val="0"/>
                <w:color w:val="1F1F1F"/>
                <w:sz w:val="14"/>
              </w:rPr>
              <w:t>Intermittent net-benefit gains did not overcome external-calibration limitations</w:t>
            </w:r>
          </w:p>
        </w:tc>
      </w:tr>
    </w:tbl>
    <w:p w14:paraId="7EBD26C9">
      <w:pPr>
        <w:spacing w:before="80" w:after="40" w:line="240" w:lineRule="auto"/>
      </w:pPr>
      <w:r>
        <w:rPr>
          <w:rFonts w:ascii="Arial" w:hAnsi="Arial" w:eastAsia="Arial"/>
          <w:b/>
          <w:i w:val="0"/>
          <w:color w:val="666666"/>
          <w:sz w:val="15"/>
        </w:rPr>
        <w:t xml:space="preserve">Note: </w:t>
      </w:r>
      <w:r>
        <w:rPr>
          <w:rFonts w:ascii="Arial" w:hAnsi="Arial" w:eastAsia="Arial"/>
          <w:b w:val="0"/>
          <w:i w:val="0"/>
          <w:color w:val="666666"/>
          <w:sz w:val="15"/>
        </w:rPr>
        <w:t>RCS knots were fixed at the 5th, 35th, 65th, and 95th percentiles of the observed ELSA-development distribution and transported unchanged. Nonlinearity P values are descriptive and were not multiplicity adjusted. Calibration intercepts and slopes were estimated from individual-level frozen predictions with participant-clustered bootstrap intervals. For DCA, the percentages denote the fraction of the prespecified 1%–10% threshold grid at which the enhanced model had greater net benefit than the Clinical model; they do not describe the magnitude of the gain. Intermittent positive differences cannot overcome external-calibration limitations, define a treatment threshold, or establish clinical utility.</w:t>
      </w:r>
    </w:p>
    <w:p w14:paraId="15A10E1F">
      <w:pPr>
        <w:spacing w:line="240" w:lineRule="auto"/>
      </w:pPr>
      <w:r/>
    </w:p>
    <w:p w14:paraId="2EB170E5">
      <w:pPr>
        <w:spacing w:before="140" w:after="100" w:line="240" w:lineRule="auto"/>
      </w:pPr>
      <w:r>
        <w:rPr>
          <w:rFonts w:ascii="Arial" w:hAnsi="Arial"/>
          <w:b/>
          <w:color w:val="1F4E78"/>
          <w:sz w:val="23"/>
        </w:rPr>
        <w:t xml:space="preserve">Table S8. </w:t>
      </w:r>
      <w:r>
        <w:rPr>
          <w:rFonts w:ascii="Arial" w:hAnsi="Arial"/>
          <w:b/>
          <w:color w:val="1F1F1F"/>
          <w:sz w:val="23"/>
        </w:rPr>
        <w:t>Formula-based metabolic surrogates versus raw-component upper-bound models under frozen validation</w:t>
      </w:r>
    </w:p>
    <w:tbl>
      <w:tblPr>
        <w:tblStyle w:val="32"/>
        <w:tblW w:w="0" w:type="auto"/>
        <w:jc w:val="center"/>
        <w:tblLayout w:type="fixed"/>
        <w:tblCellMar>
          <w:top w:w="0" w:type="dxa"/>
          <w:left w:w="108" w:type="dxa"/>
          <w:bottom w:w="0" w:type="dxa"/>
          <w:right w:w="108" w:type="dxa"/>
        </w:tblCellMar>
      </w:tblPr>
      <w:tblGrid>
        <w:gridCol w:w="1368"/>
        <w:gridCol w:w="1944"/>
        <w:gridCol w:w="2952"/>
        <w:gridCol w:w="1440"/>
        <w:gridCol w:w="1656"/>
        <w:gridCol w:w="1656"/>
        <w:gridCol w:w="3456"/>
      </w:tblGrid>
      <w:tr w14:paraId="16BC18A6">
        <w:tblPrEx>
          <w:tblCellMar>
            <w:top w:w="0" w:type="dxa"/>
            <w:left w:w="108" w:type="dxa"/>
            <w:bottom w:w="0" w:type="dxa"/>
            <w:right w:w="108" w:type="dxa"/>
          </w:tblCellMar>
        </w:tblPrEx>
        <w:trPr>
          <w:cantSplit/>
          <w:tblHeader/>
          <w:jc w:val="center"/>
        </w:trPr>
        <w:tc>
          <w:tcPr>
            <w:tcW w:w="2207" w:type="dxa"/>
            <w:shd w:val="clear" w:color="auto" w:fill="4472C4"/>
            <w:tcMar>
              <w:top w:w="0" w:type="dxa"/>
              <w:left w:w="65" w:type="dxa"/>
              <w:bottom w:w="0" w:type="dxa"/>
              <w:right w:w="65" w:type="dxa"/>
            </w:tcMar>
            <w:vAlign w:val="center"/>
          </w:tcPr>
          <w:p w14:paraId="03963FCF">
            <w:pPr>
              <w:spacing w:before="0" w:after="0" w:line="240" w:lineRule="auto"/>
              <w:jc w:val="center"/>
            </w:pPr>
            <w:r>
              <w:rPr>
                <w:rFonts w:ascii="Arial" w:hAnsi="Arial"/>
                <w:b/>
                <w:color w:val="FFFFFF"/>
                <w:sz w:val="12"/>
              </w:rPr>
              <w:t>Indicator</w:t>
            </w:r>
          </w:p>
        </w:tc>
        <w:tc>
          <w:tcPr>
            <w:tcW w:w="2207" w:type="dxa"/>
            <w:shd w:val="clear" w:color="auto" w:fill="4472C4"/>
            <w:tcMar>
              <w:top w:w="0" w:type="dxa"/>
              <w:left w:w="65" w:type="dxa"/>
              <w:bottom w:w="0" w:type="dxa"/>
              <w:right w:w="65" w:type="dxa"/>
            </w:tcMar>
            <w:vAlign w:val="center"/>
          </w:tcPr>
          <w:p w14:paraId="56697831">
            <w:pPr>
              <w:spacing w:before="0" w:after="0" w:line="240" w:lineRule="auto"/>
              <w:jc w:val="center"/>
            </w:pPr>
            <w:r>
              <w:rPr>
                <w:rFonts w:ascii="Arial" w:hAnsi="Arial"/>
                <w:b/>
                <w:color w:val="FFFFFF"/>
                <w:sz w:val="12"/>
              </w:rPr>
              <w:t>Formula model</w:t>
            </w:r>
          </w:p>
        </w:tc>
        <w:tc>
          <w:tcPr>
            <w:tcW w:w="2207" w:type="dxa"/>
            <w:shd w:val="clear" w:color="auto" w:fill="4472C4"/>
            <w:tcMar>
              <w:top w:w="0" w:type="dxa"/>
              <w:left w:w="65" w:type="dxa"/>
              <w:bottom w:w="0" w:type="dxa"/>
              <w:right w:w="65" w:type="dxa"/>
            </w:tcMar>
            <w:vAlign w:val="center"/>
          </w:tcPr>
          <w:p w14:paraId="520749F9">
            <w:pPr>
              <w:spacing w:before="0" w:after="0" w:line="240" w:lineRule="auto"/>
              <w:jc w:val="center"/>
            </w:pPr>
            <w:r>
              <w:rPr>
                <w:rFonts w:ascii="Arial" w:hAnsi="Arial"/>
                <w:b/>
                <w:color w:val="FFFFFF"/>
                <w:sz w:val="12"/>
              </w:rPr>
              <w:t>Raw-component upper-bound model</w:t>
            </w:r>
          </w:p>
        </w:tc>
        <w:tc>
          <w:tcPr>
            <w:tcW w:w="2207" w:type="dxa"/>
            <w:shd w:val="clear" w:color="auto" w:fill="4472C4"/>
            <w:tcMar>
              <w:top w:w="0" w:type="dxa"/>
              <w:left w:w="65" w:type="dxa"/>
              <w:bottom w:w="0" w:type="dxa"/>
              <w:right w:w="65" w:type="dxa"/>
            </w:tcMar>
            <w:vAlign w:val="center"/>
          </w:tcPr>
          <w:p w14:paraId="0E908AEE">
            <w:pPr>
              <w:spacing w:before="0" w:after="0" w:line="240" w:lineRule="auto"/>
              <w:jc w:val="center"/>
            </w:pPr>
            <w:r>
              <w:rPr>
                <w:rFonts w:ascii="Arial" w:hAnsi="Arial"/>
                <w:b/>
                <w:color w:val="FFFFFF"/>
                <w:sz w:val="12"/>
              </w:rPr>
              <w:t>Formula-better cells</w:t>
            </w:r>
          </w:p>
        </w:tc>
        <w:tc>
          <w:tcPr>
            <w:tcW w:w="2207" w:type="dxa"/>
            <w:shd w:val="clear" w:color="auto" w:fill="4472C4"/>
            <w:tcMar>
              <w:top w:w="0" w:type="dxa"/>
              <w:left w:w="65" w:type="dxa"/>
              <w:bottom w:w="0" w:type="dxa"/>
              <w:right w:w="65" w:type="dxa"/>
            </w:tcMar>
            <w:vAlign w:val="center"/>
          </w:tcPr>
          <w:p w14:paraId="0D12AB41">
            <w:pPr>
              <w:spacing w:before="0" w:after="0" w:line="240" w:lineRule="auto"/>
              <w:jc w:val="center"/>
            </w:pPr>
            <w:r>
              <w:rPr>
                <w:rFonts w:ascii="Arial" w:hAnsi="Arial"/>
                <w:b/>
                <w:color w:val="FFFFFF"/>
                <w:sz w:val="12"/>
              </w:rPr>
              <w:t>AUROC better in both stages</w:t>
            </w:r>
          </w:p>
        </w:tc>
        <w:tc>
          <w:tcPr>
            <w:tcW w:w="2207" w:type="dxa"/>
            <w:shd w:val="clear" w:color="auto" w:fill="4472C4"/>
            <w:tcMar>
              <w:top w:w="0" w:type="dxa"/>
              <w:left w:w="65" w:type="dxa"/>
              <w:bottom w:w="0" w:type="dxa"/>
              <w:right w:w="65" w:type="dxa"/>
            </w:tcMar>
            <w:vAlign w:val="center"/>
          </w:tcPr>
          <w:p w14:paraId="30151D41">
            <w:pPr>
              <w:spacing w:before="0" w:after="0" w:line="240" w:lineRule="auto"/>
              <w:jc w:val="center"/>
            </w:pPr>
            <w:r>
              <w:rPr>
                <w:rFonts w:ascii="Arial" w:hAnsi="Arial"/>
                <w:b/>
                <w:color w:val="FFFFFF"/>
                <w:sz w:val="12"/>
              </w:rPr>
              <w:t>Brier better in both stages</w:t>
            </w:r>
          </w:p>
        </w:tc>
        <w:tc>
          <w:tcPr>
            <w:tcW w:w="2207" w:type="dxa"/>
            <w:shd w:val="clear" w:color="auto" w:fill="4472C4"/>
            <w:tcMar>
              <w:top w:w="0" w:type="dxa"/>
              <w:left w:w="65" w:type="dxa"/>
              <w:bottom w:w="0" w:type="dxa"/>
              <w:right w:w="65" w:type="dxa"/>
            </w:tcMar>
            <w:vAlign w:val="center"/>
          </w:tcPr>
          <w:p w14:paraId="06BB6C1D">
            <w:pPr>
              <w:spacing w:before="0" w:after="0" w:line="240" w:lineRule="auto"/>
              <w:jc w:val="center"/>
            </w:pPr>
            <w:r>
              <w:rPr>
                <w:rFonts w:ascii="Arial" w:hAnsi="Arial"/>
                <w:b/>
                <w:color w:val="FFFFFF"/>
                <w:sz w:val="12"/>
              </w:rPr>
              <w:t>Interpretation</w:t>
            </w:r>
          </w:p>
        </w:tc>
      </w:tr>
      <w:tr w14:paraId="200F9AD6">
        <w:tblPrEx>
          <w:tblCellMar>
            <w:top w:w="0" w:type="dxa"/>
            <w:left w:w="108" w:type="dxa"/>
            <w:bottom w:w="0" w:type="dxa"/>
            <w:right w:w="108" w:type="dxa"/>
          </w:tblCellMar>
        </w:tblPrEx>
        <w:trPr>
          <w:cantSplit/>
          <w:trHeight w:val="0" w:hRule="atLeast"/>
          <w:jc w:val="center"/>
        </w:trPr>
        <w:tc>
          <w:tcPr>
            <w:tcW w:w="1368" w:type="dxa"/>
            <w:shd w:val="clear" w:color="auto" w:fill="FFFFFF"/>
            <w:tcMar>
              <w:top w:w="0" w:type="dxa"/>
              <w:left w:w="65" w:type="dxa"/>
              <w:bottom w:w="0" w:type="dxa"/>
              <w:right w:w="65" w:type="dxa"/>
            </w:tcMar>
            <w:vAlign w:val="center"/>
          </w:tcPr>
          <w:p w14:paraId="14DD9DFF">
            <w:pPr>
              <w:spacing w:before="0" w:after="0" w:line="240" w:lineRule="auto"/>
              <w:jc w:val="left"/>
            </w:pPr>
            <w:r>
              <w:rPr>
                <w:rFonts w:ascii="Arial" w:hAnsi="Arial"/>
                <w:b w:val="0"/>
                <w:color w:val="1F1F1F"/>
                <w:sz w:val="12"/>
              </w:rPr>
              <w:t>AIP</w:t>
            </w:r>
          </w:p>
        </w:tc>
        <w:tc>
          <w:tcPr>
            <w:tcW w:w="1944" w:type="dxa"/>
            <w:shd w:val="clear" w:color="auto" w:fill="FFFFFF"/>
            <w:tcMar>
              <w:top w:w="0" w:type="dxa"/>
              <w:left w:w="65" w:type="dxa"/>
              <w:bottom w:w="0" w:type="dxa"/>
              <w:right w:w="65" w:type="dxa"/>
            </w:tcMar>
            <w:vAlign w:val="center"/>
          </w:tcPr>
          <w:p w14:paraId="5887FFD0">
            <w:pPr>
              <w:spacing w:before="0" w:after="0" w:line="240" w:lineRule="auto"/>
              <w:jc w:val="left"/>
            </w:pPr>
            <w:r>
              <w:rPr>
                <w:rFonts w:ascii="Arial" w:hAnsi="Arial"/>
                <w:b w:val="0"/>
                <w:color w:val="1F1F1F"/>
                <w:sz w:val="12"/>
              </w:rPr>
              <w:t>Clinical + AIP</w:t>
            </w:r>
          </w:p>
        </w:tc>
        <w:tc>
          <w:tcPr>
            <w:tcW w:w="2952" w:type="dxa"/>
            <w:shd w:val="clear" w:color="auto" w:fill="FFFFFF"/>
            <w:tcMar>
              <w:top w:w="0" w:type="dxa"/>
              <w:left w:w="65" w:type="dxa"/>
              <w:bottom w:w="0" w:type="dxa"/>
              <w:right w:w="65" w:type="dxa"/>
            </w:tcMar>
            <w:vAlign w:val="center"/>
          </w:tcPr>
          <w:p w14:paraId="03AE6D5E">
            <w:pPr>
              <w:spacing w:before="0" w:after="0" w:line="240" w:lineRule="auto"/>
              <w:jc w:val="left"/>
            </w:pPr>
            <w:r>
              <w:rPr>
                <w:rFonts w:ascii="Arial" w:hAnsi="Arial"/>
                <w:b w:val="0"/>
                <w:color w:val="1F1F1F"/>
                <w:sz w:val="12"/>
              </w:rPr>
              <w:t>Clinical + log TG + log HDL-C</w:t>
            </w:r>
          </w:p>
        </w:tc>
        <w:tc>
          <w:tcPr>
            <w:tcW w:w="1440" w:type="dxa"/>
            <w:shd w:val="clear" w:color="auto" w:fill="FFFFFF"/>
            <w:tcMar>
              <w:top w:w="0" w:type="dxa"/>
              <w:left w:w="65" w:type="dxa"/>
              <w:bottom w:w="0" w:type="dxa"/>
              <w:right w:w="65" w:type="dxa"/>
            </w:tcMar>
            <w:vAlign w:val="center"/>
          </w:tcPr>
          <w:p w14:paraId="55AE1AC4">
            <w:pPr>
              <w:spacing w:before="0" w:after="0" w:line="240" w:lineRule="auto"/>
              <w:jc w:val="center"/>
            </w:pPr>
            <w:r>
              <w:rPr>
                <w:rFonts w:ascii="Arial" w:hAnsi="Arial"/>
                <w:b w:val="0"/>
                <w:color w:val="1F1F1F"/>
                <w:sz w:val="12"/>
              </w:rPr>
              <w:t>5/6 (83.3%)</w:t>
            </w:r>
          </w:p>
        </w:tc>
        <w:tc>
          <w:tcPr>
            <w:tcW w:w="1656" w:type="dxa"/>
            <w:shd w:val="clear" w:color="auto" w:fill="FFFFFF"/>
            <w:tcMar>
              <w:top w:w="0" w:type="dxa"/>
              <w:left w:w="65" w:type="dxa"/>
              <w:bottom w:w="0" w:type="dxa"/>
              <w:right w:w="65" w:type="dxa"/>
            </w:tcMar>
            <w:vAlign w:val="center"/>
          </w:tcPr>
          <w:p w14:paraId="308D9D9F">
            <w:pPr>
              <w:spacing w:before="0" w:after="0" w:line="240" w:lineRule="auto"/>
              <w:jc w:val="center"/>
            </w:pPr>
            <w:r>
              <w:rPr>
                <w:rFonts w:ascii="Arial" w:hAnsi="Arial"/>
                <w:b w:val="0"/>
                <w:color w:val="1F1F1F"/>
                <w:sz w:val="12"/>
              </w:rPr>
              <w:t>No</w:t>
            </w:r>
          </w:p>
        </w:tc>
        <w:tc>
          <w:tcPr>
            <w:tcW w:w="1656" w:type="dxa"/>
            <w:shd w:val="clear" w:color="auto" w:fill="FFFFFF"/>
            <w:tcMar>
              <w:top w:w="0" w:type="dxa"/>
              <w:left w:w="65" w:type="dxa"/>
              <w:bottom w:w="0" w:type="dxa"/>
              <w:right w:w="65" w:type="dxa"/>
            </w:tcMar>
            <w:vAlign w:val="center"/>
          </w:tcPr>
          <w:p w14:paraId="30F21DF5">
            <w:pPr>
              <w:spacing w:before="0" w:after="0" w:line="240" w:lineRule="auto"/>
              <w:jc w:val="center"/>
            </w:pPr>
            <w:r>
              <w:rPr>
                <w:rFonts w:ascii="Arial" w:hAnsi="Arial"/>
                <w:b w:val="0"/>
                <w:color w:val="1F1F1F"/>
                <w:sz w:val="12"/>
              </w:rPr>
              <w:t>Yes</w:t>
            </w:r>
          </w:p>
        </w:tc>
        <w:tc>
          <w:tcPr>
            <w:tcW w:w="3456" w:type="dxa"/>
            <w:shd w:val="clear" w:color="auto" w:fill="FFFFFF"/>
            <w:tcMar>
              <w:top w:w="0" w:type="dxa"/>
              <w:left w:w="65" w:type="dxa"/>
              <w:bottom w:w="0" w:type="dxa"/>
              <w:right w:w="65" w:type="dxa"/>
            </w:tcMar>
            <w:vAlign w:val="center"/>
          </w:tcPr>
          <w:p w14:paraId="05F72401">
            <w:pPr>
              <w:spacing w:before="0" w:after="0" w:line="240" w:lineRule="auto"/>
              <w:jc w:val="left"/>
            </w:pPr>
            <w:r>
              <w:rPr>
                <w:rFonts w:ascii="Arial" w:hAnsi="Arial"/>
                <w:b w:val="0"/>
                <w:color w:val="1F1F1F"/>
                <w:sz w:val="11"/>
              </w:rPr>
              <w:t>Partial compact-form advantage; not universal raw-component superiority</w:t>
            </w:r>
          </w:p>
        </w:tc>
      </w:tr>
      <w:tr w14:paraId="72DB3B0A">
        <w:tblPrEx>
          <w:tblCellMar>
            <w:top w:w="0" w:type="dxa"/>
            <w:left w:w="108" w:type="dxa"/>
            <w:bottom w:w="0" w:type="dxa"/>
            <w:right w:w="108" w:type="dxa"/>
          </w:tblCellMar>
        </w:tblPrEx>
        <w:trPr>
          <w:cantSplit/>
          <w:trHeight w:val="0" w:hRule="atLeast"/>
          <w:jc w:val="center"/>
        </w:trPr>
        <w:tc>
          <w:tcPr>
            <w:tcW w:w="1368" w:type="dxa"/>
            <w:shd w:val="clear" w:color="auto" w:fill="F8FAFC"/>
            <w:tcMar>
              <w:top w:w="0" w:type="dxa"/>
              <w:left w:w="65" w:type="dxa"/>
              <w:bottom w:w="0" w:type="dxa"/>
              <w:right w:w="65" w:type="dxa"/>
            </w:tcMar>
            <w:vAlign w:val="center"/>
          </w:tcPr>
          <w:p w14:paraId="5566B577">
            <w:pPr>
              <w:spacing w:before="0" w:after="0" w:line="240" w:lineRule="auto"/>
              <w:jc w:val="left"/>
            </w:pPr>
            <w:r>
              <w:rPr>
                <w:rFonts w:ascii="Arial" w:hAnsi="Arial"/>
                <w:b w:val="0"/>
                <w:color w:val="1F1F1F"/>
                <w:sz w:val="12"/>
              </w:rPr>
              <w:t>TG/HDL-C</w:t>
            </w:r>
          </w:p>
        </w:tc>
        <w:tc>
          <w:tcPr>
            <w:tcW w:w="1944" w:type="dxa"/>
            <w:shd w:val="clear" w:color="auto" w:fill="F8FAFC"/>
            <w:tcMar>
              <w:top w:w="0" w:type="dxa"/>
              <w:left w:w="65" w:type="dxa"/>
              <w:bottom w:w="0" w:type="dxa"/>
              <w:right w:w="65" w:type="dxa"/>
            </w:tcMar>
            <w:vAlign w:val="center"/>
          </w:tcPr>
          <w:p w14:paraId="7AA642C7">
            <w:pPr>
              <w:spacing w:before="0" w:after="0" w:line="240" w:lineRule="auto"/>
              <w:jc w:val="left"/>
            </w:pPr>
            <w:r>
              <w:rPr>
                <w:rFonts w:ascii="Arial" w:hAnsi="Arial"/>
                <w:b w:val="0"/>
                <w:color w:val="1F1F1F"/>
                <w:sz w:val="12"/>
              </w:rPr>
              <w:t>Clinical + TG/HDL-C</w:t>
            </w:r>
          </w:p>
        </w:tc>
        <w:tc>
          <w:tcPr>
            <w:tcW w:w="2952" w:type="dxa"/>
            <w:shd w:val="clear" w:color="auto" w:fill="F8FAFC"/>
            <w:tcMar>
              <w:top w:w="0" w:type="dxa"/>
              <w:left w:w="65" w:type="dxa"/>
              <w:bottom w:w="0" w:type="dxa"/>
              <w:right w:w="65" w:type="dxa"/>
            </w:tcMar>
            <w:vAlign w:val="center"/>
          </w:tcPr>
          <w:p w14:paraId="1516946F">
            <w:pPr>
              <w:spacing w:before="0" w:after="0" w:line="240" w:lineRule="auto"/>
              <w:jc w:val="left"/>
            </w:pPr>
            <w:r>
              <w:rPr>
                <w:rFonts w:ascii="Arial" w:hAnsi="Arial"/>
                <w:b w:val="0"/>
                <w:color w:val="1F1F1F"/>
                <w:sz w:val="12"/>
              </w:rPr>
              <w:t>Clinical + log TG + log HDL-C</w:t>
            </w:r>
          </w:p>
        </w:tc>
        <w:tc>
          <w:tcPr>
            <w:tcW w:w="1440" w:type="dxa"/>
            <w:shd w:val="clear" w:color="auto" w:fill="F8FAFC"/>
            <w:tcMar>
              <w:top w:w="0" w:type="dxa"/>
              <w:left w:w="65" w:type="dxa"/>
              <w:bottom w:w="0" w:type="dxa"/>
              <w:right w:w="65" w:type="dxa"/>
            </w:tcMar>
            <w:vAlign w:val="center"/>
          </w:tcPr>
          <w:p w14:paraId="34ADDCCB">
            <w:pPr>
              <w:spacing w:before="0" w:after="0" w:line="240" w:lineRule="auto"/>
              <w:jc w:val="center"/>
            </w:pPr>
            <w:r>
              <w:rPr>
                <w:rFonts w:ascii="Arial" w:hAnsi="Arial"/>
                <w:b w:val="0"/>
                <w:color w:val="1F1F1F"/>
                <w:sz w:val="12"/>
              </w:rPr>
              <w:t>4/6 (66.7%)</w:t>
            </w:r>
          </w:p>
        </w:tc>
        <w:tc>
          <w:tcPr>
            <w:tcW w:w="1656" w:type="dxa"/>
            <w:shd w:val="clear" w:color="auto" w:fill="F8FAFC"/>
            <w:tcMar>
              <w:top w:w="0" w:type="dxa"/>
              <w:left w:w="65" w:type="dxa"/>
              <w:bottom w:w="0" w:type="dxa"/>
              <w:right w:w="65" w:type="dxa"/>
            </w:tcMar>
            <w:vAlign w:val="center"/>
          </w:tcPr>
          <w:p w14:paraId="5502AAD4">
            <w:pPr>
              <w:spacing w:before="0" w:after="0" w:line="240" w:lineRule="auto"/>
              <w:jc w:val="center"/>
            </w:pPr>
            <w:r>
              <w:rPr>
                <w:rFonts w:ascii="Arial" w:hAnsi="Arial"/>
                <w:b w:val="0"/>
                <w:color w:val="1F1F1F"/>
                <w:sz w:val="12"/>
              </w:rPr>
              <w:t>No</w:t>
            </w:r>
          </w:p>
        </w:tc>
        <w:tc>
          <w:tcPr>
            <w:tcW w:w="1656" w:type="dxa"/>
            <w:shd w:val="clear" w:color="auto" w:fill="F8FAFC"/>
            <w:tcMar>
              <w:top w:w="0" w:type="dxa"/>
              <w:left w:w="65" w:type="dxa"/>
              <w:bottom w:w="0" w:type="dxa"/>
              <w:right w:w="65" w:type="dxa"/>
            </w:tcMar>
            <w:vAlign w:val="center"/>
          </w:tcPr>
          <w:p w14:paraId="4EA7B510">
            <w:pPr>
              <w:spacing w:before="0" w:after="0" w:line="240" w:lineRule="auto"/>
              <w:jc w:val="center"/>
            </w:pPr>
            <w:r>
              <w:rPr>
                <w:rFonts w:ascii="Arial" w:hAnsi="Arial"/>
                <w:b w:val="0"/>
                <w:color w:val="1F1F1F"/>
                <w:sz w:val="12"/>
              </w:rPr>
              <w:t>Yes</w:t>
            </w:r>
          </w:p>
        </w:tc>
        <w:tc>
          <w:tcPr>
            <w:tcW w:w="3456" w:type="dxa"/>
            <w:shd w:val="clear" w:color="auto" w:fill="F8FAFC"/>
            <w:tcMar>
              <w:top w:w="0" w:type="dxa"/>
              <w:left w:w="65" w:type="dxa"/>
              <w:bottom w:w="0" w:type="dxa"/>
              <w:right w:w="65" w:type="dxa"/>
            </w:tcMar>
            <w:vAlign w:val="center"/>
          </w:tcPr>
          <w:p w14:paraId="4068DB41">
            <w:pPr>
              <w:spacing w:before="0" w:after="0" w:line="240" w:lineRule="auto"/>
              <w:jc w:val="left"/>
            </w:pPr>
            <w:r>
              <w:rPr>
                <w:rFonts w:ascii="Arial" w:hAnsi="Arial"/>
                <w:b w:val="0"/>
                <w:color w:val="1F1F1F"/>
                <w:sz w:val="11"/>
              </w:rPr>
              <w:t>No consistent transported formula advantage over raw components</w:t>
            </w:r>
          </w:p>
        </w:tc>
      </w:tr>
      <w:tr w14:paraId="3EDF3F4A">
        <w:tblPrEx>
          <w:tblCellMar>
            <w:top w:w="0" w:type="dxa"/>
            <w:left w:w="108" w:type="dxa"/>
            <w:bottom w:w="0" w:type="dxa"/>
            <w:right w:w="108" w:type="dxa"/>
          </w:tblCellMar>
        </w:tblPrEx>
        <w:trPr>
          <w:cantSplit/>
          <w:trHeight w:val="0" w:hRule="atLeast"/>
          <w:jc w:val="center"/>
        </w:trPr>
        <w:tc>
          <w:tcPr>
            <w:tcW w:w="1368" w:type="dxa"/>
            <w:shd w:val="clear" w:color="auto" w:fill="FFFFFF"/>
            <w:tcMar>
              <w:top w:w="0" w:type="dxa"/>
              <w:left w:w="65" w:type="dxa"/>
              <w:bottom w:w="0" w:type="dxa"/>
              <w:right w:w="65" w:type="dxa"/>
            </w:tcMar>
            <w:vAlign w:val="center"/>
          </w:tcPr>
          <w:p w14:paraId="0A59DEA3">
            <w:pPr>
              <w:spacing w:before="0" w:after="0" w:line="240" w:lineRule="auto"/>
              <w:jc w:val="left"/>
            </w:pPr>
            <w:r>
              <w:rPr>
                <w:rFonts w:ascii="Arial" w:hAnsi="Arial"/>
                <w:b w:val="0"/>
                <w:color w:val="1F1F1F"/>
                <w:sz w:val="12"/>
              </w:rPr>
              <w:t>TyG-WC</w:t>
            </w:r>
          </w:p>
        </w:tc>
        <w:tc>
          <w:tcPr>
            <w:tcW w:w="1944" w:type="dxa"/>
            <w:shd w:val="clear" w:color="auto" w:fill="FFFFFF"/>
            <w:tcMar>
              <w:top w:w="0" w:type="dxa"/>
              <w:left w:w="65" w:type="dxa"/>
              <w:bottom w:w="0" w:type="dxa"/>
              <w:right w:w="65" w:type="dxa"/>
            </w:tcMar>
            <w:vAlign w:val="center"/>
          </w:tcPr>
          <w:p w14:paraId="5896F1EF">
            <w:pPr>
              <w:spacing w:before="0" w:after="0" w:line="240" w:lineRule="auto"/>
              <w:jc w:val="left"/>
            </w:pPr>
            <w:r>
              <w:rPr>
                <w:rFonts w:ascii="Arial" w:hAnsi="Arial"/>
                <w:b w:val="0"/>
                <w:color w:val="1F1F1F"/>
                <w:sz w:val="12"/>
              </w:rPr>
              <w:t>Clinical + TyG-WC</w:t>
            </w:r>
          </w:p>
        </w:tc>
        <w:tc>
          <w:tcPr>
            <w:tcW w:w="2952" w:type="dxa"/>
            <w:shd w:val="clear" w:color="auto" w:fill="FFFFFF"/>
            <w:tcMar>
              <w:top w:w="0" w:type="dxa"/>
              <w:left w:w="65" w:type="dxa"/>
              <w:bottom w:w="0" w:type="dxa"/>
              <w:right w:w="65" w:type="dxa"/>
            </w:tcMar>
            <w:vAlign w:val="center"/>
          </w:tcPr>
          <w:p w14:paraId="7C2B8B68">
            <w:pPr>
              <w:spacing w:before="0" w:after="0" w:line="240" w:lineRule="auto"/>
              <w:jc w:val="left"/>
            </w:pPr>
            <w:r>
              <w:rPr>
                <w:rFonts w:ascii="Arial" w:hAnsi="Arial"/>
                <w:b w:val="0"/>
                <w:color w:val="1F1F1F"/>
                <w:sz w:val="12"/>
              </w:rPr>
              <w:t>Clinical + log TG + log glucose + waist</w:t>
            </w:r>
          </w:p>
        </w:tc>
        <w:tc>
          <w:tcPr>
            <w:tcW w:w="1440" w:type="dxa"/>
            <w:shd w:val="clear" w:color="auto" w:fill="FFFFFF"/>
            <w:tcMar>
              <w:top w:w="0" w:type="dxa"/>
              <w:left w:w="65" w:type="dxa"/>
              <w:bottom w:w="0" w:type="dxa"/>
              <w:right w:w="65" w:type="dxa"/>
            </w:tcMar>
            <w:vAlign w:val="center"/>
          </w:tcPr>
          <w:p w14:paraId="7A50EFCB">
            <w:pPr>
              <w:spacing w:before="0" w:after="0" w:line="240" w:lineRule="auto"/>
              <w:jc w:val="center"/>
            </w:pPr>
            <w:r>
              <w:rPr>
                <w:rFonts w:ascii="Arial" w:hAnsi="Arial"/>
                <w:b w:val="0"/>
                <w:color w:val="1F1F1F"/>
                <w:sz w:val="12"/>
              </w:rPr>
              <w:t>3/6 (50.0%)</w:t>
            </w:r>
          </w:p>
        </w:tc>
        <w:tc>
          <w:tcPr>
            <w:tcW w:w="1656" w:type="dxa"/>
            <w:shd w:val="clear" w:color="auto" w:fill="FFFFFF"/>
            <w:tcMar>
              <w:top w:w="0" w:type="dxa"/>
              <w:left w:w="65" w:type="dxa"/>
              <w:bottom w:w="0" w:type="dxa"/>
              <w:right w:w="65" w:type="dxa"/>
            </w:tcMar>
            <w:vAlign w:val="center"/>
          </w:tcPr>
          <w:p w14:paraId="5087F2C1">
            <w:pPr>
              <w:spacing w:before="0" w:after="0" w:line="240" w:lineRule="auto"/>
              <w:jc w:val="center"/>
            </w:pPr>
            <w:r>
              <w:rPr>
                <w:rFonts w:ascii="Arial" w:hAnsi="Arial"/>
                <w:b w:val="0"/>
                <w:color w:val="1F1F1F"/>
                <w:sz w:val="12"/>
              </w:rPr>
              <w:t>No</w:t>
            </w:r>
          </w:p>
        </w:tc>
        <w:tc>
          <w:tcPr>
            <w:tcW w:w="1656" w:type="dxa"/>
            <w:shd w:val="clear" w:color="auto" w:fill="FFFFFF"/>
            <w:tcMar>
              <w:top w:w="0" w:type="dxa"/>
              <w:left w:w="65" w:type="dxa"/>
              <w:bottom w:w="0" w:type="dxa"/>
              <w:right w:w="65" w:type="dxa"/>
            </w:tcMar>
            <w:vAlign w:val="center"/>
          </w:tcPr>
          <w:p w14:paraId="78E5DD63">
            <w:pPr>
              <w:spacing w:before="0" w:after="0" w:line="240" w:lineRule="auto"/>
              <w:jc w:val="center"/>
            </w:pPr>
            <w:r>
              <w:rPr>
                <w:rFonts w:ascii="Arial" w:hAnsi="Arial"/>
                <w:b w:val="0"/>
                <w:color w:val="1F1F1F"/>
                <w:sz w:val="12"/>
              </w:rPr>
              <w:t>No</w:t>
            </w:r>
          </w:p>
        </w:tc>
        <w:tc>
          <w:tcPr>
            <w:tcW w:w="3456" w:type="dxa"/>
            <w:shd w:val="clear" w:color="auto" w:fill="FFFFFF"/>
            <w:tcMar>
              <w:top w:w="0" w:type="dxa"/>
              <w:left w:w="65" w:type="dxa"/>
              <w:bottom w:w="0" w:type="dxa"/>
              <w:right w:w="65" w:type="dxa"/>
            </w:tcMar>
            <w:vAlign w:val="center"/>
          </w:tcPr>
          <w:p w14:paraId="20600BCB">
            <w:pPr>
              <w:spacing w:before="0" w:after="0" w:line="240" w:lineRule="auto"/>
              <w:jc w:val="left"/>
            </w:pPr>
            <w:r>
              <w:rPr>
                <w:rFonts w:ascii="Arial" w:hAnsi="Arial"/>
                <w:b w:val="0"/>
                <w:color w:val="1F1F1F"/>
                <w:sz w:val="11"/>
              </w:rPr>
              <w:t>No consistent transported formula advantage over raw components</w:t>
            </w:r>
          </w:p>
        </w:tc>
      </w:tr>
      <w:tr w14:paraId="4AC47255">
        <w:tblPrEx>
          <w:tblCellMar>
            <w:top w:w="0" w:type="dxa"/>
            <w:left w:w="108" w:type="dxa"/>
            <w:bottom w:w="0" w:type="dxa"/>
            <w:right w:w="108" w:type="dxa"/>
          </w:tblCellMar>
        </w:tblPrEx>
        <w:trPr>
          <w:cantSplit/>
          <w:trHeight w:val="0" w:hRule="atLeast"/>
          <w:jc w:val="center"/>
        </w:trPr>
        <w:tc>
          <w:tcPr>
            <w:tcW w:w="1368" w:type="dxa"/>
            <w:shd w:val="clear" w:color="auto" w:fill="F8FAFC"/>
            <w:tcMar>
              <w:top w:w="0" w:type="dxa"/>
              <w:left w:w="65" w:type="dxa"/>
              <w:bottom w:w="0" w:type="dxa"/>
              <w:right w:w="65" w:type="dxa"/>
            </w:tcMar>
            <w:vAlign w:val="center"/>
          </w:tcPr>
          <w:p w14:paraId="4AC14821">
            <w:pPr>
              <w:spacing w:before="0" w:after="0" w:line="240" w:lineRule="auto"/>
              <w:jc w:val="left"/>
            </w:pPr>
            <w:r>
              <w:rPr>
                <w:rFonts w:ascii="Arial" w:hAnsi="Arial"/>
                <w:b w:val="0"/>
                <w:color w:val="1F1F1F"/>
                <w:sz w:val="12"/>
              </w:rPr>
              <w:t>TyG</w:t>
            </w:r>
          </w:p>
        </w:tc>
        <w:tc>
          <w:tcPr>
            <w:tcW w:w="1944" w:type="dxa"/>
            <w:shd w:val="clear" w:color="auto" w:fill="F8FAFC"/>
            <w:tcMar>
              <w:top w:w="0" w:type="dxa"/>
              <w:left w:w="65" w:type="dxa"/>
              <w:bottom w:w="0" w:type="dxa"/>
              <w:right w:w="65" w:type="dxa"/>
            </w:tcMar>
            <w:vAlign w:val="center"/>
          </w:tcPr>
          <w:p w14:paraId="32B74157">
            <w:pPr>
              <w:spacing w:before="0" w:after="0" w:line="240" w:lineRule="auto"/>
              <w:jc w:val="left"/>
            </w:pPr>
            <w:r>
              <w:rPr>
                <w:rFonts w:ascii="Arial" w:hAnsi="Arial"/>
                <w:b w:val="0"/>
                <w:color w:val="1F1F1F"/>
                <w:sz w:val="12"/>
              </w:rPr>
              <w:t>Clinical + TyG</w:t>
            </w:r>
          </w:p>
        </w:tc>
        <w:tc>
          <w:tcPr>
            <w:tcW w:w="2952" w:type="dxa"/>
            <w:shd w:val="clear" w:color="auto" w:fill="F8FAFC"/>
            <w:tcMar>
              <w:top w:w="0" w:type="dxa"/>
              <w:left w:w="65" w:type="dxa"/>
              <w:bottom w:w="0" w:type="dxa"/>
              <w:right w:w="65" w:type="dxa"/>
            </w:tcMar>
            <w:vAlign w:val="center"/>
          </w:tcPr>
          <w:p w14:paraId="531E3BEB">
            <w:pPr>
              <w:spacing w:before="0" w:after="0" w:line="240" w:lineRule="auto"/>
              <w:jc w:val="left"/>
            </w:pPr>
            <w:r>
              <w:rPr>
                <w:rFonts w:ascii="Arial" w:hAnsi="Arial"/>
                <w:b w:val="0"/>
                <w:color w:val="1F1F1F"/>
                <w:sz w:val="12"/>
              </w:rPr>
              <w:t>Clinical + log TG + log glucose</w:t>
            </w:r>
          </w:p>
        </w:tc>
        <w:tc>
          <w:tcPr>
            <w:tcW w:w="1440" w:type="dxa"/>
            <w:shd w:val="clear" w:color="auto" w:fill="F8FAFC"/>
            <w:tcMar>
              <w:top w:w="0" w:type="dxa"/>
              <w:left w:w="65" w:type="dxa"/>
              <w:bottom w:w="0" w:type="dxa"/>
              <w:right w:w="65" w:type="dxa"/>
            </w:tcMar>
            <w:vAlign w:val="center"/>
          </w:tcPr>
          <w:p w14:paraId="3BD56290">
            <w:pPr>
              <w:spacing w:before="0" w:after="0" w:line="240" w:lineRule="auto"/>
              <w:jc w:val="center"/>
            </w:pPr>
            <w:r>
              <w:rPr>
                <w:rFonts w:ascii="Arial" w:hAnsi="Arial"/>
                <w:b w:val="0"/>
                <w:color w:val="1F1F1F"/>
                <w:sz w:val="12"/>
              </w:rPr>
              <w:t>4/6 (66.7%)</w:t>
            </w:r>
          </w:p>
        </w:tc>
        <w:tc>
          <w:tcPr>
            <w:tcW w:w="1656" w:type="dxa"/>
            <w:shd w:val="clear" w:color="auto" w:fill="F8FAFC"/>
            <w:tcMar>
              <w:top w:w="0" w:type="dxa"/>
              <w:left w:w="65" w:type="dxa"/>
              <w:bottom w:w="0" w:type="dxa"/>
              <w:right w:w="65" w:type="dxa"/>
            </w:tcMar>
            <w:vAlign w:val="center"/>
          </w:tcPr>
          <w:p w14:paraId="3458300E">
            <w:pPr>
              <w:spacing w:before="0" w:after="0" w:line="240" w:lineRule="auto"/>
              <w:jc w:val="center"/>
            </w:pPr>
            <w:r>
              <w:rPr>
                <w:rFonts w:ascii="Arial" w:hAnsi="Arial"/>
                <w:b w:val="0"/>
                <w:color w:val="1F1F1F"/>
                <w:sz w:val="12"/>
              </w:rPr>
              <w:t>Yes</w:t>
            </w:r>
          </w:p>
        </w:tc>
        <w:tc>
          <w:tcPr>
            <w:tcW w:w="1656" w:type="dxa"/>
            <w:shd w:val="clear" w:color="auto" w:fill="F8FAFC"/>
            <w:tcMar>
              <w:top w:w="0" w:type="dxa"/>
              <w:left w:w="65" w:type="dxa"/>
              <w:bottom w:w="0" w:type="dxa"/>
              <w:right w:w="65" w:type="dxa"/>
            </w:tcMar>
            <w:vAlign w:val="center"/>
          </w:tcPr>
          <w:p w14:paraId="5EC396F0">
            <w:pPr>
              <w:spacing w:before="0" w:after="0" w:line="240" w:lineRule="auto"/>
              <w:jc w:val="center"/>
            </w:pPr>
            <w:r>
              <w:rPr>
                <w:rFonts w:ascii="Arial" w:hAnsi="Arial"/>
                <w:b w:val="0"/>
                <w:color w:val="1F1F1F"/>
                <w:sz w:val="12"/>
              </w:rPr>
              <w:t>No</w:t>
            </w:r>
          </w:p>
        </w:tc>
        <w:tc>
          <w:tcPr>
            <w:tcW w:w="3456" w:type="dxa"/>
            <w:shd w:val="clear" w:color="auto" w:fill="F8FAFC"/>
            <w:tcMar>
              <w:top w:w="0" w:type="dxa"/>
              <w:left w:w="65" w:type="dxa"/>
              <w:bottom w:w="0" w:type="dxa"/>
              <w:right w:w="65" w:type="dxa"/>
            </w:tcMar>
            <w:vAlign w:val="center"/>
          </w:tcPr>
          <w:p w14:paraId="4120B896">
            <w:pPr>
              <w:spacing w:before="0" w:after="0" w:line="240" w:lineRule="auto"/>
              <w:jc w:val="left"/>
            </w:pPr>
            <w:r>
              <w:rPr>
                <w:rFonts w:ascii="Arial" w:hAnsi="Arial"/>
                <w:b w:val="0"/>
                <w:color w:val="1F1F1F"/>
                <w:sz w:val="11"/>
              </w:rPr>
              <w:t>Discrimination advantage did not extend consistently to overall accuracy</w:t>
            </w:r>
          </w:p>
        </w:tc>
      </w:tr>
      <w:tr w14:paraId="50366710">
        <w:tblPrEx>
          <w:tblCellMar>
            <w:top w:w="0" w:type="dxa"/>
            <w:left w:w="108" w:type="dxa"/>
            <w:bottom w:w="0" w:type="dxa"/>
            <w:right w:w="108" w:type="dxa"/>
          </w:tblCellMar>
        </w:tblPrEx>
        <w:trPr>
          <w:cantSplit/>
          <w:trHeight w:val="0" w:hRule="atLeast"/>
          <w:jc w:val="center"/>
        </w:trPr>
        <w:tc>
          <w:tcPr>
            <w:tcW w:w="1368" w:type="dxa"/>
            <w:shd w:val="clear" w:color="auto" w:fill="FFFFFF"/>
            <w:tcMar>
              <w:top w:w="0" w:type="dxa"/>
              <w:left w:w="65" w:type="dxa"/>
              <w:bottom w:w="0" w:type="dxa"/>
              <w:right w:w="65" w:type="dxa"/>
            </w:tcMar>
            <w:vAlign w:val="center"/>
          </w:tcPr>
          <w:p w14:paraId="59271849">
            <w:pPr>
              <w:spacing w:before="0" w:after="0" w:line="240" w:lineRule="auto"/>
              <w:jc w:val="left"/>
            </w:pPr>
            <w:r>
              <w:rPr>
                <w:rFonts w:ascii="Arial" w:hAnsi="Arial"/>
                <w:b w:val="0"/>
                <w:color w:val="1F1F1F"/>
                <w:sz w:val="12"/>
              </w:rPr>
              <w:t>METS-IR</w:t>
            </w:r>
          </w:p>
        </w:tc>
        <w:tc>
          <w:tcPr>
            <w:tcW w:w="1944" w:type="dxa"/>
            <w:shd w:val="clear" w:color="auto" w:fill="FFFFFF"/>
            <w:tcMar>
              <w:top w:w="0" w:type="dxa"/>
              <w:left w:w="65" w:type="dxa"/>
              <w:bottom w:w="0" w:type="dxa"/>
              <w:right w:w="65" w:type="dxa"/>
            </w:tcMar>
            <w:vAlign w:val="center"/>
          </w:tcPr>
          <w:p w14:paraId="093E67CE">
            <w:pPr>
              <w:spacing w:before="0" w:after="0" w:line="240" w:lineRule="auto"/>
              <w:jc w:val="left"/>
            </w:pPr>
            <w:r>
              <w:rPr>
                <w:rFonts w:ascii="Arial" w:hAnsi="Arial"/>
                <w:b w:val="0"/>
                <w:color w:val="1F1F1F"/>
                <w:sz w:val="12"/>
              </w:rPr>
              <w:t>Clinical + METS-IR</w:t>
            </w:r>
          </w:p>
        </w:tc>
        <w:tc>
          <w:tcPr>
            <w:tcW w:w="2952" w:type="dxa"/>
            <w:shd w:val="clear" w:color="auto" w:fill="FFFFFF"/>
            <w:tcMar>
              <w:top w:w="0" w:type="dxa"/>
              <w:left w:w="65" w:type="dxa"/>
              <w:bottom w:w="0" w:type="dxa"/>
              <w:right w:w="65" w:type="dxa"/>
            </w:tcMar>
            <w:vAlign w:val="center"/>
          </w:tcPr>
          <w:p w14:paraId="774E6E1E">
            <w:pPr>
              <w:spacing w:before="0" w:after="0" w:line="240" w:lineRule="auto"/>
              <w:jc w:val="left"/>
            </w:pPr>
            <w:r>
              <w:rPr>
                <w:rFonts w:ascii="Arial" w:hAnsi="Arial"/>
                <w:b w:val="0"/>
                <w:color w:val="1F1F1F"/>
                <w:sz w:val="12"/>
              </w:rPr>
              <w:t>Clinical + log glucose + log TG + log HDL-C + BMI</w:t>
            </w:r>
          </w:p>
        </w:tc>
        <w:tc>
          <w:tcPr>
            <w:tcW w:w="1440" w:type="dxa"/>
            <w:shd w:val="clear" w:color="auto" w:fill="FFFFFF"/>
            <w:tcMar>
              <w:top w:w="0" w:type="dxa"/>
              <w:left w:w="65" w:type="dxa"/>
              <w:bottom w:w="0" w:type="dxa"/>
              <w:right w:w="65" w:type="dxa"/>
            </w:tcMar>
            <w:vAlign w:val="center"/>
          </w:tcPr>
          <w:p w14:paraId="6ACFA49D">
            <w:pPr>
              <w:spacing w:before="0" w:after="0" w:line="240" w:lineRule="auto"/>
              <w:jc w:val="center"/>
            </w:pPr>
            <w:r>
              <w:rPr>
                <w:rFonts w:ascii="Arial" w:hAnsi="Arial"/>
                <w:b w:val="0"/>
                <w:color w:val="1F1F1F"/>
                <w:sz w:val="12"/>
              </w:rPr>
              <w:t>3/6 (50.0%)</w:t>
            </w:r>
          </w:p>
        </w:tc>
        <w:tc>
          <w:tcPr>
            <w:tcW w:w="1656" w:type="dxa"/>
            <w:shd w:val="clear" w:color="auto" w:fill="FFFFFF"/>
            <w:tcMar>
              <w:top w:w="0" w:type="dxa"/>
              <w:left w:w="65" w:type="dxa"/>
              <w:bottom w:w="0" w:type="dxa"/>
              <w:right w:w="65" w:type="dxa"/>
            </w:tcMar>
            <w:vAlign w:val="center"/>
          </w:tcPr>
          <w:p w14:paraId="101C7C73">
            <w:pPr>
              <w:spacing w:before="0" w:after="0" w:line="240" w:lineRule="auto"/>
              <w:jc w:val="center"/>
            </w:pPr>
            <w:r>
              <w:rPr>
                <w:rFonts w:ascii="Arial" w:hAnsi="Arial"/>
                <w:b w:val="0"/>
                <w:color w:val="1F1F1F"/>
                <w:sz w:val="12"/>
              </w:rPr>
              <w:t>No</w:t>
            </w:r>
          </w:p>
        </w:tc>
        <w:tc>
          <w:tcPr>
            <w:tcW w:w="1656" w:type="dxa"/>
            <w:shd w:val="clear" w:color="auto" w:fill="FFFFFF"/>
            <w:tcMar>
              <w:top w:w="0" w:type="dxa"/>
              <w:left w:w="65" w:type="dxa"/>
              <w:bottom w:w="0" w:type="dxa"/>
              <w:right w:w="65" w:type="dxa"/>
            </w:tcMar>
            <w:vAlign w:val="center"/>
          </w:tcPr>
          <w:p w14:paraId="54C6F164">
            <w:pPr>
              <w:spacing w:before="0" w:after="0" w:line="240" w:lineRule="auto"/>
              <w:jc w:val="center"/>
            </w:pPr>
            <w:r>
              <w:rPr>
                <w:rFonts w:ascii="Arial" w:hAnsi="Arial"/>
                <w:b w:val="0"/>
                <w:color w:val="1F1F1F"/>
                <w:sz w:val="12"/>
              </w:rPr>
              <w:t>No</w:t>
            </w:r>
          </w:p>
        </w:tc>
        <w:tc>
          <w:tcPr>
            <w:tcW w:w="3456" w:type="dxa"/>
            <w:shd w:val="clear" w:color="auto" w:fill="FFFFFF"/>
            <w:tcMar>
              <w:top w:w="0" w:type="dxa"/>
              <w:left w:w="65" w:type="dxa"/>
              <w:bottom w:w="0" w:type="dxa"/>
              <w:right w:w="65" w:type="dxa"/>
            </w:tcMar>
            <w:vAlign w:val="center"/>
          </w:tcPr>
          <w:p w14:paraId="344C1434">
            <w:pPr>
              <w:spacing w:before="0" w:after="0" w:line="240" w:lineRule="auto"/>
              <w:jc w:val="left"/>
            </w:pPr>
            <w:r>
              <w:rPr>
                <w:rFonts w:ascii="Arial" w:hAnsi="Arial"/>
                <w:b w:val="0"/>
                <w:color w:val="1F1F1F"/>
                <w:sz w:val="11"/>
              </w:rPr>
              <w:t>No consistent transported formula advantage over raw components</w:t>
            </w:r>
          </w:p>
        </w:tc>
      </w:tr>
      <w:tr w14:paraId="70D80A7F">
        <w:tblPrEx>
          <w:tblCellMar>
            <w:top w:w="0" w:type="dxa"/>
            <w:left w:w="108" w:type="dxa"/>
            <w:bottom w:w="0" w:type="dxa"/>
            <w:right w:w="108" w:type="dxa"/>
          </w:tblCellMar>
        </w:tblPrEx>
        <w:trPr>
          <w:cantSplit/>
          <w:trHeight w:val="0" w:hRule="atLeast"/>
          <w:jc w:val="center"/>
        </w:trPr>
        <w:tc>
          <w:tcPr>
            <w:tcW w:w="1368" w:type="dxa"/>
            <w:shd w:val="clear" w:color="auto" w:fill="F8FAFC"/>
            <w:tcMar>
              <w:top w:w="0" w:type="dxa"/>
              <w:left w:w="65" w:type="dxa"/>
              <w:bottom w:w="0" w:type="dxa"/>
              <w:right w:w="65" w:type="dxa"/>
            </w:tcMar>
            <w:vAlign w:val="center"/>
          </w:tcPr>
          <w:p w14:paraId="4F7A2BCB">
            <w:pPr>
              <w:spacing w:before="0" w:after="0" w:line="240" w:lineRule="auto"/>
              <w:jc w:val="left"/>
            </w:pPr>
            <w:r>
              <w:rPr>
                <w:rFonts w:ascii="Arial" w:hAnsi="Arial"/>
                <w:b w:val="0"/>
                <w:color w:val="1F1F1F"/>
                <w:sz w:val="12"/>
              </w:rPr>
              <w:t>WHtR</w:t>
            </w:r>
          </w:p>
        </w:tc>
        <w:tc>
          <w:tcPr>
            <w:tcW w:w="1944" w:type="dxa"/>
            <w:shd w:val="clear" w:color="auto" w:fill="F8FAFC"/>
            <w:tcMar>
              <w:top w:w="0" w:type="dxa"/>
              <w:left w:w="65" w:type="dxa"/>
              <w:bottom w:w="0" w:type="dxa"/>
              <w:right w:w="65" w:type="dxa"/>
            </w:tcMar>
            <w:vAlign w:val="center"/>
          </w:tcPr>
          <w:p w14:paraId="0FC5A55F">
            <w:pPr>
              <w:spacing w:before="0" w:after="0" w:line="240" w:lineRule="auto"/>
              <w:jc w:val="left"/>
            </w:pPr>
            <w:r>
              <w:rPr>
                <w:rFonts w:ascii="Arial" w:hAnsi="Arial"/>
                <w:b w:val="0"/>
                <w:color w:val="1F1F1F"/>
                <w:sz w:val="12"/>
              </w:rPr>
              <w:t>Clinical + WHtR</w:t>
            </w:r>
          </w:p>
        </w:tc>
        <w:tc>
          <w:tcPr>
            <w:tcW w:w="2952" w:type="dxa"/>
            <w:shd w:val="clear" w:color="auto" w:fill="F8FAFC"/>
            <w:tcMar>
              <w:top w:w="0" w:type="dxa"/>
              <w:left w:w="65" w:type="dxa"/>
              <w:bottom w:w="0" w:type="dxa"/>
              <w:right w:w="65" w:type="dxa"/>
            </w:tcMar>
            <w:vAlign w:val="center"/>
          </w:tcPr>
          <w:p w14:paraId="7DEC6B21">
            <w:pPr>
              <w:spacing w:before="0" w:after="0" w:line="240" w:lineRule="auto"/>
              <w:jc w:val="left"/>
            </w:pPr>
            <w:r>
              <w:rPr>
                <w:rFonts w:ascii="Arial" w:hAnsi="Arial"/>
                <w:b w:val="0"/>
                <w:color w:val="1F1F1F"/>
                <w:sz w:val="12"/>
              </w:rPr>
              <w:t>Clinical + waist + height</w:t>
            </w:r>
          </w:p>
        </w:tc>
        <w:tc>
          <w:tcPr>
            <w:tcW w:w="1440" w:type="dxa"/>
            <w:shd w:val="clear" w:color="auto" w:fill="F8FAFC"/>
            <w:tcMar>
              <w:top w:w="0" w:type="dxa"/>
              <w:left w:w="65" w:type="dxa"/>
              <w:bottom w:w="0" w:type="dxa"/>
              <w:right w:w="65" w:type="dxa"/>
            </w:tcMar>
            <w:vAlign w:val="center"/>
          </w:tcPr>
          <w:p w14:paraId="0DFC912C">
            <w:pPr>
              <w:spacing w:before="0" w:after="0" w:line="240" w:lineRule="auto"/>
              <w:jc w:val="center"/>
            </w:pPr>
            <w:r>
              <w:rPr>
                <w:rFonts w:ascii="Arial" w:hAnsi="Arial"/>
                <w:b w:val="0"/>
                <w:color w:val="1F1F1F"/>
                <w:sz w:val="12"/>
              </w:rPr>
              <w:t>3/6 (50.0%)</w:t>
            </w:r>
          </w:p>
        </w:tc>
        <w:tc>
          <w:tcPr>
            <w:tcW w:w="1656" w:type="dxa"/>
            <w:shd w:val="clear" w:color="auto" w:fill="F8FAFC"/>
            <w:tcMar>
              <w:top w:w="0" w:type="dxa"/>
              <w:left w:w="65" w:type="dxa"/>
              <w:bottom w:w="0" w:type="dxa"/>
              <w:right w:w="65" w:type="dxa"/>
            </w:tcMar>
            <w:vAlign w:val="center"/>
          </w:tcPr>
          <w:p w14:paraId="38D53770">
            <w:pPr>
              <w:spacing w:before="0" w:after="0" w:line="240" w:lineRule="auto"/>
              <w:jc w:val="center"/>
            </w:pPr>
            <w:r>
              <w:rPr>
                <w:rFonts w:ascii="Arial" w:hAnsi="Arial"/>
                <w:b w:val="0"/>
                <w:color w:val="1F1F1F"/>
                <w:sz w:val="12"/>
              </w:rPr>
              <w:t>No</w:t>
            </w:r>
          </w:p>
        </w:tc>
        <w:tc>
          <w:tcPr>
            <w:tcW w:w="1656" w:type="dxa"/>
            <w:shd w:val="clear" w:color="auto" w:fill="F8FAFC"/>
            <w:tcMar>
              <w:top w:w="0" w:type="dxa"/>
              <w:left w:w="65" w:type="dxa"/>
              <w:bottom w:w="0" w:type="dxa"/>
              <w:right w:w="65" w:type="dxa"/>
            </w:tcMar>
            <w:vAlign w:val="center"/>
          </w:tcPr>
          <w:p w14:paraId="3E13D0C0">
            <w:pPr>
              <w:spacing w:before="0" w:after="0" w:line="240" w:lineRule="auto"/>
              <w:jc w:val="center"/>
            </w:pPr>
            <w:r>
              <w:rPr>
                <w:rFonts w:ascii="Arial" w:hAnsi="Arial"/>
                <w:b w:val="0"/>
                <w:color w:val="1F1F1F"/>
                <w:sz w:val="12"/>
              </w:rPr>
              <w:t>No</w:t>
            </w:r>
          </w:p>
        </w:tc>
        <w:tc>
          <w:tcPr>
            <w:tcW w:w="3456" w:type="dxa"/>
            <w:shd w:val="clear" w:color="auto" w:fill="F8FAFC"/>
            <w:tcMar>
              <w:top w:w="0" w:type="dxa"/>
              <w:left w:w="65" w:type="dxa"/>
              <w:bottom w:w="0" w:type="dxa"/>
              <w:right w:w="65" w:type="dxa"/>
            </w:tcMar>
            <w:vAlign w:val="center"/>
          </w:tcPr>
          <w:p w14:paraId="24BA84D2">
            <w:pPr>
              <w:spacing w:before="0" w:after="0" w:line="240" w:lineRule="auto"/>
              <w:jc w:val="left"/>
            </w:pPr>
            <w:r>
              <w:rPr>
                <w:rFonts w:ascii="Arial" w:hAnsi="Arial"/>
                <w:b w:val="0"/>
                <w:color w:val="1F1F1F"/>
                <w:sz w:val="11"/>
              </w:rPr>
              <w:t>No consistent transported formula advantage over raw components</w:t>
            </w:r>
          </w:p>
        </w:tc>
      </w:tr>
      <w:tr w14:paraId="3F055D76">
        <w:tblPrEx>
          <w:tblCellMar>
            <w:top w:w="0" w:type="dxa"/>
            <w:left w:w="108" w:type="dxa"/>
            <w:bottom w:w="0" w:type="dxa"/>
            <w:right w:w="108" w:type="dxa"/>
          </w:tblCellMar>
        </w:tblPrEx>
        <w:trPr>
          <w:cantSplit/>
          <w:trHeight w:val="0" w:hRule="atLeast"/>
          <w:jc w:val="center"/>
        </w:trPr>
        <w:tc>
          <w:tcPr>
            <w:tcW w:w="1368" w:type="dxa"/>
            <w:shd w:val="clear" w:color="auto" w:fill="FFFFFF"/>
            <w:tcMar>
              <w:top w:w="0" w:type="dxa"/>
              <w:left w:w="65" w:type="dxa"/>
              <w:bottom w:w="0" w:type="dxa"/>
              <w:right w:w="65" w:type="dxa"/>
            </w:tcMar>
            <w:vAlign w:val="center"/>
          </w:tcPr>
          <w:p w14:paraId="55007C62">
            <w:pPr>
              <w:spacing w:before="0" w:after="0" w:line="240" w:lineRule="auto"/>
              <w:jc w:val="left"/>
            </w:pPr>
            <w:r>
              <w:rPr>
                <w:rFonts w:ascii="Arial" w:hAnsi="Arial"/>
                <w:b w:val="0"/>
                <w:color w:val="1F1F1F"/>
                <w:sz w:val="12"/>
              </w:rPr>
              <w:t>Lower SPISE</w:t>
            </w:r>
          </w:p>
        </w:tc>
        <w:tc>
          <w:tcPr>
            <w:tcW w:w="1944" w:type="dxa"/>
            <w:shd w:val="clear" w:color="auto" w:fill="FFFFFF"/>
            <w:tcMar>
              <w:top w:w="0" w:type="dxa"/>
              <w:left w:w="65" w:type="dxa"/>
              <w:bottom w:w="0" w:type="dxa"/>
              <w:right w:w="65" w:type="dxa"/>
            </w:tcMar>
            <w:vAlign w:val="center"/>
          </w:tcPr>
          <w:p w14:paraId="1DEB51A2">
            <w:pPr>
              <w:spacing w:before="0" w:after="0" w:line="240" w:lineRule="auto"/>
              <w:jc w:val="left"/>
            </w:pPr>
            <w:r>
              <w:rPr>
                <w:rFonts w:ascii="Arial" w:hAnsi="Arial"/>
                <w:b w:val="0"/>
                <w:color w:val="1F1F1F"/>
                <w:sz w:val="12"/>
              </w:rPr>
              <w:t>Clinical + Lower SPISE</w:t>
            </w:r>
          </w:p>
        </w:tc>
        <w:tc>
          <w:tcPr>
            <w:tcW w:w="2952" w:type="dxa"/>
            <w:shd w:val="clear" w:color="auto" w:fill="FFFFFF"/>
            <w:tcMar>
              <w:top w:w="0" w:type="dxa"/>
              <w:left w:w="65" w:type="dxa"/>
              <w:bottom w:w="0" w:type="dxa"/>
              <w:right w:w="65" w:type="dxa"/>
            </w:tcMar>
            <w:vAlign w:val="center"/>
          </w:tcPr>
          <w:p w14:paraId="1E96B232">
            <w:pPr>
              <w:spacing w:before="0" w:after="0" w:line="240" w:lineRule="auto"/>
              <w:jc w:val="left"/>
            </w:pPr>
            <w:r>
              <w:rPr>
                <w:rFonts w:ascii="Arial" w:hAnsi="Arial"/>
                <w:b w:val="0"/>
                <w:color w:val="1F1F1F"/>
                <w:sz w:val="12"/>
              </w:rPr>
              <w:t>Clinical + log TG + log HDL-C + log BMI</w:t>
            </w:r>
          </w:p>
        </w:tc>
        <w:tc>
          <w:tcPr>
            <w:tcW w:w="1440" w:type="dxa"/>
            <w:shd w:val="clear" w:color="auto" w:fill="FFFFFF"/>
            <w:tcMar>
              <w:top w:w="0" w:type="dxa"/>
              <w:left w:w="65" w:type="dxa"/>
              <w:bottom w:w="0" w:type="dxa"/>
              <w:right w:w="65" w:type="dxa"/>
            </w:tcMar>
            <w:vAlign w:val="center"/>
          </w:tcPr>
          <w:p w14:paraId="09C30377">
            <w:pPr>
              <w:spacing w:before="0" w:after="0" w:line="240" w:lineRule="auto"/>
              <w:jc w:val="center"/>
            </w:pPr>
            <w:r>
              <w:rPr>
                <w:rFonts w:ascii="Arial" w:hAnsi="Arial"/>
                <w:b w:val="0"/>
                <w:color w:val="1F1F1F"/>
                <w:sz w:val="12"/>
              </w:rPr>
              <w:t>1/6 (16.7%)</w:t>
            </w:r>
          </w:p>
        </w:tc>
        <w:tc>
          <w:tcPr>
            <w:tcW w:w="1656" w:type="dxa"/>
            <w:shd w:val="clear" w:color="auto" w:fill="FFFFFF"/>
            <w:tcMar>
              <w:top w:w="0" w:type="dxa"/>
              <w:left w:w="65" w:type="dxa"/>
              <w:bottom w:w="0" w:type="dxa"/>
              <w:right w:w="65" w:type="dxa"/>
            </w:tcMar>
            <w:vAlign w:val="center"/>
          </w:tcPr>
          <w:p w14:paraId="6E057D22">
            <w:pPr>
              <w:spacing w:before="0" w:after="0" w:line="240" w:lineRule="auto"/>
              <w:jc w:val="center"/>
            </w:pPr>
            <w:r>
              <w:rPr>
                <w:rFonts w:ascii="Arial" w:hAnsi="Arial"/>
                <w:b w:val="0"/>
                <w:color w:val="1F1F1F"/>
                <w:sz w:val="12"/>
              </w:rPr>
              <w:t>No</w:t>
            </w:r>
          </w:p>
        </w:tc>
        <w:tc>
          <w:tcPr>
            <w:tcW w:w="1656" w:type="dxa"/>
            <w:shd w:val="clear" w:color="auto" w:fill="FFFFFF"/>
            <w:tcMar>
              <w:top w:w="0" w:type="dxa"/>
              <w:left w:w="65" w:type="dxa"/>
              <w:bottom w:w="0" w:type="dxa"/>
              <w:right w:w="65" w:type="dxa"/>
            </w:tcMar>
            <w:vAlign w:val="center"/>
          </w:tcPr>
          <w:p w14:paraId="404B6C60">
            <w:pPr>
              <w:spacing w:before="0" w:after="0" w:line="240" w:lineRule="auto"/>
              <w:jc w:val="center"/>
            </w:pPr>
            <w:r>
              <w:rPr>
                <w:rFonts w:ascii="Arial" w:hAnsi="Arial"/>
                <w:b w:val="0"/>
                <w:color w:val="1F1F1F"/>
                <w:sz w:val="12"/>
              </w:rPr>
              <w:t>No</w:t>
            </w:r>
          </w:p>
        </w:tc>
        <w:tc>
          <w:tcPr>
            <w:tcW w:w="3456" w:type="dxa"/>
            <w:shd w:val="clear" w:color="auto" w:fill="FFFFFF"/>
            <w:tcMar>
              <w:top w:w="0" w:type="dxa"/>
              <w:left w:w="65" w:type="dxa"/>
              <w:bottom w:w="0" w:type="dxa"/>
              <w:right w:w="65" w:type="dxa"/>
            </w:tcMar>
            <w:vAlign w:val="center"/>
          </w:tcPr>
          <w:p w14:paraId="39FE616A">
            <w:pPr>
              <w:spacing w:before="0" w:after="0" w:line="240" w:lineRule="auto"/>
              <w:jc w:val="left"/>
            </w:pPr>
            <w:r>
              <w:rPr>
                <w:rFonts w:ascii="Arial" w:hAnsi="Arial"/>
                <w:b w:val="0"/>
                <w:color w:val="1F1F1F"/>
                <w:sz w:val="11"/>
              </w:rPr>
              <w:t>No consistent transported formula advantage over raw components</w:t>
            </w:r>
          </w:p>
        </w:tc>
      </w:tr>
      <w:tr w14:paraId="388E91EE">
        <w:tblPrEx>
          <w:tblCellMar>
            <w:top w:w="0" w:type="dxa"/>
            <w:left w:w="108" w:type="dxa"/>
            <w:bottom w:w="0" w:type="dxa"/>
            <w:right w:w="108" w:type="dxa"/>
          </w:tblCellMar>
        </w:tblPrEx>
        <w:trPr>
          <w:cantSplit/>
          <w:trHeight w:val="0" w:hRule="atLeast"/>
          <w:jc w:val="center"/>
        </w:trPr>
        <w:tc>
          <w:tcPr>
            <w:tcW w:w="1368" w:type="dxa"/>
            <w:shd w:val="clear" w:color="auto" w:fill="F8FAFC"/>
            <w:tcMar>
              <w:top w:w="0" w:type="dxa"/>
              <w:left w:w="65" w:type="dxa"/>
              <w:bottom w:w="0" w:type="dxa"/>
              <w:right w:w="65" w:type="dxa"/>
            </w:tcMar>
            <w:vAlign w:val="center"/>
          </w:tcPr>
          <w:p w14:paraId="70E012BA">
            <w:pPr>
              <w:spacing w:before="0" w:after="0" w:line="240" w:lineRule="auto"/>
              <w:jc w:val="left"/>
            </w:pPr>
            <w:r>
              <w:rPr>
                <w:rFonts w:ascii="Arial" w:hAnsi="Arial"/>
                <w:b w:val="0"/>
                <w:color w:val="1F1F1F"/>
                <w:sz w:val="12"/>
              </w:rPr>
              <w:t>TyG-BMI</w:t>
            </w:r>
          </w:p>
        </w:tc>
        <w:tc>
          <w:tcPr>
            <w:tcW w:w="1944" w:type="dxa"/>
            <w:shd w:val="clear" w:color="auto" w:fill="F8FAFC"/>
            <w:tcMar>
              <w:top w:w="0" w:type="dxa"/>
              <w:left w:w="65" w:type="dxa"/>
              <w:bottom w:w="0" w:type="dxa"/>
              <w:right w:w="65" w:type="dxa"/>
            </w:tcMar>
            <w:vAlign w:val="center"/>
          </w:tcPr>
          <w:p w14:paraId="6F5471D8">
            <w:pPr>
              <w:spacing w:before="0" w:after="0" w:line="240" w:lineRule="auto"/>
              <w:jc w:val="left"/>
            </w:pPr>
            <w:r>
              <w:rPr>
                <w:rFonts w:ascii="Arial" w:hAnsi="Arial"/>
                <w:b w:val="0"/>
                <w:color w:val="1F1F1F"/>
                <w:sz w:val="12"/>
              </w:rPr>
              <w:t>Clinical + TyG-BMI</w:t>
            </w:r>
          </w:p>
        </w:tc>
        <w:tc>
          <w:tcPr>
            <w:tcW w:w="2952" w:type="dxa"/>
            <w:shd w:val="clear" w:color="auto" w:fill="F8FAFC"/>
            <w:tcMar>
              <w:top w:w="0" w:type="dxa"/>
              <w:left w:w="65" w:type="dxa"/>
              <w:bottom w:w="0" w:type="dxa"/>
              <w:right w:w="65" w:type="dxa"/>
            </w:tcMar>
            <w:vAlign w:val="center"/>
          </w:tcPr>
          <w:p w14:paraId="19203B8D">
            <w:pPr>
              <w:spacing w:before="0" w:after="0" w:line="240" w:lineRule="auto"/>
              <w:jc w:val="left"/>
            </w:pPr>
            <w:r>
              <w:rPr>
                <w:rFonts w:ascii="Arial" w:hAnsi="Arial"/>
                <w:b w:val="0"/>
                <w:color w:val="1F1F1F"/>
                <w:sz w:val="12"/>
              </w:rPr>
              <w:t>Clinical + log TG + log glucose + BMI</w:t>
            </w:r>
          </w:p>
        </w:tc>
        <w:tc>
          <w:tcPr>
            <w:tcW w:w="1440" w:type="dxa"/>
            <w:shd w:val="clear" w:color="auto" w:fill="F8FAFC"/>
            <w:tcMar>
              <w:top w:w="0" w:type="dxa"/>
              <w:left w:w="65" w:type="dxa"/>
              <w:bottom w:w="0" w:type="dxa"/>
              <w:right w:w="65" w:type="dxa"/>
            </w:tcMar>
            <w:vAlign w:val="center"/>
          </w:tcPr>
          <w:p w14:paraId="08E74E7C">
            <w:pPr>
              <w:spacing w:before="0" w:after="0" w:line="240" w:lineRule="auto"/>
              <w:jc w:val="center"/>
            </w:pPr>
            <w:r>
              <w:rPr>
                <w:rFonts w:ascii="Arial" w:hAnsi="Arial"/>
                <w:b w:val="0"/>
                <w:color w:val="1F1F1F"/>
                <w:sz w:val="12"/>
              </w:rPr>
              <w:t>3/6 (50.0%)</w:t>
            </w:r>
          </w:p>
        </w:tc>
        <w:tc>
          <w:tcPr>
            <w:tcW w:w="1656" w:type="dxa"/>
            <w:shd w:val="clear" w:color="auto" w:fill="F8FAFC"/>
            <w:tcMar>
              <w:top w:w="0" w:type="dxa"/>
              <w:left w:w="65" w:type="dxa"/>
              <w:bottom w:w="0" w:type="dxa"/>
              <w:right w:w="65" w:type="dxa"/>
            </w:tcMar>
            <w:vAlign w:val="center"/>
          </w:tcPr>
          <w:p w14:paraId="1E23B6E8">
            <w:pPr>
              <w:spacing w:before="0" w:after="0" w:line="240" w:lineRule="auto"/>
              <w:jc w:val="center"/>
            </w:pPr>
            <w:r>
              <w:rPr>
                <w:rFonts w:ascii="Arial" w:hAnsi="Arial"/>
                <w:b w:val="0"/>
                <w:color w:val="1F1F1F"/>
                <w:sz w:val="12"/>
              </w:rPr>
              <w:t>No</w:t>
            </w:r>
          </w:p>
        </w:tc>
        <w:tc>
          <w:tcPr>
            <w:tcW w:w="1656" w:type="dxa"/>
            <w:shd w:val="clear" w:color="auto" w:fill="F8FAFC"/>
            <w:tcMar>
              <w:top w:w="0" w:type="dxa"/>
              <w:left w:w="65" w:type="dxa"/>
              <w:bottom w:w="0" w:type="dxa"/>
              <w:right w:w="65" w:type="dxa"/>
            </w:tcMar>
            <w:vAlign w:val="center"/>
          </w:tcPr>
          <w:p w14:paraId="23C6D773">
            <w:pPr>
              <w:spacing w:before="0" w:after="0" w:line="240" w:lineRule="auto"/>
              <w:jc w:val="center"/>
            </w:pPr>
            <w:r>
              <w:rPr>
                <w:rFonts w:ascii="Arial" w:hAnsi="Arial"/>
                <w:b w:val="0"/>
                <w:color w:val="1F1F1F"/>
                <w:sz w:val="12"/>
              </w:rPr>
              <w:t>No</w:t>
            </w:r>
          </w:p>
        </w:tc>
        <w:tc>
          <w:tcPr>
            <w:tcW w:w="3456" w:type="dxa"/>
            <w:shd w:val="clear" w:color="auto" w:fill="F8FAFC"/>
            <w:tcMar>
              <w:top w:w="0" w:type="dxa"/>
              <w:left w:w="65" w:type="dxa"/>
              <w:bottom w:w="0" w:type="dxa"/>
              <w:right w:w="65" w:type="dxa"/>
            </w:tcMar>
            <w:vAlign w:val="center"/>
          </w:tcPr>
          <w:p w14:paraId="719D02B3">
            <w:pPr>
              <w:spacing w:before="0" w:after="0" w:line="240" w:lineRule="auto"/>
              <w:jc w:val="left"/>
            </w:pPr>
            <w:r>
              <w:rPr>
                <w:rFonts w:ascii="Arial" w:hAnsi="Arial"/>
                <w:b w:val="0"/>
                <w:color w:val="1F1F1F"/>
                <w:sz w:val="11"/>
              </w:rPr>
              <w:t>No consistent transported formula advantage over raw components</w:t>
            </w:r>
          </w:p>
        </w:tc>
      </w:tr>
      <w:tr w14:paraId="24A988C2">
        <w:tblPrEx>
          <w:tblCellMar>
            <w:top w:w="0" w:type="dxa"/>
            <w:left w:w="108" w:type="dxa"/>
            <w:bottom w:w="0" w:type="dxa"/>
            <w:right w:w="108" w:type="dxa"/>
          </w:tblCellMar>
        </w:tblPrEx>
        <w:trPr>
          <w:cantSplit/>
          <w:trHeight w:val="0" w:hRule="atLeast"/>
          <w:jc w:val="center"/>
        </w:trPr>
        <w:tc>
          <w:tcPr>
            <w:tcW w:w="1368" w:type="dxa"/>
            <w:shd w:val="clear" w:color="auto" w:fill="FFFFFF"/>
            <w:tcMar>
              <w:top w:w="0" w:type="dxa"/>
              <w:left w:w="65" w:type="dxa"/>
              <w:bottom w:w="0" w:type="dxa"/>
              <w:right w:w="65" w:type="dxa"/>
            </w:tcMar>
            <w:vAlign w:val="center"/>
          </w:tcPr>
          <w:p w14:paraId="660B59A7">
            <w:pPr>
              <w:spacing w:before="0" w:after="0" w:line="240" w:lineRule="auto"/>
              <w:jc w:val="left"/>
            </w:pPr>
            <w:r>
              <w:rPr>
                <w:rFonts w:ascii="Arial" w:hAnsi="Arial"/>
                <w:b w:val="0"/>
                <w:color w:val="1F1F1F"/>
                <w:sz w:val="12"/>
              </w:rPr>
              <w:t>Lower eGDR</w:t>
            </w:r>
          </w:p>
        </w:tc>
        <w:tc>
          <w:tcPr>
            <w:tcW w:w="1944" w:type="dxa"/>
            <w:shd w:val="clear" w:color="auto" w:fill="FFFFFF"/>
            <w:tcMar>
              <w:top w:w="0" w:type="dxa"/>
              <w:left w:w="65" w:type="dxa"/>
              <w:bottom w:w="0" w:type="dxa"/>
              <w:right w:w="65" w:type="dxa"/>
            </w:tcMar>
            <w:vAlign w:val="center"/>
          </w:tcPr>
          <w:p w14:paraId="35F83B7E">
            <w:pPr>
              <w:spacing w:before="0" w:after="0" w:line="240" w:lineRule="auto"/>
              <w:jc w:val="left"/>
            </w:pPr>
            <w:r>
              <w:rPr>
                <w:rFonts w:ascii="Arial" w:hAnsi="Arial"/>
                <w:b w:val="0"/>
                <w:color w:val="1F1F1F"/>
                <w:sz w:val="12"/>
              </w:rPr>
              <w:t>Clinical + Lower eGDR</w:t>
            </w:r>
          </w:p>
        </w:tc>
        <w:tc>
          <w:tcPr>
            <w:tcW w:w="2952" w:type="dxa"/>
            <w:shd w:val="clear" w:color="auto" w:fill="FFFFFF"/>
            <w:tcMar>
              <w:top w:w="0" w:type="dxa"/>
              <w:left w:w="65" w:type="dxa"/>
              <w:bottom w:w="0" w:type="dxa"/>
              <w:right w:w="65" w:type="dxa"/>
            </w:tcMar>
            <w:vAlign w:val="center"/>
          </w:tcPr>
          <w:p w14:paraId="6E2BC8C2">
            <w:pPr>
              <w:spacing w:before="0" w:after="0" w:line="240" w:lineRule="auto"/>
              <w:jc w:val="left"/>
            </w:pPr>
            <w:r>
              <w:rPr>
                <w:rFonts w:ascii="Arial" w:hAnsi="Arial"/>
                <w:b w:val="0"/>
                <w:color w:val="1F1F1F"/>
                <w:sz w:val="12"/>
              </w:rPr>
              <w:t>Clinical + HbA1c + waist</w:t>
            </w:r>
          </w:p>
        </w:tc>
        <w:tc>
          <w:tcPr>
            <w:tcW w:w="1440" w:type="dxa"/>
            <w:shd w:val="clear" w:color="auto" w:fill="FFFFFF"/>
            <w:tcMar>
              <w:top w:w="0" w:type="dxa"/>
              <w:left w:w="65" w:type="dxa"/>
              <w:bottom w:w="0" w:type="dxa"/>
              <w:right w:w="65" w:type="dxa"/>
            </w:tcMar>
            <w:vAlign w:val="center"/>
          </w:tcPr>
          <w:p w14:paraId="55393A47">
            <w:pPr>
              <w:spacing w:before="0" w:after="0" w:line="240" w:lineRule="auto"/>
              <w:jc w:val="center"/>
            </w:pPr>
            <w:r>
              <w:rPr>
                <w:rFonts w:ascii="Arial" w:hAnsi="Arial"/>
                <w:b w:val="0"/>
                <w:color w:val="1F1F1F"/>
                <w:sz w:val="12"/>
              </w:rPr>
              <w:t>2/6 (33.3%)</w:t>
            </w:r>
          </w:p>
        </w:tc>
        <w:tc>
          <w:tcPr>
            <w:tcW w:w="1656" w:type="dxa"/>
            <w:shd w:val="clear" w:color="auto" w:fill="FFFFFF"/>
            <w:tcMar>
              <w:top w:w="0" w:type="dxa"/>
              <w:left w:w="65" w:type="dxa"/>
              <w:bottom w:w="0" w:type="dxa"/>
              <w:right w:w="65" w:type="dxa"/>
            </w:tcMar>
            <w:vAlign w:val="center"/>
          </w:tcPr>
          <w:p w14:paraId="0D0E90DD">
            <w:pPr>
              <w:spacing w:before="0" w:after="0" w:line="240" w:lineRule="auto"/>
              <w:jc w:val="center"/>
            </w:pPr>
            <w:r>
              <w:rPr>
                <w:rFonts w:ascii="Arial" w:hAnsi="Arial"/>
                <w:b w:val="0"/>
                <w:color w:val="1F1F1F"/>
                <w:sz w:val="12"/>
              </w:rPr>
              <w:t>No</w:t>
            </w:r>
          </w:p>
        </w:tc>
        <w:tc>
          <w:tcPr>
            <w:tcW w:w="1656" w:type="dxa"/>
            <w:shd w:val="clear" w:color="auto" w:fill="FFFFFF"/>
            <w:tcMar>
              <w:top w:w="0" w:type="dxa"/>
              <w:left w:w="65" w:type="dxa"/>
              <w:bottom w:w="0" w:type="dxa"/>
              <w:right w:w="65" w:type="dxa"/>
            </w:tcMar>
            <w:vAlign w:val="center"/>
          </w:tcPr>
          <w:p w14:paraId="13B1B706">
            <w:pPr>
              <w:spacing w:before="0" w:after="0" w:line="240" w:lineRule="auto"/>
              <w:jc w:val="center"/>
            </w:pPr>
            <w:r>
              <w:rPr>
                <w:rFonts w:ascii="Arial" w:hAnsi="Arial"/>
                <w:b w:val="0"/>
                <w:color w:val="1F1F1F"/>
                <w:sz w:val="12"/>
              </w:rPr>
              <w:t>No</w:t>
            </w:r>
          </w:p>
        </w:tc>
        <w:tc>
          <w:tcPr>
            <w:tcW w:w="3456" w:type="dxa"/>
            <w:shd w:val="clear" w:color="auto" w:fill="FFFFFF"/>
            <w:tcMar>
              <w:top w:w="0" w:type="dxa"/>
              <w:left w:w="65" w:type="dxa"/>
              <w:bottom w:w="0" w:type="dxa"/>
              <w:right w:w="65" w:type="dxa"/>
            </w:tcMar>
            <w:vAlign w:val="center"/>
          </w:tcPr>
          <w:p w14:paraId="026D7167">
            <w:pPr>
              <w:spacing w:before="0" w:after="0" w:line="240" w:lineRule="auto"/>
              <w:jc w:val="left"/>
            </w:pPr>
            <w:r>
              <w:rPr>
                <w:rFonts w:ascii="Arial" w:hAnsi="Arial"/>
                <w:b w:val="0"/>
                <w:color w:val="1F1F1F"/>
                <w:sz w:val="11"/>
              </w:rPr>
              <w:t>No consistent transported formula advantage over raw components</w:t>
            </w:r>
          </w:p>
        </w:tc>
      </w:tr>
      <w:tr w14:paraId="31F49A7E">
        <w:tblPrEx>
          <w:tblCellMar>
            <w:top w:w="0" w:type="dxa"/>
            <w:left w:w="108" w:type="dxa"/>
            <w:bottom w:w="0" w:type="dxa"/>
            <w:right w:w="108" w:type="dxa"/>
          </w:tblCellMar>
        </w:tblPrEx>
        <w:trPr>
          <w:cantSplit/>
          <w:trHeight w:val="0" w:hRule="atLeast"/>
          <w:jc w:val="center"/>
        </w:trPr>
        <w:tc>
          <w:tcPr>
            <w:tcW w:w="1368" w:type="dxa"/>
            <w:shd w:val="clear" w:color="auto" w:fill="F8FAFC"/>
            <w:tcMar>
              <w:top w:w="0" w:type="dxa"/>
              <w:left w:w="65" w:type="dxa"/>
              <w:bottom w:w="0" w:type="dxa"/>
              <w:right w:w="65" w:type="dxa"/>
            </w:tcMar>
            <w:vAlign w:val="center"/>
          </w:tcPr>
          <w:p w14:paraId="4083E2FC">
            <w:pPr>
              <w:spacing w:before="0" w:after="0" w:line="240" w:lineRule="auto"/>
              <w:jc w:val="left"/>
            </w:pPr>
            <w:r>
              <w:rPr>
                <w:rFonts w:ascii="Arial" w:hAnsi="Arial"/>
                <w:b w:val="0"/>
                <w:color w:val="1F1F1F"/>
                <w:sz w:val="12"/>
              </w:rPr>
              <w:t>non-HDL-C</w:t>
            </w:r>
          </w:p>
        </w:tc>
        <w:tc>
          <w:tcPr>
            <w:tcW w:w="1944" w:type="dxa"/>
            <w:shd w:val="clear" w:color="auto" w:fill="F8FAFC"/>
            <w:tcMar>
              <w:top w:w="0" w:type="dxa"/>
              <w:left w:w="65" w:type="dxa"/>
              <w:bottom w:w="0" w:type="dxa"/>
              <w:right w:w="65" w:type="dxa"/>
            </w:tcMar>
            <w:vAlign w:val="center"/>
          </w:tcPr>
          <w:p w14:paraId="132D2881">
            <w:pPr>
              <w:spacing w:before="0" w:after="0" w:line="240" w:lineRule="auto"/>
              <w:jc w:val="left"/>
            </w:pPr>
            <w:r>
              <w:rPr>
                <w:rFonts w:ascii="Arial" w:hAnsi="Arial"/>
                <w:b w:val="0"/>
                <w:color w:val="1F1F1F"/>
                <w:sz w:val="12"/>
              </w:rPr>
              <w:t>Clinical + non-HDL-C</w:t>
            </w:r>
          </w:p>
        </w:tc>
        <w:tc>
          <w:tcPr>
            <w:tcW w:w="2952" w:type="dxa"/>
            <w:shd w:val="clear" w:color="auto" w:fill="F8FAFC"/>
            <w:tcMar>
              <w:top w:w="0" w:type="dxa"/>
              <w:left w:w="65" w:type="dxa"/>
              <w:bottom w:w="0" w:type="dxa"/>
              <w:right w:w="65" w:type="dxa"/>
            </w:tcMar>
            <w:vAlign w:val="center"/>
          </w:tcPr>
          <w:p w14:paraId="02200238">
            <w:pPr>
              <w:spacing w:before="0" w:after="0" w:line="240" w:lineRule="auto"/>
              <w:jc w:val="left"/>
            </w:pPr>
            <w:r>
              <w:rPr>
                <w:rFonts w:ascii="Arial" w:hAnsi="Arial"/>
                <w:b w:val="0"/>
                <w:color w:val="1F1F1F"/>
                <w:sz w:val="12"/>
              </w:rPr>
              <w:t>Clinical + total cholesterol + HDL-C</w:t>
            </w:r>
          </w:p>
        </w:tc>
        <w:tc>
          <w:tcPr>
            <w:tcW w:w="1440" w:type="dxa"/>
            <w:shd w:val="clear" w:color="auto" w:fill="F8FAFC"/>
            <w:tcMar>
              <w:top w:w="0" w:type="dxa"/>
              <w:left w:w="65" w:type="dxa"/>
              <w:bottom w:w="0" w:type="dxa"/>
              <w:right w:w="65" w:type="dxa"/>
            </w:tcMar>
            <w:vAlign w:val="center"/>
          </w:tcPr>
          <w:p w14:paraId="679C8DD7">
            <w:pPr>
              <w:spacing w:before="0" w:after="0" w:line="240" w:lineRule="auto"/>
              <w:jc w:val="center"/>
            </w:pPr>
            <w:r>
              <w:rPr>
                <w:rFonts w:ascii="Arial" w:hAnsi="Arial"/>
                <w:b w:val="0"/>
                <w:color w:val="1F1F1F"/>
                <w:sz w:val="12"/>
              </w:rPr>
              <w:t>3/6 (50.0%)</w:t>
            </w:r>
          </w:p>
        </w:tc>
        <w:tc>
          <w:tcPr>
            <w:tcW w:w="1656" w:type="dxa"/>
            <w:shd w:val="clear" w:color="auto" w:fill="F8FAFC"/>
            <w:tcMar>
              <w:top w:w="0" w:type="dxa"/>
              <w:left w:w="65" w:type="dxa"/>
              <w:bottom w:w="0" w:type="dxa"/>
              <w:right w:w="65" w:type="dxa"/>
            </w:tcMar>
            <w:vAlign w:val="center"/>
          </w:tcPr>
          <w:p w14:paraId="5F91E64B">
            <w:pPr>
              <w:spacing w:before="0" w:after="0" w:line="240" w:lineRule="auto"/>
              <w:jc w:val="center"/>
            </w:pPr>
            <w:r>
              <w:rPr>
                <w:rFonts w:ascii="Arial" w:hAnsi="Arial"/>
                <w:b w:val="0"/>
                <w:color w:val="1F1F1F"/>
                <w:sz w:val="12"/>
              </w:rPr>
              <w:t>No</w:t>
            </w:r>
          </w:p>
        </w:tc>
        <w:tc>
          <w:tcPr>
            <w:tcW w:w="1656" w:type="dxa"/>
            <w:shd w:val="clear" w:color="auto" w:fill="F8FAFC"/>
            <w:tcMar>
              <w:top w:w="0" w:type="dxa"/>
              <w:left w:w="65" w:type="dxa"/>
              <w:bottom w:w="0" w:type="dxa"/>
              <w:right w:w="65" w:type="dxa"/>
            </w:tcMar>
            <w:vAlign w:val="center"/>
          </w:tcPr>
          <w:p w14:paraId="3C5B1500">
            <w:pPr>
              <w:spacing w:before="0" w:after="0" w:line="240" w:lineRule="auto"/>
              <w:jc w:val="center"/>
            </w:pPr>
            <w:r>
              <w:rPr>
                <w:rFonts w:ascii="Arial" w:hAnsi="Arial"/>
                <w:b w:val="0"/>
                <w:color w:val="1F1F1F"/>
                <w:sz w:val="12"/>
              </w:rPr>
              <w:t>Yes</w:t>
            </w:r>
          </w:p>
        </w:tc>
        <w:tc>
          <w:tcPr>
            <w:tcW w:w="3456" w:type="dxa"/>
            <w:shd w:val="clear" w:color="auto" w:fill="F8FAFC"/>
            <w:tcMar>
              <w:top w:w="0" w:type="dxa"/>
              <w:left w:w="65" w:type="dxa"/>
              <w:bottom w:w="0" w:type="dxa"/>
              <w:right w:w="65" w:type="dxa"/>
            </w:tcMar>
            <w:vAlign w:val="center"/>
          </w:tcPr>
          <w:p w14:paraId="71740764">
            <w:pPr>
              <w:spacing w:before="0" w:after="0" w:line="240" w:lineRule="auto"/>
              <w:jc w:val="left"/>
            </w:pPr>
            <w:r>
              <w:rPr>
                <w:rFonts w:ascii="Arial" w:hAnsi="Arial"/>
                <w:b w:val="0"/>
                <w:color w:val="1F1F1F"/>
                <w:sz w:val="11"/>
              </w:rPr>
              <w:t>No consistent transported formula advantage over raw components</w:t>
            </w:r>
          </w:p>
        </w:tc>
      </w:tr>
    </w:tbl>
    <w:p w14:paraId="722A11DF">
      <w:pPr>
        <w:spacing w:before="80" w:after="40" w:line="240" w:lineRule="auto"/>
      </w:pPr>
      <w:r>
        <w:rPr>
          <w:rFonts w:ascii="Arial" w:hAnsi="Arial"/>
          <w:b/>
          <w:color w:val="666666"/>
          <w:sz w:val="14"/>
        </w:rPr>
        <w:t xml:space="preserve">Note: </w:t>
      </w:r>
      <w:r>
        <w:rPr>
          <w:rFonts w:ascii="Arial" w:hAnsi="Arial"/>
          <w:color w:val="666666"/>
          <w:sz w:val="14"/>
        </w:rPr>
        <w:t>Raw-component models were information upper bounds and were not winner-eligible. The six validation metric cells were AUROC, AUPRC, and Brier performance in ELSA temporal validation and HRS external validation; positive cells favoured the compact formula. For Brier, lower values were better, so formula advantage means the formula model had a lower Brier score than the raw-component model. For Lower eGDR, hypertension was already included in the locked Clinical comparator; the raw-component upper-bound model therefore added HbA1c and waist. No tested formula showed consistent transported superiority over its own raw-component upper-bound model across both validation stages.</w:t>
      </w:r>
    </w:p>
    <w:p w14:paraId="2325B018">
      <w:pPr>
        <w:spacing w:before="160"/>
      </w:pPr>
      <w:r>
        <w:rPr>
          <w:rFonts w:ascii="Arial" w:hAnsi="Arial" w:eastAsia="Arial"/>
          <w:b/>
          <w:i w:val="0"/>
          <w:color w:val="1F4E78"/>
          <w:sz w:val="18"/>
        </w:rPr>
        <w:t>Abbreviations</w:t>
      </w:r>
    </w:p>
    <w:p w14:paraId="38B8D7F3">
      <w:pPr>
        <w:spacing w:before="80" w:after="40" w:line="240" w:lineRule="auto"/>
      </w:pPr>
      <w:r>
        <w:rPr>
          <w:rFonts w:ascii="Arial" w:hAnsi="Arial" w:eastAsia="Arial"/>
          <w:b/>
          <w:i w:val="0"/>
          <w:color w:val="666666"/>
          <w:sz w:val="15"/>
        </w:rPr>
        <w:t xml:space="preserve">Note: </w:t>
      </w:r>
      <w:r>
        <w:rPr>
          <w:rFonts w:ascii="Arial" w:hAnsi="Arial" w:eastAsia="Arial"/>
          <w:b w:val="0"/>
          <w:i w:val="0"/>
          <w:color w:val="666666"/>
          <w:sz w:val="15"/>
        </w:rPr>
        <w:t>AIP, atherogenic index of plasma; AUPRC, area under the precision–recall curve; AUROC, area under the receiver-operating-characteristic curve; BMI, body mass index; CI, confidence interval; DCA, decision-curve analysis; eGDR, estimated glucose disposal rate; ELSA, English Longitudinal Study of Ageing; FDR, false discovery rate; HDL-C, high-density lipoprotein cholesterol; HRS, Health and Retirement Study; IHD, ischemic heart disease; IR, insulin resistance; METS-IR, metabolic score for insulin resistance; OOF, out-of-fold; RCS, restricted cubic spline; SPISE, single-point insulin sensitivity estimator; TG, triglycerides; TyG, triglyceride–glucose index; WC, waist circumference; WHtR, waist-to-height ratio.</w:t>
      </w:r>
    </w:p>
    <w:p w14:paraId="4379C391">
      <w:pPr>
        <w:keepNext w:val="0"/>
        <w:keepLines/>
        <w:pageBreakBefore/>
        <w:spacing w:before="0" w:after="0"/>
        <w:jc w:val="center"/>
        <w:rPr>
          <w:rFonts w:hint="eastAsia" w:ascii="Arial" w:hAnsi="Arial" w:eastAsia="宋体"/>
          <w:b w:val="0"/>
          <w:i w:val="0"/>
          <w:color w:val="666666"/>
          <w:sz w:val="14"/>
          <w:lang w:eastAsia="zh-CN"/>
        </w:rPr>
      </w:pPr>
      <w:r>
        <w:rPr>
          <w:rFonts w:hint="eastAsia" w:ascii="Arial" w:hAnsi="Arial" w:eastAsia="宋体"/>
          <w:b w:val="0"/>
          <w:i w:val="0"/>
          <w:color w:val="666666"/>
          <w:sz w:val="14"/>
          <w:lang w:eastAsia="zh-CN"/>
        </w:rPr>
        <w:drawing>
          <wp:inline distT="0" distB="0" distL="114300" distR="114300">
            <wp:extent cx="7044422" cy="5870448"/>
            <wp:effectExtent l="0" t="0" r="635" b="2540"/>
            <wp:docPr id="5" name="图片 5" descr="FigureS1_IR_TRACE_missingness_distribution_drift_ULTRA_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S1_IR_TRACE_missingness_distribution_drift_ULTRA_CLEAN"/>
                    <pic:cNvPicPr>
                      <a:picLocks noChangeAspect="1"/>
                    </pic:cNvPicPr>
                  </pic:nvPicPr>
                  <pic:blipFill>
                    <a:blip r:embed="rId7"/>
                    <a:stretch>
                      <a:fillRect/>
                    </a:stretch>
                  </pic:blipFill>
                  <pic:spPr>
                    <a:xfrm>
                      <a:off x="0" y="0"/>
                      <a:ext cx="7044422" cy="5870448"/>
                    </a:xfrm>
                    <a:prstGeom prst="rect">
                      <a:avLst/>
                    </a:prstGeom>
                  </pic:spPr>
                </pic:pic>
              </a:graphicData>
            </a:graphic>
          </wp:inline>
        </w:drawing>
      </w:r>
    </w:p>
    <w:p>
      <w:pPr>
        <w:spacing w:before="60" w:after="180" w:line="240" w:lineRule="auto"/>
        <w:jc w:val="left"/>
      </w:pPr>
      <w:r>
        <w:rPr>
          <w:rFonts w:ascii="Arial" w:hAnsi="Arial" w:eastAsia="Arial"/>
          <w:b/>
          <w:sz w:val="14"/>
        </w:rPr>
        <w:t xml:space="preserve">Figure S1. </w:t>
      </w:r>
      <w:r>
        <w:rPr>
          <w:rFonts w:ascii="Arial" w:hAnsi="Arial" w:eastAsia="Arial"/>
          <w:sz w:val="14"/>
        </w:rPr>
        <w:t>Missingness and distribution drift across analytic stages. A, missingness percentages by variable layer and analytic stage among outcome-observed analytic rows. B, development-referenced robust z-score shifts for the 10 candidate indicators across ELSA development, ELSA temporal validation, and HRS external validation. C, distributional drift of the three Core-3 components on the ELSA-development robust z-score scale. The figure documents both missingness differences and validation-stage distribution shifts relevant to transport interpretation.</w:t>
      </w:r>
    </w:p>
    <w:p w14:paraId="73AEC678">
      <w:pPr>
        <w:keepNext w:val="0"/>
        <w:keepLines/>
        <w:pageBreakBefore/>
        <w:spacing w:before="0" w:after="0"/>
        <w:jc w:val="center"/>
        <w:rPr>
          <w:rFonts w:hint="eastAsia" w:ascii="Arial" w:hAnsi="Arial" w:eastAsia="宋体"/>
          <w:b w:val="0"/>
          <w:i w:val="0"/>
          <w:color w:val="666666"/>
          <w:sz w:val="14"/>
          <w:lang w:eastAsia="zh-CN"/>
        </w:rPr>
      </w:pPr>
      <w:r>
        <w:rPr>
          <w:rFonts w:hint="eastAsia" w:ascii="Arial" w:hAnsi="Arial" w:eastAsia="宋体"/>
          <w:b w:val="0"/>
          <w:i w:val="0"/>
          <w:color w:val="666666"/>
          <w:sz w:val="14"/>
          <w:lang w:eastAsia="zh-CN"/>
        </w:rPr>
        <w:drawing>
          <wp:inline distT="0" distB="0" distL="114300" distR="114300">
            <wp:extent cx="7415302" cy="5870448"/>
            <wp:effectExtent l="0" t="0" r="5080" b="11430"/>
            <wp:docPr id="6" name="图片 6" descr="FigureS2_IR_TRACE_detailed_stage_performance_ULTRA_CLEAN_CAPTION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S2_IR_TRACE_detailed_stage_performance_ULTRA_CLEAN_CAPTIONFIX"/>
                    <pic:cNvPicPr>
                      <a:picLocks noChangeAspect="1"/>
                    </pic:cNvPicPr>
                  </pic:nvPicPr>
                  <pic:blipFill>
                    <a:blip r:embed="rId8"/>
                    <a:stretch>
                      <a:fillRect/>
                    </a:stretch>
                  </pic:blipFill>
                  <pic:spPr>
                    <a:xfrm>
                      <a:off x="0" y="0"/>
                      <a:ext cx="7415302" cy="5870448"/>
                    </a:xfrm>
                    <a:prstGeom prst="rect">
                      <a:avLst/>
                    </a:prstGeom>
                  </pic:spPr>
                </pic:pic>
              </a:graphicData>
            </a:graphic>
          </wp:inline>
        </w:drawing>
      </w:r>
    </w:p>
    <w:p>
      <w:pPr>
        <w:spacing w:before="60" w:after="180" w:line="240" w:lineRule="auto"/>
        <w:jc w:val="left"/>
      </w:pPr>
      <w:r>
        <w:rPr>
          <w:rFonts w:ascii="Arial" w:hAnsi="Arial" w:eastAsia="Arial"/>
          <w:b/>
          <w:sz w:val="14"/>
        </w:rPr>
        <w:t xml:space="preserve">Figure S2. </w:t>
      </w:r>
      <w:r>
        <w:rPr>
          <w:rFonts w:ascii="Arial" w:hAnsi="Arial" w:eastAsia="Arial"/>
          <w:sz w:val="14"/>
        </w:rPr>
        <w:t>Detailed stage-specific performance of the 10 candidate metabolic indicators. A, development associations reported as odds ratios per 1-standard-deviation increase. B, absolute AUROC, AUPRC, and Brier performance across development, ELSA temporal validation, and HRS external validation. C, incremental value relative to the Clinical model in ELSA temporal validation and HRS external validation. Rows in Panels B and C follow the same indicator order as Panel A. In Panel C, values are metric differences relative to the Clinical model; blue indicates higher bootstrap probability favoring the enhanced model.</w:t>
      </w:r>
    </w:p>
    <w:p w14:paraId="559F2946">
      <w:pPr>
        <w:keepNext w:val="0"/>
        <w:keepLines/>
        <w:pageBreakBefore/>
        <w:spacing w:before="0" w:after="0"/>
        <w:jc w:val="center"/>
        <w:rPr>
          <w:rFonts w:hint="eastAsia" w:ascii="Arial" w:hAnsi="Arial" w:eastAsia="宋体"/>
          <w:b w:val="0"/>
          <w:i w:val="0"/>
          <w:color w:val="666666"/>
          <w:sz w:val="14"/>
          <w:lang w:eastAsia="zh-CN"/>
        </w:rPr>
      </w:pPr>
      <w:r>
        <w:rPr>
          <w:rFonts w:hint="eastAsia" w:ascii="Arial" w:hAnsi="Arial" w:eastAsia="宋体"/>
          <w:b w:val="0"/>
          <w:i w:val="0"/>
          <w:color w:val="666666"/>
          <w:sz w:val="14"/>
          <w:lang w:eastAsia="zh-CN"/>
        </w:rPr>
        <w:drawing>
          <wp:inline distT="0" distB="0" distL="114300" distR="114300">
            <wp:extent cx="7415302" cy="5870448"/>
            <wp:effectExtent l="0" t="0" r="5080" b="11430"/>
            <wp:docPr id="7" name="图片 7" descr="FigureS3_IR_TRACE_new_score_challenge_sensitivity_ULTRA_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S3_IR_TRACE_new_score_challenge_sensitivity_ULTRA_CLEAN"/>
                    <pic:cNvPicPr>
                      <a:picLocks noChangeAspect="1"/>
                    </pic:cNvPicPr>
                  </pic:nvPicPr>
                  <pic:blipFill>
                    <a:blip r:embed="rId9"/>
                    <a:stretch>
                      <a:fillRect/>
                    </a:stretch>
                  </pic:blipFill>
                  <pic:spPr>
                    <a:xfrm>
                      <a:off x="0" y="0"/>
                      <a:ext cx="7415302" cy="5870448"/>
                    </a:xfrm>
                    <a:prstGeom prst="rect">
                      <a:avLst/>
                    </a:prstGeom>
                  </pic:spPr>
                </pic:pic>
              </a:graphicData>
            </a:graphic>
          </wp:inline>
        </w:drawing>
      </w:r>
    </w:p>
    <w:p>
      <w:pPr>
        <w:spacing w:before="60" w:after="180" w:line="240" w:lineRule="auto"/>
        <w:jc w:val="left"/>
      </w:pPr>
      <w:r>
        <w:rPr>
          <w:rFonts w:ascii="Arial" w:hAnsi="Arial" w:eastAsia="Arial"/>
          <w:b/>
          <w:sz w:val="14"/>
        </w:rPr>
        <w:t xml:space="preserve">Figure S3. </w:t>
      </w:r>
      <w:r>
        <w:rPr>
          <w:rFonts w:ascii="Arial" w:hAnsi="Arial" w:eastAsia="Arial"/>
          <w:sz w:val="14"/>
        </w:rPr>
        <w:t>New-score challenge, data completeness, and bidirectional transport. A, validation performance of the Clinical model, existing benchmarks, Core-3/Extended-4 variants, and raw-component upper-bound models. B, majority-win probabilities for Core-3 Equal against AIP and TyG in forward validation, HRS grouped out-of-fold development, and HRS-to-ELSA reverse transport. C, Core-3 component completeness strata in ELSA temporal validation and HRS external validation. Core-3 showed a stronger signal in HRS, where component completeness was high, but did not meet the prespecified promotion rule across validation settings.</w:t>
      </w:r>
    </w:p>
    <w:p w14:paraId="44B71AB2">
      <w:pPr>
        <w:keepNext w:val="0"/>
        <w:keepLines/>
        <w:pageBreakBefore/>
        <w:spacing w:before="0" w:after="0"/>
        <w:jc w:val="center"/>
        <w:rPr>
          <w:rFonts w:hint="eastAsia" w:ascii="Arial" w:hAnsi="Arial" w:eastAsia="宋体"/>
          <w:b w:val="0"/>
          <w:i w:val="0"/>
          <w:color w:val="666666"/>
          <w:sz w:val="14"/>
          <w:lang w:eastAsia="zh-CN"/>
        </w:rPr>
      </w:pPr>
      <w:r>
        <w:rPr>
          <w:rFonts w:hint="eastAsia" w:ascii="Arial" w:hAnsi="Arial" w:eastAsia="宋体"/>
          <w:b w:val="0"/>
          <w:i w:val="0"/>
          <w:color w:val="666666"/>
          <w:sz w:val="14"/>
          <w:lang w:eastAsia="zh-CN"/>
        </w:rPr>
        <w:drawing>
          <wp:inline distT="0" distB="0" distL="114300" distR="114300">
            <wp:extent cx="7415302" cy="5870448"/>
            <wp:effectExtent l="0" t="0" r="5080" b="11430"/>
            <wp:docPr id="8" name="图片 8" descr="FigureS4_IR_TRACE_ML_importance_transport_ULTRA_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S4_IR_TRACE_ML_importance_transport_ULTRA_CLEAN"/>
                    <pic:cNvPicPr>
                      <a:picLocks noChangeAspect="1"/>
                    </pic:cNvPicPr>
                  </pic:nvPicPr>
                  <pic:blipFill>
                    <a:blip r:embed="rId10"/>
                    <a:stretch>
                      <a:fillRect/>
                    </a:stretch>
                  </pic:blipFill>
                  <pic:spPr>
                    <a:xfrm>
                      <a:off x="0" y="0"/>
                      <a:ext cx="7415302" cy="5870448"/>
                    </a:xfrm>
                    <a:prstGeom prst="rect">
                      <a:avLst/>
                    </a:prstGeom>
                  </pic:spPr>
                </pic:pic>
              </a:graphicData>
            </a:graphic>
          </wp:inline>
        </w:drawing>
      </w:r>
    </w:p>
    <w:p>
      <w:pPr>
        <w:spacing w:before="60" w:after="180" w:line="240" w:lineRule="auto"/>
        <w:jc w:val="left"/>
      </w:pPr>
      <w:r>
        <w:rPr>
          <w:rFonts w:ascii="Arial" w:hAnsi="Arial" w:eastAsia="Arial"/>
          <w:b/>
          <w:sz w:val="14"/>
        </w:rPr>
        <w:t xml:space="preserve">Figure S4. </w:t>
      </w:r>
      <w:r>
        <w:rPr>
          <w:rFonts w:ascii="Arial" w:hAnsi="Arial" w:eastAsia="Arial"/>
          <w:sz w:val="14"/>
        </w:rPr>
        <w:t>Machine-learning contribution patterns and transportability of feature importance. A-B, leading feature contributions in ELSA temporal validation and HRS external validation from the constrained probability forest. C, feature-rank transport between ELSA temporal validation and HRS external validation; the dashed line denotes equal rank, and point size encodes relative importance. D, family-level contribution transport across validation settings. These model-dependent attributions were descriptive, not causal, and did not revise the verified indicator hierarchy.</w:t>
      </w:r>
    </w:p>
    <w:p w14:paraId="302410E2">
      <w:pPr>
        <w:keepNext w:val="0"/>
        <w:keepLines/>
        <w:pageBreakBefore/>
        <w:spacing w:before="0" w:after="0"/>
        <w:jc w:val="center"/>
        <w:rPr>
          <w:rFonts w:hint="eastAsia" w:ascii="Arial" w:hAnsi="Arial" w:eastAsia="宋体"/>
          <w:b w:val="0"/>
          <w:i w:val="0"/>
          <w:color w:val="666666"/>
          <w:sz w:val="14"/>
          <w:lang w:eastAsia="zh-CN"/>
        </w:rPr>
      </w:pPr>
      <w:r>
        <w:rPr>
          <w:rFonts w:hint="eastAsia" w:ascii="Arial" w:hAnsi="Arial" w:eastAsia="宋体"/>
          <w:b w:val="0"/>
          <w:i w:val="0"/>
          <w:color w:val="666666"/>
          <w:sz w:val="14"/>
          <w:lang w:eastAsia="zh-CN"/>
        </w:rPr>
        <w:drawing>
          <wp:inline distT="0" distB="0" distL="114300" distR="114300">
            <wp:extent cx="7415302" cy="5870448"/>
            <wp:effectExtent l="0" t="0" r="5080" b="11430"/>
            <wp:docPr id="9" name="图片 9" descr="FigureS5_IR_TRACE_RCS_and_DCA_ULTRA_CLEAN_LEGENDFIX_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S5_IR_TRACE_RCS_and_DCA_ULTRA_CLEAN_LEGENDFIX_LOCK"/>
                    <pic:cNvPicPr>
                      <a:picLocks noChangeAspect="1"/>
                    </pic:cNvPicPr>
                  </pic:nvPicPr>
                  <pic:blipFill>
                    <a:blip r:embed="rId11"/>
                    <a:stretch>
                      <a:fillRect/>
                    </a:stretch>
                  </pic:blipFill>
                  <pic:spPr>
                    <a:xfrm>
                      <a:off x="0" y="0"/>
                      <a:ext cx="7415302" cy="5870448"/>
                    </a:xfrm>
                    <a:prstGeom prst="rect">
                      <a:avLst/>
                    </a:prstGeom>
                  </pic:spPr>
                </pic:pic>
              </a:graphicData>
            </a:graphic>
          </wp:inline>
        </w:drawing>
      </w:r>
      <w:bookmarkStart w:id="0" w:name="_GoBack"/>
      <w:bookmarkEnd w:id="0"/>
    </w:p>
    <w:p>
      <w:pPr>
        <w:spacing w:before="60" w:after="180" w:line="240" w:lineRule="auto"/>
        <w:jc w:val="left"/>
      </w:pPr>
      <w:r>
        <w:rPr>
          <w:rFonts w:ascii="Arial" w:hAnsi="Arial" w:eastAsia="Arial"/>
          <w:b/>
          <w:sz w:val="14"/>
        </w:rPr>
        <w:t xml:space="preserve">Figure S5. </w:t>
      </w:r>
      <w:r>
        <w:rPr>
          <w:rFonts w:ascii="Arial" w:hAnsi="Arial" w:eastAsia="Arial"/>
          <w:sz w:val="14"/>
        </w:rPr>
        <w:t>Dose-response shape and incremental decision-curve evidence. A-C, restricted cubic spline curves for TyG, AIP, and Core-3 Equal across ELSA development, ELSA temporal validation, and HRS external validation. Knots were fixed at the 5th, 35th, 65th, and 95th percentiles of the ELSA-development distribution and transported unchanged. Shaded bands indicate confidence intervals. D-E, incremental net benefit of Clinical + TyG, Clinical + AIP, and Clinical + Core-3 Equal relative to the Clinical model across decision thresholds from 1% to 10% in ELSA temporal validation and HRS external validation. Decision-curve signals were descriptive and did not override frozen validation, calibration, or promotion criteria.</w:t>
      </w:r>
    </w:p>
    <w:sectPr>
      <w:pgSz w:w="16834" w:h="11909" w:orient="landscape"/>
      <w:pgMar w:top="792" w:right="691" w:bottom="792" w:left="69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4ECBB">
    <w:pPr>
      <w:pStyle w:val="24"/>
      <w:jc w:val="center"/>
    </w:pPr>
    <w:r>
      <w:rPr>
        <w:rFonts w:ascii="Arial" w:hAnsi="Arial"/>
        <w:color w:val="666666"/>
        <w:sz w:val="15"/>
      </w:rPr>
      <w:t xml:space="preserve">IR-TRACE Supplementary Tables and Figures  •  </w:t>
    </w:r>
    <w:r>
      <w:rPr>
        <w:rFonts w:ascii="Arial" w:hAnsi="Arial" w:eastAsia="Arial"/>
        <w:color w:val="666666"/>
        <w:sz w:val="15"/>
      </w:rPr>
      <w:fldChar w:fldCharType="begin"/>
    </w:r>
    <w:r>
      <w:rPr>
        <w:rFonts w:ascii="Arial" w:hAnsi="Arial" w:eastAsia="Arial"/>
        <w:color w:val="666666"/>
        <w:sz w:val="15"/>
      </w:rPr>
      <w:instrText xml:space="preserve"> PAGE </w:instrText>
    </w:r>
    <w:r>
      <w:rPr>
        <w:rFonts w:ascii="Arial" w:hAnsi="Arial" w:eastAsia="Arial"/>
        <w:color w:val="666666"/>
        <w:sz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2FA33FC"/>
    <w:rsid w:val="558760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rial" w:hAnsi="Arial" w:eastAsia="Arial" w:cstheme="minorBidi"/>
      <w:sz w:val="18"/>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b/>
      <w:color w:val="1F4E78"/>
      <w:spacing w:val="5"/>
      <w:kern w:val="28"/>
      <w:sz w:val="44"/>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3814</Words>
  <Characters>24353</Characters>
  <Lines>0</Lines>
  <Paragraphs>0</Paragraphs>
  <TotalTime>2</TotalTime>
  <ScaleCrop>false</ScaleCrop>
  <LinksUpToDate>false</LinksUpToDate>
  <CharactersWithSpaces>27015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Wei Jiang</dc:creator>
  <dc:description/>
  <cp:keywords>IR-TRACE; metabolic surrogate indicators; ischemic heart disease</cp:keywords>
  <cp:lastModifiedBy>Wei Jiang</cp:lastModifiedBy>
  <dcterms:modified xsi:type="dcterms:W3CDTF">2026-07-04T15:10:18Z</dcterms:modified>
  <dc:subject>Supplementary material</dc:subject>
  <dc:title>Stable redundancy and variable ranking of metabolic surrogate indicators for incident ischemic heart disease</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eyJoZGlkIjoiYjQ3MzUyYTFhNzgxNDhkNjE2ZTdhNDY1MWM0MWUzNDIiLCJ1c2VySWQiOiIzOTY2ODAwMTQifQ==</vt:lpwstr>
  </property>
  <property fmtid="{D5CDD505-2E9C-101B-9397-08002B2CF9AE}" pid="3" name="KSOProductBuildVer">
    <vt:lpwstr>2052-12.1.0.26895</vt:lpwstr>
  </property>
  <property fmtid="{D5CDD505-2E9C-101B-9397-08002B2CF9AE}" pid="4" name="ICV">
    <vt:lpwstr>5E97D5259C574DF08843919C3C3949F2_13</vt:lpwstr>
  </property>
</Properties>
</file>