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left"/>
      </w:pPr>
      <w:r>
        <w:rPr>
          <w:b/>
          <w:bCs/>
          <w:sz w:val="26"/>
          <w:szCs w:val="26"/>
        </w:rPr>
        <w:t xml:space="preserve">Additional file 1 — Supplementary Methods: formal results, constructions, and Monte Carlo specification</w:t>
      </w:r>
    </w:p>
    <w:p>
      <w:pPr>
        <w:spacing w:after="160" w:line="276"/>
        <w:jc w:val="both"/>
      </w:pPr>
      <w:r>
        <w:rPr>
          <w:i/>
          <w:iCs/>
        </w:rPr>
        <w:t xml:space="preserve">Supplement to: </w:t>
      </w:r>
      <w:r>
        <w:t xml:space="preserve">When scalar endpoints miss multidomain stabilization: estimand-aligned trajectory summaries for chronic longitudinal trials.</w:t>
      </w:r>
    </w:p>
    <w:p>
      <w:pPr>
        <w:spacing w:after="160" w:line="276"/>
        <w:jc w:val="both"/>
      </w:pPr>
      <w:r>
        <w:t xml:space="preserve">This file provides the formal statements, proofs, and the clinically anchored multidomain construction referenced in the main text. Sections S1–S3 give the formal results and constructions corresponding to the theorem and corollaries stated in Methods §3.2.1; Section S4 documents the Monte Carlo analysis of Figure 4 and Results §4.4–§4.5. Notation follows the main text: domains </w:t>
      </w:r>
      <w:r>
        <w:rPr>
          <w:i/>
          <w:iCs/>
        </w:rPr>
        <w:t xml:space="preserve">d</w:t>
      </w:r>
      <w:r>
        <w:t xml:space="preserve"> = 1, …, </w:t>
      </w:r>
      <w:r>
        <w:rPr>
          <w:i/>
          <w:iCs/>
        </w:rPr>
        <w:t xml:space="preserve">k</w:t>
      </w:r>
      <w:r>
        <w:t xml:space="preserve"> (</w:t>
      </w:r>
      <w:r>
        <w:rPr>
          <w:i/>
          <w:iCs/>
        </w:rPr>
        <w:t xml:space="preserve">k</w:t>
      </w:r>
      <w:r>
        <w:t xml:space="preserve"> ≥ 2), occasions </w:t>
      </w:r>
      <w:r>
        <w:rPr>
          <w:i/>
          <w:iCs/>
        </w:rPr>
        <w:t xml:space="preserve">t</w:t>
      </w:r>
      <w:r>
        <w:t xml:space="preserve">₀ &lt; </w:t>
      </w:r>
      <w:r>
        <w:rPr>
          <w:i/>
          <w:iCs/>
        </w:rPr>
        <w:t xml:space="preserve">t</w:t>
      </w:r>
      <w:r>
        <w:t xml:space="preserve">₁ &lt; … &lt; </w:t>
      </w:r>
      <w:r>
        <w:rPr>
          <w:i/>
          <w:iCs/>
        </w:rPr>
        <w:t xml:space="preserve">t</w:t>
      </w:r>
      <w:r>
        <w:rPr>
          <w:i/>
          <w:iCs/>
        </w:rPr>
        <w:t xml:space="preserve">T</w:t>
      </w:r>
      <w:r>
        <w:t xml:space="preserve"> (</w:t>
      </w:r>
      <w:r>
        <w:rPr>
          <w:i/>
          <w:iCs/>
        </w:rPr>
        <w:t xml:space="preserve">T</w:t>
      </w:r>
      <w:r>
        <w:t xml:space="preserve"> ≥ 2), with each domain taking values in a finite totally ordered set (no interval scale assumed).</w:t>
      </w:r>
    </w:p>
    <w:p>
      <w:pPr>
        <w:pStyle w:val="Heading1"/>
        <w:spacing w:after="120" w:before="240"/>
      </w:pPr>
      <w:r>
        <w:rPr>
          <w:b/>
          <w:bCs/>
        </w:rPr>
        <w:t xml:space="preserve">S1. Clinically anchored multidomain construction (illustrative)</w:t>
      </w:r>
    </w:p>
    <w:p>
      <w:pPr>
        <w:spacing w:after="160" w:line="276"/>
        <w:jc w:val="both"/>
      </w:pPr>
      <w:r>
        <w:t xml:space="preserve">This section presents an illustrative construction, not an analysis of trial data. We simulate multidomain ordinal trajectories under clinically anchored parameters to show that trajectory non-identifiability (TNI) can arise under plausible dynamics when </w:t>
      </w:r>
      <w:r>
        <w:rPr>
          <w:i/>
          <w:iCs/>
        </w:rPr>
        <w:t xml:space="preserve">k</w:t>
      </w:r>
      <w:r>
        <w:t xml:space="preserve"> ≥ 2. The construction makes no empirical claim about prevalence; its role is to exhibit the multidomain case (</w:t>
      </w:r>
      <w:r>
        <w:rPr>
          <w:i/>
          <w:iCs/>
        </w:rPr>
        <w:t xml:space="preserve">k</w:t>
      </w:r>
      <w:r>
        <w:t xml:space="preserve"> ≥ 2) that the single-domain anxiety-trial illustration in the main text does not instantiate. All parameters are stated; none are fitted to any trial's reported means.</w:t>
      </w:r>
    </w:p>
    <w:p>
      <w:pPr>
        <w:pStyle w:val="Heading2"/>
        <w:spacing w:after="100" w:before="180"/>
      </w:pPr>
      <w:r>
        <w:rPr>
          <w:b/>
          <w:bCs/>
        </w:rPr>
        <w:t xml:space="preserve">S1.1 Generative model</w:t>
      </w:r>
    </w:p>
    <w:p>
      <w:pPr>
        <w:spacing w:after="160" w:line="276"/>
        <w:jc w:val="both"/>
      </w:pPr>
      <w:r>
        <w:t xml:space="preserve">For participant </w:t>
      </w:r>
      <w:r>
        <w:rPr>
          <w:i/>
          <w:iCs/>
        </w:rPr>
        <w:t xml:space="preserve">i</w:t>
      </w:r>
      <w:r>
        <w:t xml:space="preserve"> in arm </w:t>
      </w:r>
      <w:r>
        <w:rPr>
          <w:i/>
          <w:iCs/>
        </w:rPr>
        <w:t xml:space="preserve">g</w:t>
      </w:r>
      <w:r>
        <w:t xml:space="preserve">, a latent </w:t>
      </w:r>
      <w:r>
        <w:rPr>
          <w:i/>
          <w:iCs/>
        </w:rPr>
        <w:t xml:space="preserve">k</w:t>
      </w:r>
      <w:r>
        <w:t xml:space="preserve">-dimensional trajectory follows autoregressive dynamics</w:t>
      </w:r>
    </w:p>
    <w:p>
      <w:pPr>
        <w:spacing w:after="160"/>
        <w:jc w:val="center"/>
      </w:pPr>
      <w:r>
        <w:rPr>
          <w:i/>
          <w:iCs/>
        </w:rPr>
        <w:t xml:space="preserve">Z</w:t>
      </w:r>
      <w:r>
        <w:rPr>
          <w:i/>
          <w:iCs/>
        </w:rPr>
        <w:t xml:space="preserve">i</w:t>
      </w:r>
      <w:r>
        <w:t xml:space="preserve">(</w:t>
      </w:r>
      <w:r>
        <w:rPr>
          <w:i/>
          <w:iCs/>
        </w:rPr>
        <w:t xml:space="preserve">t</w:t>
      </w:r>
      <w:r>
        <w:rPr>
          <w:i/>
          <w:iCs/>
        </w:rPr>
        <w:t xml:space="preserve">m</w:t>
      </w:r>
      <w:r>
        <w:t xml:space="preserve">) = μ</w:t>
      </w:r>
      <w:r>
        <w:rPr>
          <w:i/>
          <w:iCs/>
        </w:rPr>
        <w:t xml:space="preserve">g</w:t>
      </w:r>
      <w:r>
        <w:t xml:space="preserve">(</w:t>
      </w:r>
      <w:r>
        <w:rPr>
          <w:i/>
          <w:iCs/>
        </w:rPr>
        <w:t xml:space="preserve">t</w:t>
      </w:r>
      <w:r>
        <w:rPr>
          <w:i/>
          <w:iCs/>
        </w:rPr>
        <w:t xml:space="preserve">m</w:t>
      </w:r>
      <w:r>
        <w:t xml:space="preserve">) + ρ [ </w:t>
      </w:r>
      <w:r>
        <w:rPr>
          <w:i/>
          <w:iCs/>
        </w:rPr>
        <w:t xml:space="preserve">Z</w:t>
      </w:r>
      <w:r>
        <w:rPr>
          <w:i/>
          <w:iCs/>
        </w:rPr>
        <w:t xml:space="preserve">i</w:t>
      </w:r>
      <w:r>
        <w:t xml:space="preserve">(</w:t>
      </w:r>
      <w:r>
        <w:rPr>
          <w:i/>
          <w:iCs/>
        </w:rPr>
        <w:t xml:space="preserve">t</w:t>
      </w:r>
      <w:r>
        <w:t xml:space="preserve">ₘ₋₁) − μ</w:t>
      </w:r>
      <w:r>
        <w:rPr>
          <w:i/>
          <w:iCs/>
        </w:rPr>
        <w:t xml:space="preserve">g</w:t>
      </w:r>
      <w:r>
        <w:t xml:space="preserve">(</w:t>
      </w:r>
      <w:r>
        <w:rPr>
          <w:i/>
          <w:iCs/>
        </w:rPr>
        <w:t xml:space="preserve">t</w:t>
      </w:r>
      <w:r>
        <w:t xml:space="preserve">ₘ₋₁) ] + ε</w:t>
      </w:r>
      <w:r>
        <w:rPr>
          <w:i/>
          <w:iCs/>
        </w:rPr>
        <w:t xml:space="preserve">i</w:t>
      </w:r>
      <w:r>
        <w:t xml:space="preserve">(</w:t>
      </w:r>
      <w:r>
        <w:rPr>
          <w:i/>
          <w:iCs/>
        </w:rPr>
        <w:t xml:space="preserve">t</w:t>
      </w:r>
      <w:r>
        <w:rPr>
          <w:i/>
          <w:iCs/>
        </w:rPr>
        <w:t xml:space="preserve">m</w:t>
      </w:r>
      <w:r>
        <w:t xml:space="preserve">),</w:t>
      </w:r>
    </w:p>
    <w:p>
      <w:pPr>
        <w:spacing w:after="160" w:line="276"/>
        <w:jc w:val="both"/>
      </w:pPr>
      <w:r>
        <w:t xml:space="preserve">with ρ ∈ (0, 1), ε</w:t>
      </w:r>
      <w:r>
        <w:rPr>
          <w:i/>
          <w:iCs/>
        </w:rPr>
        <w:t xml:space="preserve">i</w:t>
      </w:r>
      <w:r>
        <w:t xml:space="preserve">(</w:t>
      </w:r>
      <w:r>
        <w:rPr>
          <w:i/>
          <w:iCs/>
        </w:rPr>
        <w:t xml:space="preserve">t</w:t>
      </w:r>
      <w:r>
        <w:rPr>
          <w:i/>
          <w:iCs/>
        </w:rPr>
        <w:t xml:space="preserve">m</w:t>
      </w:r>
      <w:r>
        <w:t xml:space="preserve">) ~ </w:t>
      </w:r>
      <w:r>
        <w:rPr>
          <w:i/>
          <w:iCs/>
        </w:rPr>
        <w:t xml:space="preserve">N</w:t>
      </w:r>
      <w:r>
        <w:t xml:space="preserve">(0, Σ), Σ positive definite across domains, and baseline </w:t>
      </w:r>
      <w:r>
        <w:rPr>
          <w:i/>
          <w:iCs/>
        </w:rPr>
        <w:t xml:space="preserve">Z</w:t>
      </w:r>
      <w:r>
        <w:rPr>
          <w:i/>
          <w:iCs/>
        </w:rPr>
        <w:t xml:space="preserve">i</w:t>
      </w:r>
      <w:r>
        <w:t xml:space="preserve">(</w:t>
      </w:r>
      <w:r>
        <w:rPr>
          <w:i/>
          <w:iCs/>
        </w:rPr>
        <w:t xml:space="preserve">t</w:t>
      </w:r>
      <w:r>
        <w:t xml:space="preserve">₀) ~ </w:t>
      </w:r>
      <w:r>
        <w:rPr>
          <w:i/>
          <w:iCs/>
        </w:rPr>
        <w:t xml:space="preserve">N</w:t>
      </w:r>
      <w:r>
        <w:t xml:space="preserve">(μ</w:t>
      </w:r>
      <w:r>
        <w:rPr>
          <w:i/>
          <w:iCs/>
        </w:rPr>
        <w:t xml:space="preserve">g</w:t>
      </w:r>
      <w:r>
        <w:t xml:space="preserve">(</w:t>
      </w:r>
      <w:r>
        <w:rPr>
          <w:i/>
          <w:iCs/>
        </w:rPr>
        <w:t xml:space="preserve">t</w:t>
      </w:r>
      <w:r>
        <w:t xml:space="preserve">₀), Σ₀). We take </w:t>
      </w:r>
      <w:r>
        <w:rPr>
          <w:i/>
          <w:iCs/>
        </w:rPr>
        <w:t xml:space="preserve">k</w:t>
      </w:r>
      <w:r>
        <w:t xml:space="preserve"> = 3 domains.</w:t>
      </w:r>
    </w:p>
    <w:p>
      <w:pPr>
        <w:pStyle w:val="Heading2"/>
        <w:spacing w:after="100" w:before="180"/>
      </w:pPr>
      <w:r>
        <w:rPr>
          <w:b/>
          <w:bCs/>
        </w:rPr>
        <w:t xml:space="preserve">S1.2 Ordinal mapping and thresholds</w:t>
      </w:r>
    </w:p>
    <w:p>
      <w:pPr>
        <w:spacing w:after="160" w:line="276"/>
        <w:jc w:val="both"/>
      </w:pPr>
      <w:r>
        <w:t xml:space="preserve">Latent values are mapped to ordinal categories by fixed cutpoints. Domain-level responder thresholds are anchored to published minimally clinically important differences (MCIDs) for pain, sleep, and fatigue; these are generic MCIDs, not values extracted from any single trial. Responder states, sustained coherence, and fragmentation are computed exactly as defined in the main text.</w:t>
      </w:r>
    </w:p>
    <w:p>
      <w:pPr>
        <w:pStyle w:val="Heading2"/>
        <w:spacing w:after="100" w:before="180"/>
      </w:pPr>
      <w:r>
        <w:rPr>
          <w:b/>
          <w:bCs/>
        </w:rPr>
        <w:t xml:space="preserve">S1.3 Result and sensitivity</w:t>
      </w:r>
    </w:p>
    <w:p>
      <w:pPr>
        <w:spacing w:after="160" w:line="276"/>
        <w:jc w:val="both"/>
      </w:pPr>
      <w:r>
        <w:t xml:space="preserve">Across a broad range of parameterizations — autoregressive parameter ρ ∈ [0.3, 0.8], cross-domain correlations varied by ±0.1, MCID thresholds varied by ±20%, and heteroskedastic error structures — scalar endpoint contrasts can be small while multidomain sustained coherence or fragmentation differs materially between arms. TNI persisted across these regimes. This indicates that TNI need not be confined to pathological edge cases; it does not establish how frequently TNI occurs in practice, which is not determinable from a construction.</w:t>
      </w:r>
    </w:p>
    <w:p>
      <w:pPr>
        <w:pStyle w:val="Heading1"/>
        <w:spacing w:after="120" w:before="240"/>
      </w:pPr>
      <w:r>
        <w:rPr>
          <w:b/>
          <w:bCs/>
        </w:rPr>
        <w:t xml:space="preserve">S2. Constructive proof of ordinal scalar projection non-injectivity</w:t>
      </w:r>
    </w:p>
    <w:p>
      <w:pPr>
        <w:pStyle w:val="Heading2"/>
        <w:spacing w:after="100" w:before="180"/>
      </w:pPr>
      <w:r>
        <w:rPr>
          <w:b/>
          <w:bCs/>
        </w:rPr>
        <w:t xml:space="preserve">S2.1 Formal ordinal framework</w:t>
      </w:r>
    </w:p>
    <w:p>
      <w:pPr>
        <w:spacing w:after="160" w:line="276"/>
        <w:jc w:val="both"/>
      </w:pPr>
      <w:r>
        <w:t xml:space="preserve">Let </w:t>
      </w:r>
      <w:r>
        <w:rPr>
          <w:i/>
          <w:iCs/>
        </w:rPr>
        <w:t xml:space="preserve">k</w:t>
      </w:r>
      <w:r>
        <w:t xml:space="preserve"> ≥ 2 and </w:t>
      </w:r>
      <w:r>
        <w:rPr>
          <w:i/>
          <w:iCs/>
        </w:rPr>
        <w:t xml:space="preserve">t</w:t>
      </w:r>
      <w:r>
        <w:t xml:space="preserve">₀ &lt; </w:t>
      </w:r>
      <w:r>
        <w:rPr>
          <w:i/>
          <w:iCs/>
        </w:rPr>
        <w:t xml:space="preserve">t</w:t>
      </w:r>
      <w:r>
        <w:t xml:space="preserve">₁ &lt; … &lt; </w:t>
      </w:r>
      <w:r>
        <w:rPr>
          <w:i/>
          <w:iCs/>
        </w:rPr>
        <w:t xml:space="preserve">t</w:t>
      </w:r>
      <w:r>
        <w:rPr>
          <w:i/>
          <w:iCs/>
        </w:rPr>
        <w:t xml:space="preserve">T</w:t>
      </w:r>
      <w:r>
        <w:t xml:space="preserve"> with </w:t>
      </w:r>
      <w:r>
        <w:rPr>
          <w:i/>
          <w:iCs/>
        </w:rPr>
        <w:t xml:space="preserve">T</w:t>
      </w:r>
      <w:r>
        <w:t xml:space="preserve"> ≥ 2. For each domain </w:t>
      </w:r>
      <w:r>
        <w:rPr>
          <w:i/>
          <w:iCs/>
        </w:rPr>
        <w:t xml:space="preserve">d</w:t>
      </w:r>
      <w:r>
        <w:t xml:space="preserve">, </w:t>
      </w:r>
      <w:r>
        <w:rPr>
          <w:i/>
          <w:iCs/>
        </w:rPr>
        <w:t xml:space="preserve">O</w:t>
      </w:r>
      <w:r>
        <w:rPr>
          <w:i/>
          <w:iCs/>
        </w:rPr>
        <w:t xml:space="preserve">d</w:t>
      </w:r>
      <w:r>
        <w:t xml:space="preserve"> is a finite totally ordered set with order ⪯</w:t>
      </w:r>
      <w:r>
        <w:rPr>
          <w:i/>
          <w:iCs/>
        </w:rPr>
        <w:t xml:space="preserve">d</w:t>
      </w:r>
      <w:r>
        <w:t xml:space="preserve">; the joint configuration space is </w:t>
      </w:r>
      <w:r>
        <w:rPr>
          <w:i/>
          <w:iCs/>
        </w:rPr>
        <w:t xml:space="preserve">O</w:t>
      </w:r>
      <w:r>
        <w:t xml:space="preserve"> = </w:t>
      </w:r>
      <w:r>
        <w:rPr>
          <w:i/>
          <w:iCs/>
        </w:rPr>
        <w:t xml:space="preserve">O</w:t>
      </w:r>
      <w:r>
        <w:t xml:space="preserve">₁ × … × </w:t>
      </w:r>
      <w:r>
        <w:rPr>
          <w:i/>
          <w:iCs/>
        </w:rPr>
        <w:t xml:space="preserve">O</w:t>
      </w:r>
      <w:r>
        <w:rPr>
          <w:i/>
          <w:iCs/>
        </w:rPr>
        <w:t xml:space="preserve">k</w:t>
      </w:r>
      <w:r>
        <w:t xml:space="preserve"> with the componentwise product order. A trajectory is Γ</w:t>
      </w:r>
      <w:r>
        <w:rPr>
          <w:i/>
          <w:iCs/>
        </w:rPr>
        <w:t xml:space="preserve">j</w:t>
      </w:r>
      <w:r>
        <w:t xml:space="preserve"> = { </w:t>
      </w:r>
      <w:r>
        <w:rPr>
          <w:i/>
          <w:iCs/>
        </w:rPr>
        <w:t xml:space="preserve">C</w:t>
      </w:r>
      <w:r>
        <w:rPr>
          <w:i/>
          <w:iCs/>
        </w:rPr>
        <w:t xml:space="preserve">j</w:t>
      </w:r>
      <w:r>
        <w:t xml:space="preserve">(</w:t>
      </w:r>
      <w:r>
        <w:rPr>
          <w:i/>
          <w:iCs/>
        </w:rPr>
        <w:t xml:space="preserve">t</w:t>
      </w:r>
      <w:r>
        <w:t xml:space="preserve">₀), …, </w:t>
      </w:r>
      <w:r>
        <w:rPr>
          <w:i/>
          <w:iCs/>
        </w:rPr>
        <w:t xml:space="preserve">C</w:t>
      </w:r>
      <w:r>
        <w:rPr>
          <w:i/>
          <w:iCs/>
        </w:rPr>
        <w:t xml:space="preserve">j</w:t>
      </w:r>
      <w:r>
        <w:t xml:space="preserve">(</w:t>
      </w:r>
      <w:r>
        <w:rPr>
          <w:i/>
          <w:iCs/>
        </w:rPr>
        <w:t xml:space="preserve">t</w:t>
      </w:r>
      <w:r>
        <w:rPr>
          <w:i/>
          <w:iCs/>
        </w:rPr>
        <w:t xml:space="preserve">T</w:t>
      </w:r>
      <w:r>
        <w:t xml:space="preserve">) } ∈ </w:t>
      </w:r>
      <w:r>
        <w:rPr>
          <w:i/>
          <w:iCs/>
        </w:rPr>
        <w:t xml:space="preserve">O</w:t>
      </w:r>
      <w:r>
        <w:t xml:space="preserve">^(</w:t>
      </w:r>
      <w:r>
        <w:rPr>
          <w:i/>
          <w:iCs/>
        </w:rPr>
        <w:t xml:space="preserve">T</w:t>
      </w:r>
      <w:r>
        <w:t xml:space="preserve">+1). Fix order-preserving embeddings ι</w:t>
      </w:r>
      <w:r>
        <w:rPr>
          <w:i/>
          <w:iCs/>
        </w:rPr>
        <w:t xml:space="preserve">d</w:t>
      </w:r>
      <w:r>
        <w:t xml:space="preserve"> : </w:t>
      </w:r>
      <w:r>
        <w:rPr>
          <w:i/>
          <w:iCs/>
        </w:rPr>
        <w:t xml:space="preserve">O</w:t>
      </w:r>
      <w:r>
        <w:rPr>
          <w:i/>
          <w:iCs/>
        </w:rPr>
        <w:t xml:space="preserve">d</w:t>
      </w:r>
      <w:r>
        <w:t xml:space="preserve"> → ℤ, and define aligned change Δ</w:t>
      </w:r>
      <w:r>
        <w:rPr>
          <w:i/>
          <w:iCs/>
        </w:rPr>
        <w:t xml:space="preserve">j</w:t>
      </w:r>
      <w:r>
        <w:t xml:space="preserve">^</w:t>
      </w:r>
      <w:r>
        <w:rPr>
          <w:i/>
          <w:iCs/>
        </w:rPr>
        <w:t xml:space="preserve">d</w:t>
      </w:r>
      <w:r>
        <w:t xml:space="preserve">(</w:t>
      </w:r>
      <w:r>
        <w:rPr>
          <w:i/>
          <w:iCs/>
        </w:rPr>
        <w:t xml:space="preserve">t</w:t>
      </w:r>
      <w:r>
        <w:t xml:space="preserve">) = </w:t>
      </w:r>
      <w:r>
        <w:rPr>
          <w:i/>
          <w:iCs/>
        </w:rPr>
        <w:t xml:space="preserve">s</w:t>
      </w:r>
      <w:r>
        <w:rPr>
          <w:i/>
          <w:iCs/>
        </w:rPr>
        <w:t xml:space="preserve">d</w:t>
      </w:r>
      <w:r>
        <w:t xml:space="preserve"> [ ι</w:t>
      </w:r>
      <w:r>
        <w:rPr>
          <w:i/>
          <w:iCs/>
        </w:rPr>
        <w:t xml:space="preserve">d</w:t>
      </w:r>
      <w:r>
        <w:t xml:space="preserve">(</w:t>
      </w:r>
      <w:r>
        <w:rPr>
          <w:i/>
          <w:iCs/>
        </w:rPr>
        <w:t xml:space="preserve">Y</w:t>
      </w:r>
      <w:r>
        <w:rPr>
          <w:i/>
          <w:iCs/>
        </w:rPr>
        <w:t xml:space="preserve">j</w:t>
      </w:r>
      <w:r>
        <w:t xml:space="preserve">^</w:t>
      </w:r>
      <w:r>
        <w:rPr>
          <w:i/>
          <w:iCs/>
        </w:rPr>
        <w:t xml:space="preserve">d</w:t>
      </w:r>
      <w:r>
        <w:t xml:space="preserve">(</w:t>
      </w:r>
      <w:r>
        <w:rPr>
          <w:i/>
          <w:iCs/>
        </w:rPr>
        <w:t xml:space="preserve">t</w:t>
      </w:r>
      <w:r>
        <w:t xml:space="preserve">)) − ι</w:t>
      </w:r>
      <w:r>
        <w:rPr>
          <w:i/>
          <w:iCs/>
        </w:rPr>
        <w:t xml:space="preserve">d</w:t>
      </w:r>
      <w:r>
        <w:t xml:space="preserve">(</w:t>
      </w:r>
      <w:r>
        <w:rPr>
          <w:i/>
          <w:iCs/>
        </w:rPr>
        <w:t xml:space="preserve">Y</w:t>
      </w:r>
      <w:r>
        <w:rPr>
          <w:i/>
          <w:iCs/>
        </w:rPr>
        <w:t xml:space="preserve">j</w:t>
      </w:r>
      <w:r>
        <w:t xml:space="preserve">^</w:t>
      </w:r>
      <w:r>
        <w:rPr>
          <w:i/>
          <w:iCs/>
        </w:rPr>
        <w:t xml:space="preserve">d</w:t>
      </w:r>
      <w:r>
        <w:t xml:space="preserve">(</w:t>
      </w:r>
      <w:r>
        <w:rPr>
          <w:i/>
          <w:iCs/>
        </w:rPr>
        <w:t xml:space="preserve">t</w:t>
      </w:r>
      <w:r>
        <w:t xml:space="preserve">₀)) ] with scale direction </w:t>
      </w:r>
      <w:r>
        <w:rPr>
          <w:i/>
          <w:iCs/>
        </w:rPr>
        <w:t xml:space="preserve">s</w:t>
      </w:r>
      <w:r>
        <w:rPr>
          <w:i/>
          <w:iCs/>
        </w:rPr>
        <w:t xml:space="preserve">d</w:t>
      </w:r>
      <w:r>
        <w:t xml:space="preserve"> ∈ {−1, +1}. Domain-level responders </w:t>
      </w:r>
      <w:r>
        <w:rPr>
          <w:i/>
          <w:iCs/>
        </w:rPr>
        <w:t xml:space="preserve">R</w:t>
      </w:r>
      <w:r>
        <w:rPr>
          <w:i/>
          <w:iCs/>
        </w:rPr>
        <w:t xml:space="preserve">j</w:t>
      </w:r>
      <w:r>
        <w:t xml:space="preserve">^</w:t>
      </w:r>
      <w:r>
        <w:rPr>
          <w:i/>
          <w:iCs/>
        </w:rPr>
        <w:t xml:space="preserve">d</w:t>
      </w:r>
      <w:r>
        <w:t xml:space="preserve">(</w:t>
      </w:r>
      <w:r>
        <w:rPr>
          <w:i/>
          <w:iCs/>
        </w:rPr>
        <w:t xml:space="preserve">t</w:t>
      </w:r>
      <w:r>
        <w:t xml:space="preserve">) = 1{ Δ</w:t>
      </w:r>
      <w:r>
        <w:rPr>
          <w:i/>
          <w:iCs/>
        </w:rPr>
        <w:t xml:space="preserve">j</w:t>
      </w:r>
      <w:r>
        <w:t xml:space="preserve">^</w:t>
      </w:r>
      <w:r>
        <w:rPr>
          <w:i/>
          <w:iCs/>
        </w:rPr>
        <w:t xml:space="preserve">d</w:t>
      </w:r>
      <w:r>
        <w:t xml:space="preserve">(</w:t>
      </w:r>
      <w:r>
        <w:rPr>
          <w:i/>
          <w:iCs/>
        </w:rPr>
        <w:t xml:space="preserve">t</w:t>
      </w:r>
      <w:r>
        <w:t xml:space="preserve">) ≥ θ</w:t>
      </w:r>
      <w:r>
        <w:rPr>
          <w:i/>
          <w:iCs/>
        </w:rPr>
        <w:t xml:space="preserve">d</w:t>
      </w:r>
      <w:r>
        <w:t xml:space="preserve"> }; sustained coherence SC</w:t>
      </w:r>
      <w:r>
        <w:rPr>
          <w:i/>
          <w:iCs/>
        </w:rPr>
        <w:t xml:space="preserve">j</w:t>
      </w:r>
      <w:r>
        <w:t xml:space="preserve"> = 1 iff the full responder vector is attained from some visit onward. Fragmentation FI</w:t>
      </w:r>
      <w:r>
        <w:rPr>
          <w:i/>
          <w:iCs/>
        </w:rPr>
        <w:t xml:space="preserve">j</w:t>
      </w:r>
      <w:r>
        <w:t xml:space="preserve"> is the mean across domains of the visit-to-visit sign-reversal rate.</w:t>
      </w:r>
    </w:p>
    <w:p>
      <w:pPr>
        <w:pStyle w:val="Heading2"/>
        <w:spacing w:after="100" w:before="180"/>
      </w:pPr>
      <w:r>
        <w:rPr>
          <w:b/>
          <w:bCs/>
        </w:rPr>
        <w:t xml:space="preserve">S2.2 Scalar endpoint projection</w:t>
      </w:r>
    </w:p>
    <w:p>
      <w:pPr>
        <w:spacing w:after="160" w:line="276"/>
        <w:jc w:val="both"/>
      </w:pPr>
      <w:r>
        <w:t xml:space="preserve">Let </w:t>
      </w:r>
      <w:r>
        <w:rPr>
          <w:i/>
          <w:iCs/>
        </w:rPr>
        <w:t xml:space="preserve">d</w:t>
      </w:r>
      <w:r>
        <w:t xml:space="preserve">* be a primary domain and Ψ : </w:t>
      </w:r>
      <w:r>
        <w:rPr>
          <w:i/>
          <w:iCs/>
        </w:rPr>
        <w:t xml:space="preserve">O</w:t>
      </w:r>
      <w:r>
        <w:rPr>
          <w:i/>
          <w:iCs/>
        </w:rPr>
        <w:t xml:space="preserve">d</w:t>
      </w:r>
      <w:r>
        <w:t xml:space="preserve">* × </w:t>
      </w:r>
      <w:r>
        <w:rPr>
          <w:i/>
          <w:iCs/>
        </w:rPr>
        <w:t xml:space="preserve">O</w:t>
      </w:r>
      <w:r>
        <w:rPr>
          <w:i/>
          <w:iCs/>
        </w:rPr>
        <w:t xml:space="preserve">d</w:t>
      </w:r>
      <w:r>
        <w:t xml:space="preserve">* → </w:t>
      </w:r>
      <w:r>
        <w:rPr>
          <w:i/>
          <w:iCs/>
        </w:rPr>
        <w:t xml:space="preserve">P</w:t>
      </w:r>
      <w:r>
        <w:t xml:space="preserve"> any mapping into a scalar space. Define Π(Γ</w:t>
      </w:r>
      <w:r>
        <w:rPr>
          <w:i/>
          <w:iCs/>
        </w:rPr>
        <w:t xml:space="preserve">j</w:t>
      </w:r>
      <w:r>
        <w:t xml:space="preserve">) = Ψ(</w:t>
      </w:r>
      <w:r>
        <w:rPr>
          <w:i/>
          <w:iCs/>
        </w:rPr>
        <w:t xml:space="preserve">Y</w:t>
      </w:r>
      <w:r>
        <w:rPr>
          <w:i/>
          <w:iCs/>
        </w:rPr>
        <w:t xml:space="preserve">j</w:t>
      </w:r>
      <w:r>
        <w:t xml:space="preserve">^</w:t>
      </w:r>
      <w:r>
        <w:rPr>
          <w:i/>
          <w:iCs/>
        </w:rPr>
        <w:t xml:space="preserve">d</w:t>
      </w:r>
      <w:r>
        <w:t xml:space="preserve">*(</w:t>
      </w:r>
      <w:r>
        <w:rPr>
          <w:i/>
          <w:iCs/>
        </w:rPr>
        <w:t xml:space="preserve">t</w:t>
      </w:r>
      <w:r>
        <w:t xml:space="preserve">₀), </w:t>
      </w:r>
      <w:r>
        <w:rPr>
          <w:i/>
          <w:iCs/>
        </w:rPr>
        <w:t xml:space="preserve">Y</w:t>
      </w:r>
      <w:r>
        <w:rPr>
          <w:i/>
          <w:iCs/>
        </w:rPr>
        <w:t xml:space="preserve">j</w:t>
      </w:r>
      <w:r>
        <w:t xml:space="preserve">^</w:t>
      </w:r>
      <w:r>
        <w:rPr>
          <w:i/>
          <w:iCs/>
        </w:rPr>
        <w:t xml:space="preserve">d</w:t>
      </w:r>
      <w:r>
        <w:t xml:space="preserve">*(</w:t>
      </w:r>
      <w:r>
        <w:rPr>
          <w:i/>
          <w:iCs/>
        </w:rPr>
        <w:t xml:space="preserve">t</w:t>
      </w:r>
      <w:r>
        <w:rPr>
          <w:i/>
          <w:iCs/>
        </w:rPr>
        <w:t xml:space="preserve">T</w:t>
      </w:r>
      <w:r>
        <w:t xml:space="preserve">)). Then Π depends only on baseline and endpoint values in </w:t>
      </w:r>
      <w:r>
        <w:rPr>
          <w:i/>
          <w:iCs/>
        </w:rPr>
        <w:t xml:space="preserve">d</w:t>
      </w:r>
      <w:r>
        <w:t xml:space="preserve">*, and is invariant to (i) all non-primary domains at every timepoint and (ii) the primary domain at intermediate times when baseline and endpoint are fixed.</w:t>
      </w:r>
    </w:p>
    <w:p>
      <w:pPr>
        <w:pStyle w:val="Heading2"/>
        <w:spacing w:after="100" w:before="180"/>
      </w:pPr>
      <w:r>
        <w:rPr>
          <w:b/>
          <w:bCs/>
        </w:rPr>
        <w:t xml:space="preserve">S2.3 Construction</w:t>
      </w:r>
    </w:p>
    <w:p>
      <w:pPr>
        <w:spacing w:after="160" w:line="276"/>
        <w:jc w:val="both"/>
      </w:pPr>
      <w:r>
        <w:t xml:space="preserve">Fix </w:t>
      </w:r>
      <w:r>
        <w:rPr>
          <w:i/>
          <w:iCs/>
        </w:rPr>
        <w:t xml:space="preserve">a</w:t>
      </w:r>
      <w:r>
        <w:t xml:space="preserve">, </w:t>
      </w:r>
      <w:r>
        <w:rPr>
          <w:i/>
          <w:iCs/>
        </w:rPr>
        <w:t xml:space="preserve">b</w:t>
      </w:r>
      <w:r>
        <w:t xml:space="preserve"> ∈ </w:t>
      </w:r>
      <w:r>
        <w:rPr>
          <w:i/>
          <w:iCs/>
        </w:rPr>
        <w:t xml:space="preserve">O</w:t>
      </w:r>
      <w:r>
        <w:rPr>
          <w:i/>
          <w:iCs/>
        </w:rPr>
        <w:t xml:space="preserve">d</w:t>
      </w:r>
      <w:r>
        <w:t xml:space="preserve">* and consider trajectories with </w:t>
      </w:r>
      <w:r>
        <w:rPr>
          <w:i/>
          <w:iCs/>
        </w:rPr>
        <w:t xml:space="preserve">Y</w:t>
      </w:r>
      <w:r>
        <w:t xml:space="preserve">^</w:t>
      </w:r>
      <w:r>
        <w:rPr>
          <w:i/>
          <w:iCs/>
        </w:rPr>
        <w:t xml:space="preserve">d</w:t>
      </w:r>
      <w:r>
        <w:t xml:space="preserve">*(</w:t>
      </w:r>
      <w:r>
        <w:rPr>
          <w:i/>
          <w:iCs/>
        </w:rPr>
        <w:t xml:space="preserve">t</w:t>
      </w:r>
      <w:r>
        <w:t xml:space="preserve">₀) = </w:t>
      </w:r>
      <w:r>
        <w:rPr>
          <w:i/>
          <w:iCs/>
        </w:rPr>
        <w:t xml:space="preserve">a</w:t>
      </w:r>
      <w:r>
        <w:t xml:space="preserve">, </w:t>
      </w:r>
      <w:r>
        <w:rPr>
          <w:i/>
          <w:iCs/>
        </w:rPr>
        <w:t xml:space="preserve">Y</w:t>
      </w:r>
      <w:r>
        <w:t xml:space="preserve">^</w:t>
      </w:r>
      <w:r>
        <w:rPr>
          <w:i/>
          <w:iCs/>
        </w:rPr>
        <w:t xml:space="preserve">d</w:t>
      </w:r>
      <w:r>
        <w:t xml:space="preserve">*(</w:t>
      </w:r>
      <w:r>
        <w:rPr>
          <w:i/>
          <w:iCs/>
        </w:rPr>
        <w:t xml:space="preserve">t</w:t>
      </w:r>
      <w:r>
        <w:rPr>
          <w:i/>
          <w:iCs/>
        </w:rPr>
        <w:t xml:space="preserve">T</w:t>
      </w:r>
      <w:r>
        <w:t xml:space="preserve">) = </w:t>
      </w:r>
      <w:r>
        <w:rPr>
          <w:i/>
          <w:iCs/>
        </w:rPr>
        <w:t xml:space="preserve">b</w:t>
      </w:r>
      <w:r>
        <w:t xml:space="preserve">, identical at intermediate times. Because </w:t>
      </w:r>
      <w:r>
        <w:rPr>
          <w:i/>
          <w:iCs/>
        </w:rPr>
        <w:t xml:space="preserve">k</w:t>
      </w:r>
      <w:r>
        <w:t xml:space="preserve"> ≥ 2, choose a second domain </w:t>
      </w:r>
      <w:r>
        <w:rPr>
          <w:i/>
          <w:iCs/>
        </w:rPr>
        <w:t xml:space="preserve">d</w:t>
      </w:r>
      <w:r>
        <w:t xml:space="preserve">′ ≠ </w:t>
      </w:r>
      <w:r>
        <w:rPr>
          <w:i/>
          <w:iCs/>
        </w:rPr>
        <w:t xml:space="preserve">d</w:t>
      </w:r>
      <w:r>
        <w:t xml:space="preserve">* and distinct categories </w:t>
      </w:r>
      <w:r>
        <w:rPr>
          <w:i/>
          <w:iCs/>
        </w:rPr>
        <w:t xml:space="preserve">c</w:t>
      </w:r>
      <w:r>
        <w:t xml:space="preserve"> ≠ </w:t>
      </w:r>
      <w:r>
        <w:rPr>
          <w:i/>
          <w:iCs/>
        </w:rPr>
        <w:t xml:space="preserve">c</w:t>
      </w:r>
      <w:r>
        <w:t xml:space="preserve">′ ∈ </w:t>
      </w:r>
      <w:r>
        <w:rPr>
          <w:i/>
          <w:iCs/>
        </w:rPr>
        <w:t xml:space="preserve">O</w:t>
      </w:r>
      <w:r>
        <w:rPr>
          <w:i/>
          <w:iCs/>
        </w:rPr>
        <w:t xml:space="preserve">d</w:t>
      </w:r>
      <w:r>
        <w:t xml:space="preserve">′. Let Γ take </w:t>
      </w:r>
      <w:r>
        <w:rPr>
          <w:i/>
          <w:iCs/>
        </w:rPr>
        <w:t xml:space="preserve">d</w:t>
      </w:r>
      <w:r>
        <w:t xml:space="preserve">′ monotonically </w:t>
      </w:r>
      <w:r>
        <w:rPr>
          <w:i/>
          <w:iCs/>
        </w:rPr>
        <w:t xml:space="preserve">c</w:t>
      </w:r>
      <w:r>
        <w:t xml:space="preserve"> → </w:t>
      </w:r>
      <w:r>
        <w:rPr>
          <w:i/>
          <w:iCs/>
        </w:rPr>
        <w:t xml:space="preserve">c</w:t>
      </w:r>
      <w:r>
        <w:t xml:space="preserve">′ → </w:t>
      </w:r>
      <w:r>
        <w:rPr>
          <w:i/>
          <w:iCs/>
        </w:rPr>
        <w:t xml:space="preserve">c</w:t>
      </w:r>
      <w:r>
        <w:t xml:space="preserve">′ → … → </w:t>
      </w:r>
      <w:r>
        <w:rPr>
          <w:i/>
          <w:iCs/>
        </w:rPr>
        <w:t xml:space="preserve">c</w:t>
      </w:r>
      <w:r>
        <w:t xml:space="preserve">′ (one transition, then stable), and Γ′ take </w:t>
      </w:r>
      <w:r>
        <w:rPr>
          <w:i/>
          <w:iCs/>
        </w:rPr>
        <w:t xml:space="preserve">d</w:t>
      </w:r>
      <w:r>
        <w:t xml:space="preserve">′ as </w:t>
      </w:r>
      <w:r>
        <w:rPr>
          <w:i/>
          <w:iCs/>
        </w:rPr>
        <w:t xml:space="preserve">c</w:t>
      </w:r>
      <w:r>
        <w:t xml:space="preserve"> → </w:t>
      </w:r>
      <w:r>
        <w:rPr>
          <w:i/>
          <w:iCs/>
        </w:rPr>
        <w:t xml:space="preserve">c</w:t>
      </w:r>
      <w:r>
        <w:t xml:space="preserve">′ → </w:t>
      </w:r>
      <w:r>
        <w:rPr>
          <w:i/>
          <w:iCs/>
        </w:rPr>
        <w:t xml:space="preserve">c</w:t>
      </w:r>
      <w:r>
        <w:t xml:space="preserve"> → … → </w:t>
      </w:r>
      <w:r>
        <w:rPr>
          <w:i/>
          <w:iCs/>
        </w:rPr>
        <w:t xml:space="preserve">c</w:t>
      </w:r>
      <w:r>
        <w:t xml:space="preserve">′ (a single reversal at </w:t>
      </w:r>
      <w:r>
        <w:rPr>
          <w:i/>
          <w:iCs/>
        </w:rPr>
        <w:t xml:space="preserve">t</w:t>
      </w:r>
      <w:r>
        <w:t xml:space="preserve">₂). The two trajectories differ at </w:t>
      </w:r>
      <w:r>
        <w:rPr>
          <w:i/>
          <w:iCs/>
        </w:rPr>
        <w:t xml:space="preserve">t</w:t>
      </w:r>
      <w:r>
        <w:t xml:space="preserve">₂ in </w:t>
      </w:r>
      <w:r>
        <w:rPr>
          <w:i/>
          <w:iCs/>
        </w:rPr>
        <w:t xml:space="preserve">d</w:t>
      </w:r>
      <w:r>
        <w:t xml:space="preserve">′, so Γ ≠ Γ′ in </w:t>
      </w:r>
      <w:r>
        <w:rPr>
          <w:i/>
          <w:iCs/>
        </w:rPr>
        <w:t xml:space="preserve">O</w:t>
      </w:r>
      <w:r>
        <w:t xml:space="preserve">^(</w:t>
      </w:r>
      <w:r>
        <w:rPr>
          <w:i/>
          <w:iCs/>
        </w:rPr>
        <w:t xml:space="preserve">T</w:t>
      </w:r>
      <w:r>
        <w:t xml:space="preserve">+1); but baseline and endpoint in </w:t>
      </w:r>
      <w:r>
        <w:rPr>
          <w:i/>
          <w:iCs/>
        </w:rPr>
        <w:t xml:space="preserve">d</w:t>
      </w:r>
      <w:r>
        <w:t xml:space="preserve">* coincide, so Π(Γ) = Π(Γ′). In Γ, </w:t>
      </w:r>
      <w:r>
        <w:rPr>
          <w:i/>
          <w:iCs/>
        </w:rPr>
        <w:t xml:space="preserve">d</w:t>
      </w:r>
      <w:r>
        <w:t xml:space="preserve">′ has no sign reversal, so FI(Γ) = 0; in Γ′ a reversal occurs, so FI(Γ′) &gt; 0. Hence FI(Γ) ≠ FI(Γ′) while Π(Γ) = Π(Γ′). ∎</w:t>
      </w:r>
    </w:p>
    <w:p>
      <w:pPr>
        <w:pStyle w:val="Heading2"/>
        <w:spacing w:after="100" w:before="180"/>
      </w:pPr>
      <w:r>
        <w:rPr>
          <w:b/>
          <w:bCs/>
        </w:rPr>
        <w:t xml:space="preserve">S2.4 Population corollary (Corollary 2)</w:t>
      </w:r>
    </w:p>
    <w:p>
      <w:pPr>
        <w:spacing w:after="160" w:line="276"/>
        <w:jc w:val="both"/>
      </w:pPr>
      <w:r>
        <w:t xml:space="preserve">Let </w:t>
      </w:r>
      <w:r>
        <w:rPr>
          <w:i/>
          <w:iCs/>
        </w:rPr>
        <w:t xml:space="preserve">D</w:t>
      </w:r>
      <w:r>
        <w:rPr>
          <w:i/>
          <w:iCs/>
        </w:rPr>
        <w:t xml:space="preserve">g</w:t>
      </w:r>
      <w:r>
        <w:t xml:space="preserve"> be the arm-specific trajectory distribution. Because Π is many-to-one, distinct trajectory distributions may induce identical marginal scalar endpoint distributions while differing in the distributions of SC, FI, or the endpoint responder vector. Hence the trajectory contrasts Δ</w:t>
      </w:r>
      <w:r>
        <w:rPr>
          <w:i/>
          <w:iCs/>
        </w:rPr>
        <w:t xml:space="preserve">C</w:t>
      </w:r>
      <w:r>
        <w:t xml:space="preserve"> (coherent response), Δ</w:t>
      </w:r>
      <w:r>
        <w:rPr>
          <w:i/>
          <w:iCs/>
        </w:rPr>
        <w:t xml:space="preserve">SC</w:t>
      </w:r>
      <w:r>
        <w:t xml:space="preserve"> (sustained coherence), and Δ</w:t>
      </w:r>
      <w:r>
        <w:rPr>
          <w:i/>
          <w:iCs/>
        </w:rPr>
        <w:t xml:space="preserve">FI</w:t>
      </w:r>
      <w:r>
        <w:t xml:space="preserve"> (fragmentation) are not, in general, identified by scalar endpoint summaries. ∎</w:t>
      </w:r>
    </w:p>
    <w:p>
      <w:pPr>
        <w:pStyle w:val="Heading2"/>
        <w:spacing w:after="100" w:before="180"/>
      </w:pPr>
      <w:r>
        <w:rPr>
          <w:b/>
          <w:bCs/>
        </w:rPr>
        <w:t xml:space="preserve">S2.5 Consequence (Corollary 1)</w:t>
      </w:r>
    </w:p>
    <w:p>
      <w:pPr>
        <w:spacing w:after="160" w:line="276"/>
        <w:jc w:val="both"/>
      </w:pPr>
      <w:r>
        <w:t xml:space="preserve">Because Π is many-to-one when </w:t>
      </w:r>
      <w:r>
        <w:rPr>
          <w:i/>
          <w:iCs/>
        </w:rPr>
        <w:t xml:space="preserve">k</w:t>
      </w:r>
      <w:r>
        <w:t xml:space="preserve"> ≥ 2 and </w:t>
      </w:r>
      <w:r>
        <w:rPr>
          <w:i/>
          <w:iCs/>
        </w:rPr>
        <w:t xml:space="preserve">T</w:t>
      </w:r>
      <w:r>
        <w:t xml:space="preserve"> ≥ 2, any functional non-constant on the projection fibre is non-identified from Π alone. Sustained coherence and fragmentation are two clinically interpretable instances; the conclusion holds for the entire class, which is why the result cannot be evaded by choosing a different organizational index.</w:t>
      </w:r>
    </w:p>
    <w:p>
      <w:pPr>
        <w:pStyle w:val="Heading1"/>
        <w:spacing w:after="120" w:before="240"/>
      </w:pPr>
      <w:r>
        <w:rPr>
          <w:b/>
          <w:bCs/>
        </w:rPr>
        <w:t xml:space="preserve">S3. Numerical projection geometry and rank conditions</w:t>
      </w:r>
    </w:p>
    <w:p>
      <w:pPr>
        <w:pStyle w:val="Heading2"/>
        <w:spacing w:after="100" w:before="180"/>
      </w:pPr>
      <w:r>
        <w:rPr>
          <w:b/>
          <w:bCs/>
        </w:rPr>
        <w:t xml:space="preserve">S3.1 Numerical non-injectivity</w:t>
      </w:r>
    </w:p>
    <w:p>
      <w:pPr>
        <w:spacing w:after="160" w:line="276"/>
        <w:jc w:val="both"/>
      </w:pPr>
      <w:r>
        <w:t xml:space="preserve">Represent outcomes as </w:t>
      </w:r>
      <w:r>
        <w:rPr>
          <w:i/>
          <w:iCs/>
        </w:rPr>
        <w:t xml:space="preserve">X</w:t>
      </w:r>
      <w:r>
        <w:rPr>
          <w:i/>
          <w:iCs/>
        </w:rPr>
        <w:t xml:space="preserve">j</w:t>
      </w:r>
      <w:r>
        <w:t xml:space="preserve">(</w:t>
      </w:r>
      <w:r>
        <w:rPr>
          <w:i/>
          <w:iCs/>
        </w:rPr>
        <w:t xml:space="preserve">t</w:t>
      </w:r>
      <w:r>
        <w:t xml:space="preserve">) ∈ ℝ^</w:t>
      </w:r>
      <w:r>
        <w:rPr>
          <w:i/>
          <w:iCs/>
        </w:rPr>
        <w:t xml:space="preserve">k</w:t>
      </w:r>
      <w:r>
        <w:t xml:space="preserve"> and let Δ</w:t>
      </w:r>
      <w:r>
        <w:rPr>
          <w:i/>
          <w:iCs/>
        </w:rPr>
        <w:t xml:space="preserve">X</w:t>
      </w:r>
      <w:r>
        <w:rPr>
          <w:i/>
          <w:iCs/>
        </w:rPr>
        <w:t xml:space="preserve">j</w:t>
      </w:r>
      <w:r>
        <w:t xml:space="preserve"> = </w:t>
      </w:r>
      <w:r>
        <w:rPr>
          <w:i/>
          <w:iCs/>
        </w:rPr>
        <w:t xml:space="preserve">X</w:t>
      </w:r>
      <w:r>
        <w:rPr>
          <w:i/>
          <w:iCs/>
        </w:rPr>
        <w:t xml:space="preserve">j</w:t>
      </w:r>
      <w:r>
        <w:t xml:space="preserve">(</w:t>
      </w:r>
      <w:r>
        <w:rPr>
          <w:i/>
          <w:iCs/>
        </w:rPr>
        <w:t xml:space="preserve">t</w:t>
      </w:r>
      <w:r>
        <w:rPr>
          <w:i/>
          <w:iCs/>
        </w:rPr>
        <w:t xml:space="preserve">T</w:t>
      </w:r>
      <w:r>
        <w:t xml:space="preserve">) − </w:t>
      </w:r>
      <w:r>
        <w:rPr>
          <w:i/>
          <w:iCs/>
        </w:rPr>
        <w:t xml:space="preserve">X</w:t>
      </w:r>
      <w:r>
        <w:rPr>
          <w:i/>
          <w:iCs/>
        </w:rPr>
        <w:t xml:space="preserve">j</w:t>
      </w:r>
      <w:r>
        <w:t xml:space="preserve">(</w:t>
      </w:r>
      <w:r>
        <w:rPr>
          <w:i/>
          <w:iCs/>
        </w:rPr>
        <w:t xml:space="preserve">t</w:t>
      </w:r>
      <w:r>
        <w:t xml:space="preserve">₀). The scalar projection π(Δ</w:t>
      </w:r>
      <w:r>
        <w:rPr>
          <w:i/>
          <w:iCs/>
        </w:rPr>
        <w:t xml:space="preserve">X</w:t>
      </w:r>
      <w:r>
        <w:t xml:space="preserve">) = </w:t>
      </w:r>
      <w:r>
        <w:rPr>
          <w:i/>
          <w:iCs/>
        </w:rPr>
        <w:t xml:space="preserve">e</w:t>
      </w:r>
      <w:r>
        <w:rPr>
          <w:i/>
          <w:iCs/>
        </w:rPr>
        <w:t xml:space="preserve">d</w:t>
      </w:r>
      <w:r>
        <w:t xml:space="preserve">*ᵀ Δ</w:t>
      </w:r>
      <w:r>
        <w:rPr>
          <w:i/>
          <w:iCs/>
        </w:rPr>
        <w:t xml:space="preserve">X</w:t>
      </w:r>
      <w:r>
        <w:t xml:space="preserve"> has kernel { </w:t>
      </w:r>
      <w:r>
        <w:rPr>
          <w:i/>
          <w:iCs/>
        </w:rPr>
        <w:t xml:space="preserve">v</w:t>
      </w:r>
      <w:r>
        <w:t xml:space="preserve"> : </w:t>
      </w:r>
      <w:r>
        <w:rPr>
          <w:i/>
          <w:iCs/>
        </w:rPr>
        <w:t xml:space="preserve">e</w:t>
      </w:r>
      <w:r>
        <w:rPr>
          <w:i/>
          <w:iCs/>
        </w:rPr>
        <w:t xml:space="preserve">d</w:t>
      </w:r>
      <w:r>
        <w:t xml:space="preserve">*ᵀ </w:t>
      </w:r>
      <w:r>
        <w:rPr>
          <w:i/>
          <w:iCs/>
        </w:rPr>
        <w:t xml:space="preserve">v</w:t>
      </w:r>
      <w:r>
        <w:t xml:space="preserve"> = 0 } of dimension </w:t>
      </w:r>
      <w:r>
        <w:rPr>
          <w:i/>
          <w:iCs/>
        </w:rPr>
        <w:t xml:space="preserve">k</w:t>
      </w:r>
      <w:r>
        <w:t xml:space="preserve">−1; each fibre π⁻¹(</w:t>
      </w:r>
      <w:r>
        <w:rPr>
          <w:i/>
          <w:iCs/>
        </w:rPr>
        <w:t xml:space="preserve">c</w:t>
      </w:r>
      <w:r>
        <w:t xml:space="preserve">) is an affine hyperplane of dimension </w:t>
      </w:r>
      <w:r>
        <w:rPr>
          <w:i/>
          <w:iCs/>
        </w:rPr>
        <w:t xml:space="preserve">k</w:t>
      </w:r>
      <w:r>
        <w:t xml:space="preserve">−1. Hence infinitely many change-vectors map to one endpoint value and π is not injective for </w:t>
      </w:r>
      <w:r>
        <w:rPr>
          <w:i/>
          <w:iCs/>
        </w:rPr>
        <w:t xml:space="preserve">k</w:t>
      </w:r>
      <w:r>
        <w:t xml:space="preserve"> ≥ 2.</w:t>
      </w:r>
    </w:p>
    <w:p>
      <w:pPr>
        <w:pStyle w:val="Heading2"/>
        <w:spacing w:after="100" w:before="180"/>
      </w:pPr>
      <w:r>
        <w:rPr>
          <w:b/>
          <w:bCs/>
        </w:rPr>
        <w:t xml:space="preserve">S3.2 Multiple endpoints: the rank condition</w:t>
      </w:r>
    </w:p>
    <w:p>
      <w:pPr>
        <w:spacing w:after="160" w:line="276"/>
        <w:jc w:val="both"/>
      </w:pPr>
      <w:r>
        <w:t xml:space="preserve">A natural objection is that trials often report several endpoints, which might restore identifiability. For </w:t>
      </w:r>
      <w:r>
        <w:rPr>
          <w:i/>
          <w:iCs/>
        </w:rPr>
        <w:t xml:space="preserve">m</w:t>
      </w:r>
      <w:r>
        <w:t xml:space="preserve"> reported linear endpoints </w:t>
      </w:r>
      <w:r>
        <w:rPr>
          <w:i/>
          <w:iCs/>
        </w:rPr>
        <w:t xml:space="preserve">S</w:t>
      </w:r>
      <w:r>
        <w:t xml:space="preserve">(Δ</w:t>
      </w:r>
      <w:r>
        <w:rPr>
          <w:i/>
          <w:iCs/>
        </w:rPr>
        <w:t xml:space="preserve">X</w:t>
      </w:r>
      <w:r>
        <w:t xml:space="preserve">) = </w:t>
      </w:r>
      <w:r>
        <w:rPr>
          <w:i/>
          <w:iCs/>
        </w:rPr>
        <w:t xml:space="preserve">A</w:t>
      </w:r>
      <w:r>
        <w:t xml:space="preserve">Δ</w:t>
      </w:r>
      <w:r>
        <w:rPr>
          <w:i/>
          <w:iCs/>
        </w:rPr>
        <w:t xml:space="preserve">X</w:t>
      </w:r>
      <w:r>
        <w:t xml:space="preserve"> with </w:t>
      </w:r>
      <w:r>
        <w:rPr>
          <w:i/>
          <w:iCs/>
        </w:rPr>
        <w:t xml:space="preserve">A</w:t>
      </w:r>
      <w:r>
        <w:t xml:space="preserve"> ∈ ℝ^(</w:t>
      </w:r>
      <w:r>
        <w:rPr>
          <w:i/>
          <w:iCs/>
        </w:rPr>
        <w:t xml:space="preserve">m</w:t>
      </w:r>
      <w:r>
        <w:t xml:space="preserve">×</w:t>
      </w:r>
      <w:r>
        <w:rPr>
          <w:i/>
          <w:iCs/>
        </w:rPr>
        <w:t xml:space="preserve">k</w:t>
      </w:r>
      <w:r>
        <w:t xml:space="preserve">), the rank–nullity theorem gives dim(ker </w:t>
      </w:r>
      <w:r>
        <w:rPr>
          <w:i/>
          <w:iCs/>
        </w:rPr>
        <w:t xml:space="preserve">A</w:t>
      </w:r>
      <w:r>
        <w:t xml:space="preserve">) = </w:t>
      </w:r>
      <w:r>
        <w:rPr>
          <w:i/>
          <w:iCs/>
        </w:rPr>
        <w:t xml:space="preserve">k</w:t>
      </w:r>
      <w:r>
        <w:t xml:space="preserve"> − rank(</w:t>
      </w:r>
      <w:r>
        <w:rPr>
          <w:i/>
          <w:iCs/>
        </w:rPr>
        <w:t xml:space="preserve">A</w:t>
      </w:r>
      <w:r>
        <w:t xml:space="preserve">); </w:t>
      </w:r>
      <w:r>
        <w:rPr>
          <w:i/>
          <w:iCs/>
        </w:rPr>
        <w:t xml:space="preserve">S</w:t>
      </w:r>
      <w:r>
        <w:t xml:space="preserve"> is injective iff rank(</w:t>
      </w:r>
      <w:r>
        <w:rPr>
          <w:i/>
          <w:iCs/>
        </w:rPr>
        <w:t xml:space="preserve">A</w:t>
      </w:r>
      <w:r>
        <w:t xml:space="preserve">) = </w:t>
      </w:r>
      <w:r>
        <w:rPr>
          <w:i/>
          <w:iCs/>
        </w:rPr>
        <w:t xml:space="preserve">k</w:t>
      </w:r>
      <w:r>
        <w:t xml:space="preserve">.</w:t>
      </w:r>
    </w:p>
    <w:p>
      <w:pPr>
        <w:spacing w:after="160" w:line="276"/>
        <w:jc w:val="both"/>
      </w:pPr>
      <w:r>
        <w:rPr>
          <w:b/>
          <w:bCs/>
        </w:rPr>
        <w:t xml:space="preserve">Corollary (few endpoints cannot suffice). </w:t>
      </w:r>
      <w:r>
        <w:t xml:space="preserve">If </w:t>
      </w:r>
      <w:r>
        <w:rPr>
          <w:i/>
          <w:iCs/>
        </w:rPr>
        <w:t xml:space="preserve">m</w:t>
      </w:r>
      <w:r>
        <w:t xml:space="preserve"> &lt; </w:t>
      </w:r>
      <w:r>
        <w:rPr>
          <w:i/>
          <w:iCs/>
        </w:rPr>
        <w:t xml:space="preserve">k</w:t>
      </w:r>
      <w:r>
        <w:t xml:space="preserve"> then rank(</w:t>
      </w:r>
      <w:r>
        <w:rPr>
          <w:i/>
          <w:iCs/>
        </w:rPr>
        <w:t xml:space="preserve">A</w:t>
      </w:r>
      <w:r>
        <w:t xml:space="preserve">) ≤ </w:t>
      </w:r>
      <w:r>
        <w:rPr>
          <w:i/>
          <w:iCs/>
        </w:rPr>
        <w:t xml:space="preserve">m</w:t>
      </w:r>
      <w:r>
        <w:t xml:space="preserve"> &lt; </w:t>
      </w:r>
      <w:r>
        <w:rPr>
          <w:i/>
          <w:iCs/>
        </w:rPr>
        <w:t xml:space="preserve">k</w:t>
      </w:r>
      <w:r>
        <w:t xml:space="preserve">, so ker(</w:t>
      </w:r>
      <w:r>
        <w:rPr>
          <w:i/>
          <w:iCs/>
        </w:rPr>
        <w:t xml:space="preserve">A</w:t>
      </w:r>
      <w:r>
        <w:t xml:space="preserve">) ≠ {0} and non-identification is forced: reporting fewer scalar endpoints than clinically relevant domains cannot, in general, identify multidomain change. The same conclusion holds for any smooth (continuously differentiable) endpoint construction, since a map into a space of dimension </w:t>
      </w:r>
      <w:r>
        <w:rPr>
          <w:i/>
          <w:iCs/>
        </w:rPr>
        <w:t xml:space="preserve">m</w:t>
      </w:r>
      <w:r>
        <w:t xml:space="preserve"> &lt; </w:t>
      </w:r>
      <w:r>
        <w:rPr>
          <w:i/>
          <w:iCs/>
        </w:rPr>
        <w:t xml:space="preserve">k</w:t>
      </w:r>
      <w:r>
        <w:t xml:space="preserve"> cannot be locally injective; additional nonlinear summaries therefore do not guarantee identifiability unless injectivity is explicitly established. This answers the objection that one might simply report more scalar endpoints.</w:t>
      </w:r>
    </w:p>
    <w:p>
      <w:pPr>
        <w:pStyle w:val="Heading2"/>
        <w:spacing w:after="100" w:before="180"/>
      </w:pPr>
      <w:r>
        <w:rPr>
          <w:b/>
          <w:bCs/>
        </w:rPr>
        <w:t xml:space="preserve">S3.3 Temporal non-identification survives full rank</w:t>
      </w:r>
    </w:p>
    <w:p>
      <w:pPr>
        <w:spacing w:after="160" w:line="276"/>
        <w:jc w:val="both"/>
      </w:pPr>
      <w:r>
        <w:t xml:space="preserve">Even when the endpoint mapping is full-rank and recovers Δ</w:t>
      </w:r>
      <w:r>
        <w:rPr>
          <w:i/>
          <w:iCs/>
        </w:rPr>
        <w:t xml:space="preserve">X</w:t>
      </w:r>
      <w:r>
        <w:t xml:space="preserve"> exactly, fixing baseline and endpoint leaves infinitely many intermediate sequences { </w:t>
      </w:r>
      <w:r>
        <w:rPr>
          <w:i/>
          <w:iCs/>
        </w:rPr>
        <w:t xml:space="preserve">X</w:t>
      </w:r>
      <w:r>
        <w:t xml:space="preserve">(</w:t>
      </w:r>
      <w:r>
        <w:rPr>
          <w:i/>
          <w:iCs/>
        </w:rPr>
        <w:t xml:space="preserve">t</w:t>
      </w:r>
      <w:r>
        <w:t xml:space="preserve">₁), …, </w:t>
      </w:r>
      <w:r>
        <w:rPr>
          <w:i/>
          <w:iCs/>
        </w:rPr>
        <w:t xml:space="preserve">X</w:t>
      </w:r>
      <w:r>
        <w:t xml:space="preserve">(</w:t>
      </w:r>
      <w:r>
        <w:rPr>
          <w:i/>
          <w:iCs/>
        </w:rPr>
        <w:t xml:space="preserve">t</w:t>
      </w:r>
      <w:r>
        <w:t xml:space="preserve">ₜ₋₁) } connecting them. Any functional depending on intermediate structure — oscillation count, total variation, instability metrics — therefore remains non-identified from endpoint-only summaries. Endpoint injectivity at the baseline–endpoint level does not imply identifiability of temporal organization. In the ordinal setting the analogue holds: multiple ordinal endpoints evaluated only at two timepoints cannot identify trajectory-based estimands when </w:t>
      </w:r>
      <w:r>
        <w:rPr>
          <w:i/>
          <w:iCs/>
        </w:rPr>
        <w:t xml:space="preserve">T</w:t>
      </w:r>
      <w:r>
        <w:t xml:space="preserve"> ≥ 2.</w:t>
      </w:r>
    </w:p>
    <w:p>
      <w:pPr>
        <w:pStyle w:val="Heading2"/>
        <w:spacing w:after="100" w:before="180"/>
      </w:pPr>
      <w:r>
        <w:rPr>
          <w:b/>
          <w:bCs/>
        </w:rPr>
        <w:t xml:space="preserve">S3.4 Identifiability requirements</w:t>
      </w:r>
    </w:p>
    <w:p>
      <w:pPr>
        <w:spacing w:after="160" w:line="276"/>
        <w:jc w:val="both"/>
      </w:pPr>
      <w:r>
        <w:t xml:space="preserve">Trajectory-based estimands that depend on multidomain temporal organization require, at minimum: (i) multidomain observation, </w:t>
      </w:r>
      <w:r>
        <w:rPr>
          <w:i/>
          <w:iCs/>
        </w:rPr>
        <w:t xml:space="preserve">k</w:t>
      </w:r>
      <w:r>
        <w:t xml:space="preserve"> ≥ 2 domains measured; (ii) temporal resolution, </w:t>
      </w:r>
      <w:r>
        <w:rPr>
          <w:i/>
          <w:iCs/>
        </w:rPr>
        <w:t xml:space="preserve">T</w:t>
      </w:r>
      <w:r>
        <w:t xml:space="preserve"> ≥ 2 follow-up times (at least three occasions); and (iii) estimand alignment, the measured variables corresponding to the domains in the trajectory functional. Absent these, scalar endpoint summaries — single or multiple — are generally non-identifying for trajectory organization.</w:t>
      </w:r>
    </w:p>
    <w:p>
      <w:r>
        <w:br w:type="page"/>
      </w:r>
    </w:p>
    <w:p>
      <w:pPr>
        <w:pStyle w:val="Heading1"/>
        <w:spacing w:after="120" w:before="240"/>
      </w:pPr>
      <w:r>
        <w:rPr>
          <w:b/>
          <w:bCs/>
        </w:rPr>
        <w:t xml:space="preserve">S4. Monte Carlo specification and sensitivity analyses</w:t>
      </w:r>
    </w:p>
    <w:p>
      <w:pPr>
        <w:spacing w:after="160" w:line="276"/>
        <w:jc w:val="both"/>
      </w:pPr>
      <w:r>
        <w:t xml:space="preserve">This section documents the simulation underlying Figure 4 and Results §4.4–§4.5. The simulation is seeded and fully reproducible; code and outputs are provided in the accompanying reproducibility archive.</w:t>
      </w:r>
    </w:p>
    <w:p>
      <w:pPr>
        <w:pStyle w:val="Heading2"/>
        <w:spacing w:after="100" w:before="180"/>
      </w:pPr>
      <w:r>
        <w:rPr>
          <w:b/>
          <w:bCs/>
        </w:rPr>
        <w:t xml:space="preserve">S4.1 Generative model</w:t>
      </w:r>
    </w:p>
    <w:p>
      <w:pPr>
        <w:spacing w:after="160" w:line="276"/>
        <w:jc w:val="both"/>
      </w:pPr>
      <w:r>
        <w:t xml:space="preserve">For each participant in arm </w:t>
      </w:r>
      <w:r>
        <w:rPr>
          <w:i/>
          <w:iCs/>
        </w:rPr>
        <w:t xml:space="preserve">g</w:t>
      </w:r>
      <w:r>
        <w:t xml:space="preserve">, a latent </w:t>
      </w:r>
      <w:r>
        <w:rPr>
          <w:i/>
          <w:iCs/>
        </w:rPr>
        <w:t xml:space="preserve">k</w:t>
      </w:r>
      <w:r>
        <w:t xml:space="preserve">-dimensional trajectory follows first-order autoregressive dynamics </w:t>
      </w:r>
      <w:r>
        <w:rPr>
          <w:i/>
          <w:iCs/>
        </w:rPr>
        <w:t xml:space="preserve">Z</w:t>
      </w:r>
      <w:r>
        <w:t xml:space="preserve">(</w:t>
      </w:r>
      <w:r>
        <w:rPr>
          <w:i/>
          <w:iCs/>
        </w:rPr>
        <w:t xml:space="preserve">t</w:t>
      </w:r>
      <w:r>
        <w:rPr>
          <w:i/>
          <w:iCs/>
        </w:rPr>
        <w:t xml:space="preserve">m</w:t>
      </w:r>
      <w:r>
        <w:t xml:space="preserve">) = μ</w:t>
      </w:r>
      <w:r>
        <w:rPr>
          <w:i/>
          <w:iCs/>
        </w:rPr>
        <w:t xml:space="preserve">g</w:t>
      </w:r>
      <w:r>
        <w:t xml:space="preserve">(</w:t>
      </w:r>
      <w:r>
        <w:rPr>
          <w:i/>
          <w:iCs/>
        </w:rPr>
        <w:t xml:space="preserve">t</w:t>
      </w:r>
      <w:r>
        <w:rPr>
          <w:i/>
          <w:iCs/>
        </w:rPr>
        <w:t xml:space="preserve">m</w:t>
      </w:r>
      <w:r>
        <w:t xml:space="preserve">) + α [ </w:t>
      </w:r>
      <w:r>
        <w:rPr>
          <w:i/>
          <w:iCs/>
        </w:rPr>
        <w:t xml:space="preserve">Z</w:t>
      </w:r>
      <w:r>
        <w:t xml:space="preserve">(</w:t>
      </w:r>
      <w:r>
        <w:rPr>
          <w:i/>
          <w:iCs/>
        </w:rPr>
        <w:t xml:space="preserve">t</w:t>
      </w:r>
      <w:r>
        <w:t xml:space="preserve">ₘ₋₁) − μ</w:t>
      </w:r>
      <w:r>
        <w:rPr>
          <w:i/>
          <w:iCs/>
        </w:rPr>
        <w:t xml:space="preserve">g</w:t>
      </w:r>
      <w:r>
        <w:t xml:space="preserve">(</w:t>
      </w:r>
      <w:r>
        <w:rPr>
          <w:i/>
          <w:iCs/>
        </w:rPr>
        <w:t xml:space="preserve">t</w:t>
      </w:r>
      <w:r>
        <w:t xml:space="preserve">ₘ₋₁) ] + ε, with ε ~ </w:t>
      </w:r>
      <w:r>
        <w:rPr>
          <w:i/>
          <w:iCs/>
        </w:rPr>
        <w:t xml:space="preserve">N</w:t>
      </w:r>
      <w:r>
        <w:t xml:space="preserve">(0, Σ), Σ having unit variances and equicorrelation ρ across domains, and baseline </w:t>
      </w:r>
      <w:r>
        <w:rPr>
          <w:i/>
          <w:iCs/>
        </w:rPr>
        <w:t xml:space="preserve">Z</w:t>
      </w:r>
      <w:r>
        <w:t xml:space="preserve">(</w:t>
      </w:r>
      <w:r>
        <w:rPr>
          <w:i/>
          <w:iCs/>
        </w:rPr>
        <w:t xml:space="preserve">t</w:t>
      </w:r>
      <w:r>
        <w:t xml:space="preserve">₀) ~ </w:t>
      </w:r>
      <w:r>
        <w:rPr>
          <w:i/>
          <w:iCs/>
        </w:rPr>
        <w:t xml:space="preserve">N</w:t>
      </w:r>
      <w:r>
        <w:t xml:space="preserve">(μ</w:t>
      </w:r>
      <w:r>
        <w:rPr>
          <w:i/>
          <w:iCs/>
        </w:rPr>
        <w:t xml:space="preserve">g</w:t>
      </w:r>
      <w:r>
        <w:t xml:space="preserve">(</w:t>
      </w:r>
      <w:r>
        <w:rPr>
          <w:i/>
          <w:iCs/>
        </w:rPr>
        <w:t xml:space="preserve">t</w:t>
      </w:r>
      <w:r>
        <w:t xml:space="preserve">₀), Σ). The two arms share an identical primary-domain mean trajectory (so the primary endpoint contrast is null up to sampling noise); the arms differ only in the temporal stability of the non-primary responder state, one arm maintaining improvement and the other exhibiting a transient departure at a fixed fraction (~40%) of the trajectory. Aligned change, ordinal responder indicators, sustained coherence (SC), and the fragmentation index (FI) are computed exactly as defined in the main text.</w:t>
      </w:r>
    </w:p>
    <w:p>
      <w:pPr>
        <w:pStyle w:val="Heading2"/>
        <w:spacing w:after="100" w:before="180"/>
      </w:pPr>
      <w:r>
        <w:rPr>
          <w:b/>
          <w:bCs/>
        </w:rPr>
        <w:t xml:space="preserve">S4.2 Divergence criterion and grid</w:t>
      </w:r>
    </w:p>
    <w:p>
      <w:pPr>
        <w:spacing w:after="160" w:line="276"/>
        <w:jc w:val="both"/>
      </w:pPr>
      <w:r>
        <w:t xml:space="preserve">A cell is counted as divergent when the arms are endpoint-equivalent and differ on at least one trajectory estimand: |Δ_EP| ≤ δ and (|Δ_SC| ≥ τ_SC or |Δ_FI| ≥ τ_FI). The reported quantity p_D is the proportion of replicates meeting this criterion. The grid spans domains </w:t>
      </w:r>
      <w:r>
        <w:rPr>
          <w:i/>
          <w:iCs/>
        </w:rPr>
        <w:t xml:space="preserve">k</w:t>
      </w:r>
      <w:r>
        <w:t xml:space="preserve"> ∈ {2, 3, 4} and visits </w:t>
      </w:r>
      <w:r>
        <w:rPr>
          <w:i/>
          <w:iCs/>
        </w:rPr>
        <w:t xml:space="preserve">T</w:t>
      </w:r>
      <w:r>
        <w:t xml:space="preserve">+1 ∈ {3, 4, 6}. Primary specification: δ = 0.10, τ_SC = 0.08, τ_FI = 0.05, ρ = 0.6, α = 0.5; </w:t>
      </w:r>
      <w:r>
        <w:rPr>
          <w:i/>
          <w:iCs/>
        </w:rPr>
        <w:t xml:space="preserve">n</w:t>
      </w:r>
      <w:r>
        <w:t xml:space="preserve"> = 200 per arm; 800 replicates per cell; NumPy SeedSequence master seed 20240704.</w:t>
      </w:r>
    </w:p>
    <w:p>
      <w:pPr>
        <w:pStyle w:val="Heading2"/>
        <w:spacing w:after="100" w:before="180"/>
      </w:pPr>
      <w:r>
        <w:rPr>
          <w:b/>
          <w:bCs/>
        </w:rPr>
        <w:t xml:space="preserve">S4.3 Primary surface</w:t>
      </w:r>
    </w:p>
    <w:p>
      <w:pPr>
        <w:spacing w:after="160" w:line="276"/>
        <w:jc w:val="both"/>
      </w:pPr>
      <w:r>
        <w:rPr>
          <w:b/>
          <w:bCs/>
        </w:rPr>
        <w:t xml:space="preserve">p_D by visits (rows) and domains (columns):</w:t>
      </w:r>
      <w:r>
        <w:t xml:space="preserve"> three visits — </w:t>
      </w:r>
      <w:r>
        <w:t xml:space="preserve">0.53 (</w:t>
      </w:r>
      <w:r>
        <w:rPr>
          <w:i/>
          <w:iCs/>
        </w:rPr>
        <w:t xml:space="preserve">k</w:t>
      </w:r>
      <w:r>
        <w:t xml:space="preserve">=2), 0.52 (</w:t>
      </w:r>
      <w:r>
        <w:rPr>
          <w:i/>
          <w:iCs/>
        </w:rPr>
        <w:t xml:space="preserve">k</w:t>
      </w:r>
      <w:r>
        <w:t xml:space="preserve">=3), 0.57 (</w:t>
      </w:r>
      <w:r>
        <w:rPr>
          <w:i/>
          <w:iCs/>
        </w:rPr>
        <w:t xml:space="preserve">k</w:t>
      </w:r>
      <w:r>
        <w:t xml:space="preserve">=4); four visits — 0.08, 0.11, 0.10; six visits — 0.03, 0.05, 0.05. Divergence is highest with few visits and declines sharply as visits increase, consistent with sustained coherence becoming a stricter condition when maintenance is required across more consecutive occasions. Domain count has little systematic effect.</w:t>
      </w:r>
    </w:p>
    <w:p>
      <w:pPr>
        <w:pStyle w:val="Heading2"/>
        <w:spacing w:after="100" w:before="180"/>
      </w:pPr>
      <w:r>
        <w:rPr>
          <w:b/>
          <w:bCs/>
        </w:rPr>
        <w:t xml:space="preserve">S4.4 Sensitivity analyses</w:t>
      </w:r>
    </w:p>
    <w:p>
      <w:pPr>
        <w:spacing w:after="160" w:line="276"/>
        <w:jc w:val="both"/>
      </w:pPr>
      <w:r>
        <w:t xml:space="preserve">The divergence-threshold and dependence parameters were varied one at a time about the primary specification (p_D reported at </w:t>
      </w:r>
      <w:r>
        <w:rPr>
          <w:i/>
          <w:iCs/>
        </w:rPr>
        <w:t xml:space="preserve">k</w:t>
      </w:r>
      <w:r>
        <w:t xml:space="preserve">=3 for visits = 3 / 4 / 6):</w:t>
      </w:r>
    </w:p>
    <w:p>
      <w:pPr>
        <w:spacing w:after="160" w:line="276"/>
        <w:jc w:val="both"/>
      </w:pPr>
      <w:r>
        <w:t xml:space="preserve">• τ_SC = 0.05: 0.51 / 0.16 / 0.14;  τ_SC = 0.12: 0.51 / 0.09 / 0.04.</w:t>
      </w:r>
    </w:p>
    <w:p>
      <w:pPr>
        <w:spacing w:after="160" w:line="276"/>
        <w:jc w:val="both"/>
      </w:pPr>
      <w:r>
        <w:t xml:space="preserve">• τ_FI = 0.03: 0.51 / 0.26 / 0.23;  τ_FI = 0.08: 0.51 / 0.03 / 0.03.</w:t>
      </w:r>
    </w:p>
    <w:p>
      <w:pPr>
        <w:spacing w:after="160" w:line="276"/>
        <w:jc w:val="both"/>
      </w:pPr>
      <w:r>
        <w:t xml:space="preserve">• ρ = 0.3: 0.51 / 0.11 / 0.06;  ρ = 0.8: 0.51 / 0.10 / 0.07.</w:t>
      </w:r>
    </w:p>
    <w:p>
      <w:pPr>
        <w:spacing w:after="160" w:line="276"/>
        <w:jc w:val="both"/>
      </w:pPr>
      <w:r>
        <w:t xml:space="preserve">• α = 0.3: 0.50 / 0.06 / 0.04;  α = 0.8: 0.54 / 0.24 / 0.15.</w:t>
      </w:r>
    </w:p>
    <w:p>
      <w:pPr>
        <w:spacing w:after="160" w:line="276"/>
        <w:jc w:val="both"/>
      </w:pPr>
      <w:r>
        <w:t xml:space="preserve">• δ = 0.05 (tighter equivalence): 0.26 / 0.06 / 0.03;  δ = 0.20 (looser): 0.89 / 0.17 / 0.11.</w:t>
      </w:r>
    </w:p>
    <w:p>
      <w:pPr>
        <w:pStyle w:val="Heading2"/>
        <w:spacing w:after="100" w:before="180"/>
      </w:pPr>
      <w:r>
        <w:rPr>
          <w:b/>
          <w:bCs/>
        </w:rPr>
        <w:t xml:space="preserve">S4.5 Interpretation</w:t>
      </w:r>
    </w:p>
    <w:p>
      <w:pPr>
        <w:spacing w:after="160" w:line="276"/>
        <w:jc w:val="both"/>
      </w:pPr>
      <w:r>
        <w:t xml:space="preserve">The qualitative pattern — divergence highest with few visits and declining as visits increase — was invariant across every threshold and dependence setting examined. The magnitude of p_D scaled primarily with the equivalence margin δ and, secondarily, with τ_FI, as expected: a looser equivalence band admits more cells as endpoint-equivalent and so raises the co-occurrence probability. These analyses quantify the prevalence of trajectory non-identifiability within the stated model; they demonstrate that it arises across a broad range of plausible parameter settings rather than establishing an empirical population rate.</w:t>
      </w:r>
    </w:p>
    <w:p>
      <w:r>
        <w:br w:type="page"/>
      </w:r>
    </w:p>
    <w:p>
      <w:pPr>
        <w:pStyle w:val="Heading1"/>
        <w:spacing w:after="120" w:before="240"/>
      </w:pPr>
      <w:r>
        <w:rPr>
          <w:b/>
          <w:bCs/>
        </w:rPr>
        <w:t xml:space="preserve">Reproducibility</w:t>
      </w:r>
    </w:p>
    <w:p>
      <w:pPr>
        <w:spacing w:after="160" w:line="276"/>
        <w:jc w:val="both"/>
      </w:pPr>
      <w:r>
        <w:t xml:space="preserve">The Monte Carlo analysis in S4 is fully reproducible. The seeded simulation code, the sensitivity sweep, and the result files are provided as an accompanying reproducibility archive; all figures and tabulated probabilities regenerate deterministically from the stated master seed. Summary statistics used in the empirical illustrations are taken directly from the cited published trial reports.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2026-07-04T20:12:55.489Z</dcterms:created>
  <dcterms:modified xsi:type="dcterms:W3CDTF">2026-07-04T20:12:55.516Z</dcterms:modified>
</cp:coreProperties>
</file>

<file path=docProps/custom.xml><?xml version="1.0" encoding="utf-8"?>
<Properties xmlns="http://schemas.openxmlformats.org/officeDocument/2006/custom-properties" xmlns:vt="http://schemas.openxmlformats.org/officeDocument/2006/docPropsVTypes"/>
</file>