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31FC7" w14:textId="77777777" w:rsidR="00B52B73" w:rsidRPr="00BE0715" w:rsidRDefault="00000000">
      <w:pPr>
        <w:spacing w:after="120"/>
        <w:jc w:val="center"/>
      </w:pPr>
      <w:r w:rsidRPr="00BE0715">
        <w:rPr>
          <w:b/>
          <w:bCs/>
          <w:sz w:val="30"/>
          <w:szCs w:val="30"/>
        </w:rPr>
        <w:t>Urban Development Management and Islamic Financial Engineering as Predictors of Smart City Resilience: PLS-SEM Evidence from Saudi Arabia</w:t>
      </w:r>
    </w:p>
    <w:p w14:paraId="2D8AFA57" w14:textId="54589440" w:rsidR="00B52B73" w:rsidRPr="00BE0715" w:rsidRDefault="00473EDC">
      <w:pPr>
        <w:spacing w:after="40"/>
        <w:jc w:val="center"/>
      </w:pPr>
      <w:r>
        <w:rPr>
          <w:sz w:val="24"/>
          <w:szCs w:val="24"/>
        </w:rPr>
        <w:t>Appendixes</w:t>
      </w:r>
    </w:p>
    <w:p w14:paraId="47B2999B" w14:textId="77777777" w:rsidR="00B52B73" w:rsidRPr="00BE0715" w:rsidRDefault="00B52B73">
      <w:pPr>
        <w:pBdr>
          <w:bottom w:val="single" w:sz="6" w:space="0" w:color="1F4E79"/>
        </w:pBdr>
        <w:spacing w:after="120"/>
      </w:pPr>
    </w:p>
    <w:p w14:paraId="0D5638F6" w14:textId="77777777" w:rsidR="00B52B73" w:rsidRPr="00BE0715" w:rsidRDefault="00000000">
      <w:pPr>
        <w:pStyle w:val="Heading1"/>
        <w:spacing w:before="220" w:after="120"/>
        <w:rPr>
          <w:color w:val="auto"/>
        </w:rPr>
      </w:pPr>
      <w:r w:rsidRPr="00BE0715">
        <w:rPr>
          <w:b/>
          <w:bCs/>
          <w:color w:val="auto"/>
          <w:sz w:val="26"/>
          <w:szCs w:val="26"/>
        </w:rPr>
        <w:t>Appendix A Measurement indicator domains</w:t>
      </w:r>
    </w:p>
    <w:p w14:paraId="3FD3EBEA" w14:textId="12053D81" w:rsidR="00B52B73" w:rsidRPr="00BE0715" w:rsidRDefault="00000000">
      <w:pPr>
        <w:spacing w:after="140" w:line="276" w:lineRule="auto"/>
        <w:jc w:val="both"/>
      </w:pPr>
      <w:r w:rsidRPr="00BE0715">
        <w:t xml:space="preserve">This appendix </w:t>
      </w:r>
      <w:r w:rsidR="00A6584F" w:rsidRPr="00BE0715">
        <w:t>summarizes</w:t>
      </w:r>
      <w:r w:rsidRPr="00BE0715">
        <w:t xml:space="preserve"> </w:t>
      </w:r>
      <w:r w:rsidR="00643BA2">
        <w:t xml:space="preserve">as in Table A1 </w:t>
      </w:r>
      <w:r w:rsidRPr="00BE0715">
        <w:t xml:space="preserve">the measurement-indicator domains </w:t>
      </w:r>
      <w:r w:rsidR="00A6584F" w:rsidRPr="00BE0715">
        <w:t>analyzed</w:t>
      </w:r>
      <w:r w:rsidRPr="00BE0715">
        <w:t xml:space="preserve"> in the study; full item wording can be supplied during journal-specific revision on request.</w:t>
      </w:r>
    </w:p>
    <w:p w14:paraId="400E52D7" w14:textId="77777777" w:rsidR="00B52B73" w:rsidRPr="00BE0715" w:rsidRDefault="00000000">
      <w:pPr>
        <w:spacing w:before="200" w:after="60"/>
      </w:pPr>
      <w:r w:rsidRPr="00BE0715">
        <w:rPr>
          <w:b/>
          <w:bCs/>
          <w:sz w:val="20"/>
          <w:szCs w:val="20"/>
        </w:rPr>
        <w:t xml:space="preserve">Table A1 </w:t>
      </w:r>
      <w:r w:rsidRPr="00BE0715">
        <w:rPr>
          <w:sz w:val="20"/>
          <w:szCs w:val="20"/>
        </w:rPr>
        <w:t>Measurement indicator domains</w:t>
      </w:r>
    </w:p>
    <w:tbl>
      <w:tblPr>
        <w:tblW w:w="9360" w:type="dxa"/>
        <w:tblBorders>
          <w:top w:val="single" w:sz="4" w:space="0" w:color="1F4E79"/>
          <w:bottom w:val="single" w:sz="4" w:space="0" w:color="1F4E79"/>
          <w:insideH w:val="single" w:sz="2" w:space="0" w:color="BBBBB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0"/>
        <w:gridCol w:w="1500"/>
        <w:gridCol w:w="6560"/>
      </w:tblGrid>
      <w:tr w:rsidR="00B52B73" w:rsidRPr="00BE0715" w14:paraId="46B9E7A4" w14:textId="77777777">
        <w:trPr>
          <w:tblHeader/>
        </w:trPr>
        <w:tc>
          <w:tcPr>
            <w:tcW w:w="1300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8CCBFD" w14:textId="77777777" w:rsidR="00B52B73" w:rsidRPr="00BE0715" w:rsidRDefault="00000000">
            <w:r w:rsidRPr="00BE0715">
              <w:rPr>
                <w:b/>
                <w:bCs/>
                <w:sz w:val="18"/>
                <w:szCs w:val="18"/>
              </w:rPr>
              <w:t>Construct</w:t>
            </w:r>
          </w:p>
        </w:tc>
        <w:tc>
          <w:tcPr>
            <w:tcW w:w="1500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7A6022" w14:textId="77777777" w:rsidR="00B52B73" w:rsidRPr="00BE0715" w:rsidRDefault="00000000">
            <w:r w:rsidRPr="00BE0715">
              <w:rPr>
                <w:b/>
                <w:bCs/>
                <w:sz w:val="18"/>
                <w:szCs w:val="18"/>
              </w:rPr>
              <w:t>Codes</w:t>
            </w:r>
          </w:p>
        </w:tc>
        <w:tc>
          <w:tcPr>
            <w:tcW w:w="6560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C6CD2C" w14:textId="77777777" w:rsidR="00B52B73" w:rsidRPr="00BE0715" w:rsidRDefault="00000000">
            <w:r w:rsidRPr="00BE0715">
              <w:rPr>
                <w:b/>
                <w:bCs/>
                <w:sz w:val="18"/>
                <w:szCs w:val="18"/>
              </w:rPr>
              <w:t>Indicator domains</w:t>
            </w:r>
          </w:p>
        </w:tc>
      </w:tr>
      <w:tr w:rsidR="00B52B73" w:rsidRPr="00BE0715" w14:paraId="5F6A50E1" w14:textId="77777777"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F847DB" w14:textId="77777777" w:rsidR="00B52B73" w:rsidRPr="00BE0715" w:rsidRDefault="00000000">
            <w:r w:rsidRPr="00BE0715">
              <w:rPr>
                <w:sz w:val="18"/>
                <w:szCs w:val="18"/>
              </w:rPr>
              <w:t>RSC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E98F20" w14:textId="77777777" w:rsidR="00B52B73" w:rsidRPr="00BE0715" w:rsidRDefault="00000000">
            <w:r w:rsidRPr="00BE0715">
              <w:rPr>
                <w:sz w:val="18"/>
                <w:szCs w:val="18"/>
              </w:rPr>
              <w:t>DV01–DV12</w:t>
            </w:r>
          </w:p>
        </w:tc>
        <w:tc>
          <w:tcPr>
            <w:tcW w:w="6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248E0C" w14:textId="77777777" w:rsidR="00B52B73" w:rsidRPr="00BE0715" w:rsidRDefault="00000000">
            <w:r w:rsidRPr="00BE0715">
              <w:rPr>
                <w:sz w:val="18"/>
                <w:szCs w:val="18"/>
              </w:rPr>
              <w:t>Utility redundancy, service restoration, community preparedness, community engagement, economic diversification, sector diversity, resilience strategy, e-governance, digital twins, smart water systems, green spaces and air quality</w:t>
            </w:r>
          </w:p>
        </w:tc>
      </w:tr>
      <w:tr w:rsidR="00B52B73" w:rsidRPr="00BE0715" w14:paraId="51902B2D" w14:textId="77777777"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AD9E82" w14:textId="77777777" w:rsidR="00B52B73" w:rsidRPr="00BE0715" w:rsidRDefault="00000000">
            <w:r w:rsidRPr="00BE0715">
              <w:rPr>
                <w:sz w:val="18"/>
                <w:szCs w:val="18"/>
              </w:rPr>
              <w:t>UDM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A6A1BD" w14:textId="77777777" w:rsidR="00B52B73" w:rsidRPr="00BE0715" w:rsidRDefault="00000000">
            <w:r w:rsidRPr="00BE0715">
              <w:rPr>
                <w:sz w:val="18"/>
                <w:szCs w:val="18"/>
              </w:rPr>
              <w:t>IV101–IV112</w:t>
            </w:r>
          </w:p>
        </w:tc>
        <w:tc>
          <w:tcPr>
            <w:tcW w:w="6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97B88F" w14:textId="1FBE6A78" w:rsidR="00B52B73" w:rsidRPr="00BE0715" w:rsidRDefault="00000000">
            <w:r w:rsidRPr="00BE0715">
              <w:rPr>
                <w:sz w:val="18"/>
                <w:szCs w:val="18"/>
              </w:rPr>
              <w:t xml:space="preserve">Land-use balance, </w:t>
            </w:r>
            <w:r w:rsidR="00A6584F" w:rsidRPr="00BE0715">
              <w:rPr>
                <w:sz w:val="18"/>
                <w:szCs w:val="18"/>
              </w:rPr>
              <w:t>neighborhood</w:t>
            </w:r>
            <w:r w:rsidRPr="00BE0715">
              <w:rPr>
                <w:sz w:val="18"/>
                <w:szCs w:val="18"/>
              </w:rPr>
              <w:t xml:space="preserve"> patterns, infrastructure investment, public transport, stakeholder engagement, urban governance quality, economic-growth metrics, green areas, disaster preparedness, disaster risk management and regulatory coherence</w:t>
            </w:r>
          </w:p>
        </w:tc>
      </w:tr>
      <w:tr w:rsidR="00B52B73" w:rsidRPr="00BE0715" w14:paraId="718868B2" w14:textId="77777777">
        <w:tc>
          <w:tcPr>
            <w:tcW w:w="13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D54666" w14:textId="77777777" w:rsidR="00B52B73" w:rsidRPr="00BE0715" w:rsidRDefault="00000000">
            <w:r w:rsidRPr="00BE0715">
              <w:rPr>
                <w:sz w:val="18"/>
                <w:szCs w:val="18"/>
              </w:rPr>
              <w:t>IFE</w:t>
            </w:r>
          </w:p>
        </w:tc>
        <w:tc>
          <w:tcPr>
            <w:tcW w:w="15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FA83DB" w14:textId="77777777" w:rsidR="00B52B73" w:rsidRPr="00BE0715" w:rsidRDefault="00000000">
            <w:r w:rsidRPr="00BE0715">
              <w:rPr>
                <w:sz w:val="18"/>
                <w:szCs w:val="18"/>
              </w:rPr>
              <w:t>IV201–IV212</w:t>
            </w:r>
          </w:p>
        </w:tc>
        <w:tc>
          <w:tcPr>
            <w:tcW w:w="6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A1495E" w14:textId="75D85D0A" w:rsidR="00B52B73" w:rsidRPr="00BE0715" w:rsidRDefault="00000000">
            <w:r w:rsidRPr="00BE0715">
              <w:rPr>
                <w:sz w:val="18"/>
                <w:szCs w:val="18"/>
              </w:rPr>
              <w:t xml:space="preserve">Shariah boards, regulatory adherence, Shariah-compliant tools, </w:t>
            </w:r>
            <w:r w:rsidR="00A6584F" w:rsidRPr="00BE0715">
              <w:rPr>
                <w:sz w:val="18"/>
                <w:szCs w:val="18"/>
              </w:rPr>
              <w:t>Mudarabah</w:t>
            </w:r>
            <w:r w:rsidRPr="00BE0715">
              <w:rPr>
                <w:sz w:val="18"/>
                <w:szCs w:val="18"/>
              </w:rPr>
              <w:t xml:space="preserve"> and </w:t>
            </w:r>
            <w:r w:rsidR="00A6584F" w:rsidRPr="00BE0715">
              <w:rPr>
                <w:sz w:val="18"/>
                <w:szCs w:val="18"/>
              </w:rPr>
              <w:t>Musharakah</w:t>
            </w:r>
            <w:r w:rsidRPr="00BE0715">
              <w:rPr>
                <w:sz w:val="18"/>
                <w:szCs w:val="18"/>
              </w:rPr>
              <w:t xml:space="preserve"> structures, asset growth, asset-backed financing, product innovation, contract diversity, governance structures, </w:t>
            </w:r>
            <w:r w:rsidR="00A6584F" w:rsidRPr="00BE0715">
              <w:rPr>
                <w:sz w:val="18"/>
                <w:szCs w:val="18"/>
              </w:rPr>
              <w:t>standardization</w:t>
            </w:r>
            <w:r w:rsidRPr="00BE0715">
              <w:rPr>
                <w:sz w:val="18"/>
                <w:szCs w:val="18"/>
              </w:rPr>
              <w:t>, ESG integration and underserved-group communication</w:t>
            </w:r>
          </w:p>
        </w:tc>
      </w:tr>
    </w:tbl>
    <w:p w14:paraId="192574CB" w14:textId="77777777" w:rsidR="00B52B73" w:rsidRPr="00BE0715" w:rsidRDefault="00000000">
      <w:pPr>
        <w:spacing w:after="180"/>
      </w:pPr>
      <w:r w:rsidRPr="00BE0715">
        <w:rPr>
          <w:i/>
          <w:iCs/>
          <w:sz w:val="18"/>
          <w:szCs w:val="18"/>
        </w:rPr>
        <w:t>All items used a five-point Likert scale from 1 = strongly disagree to 5 = strongly agree.</w:t>
      </w:r>
    </w:p>
    <w:p w14:paraId="5682A84B" w14:textId="22C6400C" w:rsidR="00473EDC" w:rsidRPr="00473EDC" w:rsidRDefault="00000000" w:rsidP="00473EDC">
      <w:pPr>
        <w:pStyle w:val="Heading1"/>
        <w:spacing w:before="220" w:after="120"/>
        <w:rPr>
          <w:b/>
          <w:bCs/>
          <w:color w:val="auto"/>
          <w:sz w:val="26"/>
          <w:szCs w:val="26"/>
        </w:rPr>
      </w:pPr>
      <w:r w:rsidRPr="00BE0715">
        <w:rPr>
          <w:b/>
          <w:bCs/>
          <w:color w:val="auto"/>
          <w:sz w:val="26"/>
          <w:szCs w:val="26"/>
        </w:rPr>
        <w:t>Appendix B Supplementary analysis chai</w:t>
      </w:r>
      <w:r w:rsidR="00473EDC">
        <w:rPr>
          <w:b/>
          <w:bCs/>
          <w:color w:val="auto"/>
          <w:sz w:val="26"/>
          <w:szCs w:val="26"/>
        </w:rPr>
        <w:t>n</w:t>
      </w:r>
    </w:p>
    <w:p w14:paraId="0671AA06" w14:textId="71140650" w:rsidR="00473EDC" w:rsidRDefault="00473EDC">
      <w:pPr>
        <w:spacing w:before="200" w:after="60"/>
        <w:rPr>
          <w:b/>
          <w:bCs/>
          <w:sz w:val="20"/>
          <w:szCs w:val="20"/>
        </w:rPr>
      </w:pPr>
      <w:r w:rsidRPr="00BE0715">
        <w:t xml:space="preserve">This appendix summarizes </w:t>
      </w:r>
      <w:r>
        <w:t xml:space="preserve">as in Table </w:t>
      </w:r>
      <w:r>
        <w:t>B</w:t>
      </w:r>
      <w:r>
        <w:t xml:space="preserve">1 </w:t>
      </w:r>
      <w:r w:rsidRPr="00BE0715">
        <w:t xml:space="preserve">the </w:t>
      </w:r>
      <w:r w:rsidRPr="00BE0715">
        <w:rPr>
          <w:sz w:val="20"/>
          <w:szCs w:val="20"/>
        </w:rPr>
        <w:t>Supplementary analysis chain</w:t>
      </w:r>
      <w:r w:rsidRPr="00BE0715">
        <w:t xml:space="preserve"> </w:t>
      </w:r>
      <w:r w:rsidRPr="00BE0715">
        <w:t>in the study</w:t>
      </w:r>
      <w:r>
        <w:t>.</w:t>
      </w:r>
    </w:p>
    <w:p w14:paraId="54E68B07" w14:textId="2A93E2D4" w:rsidR="00B52B73" w:rsidRPr="00BE0715" w:rsidRDefault="00000000">
      <w:pPr>
        <w:spacing w:before="200" w:after="60"/>
      </w:pPr>
      <w:r w:rsidRPr="00BE0715">
        <w:rPr>
          <w:b/>
          <w:bCs/>
          <w:sz w:val="20"/>
          <w:szCs w:val="20"/>
        </w:rPr>
        <w:t xml:space="preserve">Table B1 </w:t>
      </w:r>
      <w:r w:rsidRPr="00BE0715">
        <w:rPr>
          <w:sz w:val="20"/>
          <w:szCs w:val="20"/>
        </w:rPr>
        <w:t>Supplementary analysis chain</w:t>
      </w:r>
    </w:p>
    <w:tbl>
      <w:tblPr>
        <w:tblW w:w="9360" w:type="dxa"/>
        <w:tblBorders>
          <w:top w:val="single" w:sz="4" w:space="0" w:color="1F4E79"/>
          <w:bottom w:val="single" w:sz="4" w:space="0" w:color="1F4E79"/>
          <w:insideH w:val="single" w:sz="2" w:space="0" w:color="BBBBB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1800"/>
        <w:gridCol w:w="4560"/>
      </w:tblGrid>
      <w:tr w:rsidR="00B52B73" w:rsidRPr="00BE0715" w14:paraId="447D9795" w14:textId="77777777">
        <w:trPr>
          <w:tblHeader/>
        </w:trPr>
        <w:tc>
          <w:tcPr>
            <w:tcW w:w="3000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707784" w14:textId="77777777" w:rsidR="00B52B73" w:rsidRPr="00BE0715" w:rsidRDefault="00000000">
            <w:r w:rsidRPr="00BE0715">
              <w:rPr>
                <w:b/>
                <w:bCs/>
                <w:sz w:val="18"/>
                <w:szCs w:val="18"/>
              </w:rPr>
              <w:t>Stage</w:t>
            </w:r>
          </w:p>
        </w:tc>
        <w:tc>
          <w:tcPr>
            <w:tcW w:w="1800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A5D2FB" w14:textId="77777777" w:rsidR="00B52B73" w:rsidRPr="00BE0715" w:rsidRDefault="00000000">
            <w:r w:rsidRPr="00BE0715">
              <w:rPr>
                <w:b/>
                <w:bCs/>
                <w:sz w:val="18"/>
                <w:szCs w:val="18"/>
              </w:rPr>
              <w:t>Software</w:t>
            </w:r>
          </w:p>
        </w:tc>
        <w:tc>
          <w:tcPr>
            <w:tcW w:w="4560" w:type="dxa"/>
            <w:shd w:val="clear" w:color="auto" w:fill="1F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9B9A5C" w14:textId="77777777" w:rsidR="00B52B73" w:rsidRPr="00BE0715" w:rsidRDefault="00000000">
            <w:r w:rsidRPr="00BE0715">
              <w:rPr>
                <w:b/>
                <w:bCs/>
                <w:sz w:val="18"/>
                <w:szCs w:val="18"/>
              </w:rPr>
              <w:t>Purpose</w:t>
            </w:r>
          </w:p>
        </w:tc>
      </w:tr>
      <w:tr w:rsidR="00B52B73" w:rsidRPr="00BE0715" w14:paraId="714333D5" w14:textId="77777777"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2D1901" w14:textId="77777777" w:rsidR="00B52B73" w:rsidRPr="00BE0715" w:rsidRDefault="00000000">
            <w:r w:rsidRPr="00BE0715">
              <w:rPr>
                <w:sz w:val="18"/>
                <w:szCs w:val="18"/>
              </w:rPr>
              <w:t>Data screening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250817" w14:textId="77777777" w:rsidR="00B52B73" w:rsidRPr="00BE0715" w:rsidRDefault="00000000">
            <w:r w:rsidRPr="00BE0715">
              <w:rPr>
                <w:sz w:val="18"/>
                <w:szCs w:val="18"/>
              </w:rPr>
              <w:t>SPSS</w:t>
            </w:r>
          </w:p>
        </w:tc>
        <w:tc>
          <w:tcPr>
            <w:tcW w:w="4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B43431" w14:textId="77777777" w:rsidR="00B52B73" w:rsidRPr="00BE0715" w:rsidRDefault="00000000">
            <w:r w:rsidRPr="00BE0715">
              <w:rPr>
                <w:sz w:val="18"/>
                <w:szCs w:val="18"/>
              </w:rPr>
              <w:t>Missing values, range checks, straight-lining and influential cases</w:t>
            </w:r>
          </w:p>
        </w:tc>
      </w:tr>
      <w:tr w:rsidR="00B52B73" w:rsidRPr="00BE0715" w14:paraId="59C7692F" w14:textId="77777777"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287222" w14:textId="77777777" w:rsidR="00B52B73" w:rsidRPr="00BE0715" w:rsidRDefault="00000000">
            <w:r w:rsidRPr="00BE0715">
              <w:rPr>
                <w:sz w:val="18"/>
                <w:szCs w:val="18"/>
              </w:rPr>
              <w:t>Descriptives and reliability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AF50A7" w14:textId="77777777" w:rsidR="00B52B73" w:rsidRPr="00BE0715" w:rsidRDefault="00000000">
            <w:r w:rsidRPr="00BE0715">
              <w:rPr>
                <w:sz w:val="18"/>
                <w:szCs w:val="18"/>
              </w:rPr>
              <w:t>SPSS</w:t>
            </w:r>
          </w:p>
        </w:tc>
        <w:tc>
          <w:tcPr>
            <w:tcW w:w="4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B5E964" w14:textId="77777777" w:rsidR="00B52B73" w:rsidRPr="00BE0715" w:rsidRDefault="00000000">
            <w:r w:rsidRPr="00BE0715">
              <w:rPr>
                <w:sz w:val="18"/>
                <w:szCs w:val="18"/>
              </w:rPr>
              <w:t>Means, SD, skewness, kurtosis; Cronbach’s alpha</w:t>
            </w:r>
          </w:p>
        </w:tc>
      </w:tr>
      <w:tr w:rsidR="00B52B73" w:rsidRPr="00BE0715" w14:paraId="7AD4413E" w14:textId="77777777"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1B1155" w14:textId="77777777" w:rsidR="00B52B73" w:rsidRPr="00BE0715" w:rsidRDefault="00000000">
            <w:r w:rsidRPr="00BE0715">
              <w:rPr>
                <w:sz w:val="18"/>
                <w:szCs w:val="18"/>
              </w:rPr>
              <w:t>Bias and collinearity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74BAE0" w14:textId="77777777" w:rsidR="00B52B73" w:rsidRPr="00BE0715" w:rsidRDefault="00000000">
            <w:r w:rsidRPr="00BE0715">
              <w:rPr>
                <w:sz w:val="18"/>
                <w:szCs w:val="18"/>
              </w:rPr>
              <w:t>SPSS</w:t>
            </w:r>
          </w:p>
        </w:tc>
        <w:tc>
          <w:tcPr>
            <w:tcW w:w="4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320AC6" w14:textId="77777777" w:rsidR="00B52B73" w:rsidRPr="00BE0715" w:rsidRDefault="00000000">
            <w:r w:rsidRPr="00BE0715">
              <w:rPr>
                <w:sz w:val="18"/>
                <w:szCs w:val="18"/>
              </w:rPr>
              <w:t>Harman’s single-factor test; full-collinearity VIF</w:t>
            </w:r>
          </w:p>
        </w:tc>
      </w:tr>
      <w:tr w:rsidR="00B52B73" w:rsidRPr="00BE0715" w14:paraId="40D3E6C5" w14:textId="77777777">
        <w:tc>
          <w:tcPr>
            <w:tcW w:w="30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D7D645" w14:textId="77777777" w:rsidR="00B52B73" w:rsidRPr="00BE0715" w:rsidRDefault="00000000">
            <w:r w:rsidRPr="00BE0715">
              <w:rPr>
                <w:sz w:val="18"/>
                <w:szCs w:val="18"/>
              </w:rPr>
              <w:t>Measurement and structural model</w:t>
            </w:r>
          </w:p>
        </w:tc>
        <w:tc>
          <w:tcPr>
            <w:tcW w:w="18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43DA86" w14:textId="77777777" w:rsidR="00B52B73" w:rsidRPr="00BE0715" w:rsidRDefault="00000000">
            <w:r w:rsidRPr="00BE0715">
              <w:rPr>
                <w:sz w:val="18"/>
                <w:szCs w:val="18"/>
              </w:rPr>
              <w:t>SmartPLS 4</w:t>
            </w:r>
          </w:p>
        </w:tc>
        <w:tc>
          <w:tcPr>
            <w:tcW w:w="456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232F21" w14:textId="77777777" w:rsidR="00B52B73" w:rsidRPr="00BE0715" w:rsidRDefault="00000000">
            <w:r w:rsidRPr="00BE0715">
              <w:rPr>
                <w:sz w:val="18"/>
                <w:szCs w:val="18"/>
              </w:rPr>
              <w:t>Loadings, reliability, AVE, HTMT; R² and bootstrapped paths</w:t>
            </w:r>
          </w:p>
        </w:tc>
      </w:tr>
    </w:tbl>
    <w:p w14:paraId="1C48EEFB" w14:textId="77777777" w:rsidR="00403963" w:rsidRPr="00BE0715" w:rsidRDefault="00403963"/>
    <w:sectPr w:rsidR="00403963" w:rsidRPr="00BE0715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9367D"/>
    <w:multiLevelType w:val="hybridMultilevel"/>
    <w:tmpl w:val="22E883B0"/>
    <w:lvl w:ilvl="0" w:tplc="89F884C0">
      <w:start w:val="1"/>
      <w:numFmt w:val="bullet"/>
      <w:lvlText w:val="●"/>
      <w:lvlJc w:val="left"/>
      <w:pPr>
        <w:ind w:left="720" w:hanging="360"/>
      </w:pPr>
    </w:lvl>
    <w:lvl w:ilvl="1" w:tplc="62D86848">
      <w:start w:val="1"/>
      <w:numFmt w:val="bullet"/>
      <w:lvlText w:val="○"/>
      <w:lvlJc w:val="left"/>
      <w:pPr>
        <w:ind w:left="1440" w:hanging="360"/>
      </w:pPr>
    </w:lvl>
    <w:lvl w:ilvl="2" w:tplc="0C80D5B6">
      <w:start w:val="1"/>
      <w:numFmt w:val="bullet"/>
      <w:lvlText w:val="■"/>
      <w:lvlJc w:val="left"/>
      <w:pPr>
        <w:ind w:left="2160" w:hanging="360"/>
      </w:pPr>
    </w:lvl>
    <w:lvl w:ilvl="3" w:tplc="68C0FA4A">
      <w:start w:val="1"/>
      <w:numFmt w:val="bullet"/>
      <w:lvlText w:val="●"/>
      <w:lvlJc w:val="left"/>
      <w:pPr>
        <w:ind w:left="2880" w:hanging="360"/>
      </w:pPr>
    </w:lvl>
    <w:lvl w:ilvl="4" w:tplc="744E2D96">
      <w:start w:val="1"/>
      <w:numFmt w:val="bullet"/>
      <w:lvlText w:val="○"/>
      <w:lvlJc w:val="left"/>
      <w:pPr>
        <w:ind w:left="3600" w:hanging="360"/>
      </w:pPr>
    </w:lvl>
    <w:lvl w:ilvl="5" w:tplc="24AAFD76">
      <w:start w:val="1"/>
      <w:numFmt w:val="bullet"/>
      <w:lvlText w:val="■"/>
      <w:lvlJc w:val="left"/>
      <w:pPr>
        <w:ind w:left="4320" w:hanging="360"/>
      </w:pPr>
    </w:lvl>
    <w:lvl w:ilvl="6" w:tplc="36F0DD8C">
      <w:start w:val="1"/>
      <w:numFmt w:val="bullet"/>
      <w:lvlText w:val="●"/>
      <w:lvlJc w:val="left"/>
      <w:pPr>
        <w:ind w:left="5040" w:hanging="360"/>
      </w:pPr>
    </w:lvl>
    <w:lvl w:ilvl="7" w:tplc="CEA663D2">
      <w:start w:val="1"/>
      <w:numFmt w:val="bullet"/>
      <w:lvlText w:val="●"/>
      <w:lvlJc w:val="left"/>
      <w:pPr>
        <w:ind w:left="5760" w:hanging="360"/>
      </w:pPr>
    </w:lvl>
    <w:lvl w:ilvl="8" w:tplc="06460F2E">
      <w:start w:val="1"/>
      <w:numFmt w:val="bullet"/>
      <w:lvlText w:val="●"/>
      <w:lvlJc w:val="left"/>
      <w:pPr>
        <w:ind w:left="6480" w:hanging="360"/>
      </w:pPr>
    </w:lvl>
  </w:abstractNum>
  <w:num w:numId="1" w16cid:durableId="15444390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B73"/>
    <w:rsid w:val="00160234"/>
    <w:rsid w:val="00403963"/>
    <w:rsid w:val="00473EDC"/>
    <w:rsid w:val="005F1EE7"/>
    <w:rsid w:val="00643BA2"/>
    <w:rsid w:val="00682B7F"/>
    <w:rsid w:val="007C2A2A"/>
    <w:rsid w:val="0083433B"/>
    <w:rsid w:val="008A7E0B"/>
    <w:rsid w:val="00A6584F"/>
    <w:rsid w:val="00B52B73"/>
    <w:rsid w:val="00BE0715"/>
    <w:rsid w:val="00C1128C"/>
    <w:rsid w:val="00CE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EACA8"/>
  <w15:docId w15:val="{0B28AA41-E767-4BB4-8EB7-ACD61401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UDM and IFE as predictors of smart city resilience</vt:lpstr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UDM and IFE as predictors of smart city resilience</dc:title>
  <dc:creator>Manuscript</dc:creator>
  <cp:lastModifiedBy>Muhammad Kayyali</cp:lastModifiedBy>
  <cp:revision>8</cp:revision>
  <dcterms:created xsi:type="dcterms:W3CDTF">2026-07-02T10:17:00Z</dcterms:created>
  <dcterms:modified xsi:type="dcterms:W3CDTF">2026-07-16T08:17:00Z</dcterms:modified>
</cp:coreProperties>
</file>