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B0C3C" w14:textId="1D598EEA" w:rsidR="00734F30" w:rsidRPr="00E05130" w:rsidRDefault="00F153E7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E05130">
        <w:rPr>
          <w:rFonts w:ascii="Times New Roman" w:eastAsia="宋体" w:hAnsi="Times New Roman" w:cs="Times New Roman"/>
          <w:b/>
          <w:bCs/>
          <w:sz w:val="20"/>
          <w:szCs w:val="20"/>
        </w:rPr>
        <w:t>Table S1</w:t>
      </w:r>
      <w:r w:rsidR="00EA5945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7F07B6" w:rsidRPr="007F07B6">
        <w:rPr>
          <w:rFonts w:ascii="Times New Roman" w:eastAsia="宋体" w:hAnsi="Times New Roman" w:cs="Times New Roman"/>
          <w:b/>
          <w:bCs/>
          <w:sz w:val="20"/>
          <w:szCs w:val="20"/>
        </w:rPr>
        <w:t>Comparative Table of Study Characteristics in Gestational ITP Treatment</w:t>
      </w:r>
    </w:p>
    <w:tbl>
      <w:tblPr>
        <w:tblStyle w:val="2"/>
        <w:tblW w:w="13958" w:type="dxa"/>
        <w:tblLayout w:type="fixed"/>
        <w:tblLook w:val="04A0" w:firstRow="1" w:lastRow="0" w:firstColumn="1" w:lastColumn="0" w:noHBand="0" w:noVBand="1"/>
      </w:tblPr>
      <w:tblGrid>
        <w:gridCol w:w="947"/>
        <w:gridCol w:w="1079"/>
        <w:gridCol w:w="1210"/>
        <w:gridCol w:w="1584"/>
        <w:gridCol w:w="1843"/>
        <w:gridCol w:w="1701"/>
        <w:gridCol w:w="2126"/>
        <w:gridCol w:w="1701"/>
        <w:gridCol w:w="1767"/>
      </w:tblGrid>
      <w:tr w:rsidR="00160FC7" w:rsidRPr="00F153E7" w14:paraId="1B2E5408" w14:textId="3092E46B" w:rsidTr="009D2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</w:tcPr>
          <w:p w14:paraId="7FC47B3A" w14:textId="22170E55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Ref</w:t>
            </w:r>
          </w:p>
        </w:tc>
        <w:tc>
          <w:tcPr>
            <w:tcW w:w="1079" w:type="dxa"/>
          </w:tcPr>
          <w:p w14:paraId="2FB84CF1" w14:textId="5FA3965F" w:rsidR="00160FC7" w:rsidRPr="00E05130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Sample Size</w:t>
            </w:r>
          </w:p>
        </w:tc>
        <w:tc>
          <w:tcPr>
            <w:tcW w:w="1210" w:type="dxa"/>
          </w:tcPr>
          <w:p w14:paraId="58B2274D" w14:textId="584FA385" w:rsidR="00160FC7" w:rsidRPr="00E05130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Study Design</w:t>
            </w:r>
          </w:p>
        </w:tc>
        <w:tc>
          <w:tcPr>
            <w:tcW w:w="1584" w:type="dxa"/>
          </w:tcPr>
          <w:p w14:paraId="4C6C908B" w14:textId="6C9A3C96" w:rsidR="00160FC7" w:rsidRPr="00E05130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Inclusion Criteria</w:t>
            </w:r>
          </w:p>
        </w:tc>
        <w:tc>
          <w:tcPr>
            <w:tcW w:w="1843" w:type="dxa"/>
          </w:tcPr>
          <w:p w14:paraId="08F98178" w14:textId="795B5482" w:rsidR="00160FC7" w:rsidRPr="00E05130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Treatment Regimen</w:t>
            </w:r>
          </w:p>
        </w:tc>
        <w:tc>
          <w:tcPr>
            <w:tcW w:w="1701" w:type="dxa"/>
          </w:tcPr>
          <w:p w14:paraId="26713F16" w14:textId="77777777" w:rsidR="00160FC7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Response Rate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16"/>
                <w:szCs w:val="16"/>
              </w:rPr>
              <w:t xml:space="preserve"> </w:t>
            </w:r>
          </w:p>
          <w:p w14:paraId="7BF1F9E9" w14:textId="42753B50" w:rsidR="00160FC7" w:rsidRPr="007F07B6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(CR+PR)</w:t>
            </w:r>
          </w:p>
        </w:tc>
        <w:tc>
          <w:tcPr>
            <w:tcW w:w="2126" w:type="dxa"/>
          </w:tcPr>
          <w:p w14:paraId="36E8C730" w14:textId="61459E32" w:rsidR="00160FC7" w:rsidRPr="00E05130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Median PLT Before Delivery</w:t>
            </w:r>
          </w:p>
        </w:tc>
        <w:tc>
          <w:tcPr>
            <w:tcW w:w="1701" w:type="dxa"/>
          </w:tcPr>
          <w:p w14:paraId="54610EF3" w14:textId="0B5FB419" w:rsidR="00160FC7" w:rsidRPr="00160FC7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Maternal Safety</w:t>
            </w:r>
          </w:p>
        </w:tc>
        <w:tc>
          <w:tcPr>
            <w:tcW w:w="1767" w:type="dxa"/>
          </w:tcPr>
          <w:p w14:paraId="017023BE" w14:textId="3256AE9B" w:rsidR="00160FC7" w:rsidRPr="007F07B6" w:rsidRDefault="00160FC7" w:rsidP="00160F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Neonatal Safety</w:t>
            </w:r>
          </w:p>
        </w:tc>
      </w:tr>
      <w:tr w:rsidR="00160FC7" w:rsidRPr="00F153E7" w14:paraId="5BC7014A" w14:textId="6D2954D3" w:rsidTr="009D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</w:tcPr>
          <w:p w14:paraId="7355F2A7" w14:textId="77777777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Kong et al. (2017)</w:t>
            </w:r>
          </w:p>
          <w:p w14:paraId="5B5A7758" w14:textId="434AEBC6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(Blood)</w:t>
            </w:r>
          </w:p>
        </w:tc>
        <w:tc>
          <w:tcPr>
            <w:tcW w:w="1079" w:type="dxa"/>
          </w:tcPr>
          <w:p w14:paraId="38A14CE7" w14:textId="6DC9D41F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31</w:t>
            </w:r>
          </w:p>
        </w:tc>
        <w:tc>
          <w:tcPr>
            <w:tcW w:w="1210" w:type="dxa"/>
          </w:tcPr>
          <w:p w14:paraId="594266BF" w14:textId="15D9255D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Prospective multicenter single-arm study</w:t>
            </w:r>
          </w:p>
        </w:tc>
        <w:tc>
          <w:tcPr>
            <w:tcW w:w="1584" w:type="dxa"/>
          </w:tcPr>
          <w:p w14:paraId="1F0FFCE8" w14:textId="17FCA214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Refractory to 1st-line therapy;</w:t>
            </w:r>
            <w:r>
              <w:t xml:space="preserve"> </w:t>
            </w: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PLT &lt; 30×10⁹/L</w:t>
            </w:r>
          </w:p>
        </w:tc>
        <w:tc>
          <w:tcPr>
            <w:tcW w:w="1843" w:type="dxa"/>
          </w:tcPr>
          <w:p w14:paraId="65372A8C" w14:textId="77777777" w:rsidR="00160FC7" w:rsidRPr="007F07B6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hTPO</w:t>
            </w:r>
            <w:proofErr w:type="spellEnd"/>
            <w:r w:rsidRPr="007F07B6">
              <w:rPr>
                <w:rFonts w:ascii="Times New Roman" w:hAnsi="Times New Roman" w:cs="Times New Roman"/>
                <w:sz w:val="16"/>
                <w:szCs w:val="16"/>
              </w:rPr>
              <w:t xml:space="preserve"> Monotherapy</w:t>
            </w:r>
          </w:p>
          <w:p w14:paraId="03DF0E5E" w14:textId="1E4BC701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(300U/kg/d, 14 days)</w:t>
            </w:r>
          </w:p>
        </w:tc>
        <w:tc>
          <w:tcPr>
            <w:tcW w:w="1701" w:type="dxa"/>
          </w:tcPr>
          <w:p w14:paraId="777E9065" w14:textId="77777777" w:rsidR="00160FC7" w:rsidRPr="007F07B6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74.2% (23/31)</w:t>
            </w:r>
          </w:p>
          <w:p w14:paraId="43661298" w14:textId="4D765D9D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(CR 32.3%; PR 41.9%)</w:t>
            </w:r>
          </w:p>
        </w:tc>
        <w:tc>
          <w:tcPr>
            <w:tcW w:w="2126" w:type="dxa"/>
          </w:tcPr>
          <w:p w14:paraId="1806E68A" w14:textId="6E957FD1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sz w:val="16"/>
                <w:szCs w:val="16"/>
              </w:rPr>
              <w:t>100×10⁹/L (in responders)</w:t>
            </w:r>
          </w:p>
        </w:tc>
        <w:tc>
          <w:tcPr>
            <w:tcW w:w="1701" w:type="dxa"/>
          </w:tcPr>
          <w:p w14:paraId="740D4803" w14:textId="77777777" w:rsidR="00160FC7" w:rsidRPr="00160FC7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 xml:space="preserve">Mild dizziness, fatigue, injection </w:t>
            </w:r>
            <w:proofErr w:type="gramStart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pain;</w:t>
            </w:r>
            <w:proofErr w:type="gramEnd"/>
          </w:p>
          <w:p w14:paraId="2417D3E7" w14:textId="3C909CB7" w:rsidR="00160FC7" w:rsidRPr="007F07B6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serious AEs</w:t>
            </w:r>
          </w:p>
        </w:tc>
        <w:tc>
          <w:tcPr>
            <w:tcW w:w="1767" w:type="dxa"/>
          </w:tcPr>
          <w:p w14:paraId="6069A33D" w14:textId="77777777" w:rsidR="00160FC7" w:rsidRPr="00160FC7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29% thrombocytopenia (all &gt;50×10⁹/L</w:t>
            </w:r>
            <w:proofErr w:type="gramStart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1A719A5A" w14:textId="4FA849AE" w:rsidR="00160FC7" w:rsidRPr="007F07B6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malformations</w:t>
            </w:r>
          </w:p>
        </w:tc>
      </w:tr>
      <w:tr w:rsidR="00160FC7" w:rsidRPr="00F153E7" w14:paraId="6F9930BA" w14:textId="7CFACC90" w:rsidTr="009D2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</w:tcPr>
          <w:p w14:paraId="78C38F9E" w14:textId="77777777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Michel et al. (2020)</w:t>
            </w:r>
          </w:p>
          <w:p w14:paraId="7C8966D2" w14:textId="01699058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(Blood)</w:t>
            </w:r>
          </w:p>
        </w:tc>
        <w:tc>
          <w:tcPr>
            <w:tcW w:w="1079" w:type="dxa"/>
          </w:tcPr>
          <w:p w14:paraId="125941B3" w14:textId="77777777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17 pregnancies</w:t>
            </w:r>
          </w:p>
          <w:p w14:paraId="3E3A788E" w14:textId="053A3723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(15 patients)</w:t>
            </w:r>
          </w:p>
        </w:tc>
        <w:tc>
          <w:tcPr>
            <w:tcW w:w="1210" w:type="dxa"/>
          </w:tcPr>
          <w:p w14:paraId="55C04B6A" w14:textId="028C7E68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Retrospective multicenter observational study</w:t>
            </w:r>
          </w:p>
        </w:tc>
        <w:tc>
          <w:tcPr>
            <w:tcW w:w="1584" w:type="dxa"/>
          </w:tcPr>
          <w:p w14:paraId="642FB993" w14:textId="6A8A75C9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Gestational ITP</w:t>
            </w:r>
          </w:p>
        </w:tc>
        <w:tc>
          <w:tcPr>
            <w:tcW w:w="1843" w:type="dxa"/>
          </w:tcPr>
          <w:p w14:paraId="65B21183" w14:textId="77777777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TPO-RA Agents</w:t>
            </w:r>
          </w:p>
          <w:p w14:paraId="7B56C3ED" w14:textId="47A1B57B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Eltrombopag</w:t>
            </w:r>
            <w:proofErr w:type="spellEnd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N=</w:t>
            </w: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  <w:p w14:paraId="181F43F0" w14:textId="2FB088A2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- Romiplostim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N=</w:t>
            </w: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701" w:type="dxa"/>
          </w:tcPr>
          <w:p w14:paraId="23DD4124" w14:textId="23DC9906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7% (10/13)</w:t>
            </w:r>
          </w:p>
          <w:p w14:paraId="15EF1C04" w14:textId="7A18C8CF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(CR 35.3%; PR 30.8%)</w:t>
            </w:r>
          </w:p>
        </w:tc>
        <w:tc>
          <w:tcPr>
            <w:tcW w:w="2126" w:type="dxa"/>
          </w:tcPr>
          <w:p w14:paraId="48473A6D" w14:textId="3E401098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94×10⁹/L</w:t>
            </w:r>
          </w:p>
        </w:tc>
        <w:tc>
          <w:tcPr>
            <w:tcW w:w="1701" w:type="dxa"/>
          </w:tcPr>
          <w:p w14:paraId="0E8B042B" w14:textId="6B5823E0" w:rsidR="00160FC7" w:rsidRPr="00160FC7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 xml:space="preserve">mild </w:t>
            </w:r>
            <w:proofErr w:type="gramStart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headaches;</w:t>
            </w:r>
            <w:proofErr w:type="gramEnd"/>
          </w:p>
          <w:p w14:paraId="5E017304" w14:textId="062B9AE6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thromboembolic events</w:t>
            </w:r>
          </w:p>
        </w:tc>
        <w:tc>
          <w:tcPr>
            <w:tcW w:w="1767" w:type="dxa"/>
          </w:tcPr>
          <w:p w14:paraId="22E9E2A4" w14:textId="77777777" w:rsidR="000B266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 xml:space="preserve">6 thrombocytopenia, </w:t>
            </w:r>
          </w:p>
          <w:p w14:paraId="556739FD" w14:textId="6D6DA899" w:rsidR="00160FC7" w:rsidRPr="00160FC7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gramStart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thrombocytosis;</w:t>
            </w:r>
            <w:proofErr w:type="gramEnd"/>
          </w:p>
          <w:p w14:paraId="61834229" w14:textId="7428748D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direct drug complications</w:t>
            </w:r>
          </w:p>
        </w:tc>
      </w:tr>
      <w:tr w:rsidR="00160FC7" w:rsidRPr="00F153E7" w14:paraId="7EBBFF19" w14:textId="154B73D8" w:rsidTr="009D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</w:tcPr>
          <w:p w14:paraId="61EBF9AB" w14:textId="77777777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Yu et al. (2023)</w:t>
            </w:r>
          </w:p>
          <w:p w14:paraId="62EF3432" w14:textId="34D5F6FA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(J Int Med Res)</w:t>
            </w:r>
          </w:p>
        </w:tc>
        <w:tc>
          <w:tcPr>
            <w:tcW w:w="1079" w:type="dxa"/>
          </w:tcPr>
          <w:p w14:paraId="0DB26046" w14:textId="5B25F396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210" w:type="dxa"/>
          </w:tcPr>
          <w:p w14:paraId="791CD361" w14:textId="15424F3D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Retrospective single-center case series</w:t>
            </w:r>
          </w:p>
        </w:tc>
        <w:tc>
          <w:tcPr>
            <w:tcW w:w="1584" w:type="dxa"/>
          </w:tcPr>
          <w:p w14:paraId="0F240572" w14:textId="5449C348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Refractory to 1st-line therapy;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PLT &lt; 30×10⁹/L</w:t>
            </w:r>
          </w:p>
        </w:tc>
        <w:tc>
          <w:tcPr>
            <w:tcW w:w="1843" w:type="dxa"/>
          </w:tcPr>
          <w:p w14:paraId="569AA9A2" w14:textId="77777777" w:rsidR="00160FC7" w:rsidRPr="00D07295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rhTPO</w:t>
            </w:r>
            <w:proofErr w:type="spellEnd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 xml:space="preserve"> Monotherapy</w:t>
            </w:r>
          </w:p>
          <w:p w14:paraId="36DEEAC2" w14:textId="066A8A91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(300U/kg/d, 7-14 days)</w:t>
            </w:r>
          </w:p>
        </w:tc>
        <w:tc>
          <w:tcPr>
            <w:tcW w:w="1701" w:type="dxa"/>
          </w:tcPr>
          <w:p w14:paraId="73F199BD" w14:textId="3E7531F7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50% (2/4)</w:t>
            </w:r>
          </w:p>
        </w:tc>
        <w:tc>
          <w:tcPr>
            <w:tcW w:w="2126" w:type="dxa"/>
          </w:tcPr>
          <w:p w14:paraId="5A72BCA5" w14:textId="0D9F9FD4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32-56×10⁹/L (in responders)</w:t>
            </w:r>
          </w:p>
        </w:tc>
        <w:tc>
          <w:tcPr>
            <w:tcW w:w="1701" w:type="dxa"/>
          </w:tcPr>
          <w:p w14:paraId="1BB56551" w14:textId="060FEA0F" w:rsidR="00160FC7" w:rsidRPr="00D07295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adverse events</w:t>
            </w:r>
          </w:p>
        </w:tc>
        <w:tc>
          <w:tcPr>
            <w:tcW w:w="1767" w:type="dxa"/>
          </w:tcPr>
          <w:p w14:paraId="79806AF9" w14:textId="7F200F40" w:rsidR="00160FC7" w:rsidRPr="00D07295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adverse neonatal events</w:t>
            </w:r>
          </w:p>
        </w:tc>
      </w:tr>
      <w:tr w:rsidR="00160FC7" w:rsidRPr="00F153E7" w14:paraId="007C2771" w14:textId="66F50E28" w:rsidTr="009D24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</w:tcPr>
          <w:p w14:paraId="360C8CCC" w14:textId="77777777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Lin et al. (2023)</w:t>
            </w:r>
          </w:p>
          <w:p w14:paraId="0D365746" w14:textId="1A8236DE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(BMC Pregnancy)</w:t>
            </w:r>
          </w:p>
        </w:tc>
        <w:tc>
          <w:tcPr>
            <w:tcW w:w="1079" w:type="dxa"/>
          </w:tcPr>
          <w:p w14:paraId="2265999A" w14:textId="77777777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81 cases</w:t>
            </w:r>
          </w:p>
          <w:p w14:paraId="78BECF33" w14:textId="2EC26052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 xml:space="preserve">(33 </w:t>
            </w:r>
            <w:proofErr w:type="spellStart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rhTPO</w:t>
            </w:r>
            <w:proofErr w:type="spellEnd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 xml:space="preserve"> group; 48 control)</w:t>
            </w:r>
          </w:p>
        </w:tc>
        <w:tc>
          <w:tcPr>
            <w:tcW w:w="1210" w:type="dxa"/>
          </w:tcPr>
          <w:p w14:paraId="79EA7671" w14:textId="77777777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Retrospective cohort study</w:t>
            </w:r>
          </w:p>
          <w:p w14:paraId="56C07217" w14:textId="32CEBF64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(case-control)</w:t>
            </w:r>
          </w:p>
        </w:tc>
        <w:tc>
          <w:tcPr>
            <w:tcW w:w="1584" w:type="dxa"/>
          </w:tcPr>
          <w:p w14:paraId="4B1FCF43" w14:textId="7DA43C93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Refractory to 1st-line therapy;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PLT &lt; 30×10⁹/L</w:t>
            </w:r>
          </w:p>
        </w:tc>
        <w:tc>
          <w:tcPr>
            <w:tcW w:w="1843" w:type="dxa"/>
          </w:tcPr>
          <w:p w14:paraId="06D82E9F" w14:textId="77777777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rhTPO</w:t>
            </w:r>
            <w:proofErr w:type="spellEnd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 xml:space="preserve"> Monotherapy</w:t>
            </w:r>
          </w:p>
          <w:p w14:paraId="6FB08745" w14:textId="22767224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(300U/kg/d, 14 days)</w:t>
            </w:r>
          </w:p>
        </w:tc>
        <w:tc>
          <w:tcPr>
            <w:tcW w:w="1701" w:type="dxa"/>
          </w:tcPr>
          <w:p w14:paraId="61F31DB3" w14:textId="77777777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rhTPO</w:t>
            </w:r>
            <w:proofErr w:type="spellEnd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 xml:space="preserve"> Group: 51.5% (17/33)</w:t>
            </w:r>
          </w:p>
          <w:p w14:paraId="1E5F215F" w14:textId="46C74EBE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Control: 0%</w:t>
            </w:r>
          </w:p>
        </w:tc>
        <w:tc>
          <w:tcPr>
            <w:tcW w:w="2126" w:type="dxa"/>
          </w:tcPr>
          <w:p w14:paraId="4A88BBF9" w14:textId="77777777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rhTPO</w:t>
            </w:r>
            <w:proofErr w:type="spellEnd"/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: 42×10⁹/L</w:t>
            </w:r>
          </w:p>
          <w:p w14:paraId="3B993B13" w14:textId="7AA027FB" w:rsidR="00160FC7" w:rsidRPr="00E05130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07295">
              <w:rPr>
                <w:rFonts w:ascii="Times New Roman" w:hAnsi="Times New Roman" w:cs="Times New Roman"/>
                <w:sz w:val="16"/>
                <w:szCs w:val="16"/>
              </w:rPr>
              <w:t>Control: 25×10⁹/L</w:t>
            </w:r>
          </w:p>
        </w:tc>
        <w:tc>
          <w:tcPr>
            <w:tcW w:w="1701" w:type="dxa"/>
          </w:tcPr>
          <w:p w14:paraId="03C91DFB" w14:textId="28012163" w:rsidR="00160FC7" w:rsidRPr="00160FC7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liver/kidney impairment</w:t>
            </w:r>
          </w:p>
          <w:p w14:paraId="2EA5502C" w14:textId="558FE041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thromboembolic events</w:t>
            </w:r>
          </w:p>
        </w:tc>
        <w:tc>
          <w:tcPr>
            <w:tcW w:w="1767" w:type="dxa"/>
          </w:tcPr>
          <w:p w14:paraId="13605D45" w14:textId="77777777" w:rsidR="00160FC7" w:rsidRPr="00160FC7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 xml:space="preserve">28.3% </w:t>
            </w:r>
            <w:proofErr w:type="gramStart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thrombocytopenia;</w:t>
            </w:r>
            <w:proofErr w:type="gramEnd"/>
          </w:p>
          <w:p w14:paraId="3D909882" w14:textId="72E6E61F" w:rsidR="00160FC7" w:rsidRPr="00D07295" w:rsidRDefault="00160FC7" w:rsidP="00160F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malformations/deaths</w:t>
            </w:r>
          </w:p>
        </w:tc>
      </w:tr>
      <w:tr w:rsidR="00160FC7" w:rsidRPr="00F153E7" w14:paraId="3CF559C2" w14:textId="75D7A999" w:rsidTr="009D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" w:type="dxa"/>
          </w:tcPr>
          <w:p w14:paraId="7801BADE" w14:textId="77777777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Present Study</w:t>
            </w:r>
          </w:p>
          <w:p w14:paraId="3601BDDE" w14:textId="756ACBAF" w:rsidR="00160FC7" w:rsidRPr="007F07B6" w:rsidRDefault="00160FC7" w:rsidP="00160FC7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7F07B6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(Renji Hospital)</w:t>
            </w:r>
          </w:p>
        </w:tc>
        <w:tc>
          <w:tcPr>
            <w:tcW w:w="1079" w:type="dxa"/>
          </w:tcPr>
          <w:p w14:paraId="7BDDC0BE" w14:textId="254F883C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B15F9">
              <w:rPr>
                <w:rFonts w:ascii="Times New Roman" w:hAnsi="Times New Roman" w:cs="Times New Roman"/>
                <w:sz w:val="16"/>
                <w:szCs w:val="16"/>
              </w:rPr>
              <w:t>28 cases</w:t>
            </w:r>
          </w:p>
        </w:tc>
        <w:tc>
          <w:tcPr>
            <w:tcW w:w="1210" w:type="dxa"/>
          </w:tcPr>
          <w:p w14:paraId="1BF2BDAC" w14:textId="62E2E90E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Retrospective single-center study</w:t>
            </w:r>
          </w:p>
        </w:tc>
        <w:tc>
          <w:tcPr>
            <w:tcW w:w="1584" w:type="dxa"/>
          </w:tcPr>
          <w:p w14:paraId="58F5349A" w14:textId="77777777" w:rsidR="00160FC7" w:rsidRPr="00284D8E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 xml:space="preserve">Refractory to 1st-line </w:t>
            </w:r>
            <w:proofErr w:type="gramStart"/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therapy;</w:t>
            </w:r>
            <w:proofErr w:type="gramEnd"/>
          </w:p>
          <w:p w14:paraId="05382F30" w14:textId="51EFEF88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PLT &lt; 30×10⁹/L</w:t>
            </w:r>
          </w:p>
        </w:tc>
        <w:tc>
          <w:tcPr>
            <w:tcW w:w="1843" w:type="dxa"/>
          </w:tcPr>
          <w:p w14:paraId="0692B155" w14:textId="77777777" w:rsidR="00160FC7" w:rsidRPr="00284D8E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Diverse Regimens:</w:t>
            </w:r>
          </w:p>
          <w:p w14:paraId="44A9B5B6" w14:textId="31E9B113" w:rsidR="00160FC7" w:rsidRPr="00284D8E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proofErr w:type="spellStart"/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rhTPO</w:t>
            </w:r>
            <w:proofErr w:type="spellEnd"/>
            <w:r w:rsidRPr="00284D8E">
              <w:rPr>
                <w:rFonts w:ascii="Times New Roman" w:hAnsi="Times New Roman" w:cs="Times New Roman"/>
                <w:sz w:val="16"/>
                <w:szCs w:val="16"/>
              </w:rPr>
              <w:t xml:space="preserve"> mono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N=16</w:t>
            </w: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DACEAEC" w14:textId="0B4749D1" w:rsidR="00160FC7" w:rsidRPr="00284D8E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2. TPO-RA mono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N=3</w:t>
            </w: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8089F82" w14:textId="21E25BCE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 xml:space="preserve">3. </w:t>
            </w:r>
            <w:proofErr w:type="spellStart"/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rhTPO</w:t>
            </w:r>
            <w:proofErr w:type="spellEnd"/>
            <w:r w:rsidRPr="00284D8E">
              <w:rPr>
                <w:rFonts w:ascii="Times New Roman" w:hAnsi="Times New Roman" w:cs="Times New Roman"/>
                <w:sz w:val="16"/>
                <w:szCs w:val="16"/>
              </w:rPr>
              <w:t xml:space="preserve"> + TPO-RA combo (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N=9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658276B7" w14:textId="77777777" w:rsidR="00160FC7" w:rsidRPr="00284D8E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- TPO-RA Mono: 100% (3/3)</w:t>
            </w:r>
          </w:p>
          <w:p w14:paraId="59113C12" w14:textId="77777777" w:rsidR="00160FC7" w:rsidRPr="00284D8E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rhTPO</w:t>
            </w:r>
            <w:proofErr w:type="spellEnd"/>
            <w:r w:rsidRPr="00284D8E">
              <w:rPr>
                <w:rFonts w:ascii="Times New Roman" w:hAnsi="Times New Roman" w:cs="Times New Roman"/>
                <w:sz w:val="16"/>
                <w:szCs w:val="16"/>
              </w:rPr>
              <w:t xml:space="preserve"> Mono: 25% (4/16)</w:t>
            </w:r>
          </w:p>
          <w:p w14:paraId="57770925" w14:textId="053A6678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- Combo Therapy: 0% (0/9)</w:t>
            </w:r>
          </w:p>
        </w:tc>
        <w:tc>
          <w:tcPr>
            <w:tcW w:w="2126" w:type="dxa"/>
          </w:tcPr>
          <w:p w14:paraId="419CF1CF" w14:textId="072E078C" w:rsidR="00160FC7" w:rsidRPr="00E05130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4D8E">
              <w:rPr>
                <w:rFonts w:ascii="Times New Roman" w:hAnsi="Times New Roman" w:cs="Times New Roman"/>
                <w:sz w:val="16"/>
                <w:szCs w:val="16"/>
              </w:rPr>
              <w:t>84×10⁹/L</w:t>
            </w:r>
          </w:p>
        </w:tc>
        <w:tc>
          <w:tcPr>
            <w:tcW w:w="1701" w:type="dxa"/>
          </w:tcPr>
          <w:p w14:paraId="0B0EE5D7" w14:textId="77777777" w:rsidR="00160FC7" w:rsidRPr="00160FC7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1 mild liver injury (</w:t>
            </w:r>
            <w:proofErr w:type="spellStart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eltrombopag</w:t>
            </w:r>
            <w:proofErr w:type="spellEnd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-related, resolved</w:t>
            </w:r>
            <w:proofErr w:type="gramStart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2E741D9F" w14:textId="559413AA" w:rsidR="00160FC7" w:rsidRPr="00284D8E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thromboembolic events</w:t>
            </w:r>
          </w:p>
        </w:tc>
        <w:tc>
          <w:tcPr>
            <w:tcW w:w="1767" w:type="dxa"/>
          </w:tcPr>
          <w:p w14:paraId="5000E2AB" w14:textId="77777777" w:rsidR="00160FC7" w:rsidRPr="00160FC7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1 thrombocytopenia (85×10⁹/L, no bleeding</w:t>
            </w:r>
            <w:proofErr w:type="gramStart"/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);</w:t>
            </w:r>
            <w:proofErr w:type="gramEnd"/>
          </w:p>
          <w:p w14:paraId="40318219" w14:textId="4D04AA97" w:rsidR="00160FC7" w:rsidRPr="00284D8E" w:rsidRDefault="00160FC7" w:rsidP="00160F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0FC7">
              <w:rPr>
                <w:rFonts w:ascii="Times New Roman" w:hAnsi="Times New Roman" w:cs="Times New Roman"/>
                <w:sz w:val="16"/>
                <w:szCs w:val="16"/>
              </w:rPr>
              <w:t>No serious complications</w:t>
            </w:r>
          </w:p>
        </w:tc>
      </w:tr>
    </w:tbl>
    <w:p w14:paraId="06E61C85" w14:textId="77777777" w:rsidR="00F153E7" w:rsidRPr="00F153E7" w:rsidRDefault="00F153E7" w:rsidP="00746581">
      <w:pPr>
        <w:rPr>
          <w:rFonts w:ascii="Times New Roman" w:hAnsi="Times New Roman" w:cs="Times New Roman"/>
        </w:rPr>
      </w:pPr>
    </w:p>
    <w:sectPr w:rsidR="00F153E7" w:rsidRPr="00F153E7" w:rsidSect="00F153E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6663A" w14:textId="77777777" w:rsidR="00FF14C4" w:rsidRDefault="00FF14C4" w:rsidP="00F153E7">
      <w:r>
        <w:separator/>
      </w:r>
    </w:p>
  </w:endnote>
  <w:endnote w:type="continuationSeparator" w:id="0">
    <w:p w14:paraId="0EDA5ADC" w14:textId="77777777" w:rsidR="00FF14C4" w:rsidRDefault="00FF14C4" w:rsidP="00F1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6EF5" w14:textId="77777777" w:rsidR="00FF14C4" w:rsidRDefault="00FF14C4" w:rsidP="00F153E7">
      <w:r>
        <w:separator/>
      </w:r>
    </w:p>
  </w:footnote>
  <w:footnote w:type="continuationSeparator" w:id="0">
    <w:p w14:paraId="46D6AE7E" w14:textId="77777777" w:rsidR="00FF14C4" w:rsidRDefault="00FF14C4" w:rsidP="00F15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44"/>
    <w:rsid w:val="00012C26"/>
    <w:rsid w:val="000454A3"/>
    <w:rsid w:val="000A3001"/>
    <w:rsid w:val="000A75EF"/>
    <w:rsid w:val="000B2660"/>
    <w:rsid w:val="00105933"/>
    <w:rsid w:val="00152F2B"/>
    <w:rsid w:val="00160FC7"/>
    <w:rsid w:val="00284D8E"/>
    <w:rsid w:val="002F1EF2"/>
    <w:rsid w:val="002F66E1"/>
    <w:rsid w:val="00303044"/>
    <w:rsid w:val="00320F65"/>
    <w:rsid w:val="00325536"/>
    <w:rsid w:val="003432B1"/>
    <w:rsid w:val="00360462"/>
    <w:rsid w:val="00394B1F"/>
    <w:rsid w:val="003A3AE2"/>
    <w:rsid w:val="004119E3"/>
    <w:rsid w:val="00455E19"/>
    <w:rsid w:val="00486D24"/>
    <w:rsid w:val="004C5A2F"/>
    <w:rsid w:val="005862CE"/>
    <w:rsid w:val="005B2551"/>
    <w:rsid w:val="005B61EC"/>
    <w:rsid w:val="005F1E23"/>
    <w:rsid w:val="0066641F"/>
    <w:rsid w:val="00714546"/>
    <w:rsid w:val="00734F30"/>
    <w:rsid w:val="00746581"/>
    <w:rsid w:val="007837A8"/>
    <w:rsid w:val="007A1E38"/>
    <w:rsid w:val="007F07B6"/>
    <w:rsid w:val="008401A1"/>
    <w:rsid w:val="009205AB"/>
    <w:rsid w:val="00976926"/>
    <w:rsid w:val="00983F1C"/>
    <w:rsid w:val="009C1BD4"/>
    <w:rsid w:val="009D243E"/>
    <w:rsid w:val="00A11BF0"/>
    <w:rsid w:val="00AB15F9"/>
    <w:rsid w:val="00B75D85"/>
    <w:rsid w:val="00BE70F8"/>
    <w:rsid w:val="00CC4564"/>
    <w:rsid w:val="00D07295"/>
    <w:rsid w:val="00D14FD0"/>
    <w:rsid w:val="00D31596"/>
    <w:rsid w:val="00D90EA8"/>
    <w:rsid w:val="00DE5273"/>
    <w:rsid w:val="00E05130"/>
    <w:rsid w:val="00E16F68"/>
    <w:rsid w:val="00EA5945"/>
    <w:rsid w:val="00F153E7"/>
    <w:rsid w:val="00F816F9"/>
    <w:rsid w:val="00FB3351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158E5"/>
  <w15:chartTrackingRefBased/>
  <w15:docId w15:val="{769B2774-BEA7-4789-84F6-452CFF33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3E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53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5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53E7"/>
    <w:rPr>
      <w:sz w:val="18"/>
      <w:szCs w:val="18"/>
    </w:rPr>
  </w:style>
  <w:style w:type="table" w:styleId="a7">
    <w:name w:val="Table Grid"/>
    <w:basedOn w:val="a1"/>
    <w:uiPriority w:val="39"/>
    <w:rsid w:val="00F15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C1BD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 士彬</dc:creator>
  <cp:keywords/>
  <dc:description/>
  <cp:lastModifiedBy>士彬 洪</cp:lastModifiedBy>
  <cp:revision>40</cp:revision>
  <dcterms:created xsi:type="dcterms:W3CDTF">2023-03-21T14:49:00Z</dcterms:created>
  <dcterms:modified xsi:type="dcterms:W3CDTF">2026-03-08T13:48:00Z</dcterms:modified>
</cp:coreProperties>
</file>