
<file path=[Content_Types].xml><?xml version="1.0" encoding="utf-8"?>
<Types xmlns="http://schemas.openxmlformats.org/package/2006/content-types">
  <Default Extension="xml" ContentType="application/xml"/>
  <Default Extension="png" ContentType="image/png"/>
  <Default Extension="tiff" ContentType="image/tif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C89968">
      <w:pPr>
        <w:jc w:val="center"/>
        <w:rPr>
          <w:rFonts w:hint="default" w:ascii="Arial Regular" w:hAnsi="Arial Regular" w:eastAsia="黑体" w:cs="Arial Regular"/>
          <w:sz w:val="22"/>
          <w:szCs w:val="22"/>
        </w:rPr>
      </w:pPr>
      <w:r>
        <w:rPr>
          <w:rFonts w:hint="default" w:ascii="Arial Regular" w:hAnsi="Arial Regular" w:eastAsia="黑体" w:cs="Arial Regular"/>
          <w:sz w:val="22"/>
          <w:szCs w:val="22"/>
        </w:rPr>
        <w:t>Supplementary Information (SI)</w:t>
      </w:r>
    </w:p>
    <w:p w14:paraId="7DE5C9AB">
      <w:pPr>
        <w:widowControl/>
        <w:jc w:val="center"/>
        <w:rPr>
          <w:rFonts w:hint="default" w:ascii="Arial Regular" w:hAnsi="Arial Regular" w:eastAsia="等线 Light" w:cs="Arial Regular"/>
          <w:kern w:val="0"/>
          <w:sz w:val="24"/>
          <w:szCs w:val="24"/>
        </w:rPr>
      </w:pPr>
    </w:p>
    <w:p w14:paraId="46DEB14E">
      <w:pPr>
        <w:widowControl/>
        <w:jc w:val="center"/>
        <w:rPr>
          <w:rFonts w:hint="default" w:ascii="Arial Regular" w:hAnsi="Arial Regular" w:eastAsia="黑体" w:cs="Arial Regular"/>
          <w:b/>
          <w:sz w:val="40"/>
          <w:szCs w:val="44"/>
        </w:rPr>
      </w:pPr>
      <w:r>
        <w:rPr>
          <w:rFonts w:hint="default" w:ascii="Arial Regular" w:hAnsi="Arial Regular" w:eastAsia="黑体" w:cs="Arial Regular"/>
          <w:b/>
          <w:sz w:val="40"/>
          <w:szCs w:val="44"/>
        </w:rPr>
        <w:t>Fungi enhance chlorine resistance via binding metal ions in drinking water systems: A novel phenomenon and underlying mechanisms</w:t>
      </w:r>
    </w:p>
    <w:p w14:paraId="6844CA23">
      <w:pPr>
        <w:widowControl/>
        <w:jc w:val="center"/>
        <w:rPr>
          <w:rFonts w:hint="default" w:ascii="Arial Regular" w:hAnsi="Arial Regular" w:eastAsia="等线 Light" w:cs="Arial Regular"/>
          <w:kern w:val="0"/>
          <w:sz w:val="24"/>
          <w:szCs w:val="24"/>
        </w:rPr>
      </w:pPr>
    </w:p>
    <w:p w14:paraId="320B8186">
      <w:pPr>
        <w:jc w:val="center"/>
        <w:rPr>
          <w:rFonts w:hint="default" w:ascii="Arial Regular" w:hAnsi="Arial Regular" w:eastAsia="黑体" w:cs="Arial Regular"/>
          <w:iCs/>
          <w:sz w:val="36"/>
          <w:szCs w:val="36"/>
          <w:highlight w:val="none"/>
        </w:rPr>
      </w:pPr>
      <w:r>
        <w:rPr>
          <w:rFonts w:hint="default" w:ascii="Arial Regular" w:hAnsi="Arial Regular" w:eastAsia="黑体" w:cs="Arial Regular"/>
          <w:iCs/>
          <w:sz w:val="36"/>
          <w:szCs w:val="36"/>
          <w:highlight w:val="none"/>
        </w:rPr>
        <w:t>Nature Water</w:t>
      </w:r>
    </w:p>
    <w:p w14:paraId="7E74BF3A">
      <w:pPr>
        <w:widowControl/>
        <w:jc w:val="center"/>
        <w:rPr>
          <w:rFonts w:hint="default" w:ascii="Arial Regular" w:hAnsi="Arial Regular" w:eastAsia="等线 Light" w:cs="Arial Regular"/>
          <w:kern w:val="0"/>
          <w:sz w:val="24"/>
          <w:szCs w:val="24"/>
        </w:rPr>
      </w:pPr>
    </w:p>
    <w:p w14:paraId="60A8B417">
      <w:pPr>
        <w:rPr>
          <w:rFonts w:hint="default" w:ascii="Arial Regular" w:hAnsi="Arial Regular" w:eastAsia="黑体" w:cs="Arial Regular"/>
          <w:sz w:val="28"/>
          <w:szCs w:val="28"/>
        </w:rPr>
      </w:pPr>
      <w:r>
        <w:rPr>
          <w:rFonts w:hint="default" w:ascii="Arial Regular" w:hAnsi="Arial Regular" w:eastAsia="黑体" w:cs="Arial Regular"/>
          <w:sz w:val="28"/>
          <w:szCs w:val="28"/>
        </w:rPr>
        <w:t>Ge-Hui Wu</w:t>
      </w:r>
      <w:r>
        <w:rPr>
          <w:rFonts w:hint="default" w:ascii="Arial Regular" w:hAnsi="Arial Regular" w:eastAsia="黑体" w:cs="Arial Regular"/>
          <w:sz w:val="28"/>
          <w:szCs w:val="28"/>
          <w:vertAlign w:val="superscript"/>
        </w:rPr>
        <w:t>1,</w:t>
      </w:r>
      <w:r>
        <w:rPr>
          <w:rFonts w:hint="default" w:ascii="Arial Regular" w:hAnsi="Arial Regular" w:eastAsia="黑体" w:cs="Arial Regular"/>
          <w:sz w:val="28"/>
          <w:szCs w:val="28"/>
          <w:vertAlign w:val="superscript"/>
          <w:lang w:val="en-US"/>
        </w:rPr>
        <w:t>3</w:t>
      </w:r>
      <w:r>
        <w:rPr>
          <w:rFonts w:hint="default" w:ascii="Arial Regular" w:hAnsi="Arial Regular" w:eastAsia="Malgun Gothic" w:cs="Arial Regular"/>
          <w:sz w:val="28"/>
          <w:szCs w:val="28"/>
          <w:lang w:eastAsia="ko-KR"/>
        </w:rPr>
        <w:t>,</w:t>
      </w:r>
      <w:r>
        <w:rPr>
          <w:rFonts w:hint="default" w:ascii="Arial Regular" w:hAnsi="Arial Regular" w:eastAsia="黑体" w:cs="Arial Regular"/>
          <w:sz w:val="28"/>
          <w:szCs w:val="28"/>
        </w:rPr>
        <w:t xml:space="preserve"> Qi-Qi Wan</w:t>
      </w:r>
      <w:r>
        <w:rPr>
          <w:rFonts w:hint="default" w:ascii="Arial Regular" w:hAnsi="Arial Regular" w:eastAsia="黑体" w:cs="Arial Regular"/>
          <w:sz w:val="28"/>
          <w:szCs w:val="28"/>
          <w:vertAlign w:val="superscript"/>
        </w:rPr>
        <w:t>1,</w:t>
      </w:r>
      <w:r>
        <w:rPr>
          <w:rFonts w:hint="default" w:ascii="Arial Regular" w:hAnsi="Arial Regular" w:eastAsia="黑体" w:cs="Arial Regular"/>
          <w:sz w:val="28"/>
          <w:szCs w:val="28"/>
          <w:vertAlign w:val="superscript"/>
          <w:lang w:val="en-US"/>
        </w:rPr>
        <w:t>3</w:t>
      </w:r>
      <w:r>
        <w:rPr>
          <w:rFonts w:hint="default" w:ascii="Arial Regular" w:hAnsi="Arial Regular" w:eastAsia="黑体" w:cs="Arial Regular"/>
          <w:sz w:val="28"/>
          <w:szCs w:val="28"/>
        </w:rPr>
        <w:t>, Ting-Lin Huang</w:t>
      </w:r>
      <w:r>
        <w:rPr>
          <w:rFonts w:hint="default" w:ascii="Arial Regular" w:hAnsi="Arial Regular" w:eastAsia="黑体" w:cs="Arial Regular"/>
          <w:sz w:val="28"/>
          <w:szCs w:val="28"/>
          <w:vertAlign w:val="superscript"/>
        </w:rPr>
        <w:t>1,3</w:t>
      </w:r>
      <w:r>
        <w:rPr>
          <w:rFonts w:hint="default" w:ascii="Arial Regular" w:hAnsi="Arial Regular" w:eastAsia="黑体" w:cs="Arial Regular"/>
          <w:sz w:val="28"/>
          <w:szCs w:val="28"/>
        </w:rPr>
        <w:t>, Zheng-Yang Huo</w:t>
      </w:r>
      <w:r>
        <w:rPr>
          <w:rFonts w:hint="default" w:ascii="Arial Regular" w:hAnsi="Arial Regular" w:eastAsia="黑体" w:cs="Arial Regular"/>
          <w:sz w:val="28"/>
          <w:szCs w:val="28"/>
          <w:vertAlign w:val="superscript"/>
        </w:rPr>
        <w:t>4</w:t>
      </w:r>
      <w:r>
        <w:rPr>
          <w:rFonts w:hint="default" w:ascii="Arial Regular" w:hAnsi="Arial Regular" w:eastAsia="黑体" w:cs="Arial Regular"/>
          <w:sz w:val="28"/>
          <w:szCs w:val="28"/>
        </w:rPr>
        <w:t>, Gang Liu</w:t>
      </w:r>
      <w:r>
        <w:rPr>
          <w:rFonts w:hint="default" w:ascii="Arial Regular" w:hAnsi="Arial Regular" w:eastAsia="黑体" w:cs="Arial Regular"/>
          <w:sz w:val="28"/>
          <w:szCs w:val="28"/>
          <w:vertAlign w:val="superscript"/>
        </w:rPr>
        <w:t>5</w:t>
      </w:r>
      <w:r>
        <w:rPr>
          <w:rFonts w:hint="default" w:ascii="Arial Regular" w:hAnsi="Arial Regular" w:eastAsia="黑体" w:cs="Arial Regular"/>
          <w:sz w:val="28"/>
          <w:szCs w:val="28"/>
        </w:rPr>
        <w:t xml:space="preserve">, </w:t>
      </w:r>
      <w:r>
        <w:rPr>
          <w:rFonts w:hint="default" w:ascii="Arial Regular" w:hAnsi="Arial Regular" w:eastAsia="Malgun Gothic" w:cs="Arial Regular"/>
          <w:sz w:val="28"/>
          <w:szCs w:val="28"/>
          <w:lang w:eastAsia="ko-KR"/>
        </w:rPr>
        <w:t xml:space="preserve">and </w:t>
      </w:r>
      <w:r>
        <w:rPr>
          <w:rFonts w:hint="default" w:ascii="Arial Regular" w:hAnsi="Arial Regular" w:eastAsia="黑体" w:cs="Arial Regular"/>
          <w:sz w:val="28"/>
          <w:szCs w:val="28"/>
        </w:rPr>
        <w:t>Gang Wen</w:t>
      </w:r>
      <w:r>
        <w:rPr>
          <w:rFonts w:hint="default" w:ascii="Arial Regular" w:hAnsi="Arial Regular" w:eastAsia="黑体" w:cs="Arial Regular"/>
          <w:sz w:val="28"/>
          <w:szCs w:val="28"/>
          <w:vertAlign w:val="superscript"/>
        </w:rPr>
        <w:t>1,2,3,</w:t>
      </w:r>
      <w:r>
        <w:rPr>
          <w:rFonts w:hint="default" w:ascii="Arial Regular" w:hAnsi="Arial Regular" w:eastAsia="黑体" w:cs="Arial Regular"/>
          <w:sz w:val="28"/>
          <w:szCs w:val="28"/>
        </w:rPr>
        <w:t>*</w:t>
      </w:r>
    </w:p>
    <w:p w14:paraId="1A842A1D">
      <w:pPr>
        <w:widowControl/>
        <w:jc w:val="center"/>
        <w:rPr>
          <w:rFonts w:hint="default" w:ascii="Arial Regular" w:hAnsi="Arial Regular" w:eastAsia="等线 Light" w:cs="Arial Regular"/>
          <w:kern w:val="0"/>
          <w:sz w:val="24"/>
          <w:szCs w:val="24"/>
        </w:rPr>
      </w:pPr>
    </w:p>
    <w:p w14:paraId="5B504BC3">
      <w:pPr>
        <w:spacing w:before="60"/>
        <w:rPr>
          <w:rFonts w:hint="default" w:ascii="Arial Regular" w:hAnsi="Arial Regular" w:eastAsia="黑体" w:cs="Arial Regular"/>
          <w:iCs/>
          <w:sz w:val="22"/>
          <w:szCs w:val="22"/>
        </w:rPr>
      </w:pPr>
      <w:r>
        <w:rPr>
          <w:rFonts w:hint="default" w:ascii="Arial Regular" w:hAnsi="Arial Regular" w:eastAsia="黑体" w:cs="Arial Regular"/>
          <w:iCs/>
          <w:sz w:val="22"/>
          <w:szCs w:val="22"/>
          <w:vertAlign w:val="superscript"/>
        </w:rPr>
        <w:t xml:space="preserve">1 </w:t>
      </w:r>
      <w:r>
        <w:rPr>
          <w:rFonts w:hint="default" w:ascii="Arial Regular" w:hAnsi="Arial Regular" w:eastAsia="黑体" w:cs="Arial Regular"/>
          <w:iCs/>
          <w:sz w:val="22"/>
          <w:szCs w:val="22"/>
        </w:rPr>
        <w:t>Shaanxi Provincial Field Scientific Observation and Research Station of Water Quality in Qinling Mountains, Xi'an University of Architecture and Technology, Xi’an 710055, China.</w:t>
      </w:r>
    </w:p>
    <w:p w14:paraId="106117E4">
      <w:pPr>
        <w:spacing w:before="60"/>
        <w:rPr>
          <w:rFonts w:hint="default" w:ascii="Arial Regular" w:hAnsi="Arial Regular" w:eastAsia="黑体" w:cs="Arial Regular"/>
          <w:iCs/>
          <w:sz w:val="22"/>
          <w:szCs w:val="22"/>
        </w:rPr>
      </w:pPr>
      <w:r>
        <w:rPr>
          <w:rFonts w:hint="default" w:ascii="Arial Regular" w:hAnsi="Arial Regular" w:eastAsia="黑体" w:cs="Arial Regular"/>
          <w:iCs/>
          <w:sz w:val="22"/>
          <w:szCs w:val="22"/>
          <w:vertAlign w:val="superscript"/>
        </w:rPr>
        <w:t>2</w:t>
      </w:r>
      <w:r>
        <w:rPr>
          <w:rFonts w:hint="default" w:ascii="Arial Regular" w:hAnsi="Arial Regular" w:eastAsia="黑体" w:cs="Arial Regular"/>
          <w:iCs/>
          <w:sz w:val="22"/>
          <w:szCs w:val="22"/>
        </w:rPr>
        <w:t xml:space="preserve"> Institute for Interdisciplinary and Innovate Research, Xi'an University of Architecture and Technology, Xi'an, 710055, PR China.</w:t>
      </w:r>
    </w:p>
    <w:p w14:paraId="1A30C717">
      <w:pPr>
        <w:spacing w:before="60"/>
        <w:rPr>
          <w:rFonts w:hint="default" w:ascii="Arial Regular" w:hAnsi="Arial Regular" w:eastAsia="黑体" w:cs="Arial Regular"/>
          <w:iCs/>
          <w:sz w:val="22"/>
          <w:szCs w:val="22"/>
        </w:rPr>
      </w:pPr>
      <w:r>
        <w:rPr>
          <w:rFonts w:hint="default" w:ascii="Arial Regular" w:hAnsi="Arial Regular" w:eastAsia="黑体" w:cs="Arial Regular"/>
          <w:iCs/>
          <w:sz w:val="22"/>
          <w:szCs w:val="22"/>
          <w:vertAlign w:val="superscript"/>
        </w:rPr>
        <w:t>3</w:t>
      </w:r>
      <w:r>
        <w:rPr>
          <w:rFonts w:hint="default" w:ascii="Arial Regular" w:hAnsi="Arial Regular" w:eastAsia="黑体" w:cs="Arial Regular"/>
          <w:iCs/>
          <w:sz w:val="22"/>
          <w:szCs w:val="22"/>
        </w:rPr>
        <w:t xml:space="preserve"> </w:t>
      </w:r>
      <w:r>
        <w:rPr>
          <w:rFonts w:hint="default" w:ascii="Arial Regular" w:hAnsi="Arial Regular" w:eastAsia="黑体" w:cs="Arial Regular"/>
          <w:iCs/>
          <w:sz w:val="22"/>
          <w:szCs w:val="22"/>
        </w:rPr>
        <w:t>Shaanxi Key Laboratory of Environmental Engineering, Xi’an University of Architecture and Technology, Xi'an, 710055, PR China.</w:t>
      </w:r>
    </w:p>
    <w:p w14:paraId="6938B393">
      <w:pPr>
        <w:spacing w:before="60"/>
        <w:rPr>
          <w:rFonts w:hint="default" w:ascii="Arial Regular" w:hAnsi="Arial Regular" w:eastAsia="黑体" w:cs="Arial Regular"/>
          <w:iCs/>
          <w:sz w:val="22"/>
          <w:szCs w:val="22"/>
        </w:rPr>
      </w:pPr>
      <w:r>
        <w:rPr>
          <w:rFonts w:hint="default" w:ascii="Arial Regular" w:hAnsi="Arial Regular" w:eastAsia="黑体" w:cs="Arial Regular"/>
          <w:iCs/>
          <w:sz w:val="22"/>
          <w:szCs w:val="22"/>
          <w:vertAlign w:val="superscript"/>
        </w:rPr>
        <w:t>4</w:t>
      </w:r>
      <w:r>
        <w:rPr>
          <w:rFonts w:hint="default" w:ascii="Arial Regular" w:hAnsi="Arial Regular" w:eastAsia="黑体" w:cs="Arial Regular"/>
          <w:iCs/>
          <w:sz w:val="22"/>
          <w:szCs w:val="22"/>
        </w:rPr>
        <w:t xml:space="preserve"> School of Chemistry and Life Resource, Renmin University of China, Beijing, 100872, PR China.</w:t>
      </w:r>
    </w:p>
    <w:p w14:paraId="3F4DF714">
      <w:pPr>
        <w:spacing w:before="60"/>
        <w:jc w:val="left"/>
        <w:rPr>
          <w:rFonts w:hint="default" w:ascii="Arial Regular" w:hAnsi="Arial Regular" w:eastAsia="黑体" w:cs="Arial Regular"/>
          <w:iCs/>
          <w:sz w:val="22"/>
          <w:szCs w:val="22"/>
        </w:rPr>
      </w:pPr>
      <w:r>
        <w:rPr>
          <w:rFonts w:hint="default" w:ascii="Arial Regular" w:hAnsi="Arial Regular" w:eastAsia="黑体" w:cs="Arial Regular"/>
          <w:iCs/>
          <w:sz w:val="22"/>
          <w:szCs w:val="22"/>
          <w:vertAlign w:val="superscript"/>
        </w:rPr>
        <w:t>5</w:t>
      </w:r>
      <w:r>
        <w:rPr>
          <w:rFonts w:hint="default" w:ascii="Arial Regular" w:hAnsi="Arial Regular" w:eastAsia="黑体" w:cs="Arial Regular"/>
          <w:iCs/>
          <w:sz w:val="22"/>
          <w:szCs w:val="22"/>
        </w:rPr>
        <w:t xml:space="preserve"> University of Chinese Academy of Sciences, Beijing, China.</w:t>
      </w:r>
    </w:p>
    <w:p w14:paraId="492823D4">
      <w:pPr>
        <w:spacing w:before="60"/>
        <w:jc w:val="left"/>
        <w:rPr>
          <w:rFonts w:hint="default" w:ascii="Arial Regular" w:hAnsi="Arial Regular" w:eastAsia="黑体" w:cs="Arial Regular"/>
          <w:iCs/>
          <w:sz w:val="22"/>
          <w:szCs w:val="22"/>
        </w:rPr>
      </w:pPr>
    </w:p>
    <w:p w14:paraId="6A140DA5">
      <w:pPr>
        <w:spacing w:before="60"/>
        <w:jc w:val="left"/>
        <w:rPr>
          <w:rFonts w:hint="default" w:ascii="Arial Regular" w:hAnsi="Arial Regular" w:eastAsia="黑体" w:cs="Arial Regular"/>
          <w:iCs/>
          <w:sz w:val="22"/>
          <w:szCs w:val="22"/>
        </w:rPr>
      </w:pPr>
    </w:p>
    <w:p w14:paraId="1E5C6117">
      <w:pPr>
        <w:spacing w:before="60"/>
        <w:jc w:val="left"/>
        <w:rPr>
          <w:rFonts w:hint="default" w:ascii="Arial Regular" w:hAnsi="Arial Regular" w:eastAsia="黑体" w:cs="Arial Regular"/>
          <w:iCs/>
          <w:sz w:val="22"/>
          <w:szCs w:val="22"/>
        </w:rPr>
      </w:pPr>
    </w:p>
    <w:p w14:paraId="3097E275">
      <w:pPr>
        <w:spacing w:before="60"/>
        <w:jc w:val="left"/>
        <w:rPr>
          <w:rFonts w:hint="default" w:ascii="Arial Regular" w:hAnsi="Arial Regular" w:eastAsia="黑体" w:cs="Arial Regular"/>
          <w:iCs/>
          <w:sz w:val="22"/>
          <w:szCs w:val="22"/>
        </w:rPr>
      </w:pPr>
    </w:p>
    <w:p w14:paraId="3E866E60">
      <w:pPr>
        <w:spacing w:before="120"/>
        <w:jc w:val="left"/>
        <w:rPr>
          <w:rFonts w:hint="default" w:ascii="Arial Regular" w:hAnsi="Arial Regular" w:eastAsia="黑体" w:cs="Arial Regular"/>
          <w:iCs/>
          <w:sz w:val="22"/>
          <w:szCs w:val="22"/>
        </w:rPr>
      </w:pPr>
      <w:r>
        <w:rPr>
          <w:rFonts w:hint="default" w:ascii="Arial Regular" w:hAnsi="Arial Regular" w:eastAsia="黑体" w:cs="Arial Regular"/>
          <w:iCs/>
          <w:sz w:val="22"/>
          <w:szCs w:val="22"/>
        </w:rPr>
        <w:t>* Corresponding authors.</w:t>
      </w:r>
    </w:p>
    <w:p w14:paraId="46453DE1">
      <w:pPr>
        <w:jc w:val="left"/>
        <w:rPr>
          <w:rFonts w:hint="default" w:ascii="Arial Regular" w:hAnsi="Arial Regular" w:eastAsia="黑体" w:cs="Arial Regular"/>
          <w:iCs/>
          <w:sz w:val="22"/>
          <w:szCs w:val="22"/>
        </w:rPr>
      </w:pPr>
      <w:r>
        <w:rPr>
          <w:rFonts w:hint="default" w:ascii="Arial Regular" w:hAnsi="Arial Regular" w:eastAsia="黑体" w:cs="Arial Regular"/>
          <w:iCs/>
          <w:sz w:val="22"/>
          <w:szCs w:val="22"/>
        </w:rPr>
        <w:t xml:space="preserve">Email: </w:t>
      </w:r>
      <w:r>
        <w:rPr>
          <w:rFonts w:hint="default" w:ascii="Arial Regular" w:hAnsi="Arial Regular" w:eastAsia="黑体" w:cs="Arial Regular"/>
          <w:iCs/>
          <w:color w:val="0000FF"/>
          <w:sz w:val="22"/>
          <w:szCs w:val="22"/>
          <w:u w:val="single"/>
        </w:rPr>
        <w:t>hitwengang@163.com</w:t>
      </w:r>
      <w:r>
        <w:rPr>
          <w:rFonts w:hint="default" w:ascii="Arial Regular" w:hAnsi="Arial Regular" w:eastAsia="黑体" w:cs="Arial Regular"/>
          <w:iCs/>
          <w:sz w:val="22"/>
          <w:szCs w:val="22"/>
        </w:rPr>
        <w:t xml:space="preserve"> (Gang Wen)</w:t>
      </w:r>
    </w:p>
    <w:p w14:paraId="3ADD64E0">
      <w:pPr>
        <w:spacing w:before="60"/>
        <w:jc w:val="left"/>
        <w:rPr>
          <w:rFonts w:hint="default" w:ascii="Arial Regular" w:hAnsi="Arial Regular" w:eastAsia="黑体" w:cs="Arial Regular"/>
          <w:iCs/>
        </w:rPr>
      </w:pPr>
    </w:p>
    <w:p w14:paraId="0BE032CB">
      <w:pPr>
        <w:spacing w:before="60"/>
        <w:jc w:val="left"/>
        <w:rPr>
          <w:rFonts w:hint="default" w:ascii="Arial Regular" w:hAnsi="Arial Regular" w:eastAsia="黑体" w:cs="Arial Regular"/>
          <w:iCs/>
        </w:rPr>
        <w:sectPr>
          <w:footerReference r:id="rId3" w:type="default"/>
          <w:pgSz w:w="12240" w:h="15840"/>
          <w:pgMar w:top="1440" w:right="1440" w:bottom="1440" w:left="1440" w:header="851" w:footer="992" w:gutter="0"/>
          <w:cols w:space="425" w:num="1"/>
          <w:docGrid w:type="lines" w:linePitch="312" w:charSpace="0"/>
        </w:sectPr>
      </w:pPr>
    </w:p>
    <w:p w14:paraId="5DC142C5">
      <w:pPr>
        <w:pStyle w:val="2"/>
        <w:keepNext/>
        <w:keepLines/>
        <w:pageBreakBefore w:val="0"/>
        <w:widowControl w:val="0"/>
        <w:kinsoku/>
        <w:wordWrap/>
        <w:overflowPunct/>
        <w:topLinePunct w:val="0"/>
        <w:autoSpaceDE/>
        <w:autoSpaceDN/>
        <w:bidi w:val="0"/>
        <w:adjustRightInd/>
        <w:snapToGrid/>
        <w:spacing w:before="157" w:beforeLines="50" w:after="0" w:line="360" w:lineRule="auto"/>
        <w:jc w:val="center"/>
        <w:textAlignment w:val="auto"/>
        <w:rPr>
          <w:rFonts w:hint="default" w:ascii="Arial Regular" w:hAnsi="Arial Regular" w:cs="Arial Regular"/>
          <w:b/>
          <w:bCs/>
          <w:sz w:val="26"/>
          <w:szCs w:val="26"/>
        </w:rPr>
      </w:pPr>
      <w:r>
        <w:rPr>
          <w:rFonts w:hint="default" w:ascii="Arial Regular" w:hAnsi="Arial Regular" w:cs="Arial Regular"/>
          <w:b/>
          <w:bCs/>
          <w:sz w:val="26"/>
          <w:szCs w:val="26"/>
        </w:rPr>
        <w:t>Table of Contents</w:t>
      </w:r>
    </w:p>
    <w:p w14:paraId="39BEBAAA">
      <w:pPr>
        <w:pStyle w:val="2"/>
        <w:keepNext/>
        <w:keepLines/>
        <w:pageBreakBefore w:val="0"/>
        <w:widowControl w:val="0"/>
        <w:kinsoku/>
        <w:wordWrap/>
        <w:overflowPunct/>
        <w:topLinePunct w:val="0"/>
        <w:autoSpaceDE/>
        <w:autoSpaceDN/>
        <w:bidi w:val="0"/>
        <w:adjustRightInd/>
        <w:snapToGrid/>
        <w:spacing w:before="157" w:beforeLines="50" w:after="0" w:line="360" w:lineRule="auto"/>
        <w:textAlignment w:val="auto"/>
        <w:rPr>
          <w:rFonts w:hint="default" w:ascii="Arial Regular" w:hAnsi="Arial Regular" w:cs="Arial Regular"/>
          <w:b/>
          <w:bCs/>
          <w:sz w:val="26"/>
          <w:szCs w:val="26"/>
        </w:rPr>
      </w:pPr>
      <w:r>
        <w:rPr>
          <w:rFonts w:hint="default" w:ascii="Arial Regular" w:hAnsi="Arial Regular" w:cs="Arial Regular"/>
          <w:b/>
          <w:bCs/>
          <w:sz w:val="26"/>
          <w:szCs w:val="26"/>
        </w:rPr>
        <w:t>Texts</w:t>
      </w:r>
    </w:p>
    <w:p w14:paraId="22E44B13">
      <w:pPr>
        <w:widowControl/>
        <w:spacing w:line="360" w:lineRule="auto"/>
        <w:rPr>
          <w:rFonts w:hint="default" w:ascii="Arial Regular" w:hAnsi="Arial Regular" w:cs="Arial Regular"/>
          <w:sz w:val="22"/>
          <w:szCs w:val="22"/>
        </w:rPr>
      </w:pPr>
      <w:r>
        <w:rPr>
          <w:rFonts w:hint="default" w:ascii="Arial Regular" w:hAnsi="Arial Regular" w:cs="Arial Regular"/>
          <w:sz w:val="22"/>
          <w:szCs w:val="22"/>
        </w:rPr>
        <w:t>Supplementary Text 1. Preparation of fungal spore and bacterial suspensions.</w:t>
      </w:r>
    </w:p>
    <w:p w14:paraId="0F55D5C0">
      <w:pPr>
        <w:widowControl/>
        <w:spacing w:line="360" w:lineRule="auto"/>
        <w:rPr>
          <w:rFonts w:hint="default" w:ascii="Arial Regular" w:hAnsi="Arial Regular" w:cs="Arial Regular"/>
          <w:sz w:val="22"/>
          <w:szCs w:val="22"/>
        </w:rPr>
      </w:pPr>
      <w:r>
        <w:rPr>
          <w:rFonts w:hint="default" w:ascii="Arial Regular" w:hAnsi="Arial Regular" w:cs="Arial Regular"/>
          <w:sz w:val="22"/>
          <w:szCs w:val="22"/>
        </w:rPr>
        <w:t>Supplementary Text 2. Metal ion adsorption by fungal spores.</w:t>
      </w:r>
    </w:p>
    <w:p w14:paraId="7EF718D3">
      <w:pPr>
        <w:widowControl/>
        <w:spacing w:line="360" w:lineRule="auto"/>
        <w:rPr>
          <w:rFonts w:hint="default" w:ascii="Arial Regular" w:hAnsi="Arial Regular" w:cs="Arial Regular"/>
          <w:sz w:val="22"/>
          <w:szCs w:val="22"/>
        </w:rPr>
      </w:pPr>
      <w:r>
        <w:rPr>
          <w:rFonts w:hint="default" w:ascii="Arial Regular" w:hAnsi="Arial Regular" w:cs="Arial Regular"/>
          <w:sz w:val="22"/>
          <w:szCs w:val="22"/>
        </w:rPr>
        <w:t xml:space="preserve">Supplementary Text </w:t>
      </w:r>
      <w:r>
        <w:rPr>
          <w:rFonts w:hint="default" w:ascii="Arial Regular" w:hAnsi="Arial Regular" w:cs="Arial Regular"/>
          <w:sz w:val="22"/>
          <w:szCs w:val="22"/>
          <w:lang w:val="en-US" w:eastAsia="zh-CN"/>
        </w:rPr>
        <w:t>3</w:t>
      </w:r>
      <w:r>
        <w:rPr>
          <w:rFonts w:hint="default" w:ascii="Arial Regular" w:hAnsi="Arial Regular" w:cs="Arial Regular"/>
          <w:sz w:val="22"/>
          <w:szCs w:val="22"/>
        </w:rPr>
        <w:t>. Disinfection experiments.</w:t>
      </w:r>
    </w:p>
    <w:p w14:paraId="7C1A2995">
      <w:pPr>
        <w:widowControl/>
        <w:spacing w:line="360" w:lineRule="auto"/>
        <w:rPr>
          <w:rFonts w:hint="default" w:ascii="Arial Regular" w:hAnsi="Arial Regular" w:cs="Arial Regular"/>
          <w:sz w:val="22"/>
          <w:szCs w:val="22"/>
        </w:rPr>
      </w:pPr>
      <w:r>
        <w:rPr>
          <w:rFonts w:hint="default" w:ascii="Arial Regular" w:hAnsi="Arial Regular" w:cs="Arial Regular"/>
          <w:sz w:val="22"/>
          <w:szCs w:val="22"/>
        </w:rPr>
        <w:t xml:space="preserve">Supplementary Text </w:t>
      </w:r>
      <w:r>
        <w:rPr>
          <w:rFonts w:hint="default" w:ascii="Arial Regular" w:hAnsi="Arial Regular" w:cs="Arial Regular"/>
          <w:sz w:val="22"/>
          <w:szCs w:val="22"/>
          <w:lang w:val="en-US" w:eastAsia="zh-CN"/>
        </w:rPr>
        <w:t>4</w:t>
      </w:r>
      <w:r>
        <w:rPr>
          <w:rFonts w:hint="default" w:ascii="Arial Regular" w:hAnsi="Arial Regular" w:cs="Arial Regular"/>
          <w:sz w:val="22"/>
          <w:szCs w:val="22"/>
        </w:rPr>
        <w:t xml:space="preserve">. Extraction of melanin and chitosan from </w:t>
      </w:r>
      <w:r>
        <w:rPr>
          <w:rFonts w:hint="default" w:ascii="Arial Regular" w:hAnsi="Arial Regular" w:cs="Arial Regular"/>
          <w:i/>
          <w:iCs/>
          <w:sz w:val="22"/>
          <w:szCs w:val="22"/>
        </w:rPr>
        <w:t>A. niger</w:t>
      </w:r>
      <w:r>
        <w:rPr>
          <w:rFonts w:hint="default" w:ascii="Arial Regular" w:hAnsi="Arial Regular" w:cs="Arial Regular"/>
          <w:sz w:val="22"/>
          <w:szCs w:val="22"/>
        </w:rPr>
        <w:t>.</w:t>
      </w:r>
    </w:p>
    <w:p w14:paraId="7ADBBE17">
      <w:pPr>
        <w:widowControl/>
        <w:spacing w:line="360" w:lineRule="auto"/>
        <w:rPr>
          <w:rFonts w:hint="default" w:ascii="Arial Regular" w:hAnsi="Arial Regular" w:cs="Arial Regular"/>
          <w:sz w:val="22"/>
          <w:szCs w:val="22"/>
        </w:rPr>
      </w:pPr>
      <w:r>
        <w:rPr>
          <w:rFonts w:hint="default" w:ascii="Arial Regular" w:hAnsi="Arial Regular" w:cs="Arial Regular"/>
          <w:sz w:val="22"/>
          <w:szCs w:val="22"/>
        </w:rPr>
        <w:t xml:space="preserve">Supplementary Text </w:t>
      </w:r>
      <w:r>
        <w:rPr>
          <w:rFonts w:hint="default" w:ascii="Arial Regular" w:hAnsi="Arial Regular" w:cs="Arial Regular"/>
          <w:sz w:val="22"/>
          <w:szCs w:val="22"/>
          <w:lang w:val="en-US" w:eastAsia="zh-CN"/>
        </w:rPr>
        <w:t>5</w:t>
      </w:r>
      <w:r>
        <w:rPr>
          <w:rFonts w:hint="default" w:ascii="Arial Regular" w:hAnsi="Arial Regular" w:cs="Arial Regular"/>
          <w:sz w:val="22"/>
          <w:szCs w:val="22"/>
        </w:rPr>
        <w:t>. Assessment of membrane integrity, intracellular ROS, and structural damage.</w:t>
      </w:r>
    </w:p>
    <w:p w14:paraId="627CF277">
      <w:pPr>
        <w:widowControl/>
        <w:spacing w:line="360" w:lineRule="auto"/>
        <w:rPr>
          <w:rFonts w:hint="default" w:ascii="Arial Regular" w:hAnsi="Arial Regular" w:cs="Arial Regular"/>
          <w:sz w:val="22"/>
          <w:szCs w:val="22"/>
        </w:rPr>
      </w:pPr>
      <w:r>
        <w:rPr>
          <w:rFonts w:hint="default" w:ascii="Arial Regular" w:hAnsi="Arial Regular" w:cs="Arial Regular"/>
          <w:sz w:val="22"/>
          <w:szCs w:val="22"/>
        </w:rPr>
        <w:t xml:space="preserve">Supplementary Text </w:t>
      </w:r>
      <w:r>
        <w:rPr>
          <w:rFonts w:hint="default" w:ascii="Arial Regular" w:hAnsi="Arial Regular" w:cs="Arial Regular"/>
          <w:sz w:val="22"/>
          <w:szCs w:val="22"/>
          <w:lang w:val="en-US" w:eastAsia="zh-CN"/>
        </w:rPr>
        <w:t>6</w:t>
      </w:r>
      <w:r>
        <w:rPr>
          <w:rFonts w:hint="default" w:ascii="Arial Regular" w:hAnsi="Arial Regular" w:cs="Arial Regular"/>
          <w:sz w:val="22"/>
          <w:szCs w:val="22"/>
        </w:rPr>
        <w:t>. Proteomic analysis.</w:t>
      </w:r>
    </w:p>
    <w:p w14:paraId="7BD046E6">
      <w:pPr>
        <w:widowControl/>
        <w:spacing w:line="360" w:lineRule="auto"/>
        <w:rPr>
          <w:rFonts w:hint="default" w:ascii="Arial Regular" w:hAnsi="Arial Regular" w:cs="Arial Regular"/>
          <w:sz w:val="22"/>
          <w:szCs w:val="22"/>
        </w:rPr>
      </w:pPr>
      <w:r>
        <w:rPr>
          <w:rFonts w:hint="default" w:ascii="Arial Regular" w:hAnsi="Arial Regular" w:cs="Arial Regular"/>
          <w:sz w:val="22"/>
          <w:szCs w:val="22"/>
        </w:rPr>
        <w:t xml:space="preserve">Supplementary Text </w:t>
      </w:r>
      <w:r>
        <w:rPr>
          <w:rFonts w:hint="default" w:ascii="Arial Regular" w:hAnsi="Arial Regular" w:cs="Arial Regular"/>
          <w:sz w:val="22"/>
          <w:szCs w:val="22"/>
          <w:lang w:val="en-US" w:eastAsia="zh-CN"/>
        </w:rPr>
        <w:t>7</w:t>
      </w:r>
      <w:r>
        <w:rPr>
          <w:rFonts w:hint="default" w:ascii="Arial Regular" w:hAnsi="Arial Regular" w:cs="Arial Regular"/>
          <w:sz w:val="22"/>
          <w:szCs w:val="22"/>
        </w:rPr>
        <w:t>. 2D-COS analysis.</w:t>
      </w:r>
    </w:p>
    <w:p w14:paraId="1756190E">
      <w:pPr>
        <w:widowControl/>
        <w:spacing w:line="360" w:lineRule="auto"/>
        <w:rPr>
          <w:rFonts w:hint="default" w:ascii="Arial Regular" w:hAnsi="Arial Regular" w:cs="Arial Regular"/>
          <w:sz w:val="22"/>
          <w:szCs w:val="22"/>
        </w:rPr>
      </w:pPr>
      <w:r>
        <w:rPr>
          <w:rFonts w:hint="default" w:ascii="Arial Regular" w:hAnsi="Arial Regular" w:cs="Arial Regular"/>
          <w:sz w:val="22"/>
          <w:szCs w:val="22"/>
        </w:rPr>
        <w:t xml:space="preserve">Supplementary Text </w:t>
      </w:r>
      <w:r>
        <w:rPr>
          <w:rFonts w:hint="default" w:ascii="Arial Regular" w:hAnsi="Arial Regular" w:cs="Arial Regular"/>
          <w:sz w:val="22"/>
          <w:szCs w:val="22"/>
          <w:lang w:val="en-US" w:eastAsia="zh-CN"/>
        </w:rPr>
        <w:t>8</w:t>
      </w:r>
      <w:r>
        <w:rPr>
          <w:rFonts w:hint="default" w:ascii="Arial Regular" w:hAnsi="Arial Regular" w:cs="Arial Regular"/>
          <w:sz w:val="22"/>
          <w:szCs w:val="22"/>
        </w:rPr>
        <w:t>. Density functional theory (DFT) calculations.</w:t>
      </w:r>
    </w:p>
    <w:p w14:paraId="357855CF">
      <w:pPr>
        <w:widowControl/>
        <w:spacing w:line="360" w:lineRule="auto"/>
        <w:rPr>
          <w:rFonts w:hint="default" w:ascii="Arial Regular" w:hAnsi="Arial Regular" w:cs="Arial Regular"/>
          <w:sz w:val="22"/>
          <w:szCs w:val="22"/>
        </w:rPr>
      </w:pPr>
    </w:p>
    <w:p w14:paraId="00A5A1E8">
      <w:pPr>
        <w:pStyle w:val="2"/>
        <w:keepNext/>
        <w:keepLines/>
        <w:pageBreakBefore w:val="0"/>
        <w:widowControl w:val="0"/>
        <w:kinsoku/>
        <w:wordWrap/>
        <w:overflowPunct/>
        <w:topLinePunct w:val="0"/>
        <w:autoSpaceDE/>
        <w:autoSpaceDN/>
        <w:bidi w:val="0"/>
        <w:adjustRightInd/>
        <w:snapToGrid/>
        <w:spacing w:before="157" w:beforeLines="50" w:after="0" w:line="360" w:lineRule="auto"/>
        <w:textAlignment w:val="auto"/>
        <w:rPr>
          <w:rFonts w:hint="default" w:ascii="Arial Regular" w:hAnsi="Arial Regular" w:cs="Arial Regular"/>
          <w:b/>
          <w:bCs/>
          <w:sz w:val="26"/>
          <w:szCs w:val="26"/>
        </w:rPr>
      </w:pPr>
      <w:r>
        <w:rPr>
          <w:rFonts w:hint="default" w:ascii="Arial Regular" w:hAnsi="Arial Regular" w:cs="Arial Regular"/>
          <w:b/>
          <w:bCs/>
          <w:sz w:val="26"/>
          <w:szCs w:val="26"/>
        </w:rPr>
        <w:t>Figures</w:t>
      </w:r>
    </w:p>
    <w:p w14:paraId="6D40FB59">
      <w:pPr>
        <w:widowControl/>
        <w:spacing w:line="360" w:lineRule="auto"/>
        <w:rPr>
          <w:rFonts w:hint="default" w:ascii="Arial Regular" w:hAnsi="Arial Regular" w:cs="Arial Regular"/>
          <w:sz w:val="22"/>
          <w:szCs w:val="22"/>
        </w:rPr>
      </w:pPr>
      <w:r>
        <w:rPr>
          <w:rFonts w:hint="default" w:ascii="Arial Regular" w:hAnsi="Arial Regular" w:cs="Arial Regular"/>
          <w:sz w:val="22"/>
          <w:szCs w:val="22"/>
        </w:rPr>
        <w:t>Supplementary Fig. 1. Procedures for disinfection experiments.</w:t>
      </w:r>
    </w:p>
    <w:p w14:paraId="70F77CC4">
      <w:pPr>
        <w:widowControl/>
        <w:spacing w:line="360" w:lineRule="auto"/>
        <w:rPr>
          <w:rFonts w:hint="default" w:ascii="Arial Regular" w:hAnsi="Arial Regular" w:cs="Arial Regular"/>
          <w:b w:val="0"/>
          <w:bCs w:val="0"/>
          <w:i w:val="0"/>
          <w:iCs w:val="0"/>
          <w:sz w:val="22"/>
          <w:szCs w:val="22"/>
        </w:rPr>
      </w:pPr>
      <w:r>
        <w:rPr>
          <w:rFonts w:hint="default" w:ascii="Arial Regular" w:hAnsi="Arial Regular" w:cs="Arial Regular"/>
          <w:b w:val="0"/>
          <w:bCs w:val="0"/>
          <w:i w:val="0"/>
          <w:iCs w:val="0"/>
          <w:sz w:val="22"/>
          <w:szCs w:val="22"/>
        </w:rPr>
        <w:t xml:space="preserve">Supplementary Fig. 2. Time-dependent adsorption efficiency of </w:t>
      </w:r>
      <w:r>
        <w:rPr>
          <w:rFonts w:hint="default" w:ascii="Arial Regular" w:hAnsi="Arial Regular" w:cs="Arial Regular"/>
          <w:b w:val="0"/>
          <w:bCs w:val="0"/>
          <w:i/>
          <w:iCs/>
          <w:sz w:val="22"/>
          <w:szCs w:val="22"/>
        </w:rPr>
        <w:t>A. niger</w:t>
      </w:r>
      <w:r>
        <w:rPr>
          <w:rFonts w:hint="default" w:ascii="Arial Regular" w:hAnsi="Arial Regular" w:cs="Arial Regular"/>
          <w:b w:val="0"/>
          <w:bCs w:val="0"/>
          <w:i w:val="0"/>
          <w:iCs w:val="0"/>
          <w:sz w:val="22"/>
          <w:szCs w:val="22"/>
        </w:rPr>
        <w:t xml:space="preserve"> and </w:t>
      </w:r>
      <w:r>
        <w:rPr>
          <w:rFonts w:hint="default" w:ascii="Arial Regular" w:hAnsi="Arial Regular" w:cs="Arial Regular"/>
          <w:b w:val="0"/>
          <w:bCs w:val="0"/>
          <w:i/>
          <w:iCs/>
          <w:sz w:val="22"/>
          <w:szCs w:val="22"/>
        </w:rPr>
        <w:t>P. polonicum</w:t>
      </w:r>
      <w:r>
        <w:rPr>
          <w:rFonts w:hint="default" w:ascii="Arial Regular" w:hAnsi="Arial Regular" w:cs="Arial Regular"/>
          <w:b w:val="0"/>
          <w:bCs w:val="0"/>
          <w:i w:val="0"/>
          <w:iCs w:val="0"/>
          <w:sz w:val="22"/>
          <w:szCs w:val="22"/>
        </w:rPr>
        <w:t xml:space="preserve"> spores.</w:t>
      </w:r>
    </w:p>
    <w:p w14:paraId="617A651C">
      <w:pPr>
        <w:widowControl/>
        <w:spacing w:line="360" w:lineRule="auto"/>
        <w:rPr>
          <w:rFonts w:hint="default" w:ascii="Arial Regular" w:hAnsi="Arial Regular" w:cs="Arial Regular"/>
          <w:b w:val="0"/>
          <w:bCs w:val="0"/>
          <w:i w:val="0"/>
          <w:iCs w:val="0"/>
          <w:sz w:val="22"/>
          <w:szCs w:val="22"/>
        </w:rPr>
      </w:pPr>
      <w:r>
        <w:rPr>
          <w:rFonts w:hint="default" w:ascii="Arial Regular" w:hAnsi="Arial Regular" w:cs="Arial Regular"/>
          <w:b w:val="0"/>
          <w:bCs w:val="0"/>
          <w:i w:val="0"/>
          <w:iCs w:val="0"/>
          <w:sz w:val="22"/>
          <w:szCs w:val="22"/>
        </w:rPr>
        <w:t>Supplementary Fig. 3. Effects of 100 μM metal ions on the culturability of fungal spores.</w:t>
      </w:r>
    </w:p>
    <w:p w14:paraId="2F85D165">
      <w:pPr>
        <w:widowControl/>
        <w:spacing w:line="360" w:lineRule="auto"/>
        <w:rPr>
          <w:rFonts w:hint="default" w:ascii="Arial Regular" w:hAnsi="Arial Regular" w:cs="Arial Regular"/>
          <w:b w:val="0"/>
          <w:bCs w:val="0"/>
          <w:i w:val="0"/>
          <w:iCs w:val="0"/>
          <w:sz w:val="22"/>
          <w:szCs w:val="22"/>
        </w:rPr>
      </w:pPr>
      <w:r>
        <w:rPr>
          <w:rFonts w:hint="default" w:ascii="Arial Regular" w:hAnsi="Arial Regular" w:cs="Arial Regular"/>
          <w:b w:val="0"/>
          <w:bCs w:val="0"/>
          <w:i w:val="0"/>
          <w:iCs w:val="0"/>
          <w:sz w:val="22"/>
          <w:szCs w:val="22"/>
        </w:rPr>
        <w:t>Supplementary Fig. 4. Effects of metal ion concentration on spore surface zeta potential.</w:t>
      </w:r>
    </w:p>
    <w:p w14:paraId="3BBECA96">
      <w:pPr>
        <w:widowControl/>
        <w:spacing w:line="360" w:lineRule="auto"/>
        <w:rPr>
          <w:rFonts w:hint="default" w:ascii="Arial Regular" w:hAnsi="Arial Regular" w:cs="Arial Regular"/>
          <w:b w:val="0"/>
          <w:bCs w:val="0"/>
          <w:i w:val="0"/>
          <w:iCs w:val="0"/>
          <w:sz w:val="22"/>
          <w:szCs w:val="22"/>
        </w:rPr>
      </w:pPr>
      <w:r>
        <w:rPr>
          <w:rFonts w:hint="default" w:ascii="Arial Regular" w:hAnsi="Arial Regular" w:cs="Arial Regular"/>
          <w:b w:val="0"/>
          <w:bCs w:val="0"/>
          <w:i w:val="0"/>
          <w:iCs w:val="0"/>
          <w:sz w:val="22"/>
          <w:szCs w:val="22"/>
        </w:rPr>
        <w:t>Supplementary Fig. 5. Effects of 100 μM metal ions on spore surface hydrophobicity.</w:t>
      </w:r>
    </w:p>
    <w:p w14:paraId="216EAD7E">
      <w:pPr>
        <w:widowControl/>
        <w:spacing w:line="360" w:lineRule="auto"/>
        <w:rPr>
          <w:rFonts w:hint="default" w:ascii="Arial Regular" w:hAnsi="Arial Regular" w:cs="Arial Regular"/>
          <w:b w:val="0"/>
          <w:bCs w:val="0"/>
          <w:i w:val="0"/>
          <w:iCs w:val="0"/>
          <w:sz w:val="22"/>
          <w:szCs w:val="22"/>
        </w:rPr>
      </w:pPr>
      <w:r>
        <w:rPr>
          <w:rFonts w:hint="default" w:ascii="Arial Regular" w:hAnsi="Arial Regular" w:cs="Arial Regular"/>
          <w:b w:val="0"/>
          <w:bCs w:val="0"/>
          <w:i w:val="0"/>
          <w:iCs w:val="0"/>
          <w:sz w:val="22"/>
          <w:szCs w:val="22"/>
        </w:rPr>
        <w:t xml:space="preserve">Supplementary Fig. 6. </w:t>
      </w:r>
      <w:r>
        <w:rPr>
          <w:rFonts w:hint="default" w:ascii="Arial Regular" w:hAnsi="Arial Regular" w:cs="Arial Regular"/>
          <w:b w:val="0"/>
          <w:bCs w:val="0"/>
          <w:i w:val="0"/>
          <w:iCs w:val="0"/>
          <w:sz w:val="22"/>
          <w:szCs w:val="22"/>
          <w:highlight w:val="none"/>
          <w:lang w:val="en-US" w:eastAsia="zh-CN"/>
        </w:rPr>
        <w:t xml:space="preserve">Particle size changes of </w:t>
      </w:r>
      <w:r>
        <w:rPr>
          <w:rFonts w:hint="default" w:ascii="Arial Regular" w:hAnsi="Arial Regular" w:cs="Arial Regular"/>
          <w:b w:val="0"/>
          <w:bCs w:val="0"/>
          <w:i/>
          <w:iCs/>
          <w:sz w:val="22"/>
          <w:szCs w:val="22"/>
        </w:rPr>
        <w:t>A.niger</w:t>
      </w:r>
      <w:r>
        <w:rPr>
          <w:rFonts w:hint="default" w:ascii="Arial Regular" w:hAnsi="Arial Regular" w:cs="Arial Regular"/>
          <w:b w:val="0"/>
          <w:bCs w:val="0"/>
          <w:i w:val="0"/>
          <w:iCs w:val="0"/>
          <w:color w:val="000000"/>
          <w:sz w:val="22"/>
          <w:szCs w:val="22"/>
          <w:lang w:bidi="ar"/>
        </w:rPr>
        <w:t xml:space="preserve"> spores</w:t>
      </w:r>
      <w:r>
        <w:rPr>
          <w:rFonts w:hint="default" w:ascii="Arial Regular" w:hAnsi="Arial Regular" w:cs="Arial Regular"/>
          <w:b w:val="0"/>
          <w:bCs w:val="0"/>
          <w:i w:val="0"/>
          <w:iCs w:val="0"/>
          <w:sz w:val="22"/>
          <w:szCs w:val="22"/>
        </w:rPr>
        <w:t xml:space="preserve"> following metal ion complexation</w:t>
      </w:r>
      <w:r>
        <w:rPr>
          <w:rFonts w:hint="default" w:ascii="Arial Regular" w:hAnsi="Arial Regular" w:cs="Arial Regular"/>
          <w:b w:val="0"/>
          <w:bCs w:val="0"/>
          <w:i w:val="0"/>
          <w:iCs w:val="0"/>
          <w:sz w:val="22"/>
          <w:szCs w:val="22"/>
          <w:lang w:val="en-US"/>
        </w:rPr>
        <w:t>.</w:t>
      </w:r>
    </w:p>
    <w:p w14:paraId="2E027BD0">
      <w:pPr>
        <w:widowControl/>
        <w:spacing w:line="360" w:lineRule="auto"/>
        <w:rPr>
          <w:rFonts w:hint="default" w:ascii="Arial Regular" w:hAnsi="Arial Regular" w:cs="Arial Regular"/>
          <w:b w:val="0"/>
          <w:bCs w:val="0"/>
          <w:i w:val="0"/>
          <w:iCs w:val="0"/>
          <w:sz w:val="22"/>
          <w:szCs w:val="22"/>
        </w:rPr>
      </w:pPr>
      <w:r>
        <w:rPr>
          <w:rFonts w:hint="default" w:ascii="Arial Regular" w:hAnsi="Arial Regular" w:cs="Arial Regular"/>
          <w:b w:val="0"/>
          <w:bCs w:val="0"/>
          <w:i w:val="0"/>
          <w:iCs w:val="0"/>
          <w:sz w:val="22"/>
          <w:szCs w:val="22"/>
        </w:rPr>
        <w:t xml:space="preserve">Supplementary Fig. 7. Chlorine inactivation kinetics of </w:t>
      </w:r>
      <w:r>
        <w:rPr>
          <w:rFonts w:hint="default" w:ascii="Arial Regular" w:hAnsi="Arial Regular" w:cs="Arial Regular"/>
          <w:b w:val="0"/>
          <w:bCs w:val="0"/>
          <w:i/>
          <w:iCs/>
          <w:sz w:val="22"/>
          <w:szCs w:val="22"/>
        </w:rPr>
        <w:t>A. niger</w:t>
      </w:r>
      <w:r>
        <w:rPr>
          <w:rFonts w:hint="default" w:ascii="Arial Regular" w:hAnsi="Arial Regular" w:cs="Arial Regular"/>
          <w:b w:val="0"/>
          <w:bCs w:val="0"/>
          <w:i w:val="0"/>
          <w:iCs w:val="0"/>
          <w:sz w:val="22"/>
          <w:szCs w:val="22"/>
          <w:lang w:val="en-US"/>
        </w:rPr>
        <w:t xml:space="preserve"> </w:t>
      </w:r>
      <w:r>
        <w:rPr>
          <w:rFonts w:hint="default" w:ascii="Arial Regular" w:hAnsi="Arial Regular" w:cs="Arial Regular"/>
          <w:b w:val="0"/>
          <w:bCs w:val="0"/>
          <w:i w:val="0"/>
          <w:iCs w:val="0"/>
          <w:sz w:val="22"/>
          <w:szCs w:val="22"/>
        </w:rPr>
        <w:t xml:space="preserve">spores, and </w:t>
      </w:r>
      <w:r>
        <w:rPr>
          <w:rFonts w:hint="default" w:ascii="Arial Regular" w:hAnsi="Arial Regular" w:cs="Arial Regular"/>
          <w:b w:val="0"/>
          <w:bCs w:val="0"/>
          <w:i/>
          <w:iCs/>
          <w:sz w:val="22"/>
          <w:szCs w:val="22"/>
        </w:rPr>
        <w:t>E. coli</w:t>
      </w:r>
      <w:r>
        <w:rPr>
          <w:rFonts w:hint="default" w:ascii="Arial Regular" w:hAnsi="Arial Regular" w:cs="Arial Regular"/>
          <w:b w:val="0"/>
          <w:bCs w:val="0"/>
          <w:i w:val="0"/>
          <w:iCs w:val="0"/>
          <w:sz w:val="22"/>
          <w:szCs w:val="22"/>
          <w:lang w:val="en-US"/>
        </w:rPr>
        <w:t xml:space="preserve"> </w:t>
      </w:r>
      <w:r>
        <w:rPr>
          <w:rFonts w:hint="default" w:ascii="Arial Regular" w:hAnsi="Arial Regular" w:cs="Arial Regular"/>
          <w:b w:val="0"/>
          <w:bCs w:val="0"/>
          <w:i w:val="0"/>
          <w:iCs w:val="0"/>
          <w:sz w:val="22"/>
          <w:szCs w:val="22"/>
        </w:rPr>
        <w:t>after complexation with metal ions.</w:t>
      </w:r>
    </w:p>
    <w:p w14:paraId="3054A784">
      <w:pPr>
        <w:widowControl/>
        <w:spacing w:line="360" w:lineRule="auto"/>
        <w:rPr>
          <w:rFonts w:hint="default" w:ascii="Arial Regular" w:hAnsi="Arial Regular" w:cs="Arial Regular"/>
          <w:b w:val="0"/>
          <w:bCs w:val="0"/>
          <w:i w:val="0"/>
          <w:iCs w:val="0"/>
          <w:sz w:val="22"/>
          <w:szCs w:val="22"/>
        </w:rPr>
      </w:pPr>
      <w:r>
        <w:rPr>
          <w:rFonts w:hint="default" w:ascii="Arial Regular" w:hAnsi="Arial Regular" w:cs="Arial Regular"/>
          <w:b w:val="0"/>
          <w:bCs w:val="0"/>
          <w:i w:val="0"/>
          <w:iCs w:val="0"/>
          <w:sz w:val="22"/>
          <w:szCs w:val="22"/>
        </w:rPr>
        <w:t xml:space="preserve">Supplementary Fig. 8. Chlorine inactivation kinetics of </w:t>
      </w:r>
      <w:r>
        <w:rPr>
          <w:rFonts w:hint="default" w:ascii="Arial Regular" w:hAnsi="Arial Regular" w:cs="Arial Regular"/>
          <w:b w:val="0"/>
          <w:bCs w:val="0"/>
          <w:i/>
          <w:iCs/>
          <w:sz w:val="22"/>
          <w:szCs w:val="22"/>
        </w:rPr>
        <w:t>P. polonicum</w:t>
      </w:r>
      <w:r>
        <w:rPr>
          <w:rFonts w:hint="default" w:ascii="Arial Regular" w:hAnsi="Arial Regular" w:cs="Arial Regular"/>
          <w:b w:val="0"/>
          <w:bCs w:val="0"/>
          <w:i w:val="0"/>
          <w:iCs w:val="0"/>
          <w:sz w:val="22"/>
          <w:szCs w:val="22"/>
        </w:rPr>
        <w:t xml:space="preserve"> spores</w:t>
      </w:r>
      <w:r>
        <w:rPr>
          <w:rFonts w:hint="default" w:ascii="Arial Regular" w:hAnsi="Arial Regular" w:cs="Arial Regular"/>
          <w:b w:val="0"/>
          <w:bCs w:val="0"/>
          <w:i w:val="0"/>
          <w:iCs w:val="0"/>
          <w:sz w:val="22"/>
          <w:szCs w:val="22"/>
          <w:lang w:val="en-US"/>
        </w:rPr>
        <w:t xml:space="preserve"> </w:t>
      </w:r>
      <w:r>
        <w:rPr>
          <w:rFonts w:hint="default" w:ascii="Arial Regular" w:hAnsi="Arial Regular" w:cs="Arial Regular"/>
          <w:b w:val="0"/>
          <w:bCs w:val="0"/>
          <w:i w:val="0"/>
          <w:iCs w:val="0"/>
          <w:sz w:val="22"/>
          <w:szCs w:val="22"/>
        </w:rPr>
        <w:t>after complexation with metal ions.</w:t>
      </w:r>
    </w:p>
    <w:p w14:paraId="3AAB3B56">
      <w:pPr>
        <w:widowControl/>
        <w:spacing w:line="360" w:lineRule="auto"/>
        <w:rPr>
          <w:rFonts w:hint="default" w:ascii="Arial Regular" w:hAnsi="Arial Regular" w:cs="Arial Regular"/>
          <w:b w:val="0"/>
          <w:bCs w:val="0"/>
          <w:i w:val="0"/>
          <w:iCs w:val="0"/>
          <w:sz w:val="22"/>
          <w:szCs w:val="22"/>
        </w:rPr>
      </w:pPr>
      <w:r>
        <w:rPr>
          <w:rFonts w:hint="default" w:ascii="Arial Regular" w:hAnsi="Arial Regular" w:cs="Arial Regular"/>
          <w:b w:val="0"/>
          <w:bCs w:val="0"/>
          <w:i w:val="0"/>
          <w:iCs w:val="0"/>
          <w:sz w:val="22"/>
          <w:szCs w:val="22"/>
        </w:rPr>
        <w:t xml:space="preserve">Supplementary Fig. 9. Inactivation kinetics and resistance of metal-complexed </w:t>
      </w:r>
      <w:r>
        <w:rPr>
          <w:rFonts w:hint="default" w:ascii="Arial Regular" w:hAnsi="Arial Regular" w:cs="Arial Regular"/>
          <w:b w:val="0"/>
          <w:bCs w:val="0"/>
          <w:i/>
          <w:iCs/>
          <w:sz w:val="22"/>
          <w:szCs w:val="22"/>
        </w:rPr>
        <w:t>P. polonicum</w:t>
      </w:r>
      <w:r>
        <w:rPr>
          <w:rFonts w:hint="default" w:ascii="Arial Regular" w:hAnsi="Arial Regular" w:cs="Arial Regular"/>
          <w:b w:val="0"/>
          <w:bCs w:val="0"/>
          <w:i w:val="0"/>
          <w:iCs w:val="0"/>
          <w:sz w:val="22"/>
          <w:szCs w:val="22"/>
        </w:rPr>
        <w:t xml:space="preserve"> spores under different disinfection treatments.</w:t>
      </w:r>
    </w:p>
    <w:p w14:paraId="0FF22A9F">
      <w:pPr>
        <w:widowControl/>
        <w:spacing w:line="360" w:lineRule="auto"/>
        <w:rPr>
          <w:rFonts w:hint="default" w:ascii="Arial Regular" w:hAnsi="Arial Regular" w:cs="Arial Regular"/>
          <w:sz w:val="22"/>
          <w:szCs w:val="22"/>
        </w:rPr>
      </w:pPr>
      <w:r>
        <w:rPr>
          <w:rFonts w:hint="default" w:ascii="Arial Regular" w:hAnsi="Arial Regular" w:cs="Arial Regular"/>
          <w:sz w:val="22"/>
          <w:szCs w:val="22"/>
        </w:rPr>
        <w:t xml:space="preserve">Supplementary Fig. 10. Inactivation of </w:t>
      </w:r>
      <w:r>
        <w:rPr>
          <w:rFonts w:hint="default" w:ascii="Arial Regular" w:hAnsi="Arial Regular" w:cs="Arial Regular"/>
          <w:i/>
          <w:iCs/>
          <w:sz w:val="22"/>
          <w:szCs w:val="22"/>
        </w:rPr>
        <w:t>A. niger</w:t>
      </w:r>
      <w:r>
        <w:rPr>
          <w:rFonts w:hint="default" w:ascii="Arial Regular" w:hAnsi="Arial Regular" w:cs="Arial Regular"/>
          <w:sz w:val="22"/>
          <w:szCs w:val="22"/>
        </w:rPr>
        <w:t xml:space="preserve"> spores under varying initial metal ion concentrations.</w:t>
      </w:r>
    </w:p>
    <w:p w14:paraId="4E9CFD28">
      <w:pPr>
        <w:widowControl/>
        <w:spacing w:line="360" w:lineRule="auto"/>
        <w:rPr>
          <w:rFonts w:hint="default" w:ascii="Arial Regular" w:hAnsi="Arial Regular" w:cs="Arial Regular"/>
          <w:sz w:val="22"/>
          <w:szCs w:val="22"/>
          <w:lang w:val="en-US"/>
        </w:rPr>
      </w:pPr>
      <w:r>
        <w:rPr>
          <w:rFonts w:hint="default" w:ascii="Arial Regular" w:hAnsi="Arial Regular" w:cs="Arial Regular"/>
          <w:sz w:val="22"/>
          <w:szCs w:val="22"/>
        </w:rPr>
        <w:t xml:space="preserve">Supplementary Fig. 11. Inactivation of </w:t>
      </w:r>
      <w:r>
        <w:rPr>
          <w:rFonts w:hint="default" w:ascii="Arial Regular" w:hAnsi="Arial Regular" w:cs="Arial Regular"/>
          <w:i/>
          <w:iCs/>
          <w:sz w:val="22"/>
          <w:szCs w:val="22"/>
        </w:rPr>
        <w:t>P. polonicum</w:t>
      </w:r>
      <w:r>
        <w:rPr>
          <w:rFonts w:hint="default" w:ascii="Arial Regular" w:hAnsi="Arial Regular" w:cs="Arial Regular"/>
          <w:sz w:val="22"/>
          <w:szCs w:val="22"/>
        </w:rPr>
        <w:t xml:space="preserve"> spores under varying initial</w:t>
      </w:r>
      <w:r>
        <w:rPr>
          <w:rFonts w:hint="default" w:ascii="Arial Regular" w:hAnsi="Arial Regular" w:cs="Arial Regular"/>
          <w:sz w:val="22"/>
          <w:szCs w:val="22"/>
          <w:lang w:val="en-US" w:eastAsia="zh-CN"/>
        </w:rPr>
        <w:t xml:space="preserve"> </w:t>
      </w:r>
      <w:r>
        <w:rPr>
          <w:rFonts w:hint="default" w:ascii="Arial Regular" w:hAnsi="Arial Regular" w:cs="Arial Regular"/>
          <w:sz w:val="22"/>
          <w:szCs w:val="22"/>
        </w:rPr>
        <w:t>metal ion concentrations</w:t>
      </w:r>
      <w:r>
        <w:rPr>
          <w:rFonts w:hint="default" w:ascii="Arial Regular" w:hAnsi="Arial Regular" w:cs="Arial Regular"/>
          <w:sz w:val="22"/>
          <w:szCs w:val="22"/>
          <w:lang w:val="en-US"/>
        </w:rPr>
        <w:t>.</w:t>
      </w:r>
    </w:p>
    <w:p w14:paraId="63AF9EB2">
      <w:pPr>
        <w:widowControl/>
        <w:spacing w:line="360" w:lineRule="auto"/>
        <w:rPr>
          <w:rFonts w:hint="default" w:ascii="Arial Regular" w:hAnsi="Arial Regular" w:cs="Arial Regular"/>
          <w:sz w:val="22"/>
          <w:szCs w:val="22"/>
          <w:lang w:val="en-US"/>
        </w:rPr>
      </w:pPr>
      <w:r>
        <w:rPr>
          <w:rFonts w:hint="default" w:ascii="Arial Regular" w:hAnsi="Arial Regular" w:cs="Arial Regular"/>
          <w:sz w:val="22"/>
          <w:szCs w:val="22"/>
        </w:rPr>
        <w:t>Supplementary Fig. 1</w:t>
      </w:r>
      <w:r>
        <w:rPr>
          <w:rFonts w:hint="default" w:ascii="Arial Regular" w:hAnsi="Arial Regular" w:cs="Arial Regular"/>
          <w:sz w:val="22"/>
          <w:szCs w:val="22"/>
          <w:lang w:val="en-US" w:eastAsia="zh-CN"/>
        </w:rPr>
        <w:t>2</w:t>
      </w:r>
      <w:r>
        <w:rPr>
          <w:rFonts w:hint="default" w:ascii="Arial Regular" w:hAnsi="Arial Regular" w:cs="Arial Regular"/>
          <w:sz w:val="22"/>
          <w:szCs w:val="22"/>
        </w:rPr>
        <w:t xml:space="preserve">. Analysis of metal ion complexation capacity and chlorine resistance of </w:t>
      </w:r>
      <w:r>
        <w:rPr>
          <w:rFonts w:hint="default" w:ascii="Arial Regular" w:hAnsi="Arial Regular" w:cs="Arial Regular"/>
          <w:i/>
          <w:iCs/>
          <w:sz w:val="22"/>
          <w:szCs w:val="22"/>
        </w:rPr>
        <w:t>P. polonicum</w:t>
      </w:r>
      <w:r>
        <w:rPr>
          <w:rFonts w:hint="default" w:ascii="Arial Regular" w:hAnsi="Arial Regular" w:cs="Arial Regular"/>
          <w:sz w:val="22"/>
          <w:szCs w:val="22"/>
        </w:rPr>
        <w:t xml:space="preserve"> spores</w:t>
      </w:r>
      <w:r>
        <w:rPr>
          <w:rFonts w:hint="default" w:ascii="Arial Regular" w:hAnsi="Arial Regular" w:cs="Arial Regular"/>
          <w:sz w:val="22"/>
          <w:szCs w:val="22"/>
          <w:lang w:val="en-US"/>
        </w:rPr>
        <w:t>.</w:t>
      </w:r>
    </w:p>
    <w:p w14:paraId="3D1C13C6">
      <w:pPr>
        <w:widowControl/>
        <w:spacing w:line="360" w:lineRule="auto"/>
        <w:rPr>
          <w:rFonts w:hint="default" w:ascii="Arial Regular" w:hAnsi="Arial Regular" w:cs="Arial Regular"/>
          <w:sz w:val="22"/>
          <w:szCs w:val="22"/>
          <w:lang w:val="en-US"/>
        </w:rPr>
      </w:pPr>
      <w:r>
        <w:rPr>
          <w:rFonts w:hint="default" w:ascii="Arial Regular" w:hAnsi="Arial Regular" w:cs="Arial Regular"/>
          <w:sz w:val="22"/>
          <w:szCs w:val="22"/>
        </w:rPr>
        <w:t>Supplementary Fig. 1</w:t>
      </w:r>
      <w:r>
        <w:rPr>
          <w:rFonts w:hint="default" w:ascii="Arial Regular" w:hAnsi="Arial Regular" w:cs="Arial Regular"/>
          <w:sz w:val="22"/>
          <w:szCs w:val="22"/>
          <w:lang w:val="en-US" w:eastAsia="zh-CN"/>
        </w:rPr>
        <w:t>3</w:t>
      </w:r>
      <w:r>
        <w:rPr>
          <w:rFonts w:hint="default" w:ascii="Arial Regular" w:hAnsi="Arial Regular" w:cs="Arial Regular"/>
          <w:sz w:val="22"/>
          <w:szCs w:val="22"/>
        </w:rPr>
        <w:t xml:space="preserve">. Two-dimensional scatter plots of SG/PI staining for </w:t>
      </w:r>
      <w:r>
        <w:rPr>
          <w:rFonts w:hint="default" w:ascii="Arial Regular" w:hAnsi="Arial Regular" w:cs="Arial Regular"/>
          <w:i/>
          <w:iCs/>
          <w:sz w:val="22"/>
          <w:szCs w:val="22"/>
        </w:rPr>
        <w:t>A.niger</w:t>
      </w:r>
      <w:r>
        <w:rPr>
          <w:rFonts w:hint="default" w:ascii="Arial Regular" w:hAnsi="Arial Regular" w:cs="Arial Regular"/>
          <w:sz w:val="22"/>
          <w:szCs w:val="22"/>
        </w:rPr>
        <w:t xml:space="preserve"> spores at different chlorine exposure times</w:t>
      </w:r>
      <w:r>
        <w:rPr>
          <w:rFonts w:hint="default" w:ascii="Arial Regular" w:hAnsi="Arial Regular" w:cs="Arial Regular"/>
          <w:sz w:val="22"/>
          <w:szCs w:val="22"/>
          <w:lang w:val="en-US"/>
        </w:rPr>
        <w:t>.</w:t>
      </w:r>
    </w:p>
    <w:p w14:paraId="4FC563EC">
      <w:pPr>
        <w:widowControl/>
        <w:spacing w:line="360" w:lineRule="auto"/>
        <w:rPr>
          <w:rFonts w:hint="default" w:ascii="Arial Regular" w:hAnsi="Arial Regular" w:cs="Arial Regular"/>
          <w:sz w:val="22"/>
          <w:szCs w:val="22"/>
          <w:lang w:val="en-US"/>
        </w:rPr>
      </w:pPr>
      <w:r>
        <w:rPr>
          <w:rFonts w:hint="default" w:ascii="Arial Regular" w:hAnsi="Arial Regular" w:cs="Arial Regular"/>
          <w:sz w:val="22"/>
          <w:szCs w:val="22"/>
        </w:rPr>
        <w:t>Supplementary Fig. 1</w:t>
      </w:r>
      <w:r>
        <w:rPr>
          <w:rFonts w:hint="default" w:ascii="Arial Regular" w:hAnsi="Arial Regular" w:cs="Arial Regular"/>
          <w:sz w:val="22"/>
          <w:szCs w:val="22"/>
          <w:lang w:val="en-US" w:eastAsia="zh-CN"/>
        </w:rPr>
        <w:t>4</w:t>
      </w:r>
      <w:r>
        <w:rPr>
          <w:rFonts w:hint="default" w:ascii="Arial Regular" w:hAnsi="Arial Regular" w:cs="Arial Regular"/>
          <w:sz w:val="22"/>
          <w:szCs w:val="22"/>
        </w:rPr>
        <w:t xml:space="preserve">. Two-dimensional scatter plots of SG/PI staining for </w:t>
      </w:r>
      <w:r>
        <w:rPr>
          <w:rFonts w:hint="default" w:ascii="Arial Regular" w:hAnsi="Arial Regular" w:cs="Arial Regular"/>
          <w:i/>
          <w:iCs/>
          <w:sz w:val="22"/>
          <w:szCs w:val="22"/>
        </w:rPr>
        <w:t>E.coli</w:t>
      </w:r>
      <w:r>
        <w:rPr>
          <w:rFonts w:hint="default" w:ascii="Arial Regular" w:hAnsi="Arial Regular" w:cs="Arial Regular"/>
          <w:sz w:val="22"/>
          <w:szCs w:val="22"/>
        </w:rPr>
        <w:t xml:space="preserve"> at different chlorine exposure times</w:t>
      </w:r>
      <w:r>
        <w:rPr>
          <w:rFonts w:hint="default" w:ascii="Arial Regular" w:hAnsi="Arial Regular" w:cs="Arial Regular"/>
          <w:sz w:val="22"/>
          <w:szCs w:val="22"/>
          <w:lang w:val="en-US"/>
        </w:rPr>
        <w:t>.</w:t>
      </w:r>
    </w:p>
    <w:p w14:paraId="119D02F0">
      <w:pPr>
        <w:widowControl/>
        <w:spacing w:line="360" w:lineRule="auto"/>
        <w:rPr>
          <w:rFonts w:hint="default" w:ascii="Arial Regular" w:hAnsi="Arial Regular" w:cs="Arial Regular"/>
          <w:sz w:val="22"/>
          <w:szCs w:val="22"/>
          <w:lang w:val="en-US"/>
        </w:rPr>
      </w:pPr>
      <w:r>
        <w:rPr>
          <w:rFonts w:hint="default" w:ascii="Arial Regular" w:hAnsi="Arial Regular" w:cs="Arial Regular"/>
          <w:sz w:val="22"/>
          <w:szCs w:val="22"/>
        </w:rPr>
        <w:t>Supplementary Fig. 1</w:t>
      </w:r>
      <w:r>
        <w:rPr>
          <w:rFonts w:hint="default" w:ascii="Arial Regular" w:hAnsi="Arial Regular" w:cs="Arial Regular"/>
          <w:sz w:val="22"/>
          <w:szCs w:val="22"/>
          <w:lang w:val="en-US" w:eastAsia="zh-CN"/>
        </w:rPr>
        <w:t>5</w:t>
      </w:r>
      <w:r>
        <w:rPr>
          <w:rFonts w:hint="default" w:ascii="Arial Regular" w:hAnsi="Arial Regular" w:cs="Arial Regular"/>
          <w:sz w:val="22"/>
          <w:szCs w:val="22"/>
        </w:rPr>
        <w:t xml:space="preserve">. Impact of metal ion complexation on the proportion of high ROS level </w:t>
      </w:r>
      <w:r>
        <w:rPr>
          <w:rFonts w:hint="default" w:ascii="Arial Regular" w:hAnsi="Arial Regular" w:cs="Arial Regular"/>
          <w:i/>
          <w:iCs/>
          <w:sz w:val="22"/>
          <w:szCs w:val="22"/>
        </w:rPr>
        <w:t>A.niger</w:t>
      </w:r>
      <w:r>
        <w:rPr>
          <w:rFonts w:hint="default" w:ascii="Arial Regular" w:hAnsi="Arial Regular" w:cs="Arial Regular"/>
          <w:sz w:val="22"/>
          <w:szCs w:val="22"/>
        </w:rPr>
        <w:t xml:space="preserve"> spores after chlorine disinfection</w:t>
      </w:r>
      <w:r>
        <w:rPr>
          <w:rFonts w:hint="default" w:ascii="Arial Regular" w:hAnsi="Arial Regular" w:cs="Arial Regular"/>
          <w:sz w:val="22"/>
          <w:szCs w:val="22"/>
          <w:lang w:val="en-US"/>
        </w:rPr>
        <w:t>.</w:t>
      </w:r>
    </w:p>
    <w:p w14:paraId="17B73AE1">
      <w:pPr>
        <w:widowControl/>
        <w:spacing w:line="360" w:lineRule="auto"/>
        <w:rPr>
          <w:rFonts w:hint="default" w:ascii="Arial Regular" w:hAnsi="Arial Regular" w:cs="Arial Regular"/>
          <w:sz w:val="22"/>
          <w:szCs w:val="22"/>
          <w:lang w:val="en-US"/>
        </w:rPr>
      </w:pPr>
      <w:r>
        <w:rPr>
          <w:rFonts w:hint="default" w:ascii="Arial Regular" w:hAnsi="Arial Regular" w:cs="Arial Regular"/>
          <w:sz w:val="22"/>
          <w:szCs w:val="22"/>
        </w:rPr>
        <w:t>Supplementary Fig. 1</w:t>
      </w:r>
      <w:r>
        <w:rPr>
          <w:rFonts w:hint="default" w:ascii="Arial Regular" w:hAnsi="Arial Regular" w:cs="Arial Regular"/>
          <w:sz w:val="22"/>
          <w:szCs w:val="22"/>
          <w:lang w:val="en-US" w:eastAsia="zh-CN"/>
        </w:rPr>
        <w:t>6</w:t>
      </w:r>
      <w:r>
        <w:rPr>
          <w:rFonts w:hint="default" w:ascii="Arial Regular" w:hAnsi="Arial Regular" w:cs="Arial Regular"/>
          <w:sz w:val="22"/>
          <w:szCs w:val="22"/>
        </w:rPr>
        <w:t xml:space="preserve">. MA plots of differentially expressed proteins in </w:t>
      </w:r>
      <w:r>
        <w:rPr>
          <w:rFonts w:hint="default" w:ascii="Arial Regular" w:hAnsi="Arial Regular" w:cs="Arial Regular"/>
          <w:i/>
          <w:iCs/>
          <w:sz w:val="22"/>
          <w:szCs w:val="22"/>
        </w:rPr>
        <w:t>A.niger</w:t>
      </w:r>
      <w:r>
        <w:rPr>
          <w:rFonts w:hint="default" w:ascii="Arial Regular" w:hAnsi="Arial Regular" w:cs="Arial Regular"/>
          <w:sz w:val="22"/>
          <w:szCs w:val="22"/>
        </w:rPr>
        <w:t xml:space="preserve"> spores before and after metal ion complexation under chloramine treatment</w:t>
      </w:r>
      <w:r>
        <w:rPr>
          <w:rFonts w:hint="default" w:ascii="Arial Regular" w:hAnsi="Arial Regular" w:cs="Arial Regular"/>
          <w:sz w:val="22"/>
          <w:szCs w:val="22"/>
          <w:lang w:val="en-US"/>
        </w:rPr>
        <w:t>.</w:t>
      </w:r>
    </w:p>
    <w:p w14:paraId="6D3C5BFE">
      <w:pPr>
        <w:widowControl/>
        <w:spacing w:line="360" w:lineRule="auto"/>
        <w:rPr>
          <w:rFonts w:hint="default" w:ascii="Arial Regular" w:hAnsi="Arial Regular" w:cs="Arial Regular"/>
          <w:sz w:val="22"/>
          <w:szCs w:val="22"/>
          <w:lang w:val="en-US"/>
        </w:rPr>
      </w:pPr>
      <w:r>
        <w:rPr>
          <w:rFonts w:hint="default" w:ascii="Arial Regular" w:hAnsi="Arial Regular" w:cs="Arial Regular"/>
          <w:sz w:val="22"/>
          <w:szCs w:val="22"/>
        </w:rPr>
        <w:t>Supplementary Fig. 1</w:t>
      </w:r>
      <w:r>
        <w:rPr>
          <w:rFonts w:hint="default" w:ascii="Arial Regular" w:hAnsi="Arial Regular" w:cs="Arial Regular"/>
          <w:sz w:val="22"/>
          <w:szCs w:val="22"/>
          <w:lang w:val="en-US" w:eastAsia="zh-CN"/>
        </w:rPr>
        <w:t>7</w:t>
      </w:r>
      <w:r>
        <w:rPr>
          <w:rFonts w:hint="default" w:ascii="Arial Regular" w:hAnsi="Arial Regular" w:cs="Arial Regular"/>
          <w:sz w:val="22"/>
          <w:szCs w:val="22"/>
        </w:rPr>
        <w:t xml:space="preserve">. KEGG pathway analysis of </w:t>
      </w:r>
      <w:r>
        <w:rPr>
          <w:rFonts w:hint="default" w:ascii="Arial Regular" w:hAnsi="Arial Regular" w:cs="Arial Regular"/>
          <w:i/>
          <w:iCs/>
          <w:sz w:val="22"/>
          <w:szCs w:val="22"/>
        </w:rPr>
        <w:t>A.niger</w:t>
      </w:r>
      <w:r>
        <w:rPr>
          <w:rFonts w:hint="default" w:ascii="Arial Regular" w:hAnsi="Arial Regular" w:cs="Arial Regular"/>
          <w:sz w:val="22"/>
          <w:szCs w:val="22"/>
        </w:rPr>
        <w:t xml:space="preserve"> spores under chlorine treatment before and after metal ion complexation</w:t>
      </w:r>
      <w:r>
        <w:rPr>
          <w:rFonts w:hint="default" w:ascii="Arial Regular" w:hAnsi="Arial Regular" w:cs="Arial Regular"/>
          <w:sz w:val="22"/>
          <w:szCs w:val="22"/>
          <w:lang w:val="en-US"/>
        </w:rPr>
        <w:t>.</w:t>
      </w:r>
    </w:p>
    <w:p w14:paraId="5A458A53">
      <w:pPr>
        <w:widowControl/>
        <w:spacing w:line="360" w:lineRule="auto"/>
        <w:rPr>
          <w:rFonts w:hint="default" w:ascii="Arial Regular" w:hAnsi="Arial Regular" w:cs="Arial Regular"/>
          <w:sz w:val="22"/>
          <w:szCs w:val="22"/>
          <w:lang w:val="en-US"/>
        </w:rPr>
      </w:pPr>
      <w:r>
        <w:rPr>
          <w:rFonts w:hint="default" w:ascii="Arial Regular" w:hAnsi="Arial Regular" w:cs="Arial Regular"/>
          <w:sz w:val="22"/>
          <w:szCs w:val="22"/>
        </w:rPr>
        <w:t>Supplementary Fig. 1</w:t>
      </w:r>
      <w:r>
        <w:rPr>
          <w:rFonts w:hint="default" w:ascii="Arial Regular" w:hAnsi="Arial Regular" w:cs="Arial Regular"/>
          <w:sz w:val="22"/>
          <w:szCs w:val="22"/>
          <w:lang w:val="en-US" w:eastAsia="zh-CN"/>
        </w:rPr>
        <w:t>8</w:t>
      </w:r>
      <w:r>
        <w:rPr>
          <w:rFonts w:hint="default" w:ascii="Arial Regular" w:hAnsi="Arial Regular" w:cs="Arial Regular"/>
          <w:sz w:val="22"/>
          <w:szCs w:val="22"/>
        </w:rPr>
        <w:t xml:space="preserve">. KEGG enrichment analysis of </w:t>
      </w:r>
      <w:r>
        <w:rPr>
          <w:rFonts w:hint="default" w:ascii="Arial Regular" w:hAnsi="Arial Regular" w:cs="Arial Regular"/>
          <w:i/>
          <w:iCs/>
          <w:sz w:val="22"/>
          <w:szCs w:val="22"/>
        </w:rPr>
        <w:t>A.niger</w:t>
      </w:r>
      <w:r>
        <w:rPr>
          <w:rFonts w:hint="default" w:ascii="Arial Regular" w:hAnsi="Arial Regular" w:cs="Arial Regular"/>
          <w:sz w:val="22"/>
          <w:szCs w:val="22"/>
        </w:rPr>
        <w:t xml:space="preserve"> spores under chlorine treatment before and after metal ion complexation</w:t>
      </w:r>
      <w:r>
        <w:rPr>
          <w:rFonts w:hint="default" w:ascii="Arial Regular" w:hAnsi="Arial Regular" w:cs="Arial Regular"/>
          <w:sz w:val="22"/>
          <w:szCs w:val="22"/>
          <w:lang w:val="en-US"/>
        </w:rPr>
        <w:t>.</w:t>
      </w:r>
    </w:p>
    <w:p w14:paraId="0E3CF77B">
      <w:pPr>
        <w:widowControl/>
        <w:spacing w:line="360" w:lineRule="auto"/>
        <w:rPr>
          <w:rFonts w:hint="default" w:ascii="Arial Regular" w:hAnsi="Arial Regular" w:cs="Arial Regular"/>
          <w:sz w:val="22"/>
          <w:szCs w:val="22"/>
          <w:lang w:val="en-US"/>
        </w:rPr>
      </w:pPr>
      <w:r>
        <w:rPr>
          <w:rFonts w:hint="default" w:ascii="Arial Regular" w:hAnsi="Arial Regular" w:cs="Arial Regular"/>
          <w:sz w:val="22"/>
          <w:szCs w:val="22"/>
        </w:rPr>
        <w:t>Supplementary Fig. 1</w:t>
      </w:r>
      <w:r>
        <w:rPr>
          <w:rFonts w:hint="default" w:ascii="Arial Regular" w:hAnsi="Arial Regular" w:cs="Arial Regular"/>
          <w:sz w:val="22"/>
          <w:szCs w:val="22"/>
          <w:lang w:val="en-US" w:eastAsia="zh-CN"/>
        </w:rPr>
        <w:t>9</w:t>
      </w:r>
      <w:r>
        <w:rPr>
          <w:rFonts w:hint="default" w:ascii="Arial Regular" w:hAnsi="Arial Regular" w:cs="Arial Regular"/>
          <w:sz w:val="22"/>
          <w:szCs w:val="22"/>
        </w:rPr>
        <w:t xml:space="preserve">. FTIR spectral characterization of </w:t>
      </w:r>
      <w:r>
        <w:rPr>
          <w:rFonts w:hint="default" w:ascii="Arial Regular" w:hAnsi="Arial Regular" w:cs="Arial Regular"/>
          <w:i/>
          <w:iCs/>
          <w:sz w:val="22"/>
          <w:szCs w:val="22"/>
        </w:rPr>
        <w:t>A. niger</w:t>
      </w:r>
      <w:r>
        <w:rPr>
          <w:rFonts w:hint="default" w:ascii="Arial Regular" w:hAnsi="Arial Regular" w:cs="Arial Regular"/>
          <w:sz w:val="22"/>
          <w:szCs w:val="22"/>
        </w:rPr>
        <w:t xml:space="preserve"> spores complexed with different metal ions at varying concentrations</w:t>
      </w:r>
      <w:r>
        <w:rPr>
          <w:rFonts w:hint="default" w:ascii="Arial Regular" w:hAnsi="Arial Regular" w:cs="Arial Regular"/>
          <w:sz w:val="22"/>
          <w:szCs w:val="22"/>
          <w:lang w:val="en-US"/>
        </w:rPr>
        <w:t>.</w:t>
      </w:r>
    </w:p>
    <w:p w14:paraId="20ACFF3E">
      <w:pPr>
        <w:widowControl/>
        <w:spacing w:line="360" w:lineRule="auto"/>
        <w:rPr>
          <w:rFonts w:hint="default" w:ascii="Arial Regular" w:hAnsi="Arial Regular" w:cs="Arial Regular"/>
          <w:sz w:val="22"/>
          <w:szCs w:val="22"/>
          <w:lang w:val="en-US"/>
        </w:rPr>
      </w:pPr>
      <w:r>
        <w:rPr>
          <w:rFonts w:hint="default" w:ascii="Arial Regular" w:hAnsi="Arial Regular" w:cs="Arial Regular"/>
          <w:sz w:val="22"/>
          <w:szCs w:val="22"/>
        </w:rPr>
        <w:t xml:space="preserve">Supplementary Fig. </w:t>
      </w:r>
      <w:r>
        <w:rPr>
          <w:rFonts w:hint="default" w:ascii="Arial Regular" w:hAnsi="Arial Regular" w:cs="Arial Regular"/>
          <w:sz w:val="22"/>
          <w:szCs w:val="22"/>
          <w:lang w:val="en-US" w:eastAsia="zh-CN"/>
        </w:rPr>
        <w:t>20</w:t>
      </w:r>
      <w:r>
        <w:rPr>
          <w:rFonts w:hint="default" w:ascii="Arial Regular" w:hAnsi="Arial Regular" w:cs="Arial Regular"/>
          <w:sz w:val="22"/>
          <w:szCs w:val="22"/>
        </w:rPr>
        <w:t xml:space="preserve">. Two-dimensional synchronous and asynchronous correlation spectroscopy of </w:t>
      </w:r>
      <w:r>
        <w:rPr>
          <w:rFonts w:hint="default" w:ascii="Arial Regular" w:hAnsi="Arial Regular" w:cs="Arial Regular"/>
          <w:i/>
          <w:iCs/>
          <w:sz w:val="22"/>
          <w:szCs w:val="22"/>
        </w:rPr>
        <w:t>A. niger</w:t>
      </w:r>
      <w:r>
        <w:rPr>
          <w:rFonts w:hint="default" w:ascii="Arial Regular" w:hAnsi="Arial Regular" w:cs="Arial Regular"/>
          <w:sz w:val="22"/>
          <w:szCs w:val="22"/>
        </w:rPr>
        <w:t xml:space="preserve"> spores under metal ion complexation</w:t>
      </w:r>
      <w:r>
        <w:rPr>
          <w:rFonts w:hint="default" w:ascii="Arial Regular" w:hAnsi="Arial Regular" w:cs="Arial Regular"/>
          <w:sz w:val="22"/>
          <w:szCs w:val="22"/>
          <w:lang w:val="en-US"/>
        </w:rPr>
        <w:t>.</w:t>
      </w:r>
    </w:p>
    <w:p w14:paraId="1516BCD8">
      <w:pPr>
        <w:widowControl/>
        <w:spacing w:line="360" w:lineRule="auto"/>
        <w:rPr>
          <w:rFonts w:hint="default" w:ascii="Arial Regular" w:hAnsi="Arial Regular" w:cs="Arial Regular"/>
          <w:sz w:val="22"/>
          <w:szCs w:val="22"/>
          <w:lang w:val="en-US" w:eastAsia="zh-CN"/>
        </w:rPr>
      </w:pPr>
    </w:p>
    <w:p w14:paraId="5610178D">
      <w:pPr>
        <w:pStyle w:val="2"/>
        <w:keepNext/>
        <w:keepLines/>
        <w:pageBreakBefore w:val="0"/>
        <w:widowControl w:val="0"/>
        <w:kinsoku/>
        <w:wordWrap/>
        <w:overflowPunct/>
        <w:topLinePunct w:val="0"/>
        <w:autoSpaceDE/>
        <w:autoSpaceDN/>
        <w:bidi w:val="0"/>
        <w:adjustRightInd/>
        <w:snapToGrid/>
        <w:spacing w:before="157" w:beforeLines="50" w:after="0" w:line="360" w:lineRule="auto"/>
        <w:textAlignment w:val="auto"/>
        <w:rPr>
          <w:rFonts w:hint="default" w:ascii="Arial Regular" w:hAnsi="Arial Regular" w:cs="Arial Regular"/>
          <w:b/>
          <w:bCs/>
          <w:sz w:val="26"/>
          <w:szCs w:val="26"/>
        </w:rPr>
      </w:pPr>
      <w:r>
        <w:rPr>
          <w:rFonts w:hint="default" w:ascii="Arial Regular" w:hAnsi="Arial Regular" w:cs="Arial Regular"/>
          <w:b/>
          <w:bCs/>
          <w:sz w:val="26"/>
          <w:szCs w:val="26"/>
        </w:rPr>
        <w:t>Tables</w:t>
      </w:r>
    </w:p>
    <w:p w14:paraId="77E08E66">
      <w:pPr>
        <w:widowControl/>
        <w:spacing w:line="360" w:lineRule="auto"/>
        <w:rPr>
          <w:rFonts w:hint="default" w:ascii="Arial Regular" w:hAnsi="Arial Regular" w:cs="Arial Regular"/>
          <w:sz w:val="22"/>
          <w:szCs w:val="22"/>
        </w:rPr>
      </w:pPr>
      <w:r>
        <w:rPr>
          <w:rFonts w:hint="default" w:ascii="Arial Regular" w:hAnsi="Arial Regular" w:cs="Arial Regular"/>
          <w:sz w:val="22"/>
          <w:szCs w:val="22"/>
        </w:rPr>
        <w:t>Supplementary Table 1. Physicochemical properties of four metal ions.</w:t>
      </w:r>
    </w:p>
    <w:p w14:paraId="1519AA37">
      <w:pPr>
        <w:widowControl/>
        <w:spacing w:line="360" w:lineRule="auto"/>
        <w:rPr>
          <w:rFonts w:hint="default" w:ascii="Arial Regular" w:hAnsi="Arial Regular" w:cs="Arial Regular"/>
          <w:sz w:val="22"/>
          <w:szCs w:val="22"/>
        </w:rPr>
      </w:pPr>
      <w:r>
        <w:rPr>
          <w:rFonts w:hint="default" w:ascii="Arial Regular" w:hAnsi="Arial Regular" w:cs="Arial Regular"/>
          <w:sz w:val="22"/>
          <w:szCs w:val="22"/>
        </w:rPr>
        <w:t xml:space="preserve">Supplementary Table </w:t>
      </w:r>
      <w:r>
        <w:rPr>
          <w:rFonts w:hint="default" w:ascii="Arial Regular" w:hAnsi="Arial Regular" w:cs="Arial Regular"/>
          <w:sz w:val="22"/>
          <w:szCs w:val="22"/>
          <w:lang w:val="en-US" w:eastAsia="zh-CN"/>
        </w:rPr>
        <w:t>2</w:t>
      </w:r>
      <w:r>
        <w:rPr>
          <w:rFonts w:hint="default" w:ascii="Arial Regular" w:hAnsi="Arial Regular" w:cs="Arial Regular"/>
          <w:sz w:val="22"/>
          <w:szCs w:val="22"/>
        </w:rPr>
        <w:t xml:space="preserve">. Inactivation kinetic parameters of </w:t>
      </w:r>
      <w:r>
        <w:rPr>
          <w:rFonts w:hint="default" w:ascii="Arial Regular" w:hAnsi="Arial Regular" w:cs="Arial Regular"/>
          <w:sz w:val="22"/>
          <w:szCs w:val="22"/>
          <w:lang w:val="en-US" w:eastAsia="zh-CN"/>
        </w:rPr>
        <w:t>fungal</w:t>
      </w:r>
      <w:r>
        <w:rPr>
          <w:rFonts w:hint="default" w:ascii="Arial Regular" w:hAnsi="Arial Regular" w:cs="Arial Regular"/>
          <w:sz w:val="22"/>
          <w:szCs w:val="22"/>
        </w:rPr>
        <w:t xml:space="preserve"> spores under different disinfectants before and after metal ion complexation.</w:t>
      </w:r>
    </w:p>
    <w:p w14:paraId="24E18E04">
      <w:pPr>
        <w:widowControl/>
        <w:spacing w:line="360" w:lineRule="auto"/>
        <w:rPr>
          <w:rFonts w:hint="default" w:ascii="Arial Regular" w:hAnsi="Arial Regular" w:cs="Arial Regular"/>
          <w:sz w:val="22"/>
          <w:szCs w:val="22"/>
        </w:rPr>
      </w:pPr>
      <w:r>
        <w:rPr>
          <w:rFonts w:hint="default" w:ascii="Arial Regular" w:hAnsi="Arial Regular" w:cs="Arial Regular"/>
          <w:sz w:val="22"/>
          <w:szCs w:val="22"/>
        </w:rPr>
        <w:t xml:space="preserve">Supplementary Table </w:t>
      </w:r>
      <w:r>
        <w:rPr>
          <w:rFonts w:hint="default" w:ascii="Arial Regular" w:hAnsi="Arial Regular" w:cs="Arial Regular"/>
          <w:sz w:val="22"/>
          <w:szCs w:val="22"/>
          <w:lang w:val="en-US" w:eastAsia="zh-CN"/>
        </w:rPr>
        <w:t>3</w:t>
      </w:r>
      <w:r>
        <w:rPr>
          <w:rFonts w:hint="default" w:ascii="Arial Regular" w:hAnsi="Arial Regular" w:cs="Arial Regular"/>
          <w:sz w:val="22"/>
          <w:szCs w:val="22"/>
        </w:rPr>
        <w:t>. Water quality parameters of surface water and groundwater.</w:t>
      </w:r>
    </w:p>
    <w:p w14:paraId="620C5534">
      <w:pPr>
        <w:widowControl/>
        <w:spacing w:line="360" w:lineRule="auto"/>
        <w:rPr>
          <w:rFonts w:hint="default" w:ascii="Arial Regular" w:hAnsi="Arial Regular" w:cs="Arial Regular"/>
          <w:sz w:val="22"/>
          <w:szCs w:val="22"/>
        </w:rPr>
      </w:pPr>
      <w:r>
        <w:rPr>
          <w:rFonts w:hint="default" w:ascii="Arial Regular" w:hAnsi="Arial Regular" w:cs="Arial Regular"/>
          <w:sz w:val="22"/>
          <w:szCs w:val="22"/>
        </w:rPr>
        <w:t xml:space="preserve">Supplementary Table </w:t>
      </w:r>
      <w:r>
        <w:rPr>
          <w:rFonts w:hint="default" w:ascii="Arial Regular" w:hAnsi="Arial Regular" w:cs="Arial Regular"/>
          <w:sz w:val="22"/>
          <w:szCs w:val="22"/>
          <w:lang w:val="en-US" w:eastAsia="zh-CN"/>
        </w:rPr>
        <w:t>4</w:t>
      </w:r>
      <w:r>
        <w:rPr>
          <w:rFonts w:hint="default" w:ascii="Arial Regular" w:hAnsi="Arial Regular" w:cs="Arial Regular"/>
          <w:sz w:val="22"/>
          <w:szCs w:val="22"/>
        </w:rPr>
        <w:t xml:space="preserve">. Secondary inactivation kinetic parameters of </w:t>
      </w:r>
      <w:r>
        <w:rPr>
          <w:rFonts w:hint="default" w:ascii="Arial Regular" w:hAnsi="Arial Regular" w:cs="Arial Regular"/>
          <w:i/>
          <w:iCs/>
          <w:sz w:val="22"/>
          <w:szCs w:val="22"/>
        </w:rPr>
        <w:t>A.niger</w:t>
      </w:r>
      <w:r>
        <w:rPr>
          <w:rFonts w:hint="default" w:ascii="Arial Regular" w:hAnsi="Arial Regular" w:cs="Arial Regular"/>
          <w:sz w:val="22"/>
          <w:szCs w:val="22"/>
        </w:rPr>
        <w:t xml:space="preserve"> spores at different metal ion complexation capacities.</w:t>
      </w:r>
    </w:p>
    <w:p w14:paraId="42198AB5">
      <w:pPr>
        <w:widowControl/>
        <w:spacing w:line="360" w:lineRule="auto"/>
        <w:rPr>
          <w:rFonts w:hint="default" w:ascii="Arial Regular" w:hAnsi="Arial Regular" w:cs="Arial Regular"/>
          <w:sz w:val="22"/>
          <w:szCs w:val="22"/>
        </w:rPr>
      </w:pPr>
      <w:r>
        <w:rPr>
          <w:rFonts w:hint="default" w:ascii="Arial Regular" w:hAnsi="Arial Regular" w:cs="Arial Regular"/>
          <w:sz w:val="22"/>
          <w:szCs w:val="22"/>
        </w:rPr>
        <w:t xml:space="preserve">Supplementary Table </w:t>
      </w:r>
      <w:r>
        <w:rPr>
          <w:rFonts w:hint="default" w:ascii="Arial Regular" w:hAnsi="Arial Regular" w:cs="Arial Regular"/>
          <w:sz w:val="22"/>
          <w:szCs w:val="22"/>
          <w:lang w:val="en-US" w:eastAsia="zh-CN"/>
        </w:rPr>
        <w:t>5</w:t>
      </w:r>
      <w:r>
        <w:rPr>
          <w:rFonts w:hint="default" w:ascii="Arial Regular" w:hAnsi="Arial Regular" w:cs="Arial Regular"/>
          <w:sz w:val="22"/>
          <w:szCs w:val="22"/>
        </w:rPr>
        <w:t xml:space="preserve">. Secondary inactivation kinetic parameters of </w:t>
      </w:r>
      <w:r>
        <w:rPr>
          <w:rFonts w:hint="default" w:ascii="Arial Regular" w:hAnsi="Arial Regular" w:cs="Arial Regular"/>
          <w:i/>
          <w:iCs/>
          <w:sz w:val="22"/>
          <w:szCs w:val="22"/>
        </w:rPr>
        <w:t>P.polonicum</w:t>
      </w:r>
      <w:r>
        <w:rPr>
          <w:rFonts w:hint="default" w:ascii="Arial Regular" w:hAnsi="Arial Regular" w:cs="Arial Regular"/>
          <w:sz w:val="22"/>
          <w:szCs w:val="22"/>
        </w:rPr>
        <w:t xml:space="preserve"> spores at different metal ion complexation capacities.</w:t>
      </w:r>
    </w:p>
    <w:p w14:paraId="15B851DB">
      <w:pPr>
        <w:widowControl/>
        <w:spacing w:line="360" w:lineRule="auto"/>
        <w:rPr>
          <w:rFonts w:hint="default" w:ascii="Arial Regular" w:hAnsi="Arial Regular" w:cs="Arial Regular"/>
          <w:sz w:val="22"/>
          <w:szCs w:val="22"/>
        </w:rPr>
      </w:pPr>
      <w:r>
        <w:rPr>
          <w:rFonts w:hint="default" w:ascii="Arial Regular" w:hAnsi="Arial Regular" w:cs="Arial Regular"/>
          <w:sz w:val="22"/>
          <w:szCs w:val="22"/>
        </w:rPr>
        <w:t xml:space="preserve">Supplementary Table </w:t>
      </w:r>
      <w:r>
        <w:rPr>
          <w:rFonts w:hint="default" w:ascii="Arial Regular" w:hAnsi="Arial Regular" w:cs="Arial Regular"/>
          <w:sz w:val="22"/>
          <w:szCs w:val="22"/>
          <w:lang w:val="en-US" w:eastAsia="zh-CN"/>
        </w:rPr>
        <w:t>6</w:t>
      </w:r>
      <w:r>
        <w:rPr>
          <w:rFonts w:hint="default" w:ascii="Arial Regular" w:hAnsi="Arial Regular" w:cs="Arial Regular"/>
          <w:sz w:val="22"/>
          <w:szCs w:val="22"/>
        </w:rPr>
        <w:t>. Assignments of FTIR peaks to functional groups and vibrational modes.</w:t>
      </w:r>
    </w:p>
    <w:p w14:paraId="375E6CC4">
      <w:pPr>
        <w:widowControl/>
        <w:spacing w:line="360" w:lineRule="auto"/>
        <w:rPr>
          <w:rFonts w:hint="default" w:ascii="Arial Regular" w:hAnsi="Arial Regular" w:cs="Arial Regular"/>
          <w:sz w:val="22"/>
          <w:szCs w:val="22"/>
        </w:rPr>
      </w:pPr>
      <w:r>
        <w:rPr>
          <w:rFonts w:hint="default" w:ascii="Arial Regular" w:hAnsi="Arial Regular" w:cs="Arial Regular"/>
          <w:sz w:val="22"/>
          <w:szCs w:val="22"/>
        </w:rPr>
        <w:t xml:space="preserve">Supplementary Table </w:t>
      </w:r>
      <w:r>
        <w:rPr>
          <w:rFonts w:hint="default" w:ascii="Arial Regular" w:hAnsi="Arial Regular" w:cs="Arial Regular"/>
          <w:sz w:val="22"/>
          <w:szCs w:val="22"/>
          <w:lang w:val="en-US" w:eastAsia="zh-CN"/>
        </w:rPr>
        <w:t>7</w:t>
      </w:r>
      <w:r>
        <w:rPr>
          <w:rFonts w:hint="default" w:ascii="Arial Regular" w:hAnsi="Arial Regular" w:cs="Arial Regular"/>
          <w:sz w:val="22"/>
          <w:szCs w:val="22"/>
        </w:rPr>
        <w:t xml:space="preserve">. Calculated synchronous and asynchronous 2D correlation spectra of </w:t>
      </w:r>
      <w:r>
        <w:rPr>
          <w:rFonts w:hint="default" w:ascii="Arial Regular" w:hAnsi="Arial Regular" w:cs="Arial Regular"/>
          <w:i/>
          <w:iCs/>
          <w:sz w:val="22"/>
          <w:szCs w:val="22"/>
        </w:rPr>
        <w:t>A.niger</w:t>
      </w:r>
      <w:r>
        <w:rPr>
          <w:rFonts w:hint="default" w:ascii="Arial Regular" w:hAnsi="Arial Regular" w:cs="Arial Regular"/>
          <w:sz w:val="22"/>
          <w:szCs w:val="22"/>
        </w:rPr>
        <w:t xml:space="preserve"> spores after Co(II) complexation.</w:t>
      </w:r>
    </w:p>
    <w:p w14:paraId="104AA8E7">
      <w:pPr>
        <w:widowControl/>
        <w:spacing w:line="360" w:lineRule="auto"/>
        <w:rPr>
          <w:rFonts w:hint="default" w:ascii="Arial Regular" w:hAnsi="Arial Regular" w:cs="Arial Regular"/>
          <w:sz w:val="22"/>
          <w:szCs w:val="22"/>
        </w:rPr>
      </w:pPr>
      <w:r>
        <w:rPr>
          <w:rFonts w:hint="default" w:ascii="Arial Regular" w:hAnsi="Arial Regular" w:cs="Arial Regular"/>
          <w:sz w:val="22"/>
          <w:szCs w:val="22"/>
        </w:rPr>
        <w:t xml:space="preserve">Supplementary Table </w:t>
      </w:r>
      <w:r>
        <w:rPr>
          <w:rFonts w:hint="default" w:ascii="Arial Regular" w:hAnsi="Arial Regular" w:cs="Arial Regular"/>
          <w:sz w:val="22"/>
          <w:szCs w:val="22"/>
          <w:lang w:val="en-US" w:eastAsia="zh-CN"/>
        </w:rPr>
        <w:t>8</w:t>
      </w:r>
      <w:r>
        <w:rPr>
          <w:rFonts w:hint="default" w:ascii="Arial Regular" w:hAnsi="Arial Regular" w:cs="Arial Regular"/>
          <w:sz w:val="22"/>
          <w:szCs w:val="22"/>
        </w:rPr>
        <w:t xml:space="preserve">. Calculated synchronous and asynchronous 2D correlation spectra of </w:t>
      </w:r>
      <w:r>
        <w:rPr>
          <w:rFonts w:hint="default" w:ascii="Arial Regular" w:hAnsi="Arial Regular" w:cs="Arial Regular"/>
          <w:i/>
          <w:iCs/>
          <w:sz w:val="22"/>
          <w:szCs w:val="22"/>
        </w:rPr>
        <w:t>A.niger</w:t>
      </w:r>
      <w:r>
        <w:rPr>
          <w:rFonts w:hint="default" w:ascii="Arial Regular" w:hAnsi="Arial Regular" w:cs="Arial Regular"/>
          <w:sz w:val="22"/>
          <w:szCs w:val="22"/>
        </w:rPr>
        <w:t xml:space="preserve"> spores after Cu(II) complexation.</w:t>
      </w:r>
    </w:p>
    <w:p w14:paraId="1DB0B0A7">
      <w:pPr>
        <w:widowControl/>
        <w:spacing w:line="360" w:lineRule="auto"/>
        <w:rPr>
          <w:rFonts w:hint="default" w:ascii="Arial Regular" w:hAnsi="Arial Regular" w:cs="Arial Regular"/>
          <w:sz w:val="22"/>
          <w:szCs w:val="22"/>
        </w:rPr>
      </w:pPr>
      <w:r>
        <w:rPr>
          <w:rFonts w:hint="default" w:ascii="Arial Regular" w:hAnsi="Arial Regular" w:cs="Arial Regular"/>
          <w:sz w:val="22"/>
          <w:szCs w:val="22"/>
        </w:rPr>
        <w:t xml:space="preserve">Supplementary Table </w:t>
      </w:r>
      <w:r>
        <w:rPr>
          <w:rFonts w:hint="default" w:ascii="Arial Regular" w:hAnsi="Arial Regular" w:cs="Arial Regular"/>
          <w:sz w:val="22"/>
          <w:szCs w:val="22"/>
          <w:lang w:val="en-US" w:eastAsia="zh-CN"/>
        </w:rPr>
        <w:t>9</w:t>
      </w:r>
      <w:r>
        <w:rPr>
          <w:rFonts w:hint="default" w:ascii="Arial Regular" w:hAnsi="Arial Regular" w:cs="Arial Regular"/>
          <w:sz w:val="22"/>
          <w:szCs w:val="22"/>
        </w:rPr>
        <w:t xml:space="preserve">. Calculated synchronous and asynchronous 2D correlation spectra of </w:t>
      </w:r>
      <w:r>
        <w:rPr>
          <w:rFonts w:hint="default" w:ascii="Arial Regular" w:hAnsi="Arial Regular" w:cs="Arial Regular"/>
          <w:i/>
          <w:iCs/>
          <w:sz w:val="22"/>
          <w:szCs w:val="22"/>
        </w:rPr>
        <w:t>A.niger</w:t>
      </w:r>
      <w:r>
        <w:rPr>
          <w:rFonts w:hint="default" w:ascii="Arial Regular" w:hAnsi="Arial Regular" w:cs="Arial Regular"/>
          <w:sz w:val="22"/>
          <w:szCs w:val="22"/>
        </w:rPr>
        <w:t xml:space="preserve"> spores after Fe(II) complexation.</w:t>
      </w:r>
    </w:p>
    <w:p w14:paraId="378E0B92">
      <w:pPr>
        <w:widowControl/>
        <w:spacing w:line="360" w:lineRule="auto"/>
        <w:rPr>
          <w:rFonts w:hint="default" w:ascii="Arial Regular" w:hAnsi="Arial Regular" w:cs="Arial Regular"/>
          <w:sz w:val="22"/>
          <w:szCs w:val="22"/>
        </w:rPr>
      </w:pPr>
      <w:r>
        <w:rPr>
          <w:rFonts w:hint="default" w:ascii="Arial Regular" w:hAnsi="Arial Regular" w:cs="Arial Regular"/>
          <w:sz w:val="22"/>
          <w:szCs w:val="22"/>
        </w:rPr>
        <w:t>Supplementary Table 1</w:t>
      </w:r>
      <w:r>
        <w:rPr>
          <w:rFonts w:hint="default" w:ascii="Arial Regular" w:hAnsi="Arial Regular" w:cs="Arial Regular"/>
          <w:sz w:val="22"/>
          <w:szCs w:val="22"/>
          <w:lang w:val="en-US" w:eastAsia="zh-CN"/>
        </w:rPr>
        <w:t>0</w:t>
      </w:r>
      <w:r>
        <w:rPr>
          <w:rFonts w:hint="default" w:ascii="Arial Regular" w:hAnsi="Arial Regular" w:cs="Arial Regular"/>
          <w:sz w:val="22"/>
          <w:szCs w:val="22"/>
        </w:rPr>
        <w:t xml:space="preserve">. Calculated synchronous and asynchronous 2D correlation spectra of </w:t>
      </w:r>
      <w:r>
        <w:rPr>
          <w:rFonts w:hint="default" w:ascii="Arial Regular" w:hAnsi="Arial Regular" w:cs="Arial Regular"/>
          <w:i/>
          <w:iCs/>
          <w:sz w:val="22"/>
          <w:szCs w:val="22"/>
        </w:rPr>
        <w:t>A.niger</w:t>
      </w:r>
      <w:r>
        <w:rPr>
          <w:rFonts w:hint="default" w:ascii="Arial Regular" w:hAnsi="Arial Regular" w:cs="Arial Regular"/>
          <w:sz w:val="22"/>
          <w:szCs w:val="22"/>
        </w:rPr>
        <w:t xml:space="preserve"> spores after Mn(II) complexation.</w:t>
      </w:r>
    </w:p>
    <w:p w14:paraId="47E4517F">
      <w:pPr>
        <w:widowControl/>
        <w:spacing w:line="360" w:lineRule="auto"/>
        <w:rPr>
          <w:rFonts w:hint="default" w:ascii="Arial Regular" w:hAnsi="Arial Regular" w:cs="Arial Regular"/>
          <w:sz w:val="22"/>
          <w:szCs w:val="22"/>
        </w:rPr>
      </w:pPr>
      <w:r>
        <w:rPr>
          <w:rFonts w:hint="default" w:ascii="Arial Regular" w:hAnsi="Arial Regular" w:cs="Arial Regular"/>
          <w:sz w:val="22"/>
          <w:szCs w:val="22"/>
        </w:rPr>
        <w:t>Supplementary Table 1</w:t>
      </w:r>
      <w:r>
        <w:rPr>
          <w:rFonts w:hint="default" w:ascii="Arial Regular" w:hAnsi="Arial Regular" w:cs="Arial Regular"/>
          <w:sz w:val="22"/>
          <w:szCs w:val="22"/>
          <w:lang w:val="en-US" w:eastAsia="zh-CN"/>
        </w:rPr>
        <w:t>1</w:t>
      </w:r>
      <w:r>
        <w:rPr>
          <w:rFonts w:hint="default" w:ascii="Arial Regular" w:hAnsi="Arial Regular" w:cs="Arial Regular"/>
          <w:sz w:val="22"/>
          <w:szCs w:val="22"/>
        </w:rPr>
        <w:t>. Fukui functions of 1,8-dihydroxynaphthalene.</w:t>
      </w:r>
    </w:p>
    <w:p w14:paraId="3A3C8A8E">
      <w:pPr>
        <w:widowControl/>
        <w:spacing w:line="360" w:lineRule="auto"/>
        <w:rPr>
          <w:rFonts w:hint="default" w:ascii="Arial Regular" w:hAnsi="Arial Regular" w:cs="Arial Regular"/>
          <w:sz w:val="22"/>
          <w:szCs w:val="22"/>
        </w:rPr>
      </w:pPr>
      <w:r>
        <w:rPr>
          <w:rFonts w:hint="default" w:ascii="Arial Regular" w:hAnsi="Arial Regular" w:cs="Arial Regular"/>
          <w:sz w:val="22"/>
          <w:szCs w:val="22"/>
        </w:rPr>
        <w:t>Supplementary Table 1</w:t>
      </w:r>
      <w:r>
        <w:rPr>
          <w:rFonts w:hint="default" w:ascii="Arial Regular" w:hAnsi="Arial Regular" w:cs="Arial Regular"/>
          <w:sz w:val="22"/>
          <w:szCs w:val="22"/>
          <w:lang w:val="en-US" w:eastAsia="zh-CN"/>
        </w:rPr>
        <w:t>2</w:t>
      </w:r>
      <w:r>
        <w:rPr>
          <w:rFonts w:hint="default" w:ascii="Arial Regular" w:hAnsi="Arial Regular" w:cs="Arial Regular"/>
          <w:sz w:val="22"/>
          <w:szCs w:val="22"/>
        </w:rPr>
        <w:t>. Fukui functions of D-glucosamine.</w:t>
      </w:r>
    </w:p>
    <w:p w14:paraId="5CD96260">
      <w:pPr>
        <w:widowControl/>
        <w:spacing w:line="360" w:lineRule="auto"/>
        <w:rPr>
          <w:rFonts w:hint="default" w:ascii="Arial Regular" w:hAnsi="Arial Regular" w:cs="Arial Regular"/>
          <w:sz w:val="22"/>
          <w:szCs w:val="22"/>
        </w:rPr>
      </w:pPr>
      <w:r>
        <w:rPr>
          <w:rFonts w:hint="default" w:ascii="Arial Regular" w:hAnsi="Arial Regular" w:cs="Arial Regular"/>
          <w:sz w:val="22"/>
          <w:szCs w:val="22"/>
        </w:rPr>
        <w:t>Supplementary Table 1</w:t>
      </w:r>
      <w:r>
        <w:rPr>
          <w:rFonts w:hint="default" w:ascii="Arial Regular" w:hAnsi="Arial Regular" w:cs="Arial Regular"/>
          <w:sz w:val="22"/>
          <w:szCs w:val="22"/>
          <w:lang w:val="en-US" w:eastAsia="zh-CN"/>
        </w:rPr>
        <w:t>3</w:t>
      </w:r>
      <w:r>
        <w:rPr>
          <w:rFonts w:hint="default" w:ascii="Arial Regular" w:hAnsi="Arial Regular" w:cs="Arial Regular"/>
          <w:sz w:val="22"/>
          <w:szCs w:val="22"/>
        </w:rPr>
        <w:t>. Binding energies of 1,8-dihydroxynaphthalene and D-glucosamine with Cu(II).</w:t>
      </w:r>
    </w:p>
    <w:p w14:paraId="6BD16613">
      <w:pPr>
        <w:widowControl/>
        <w:jc w:val="left"/>
        <w:rPr>
          <w:rFonts w:hint="default" w:ascii="Arial Regular" w:hAnsi="Arial Regular" w:cs="Arial Regular"/>
          <w:sz w:val="22"/>
          <w:szCs w:val="22"/>
        </w:rPr>
      </w:pPr>
      <w:r>
        <w:rPr>
          <w:rFonts w:hint="default" w:ascii="Arial Regular" w:hAnsi="Arial Regular" w:cs="Arial Regular"/>
          <w:sz w:val="22"/>
          <w:szCs w:val="22"/>
        </w:rPr>
        <w:br w:type="page"/>
      </w:r>
    </w:p>
    <w:p w14:paraId="79F8A7D0">
      <w:pPr>
        <w:pStyle w:val="2"/>
        <w:keepNext/>
        <w:keepLines/>
        <w:pageBreakBefore w:val="0"/>
        <w:widowControl w:val="0"/>
        <w:kinsoku/>
        <w:wordWrap/>
        <w:overflowPunct/>
        <w:topLinePunct w:val="0"/>
        <w:autoSpaceDE/>
        <w:autoSpaceDN/>
        <w:bidi w:val="0"/>
        <w:adjustRightInd/>
        <w:snapToGrid/>
        <w:spacing w:before="157" w:beforeLines="50" w:after="0" w:line="360" w:lineRule="auto"/>
        <w:textAlignment w:val="auto"/>
        <w:rPr>
          <w:rFonts w:hint="default" w:ascii="Arial Regular" w:hAnsi="Arial Regular" w:cs="Arial Regular"/>
          <w:b/>
          <w:bCs/>
          <w:sz w:val="26"/>
          <w:szCs w:val="26"/>
        </w:rPr>
      </w:pPr>
      <w:r>
        <w:rPr>
          <w:rFonts w:hint="default" w:ascii="Arial Regular" w:hAnsi="Arial Regular" w:cs="Arial Regular"/>
          <w:b/>
          <w:bCs/>
          <w:sz w:val="26"/>
          <w:szCs w:val="26"/>
        </w:rPr>
        <w:t>Texts</w:t>
      </w:r>
    </w:p>
    <w:p w14:paraId="4A9F643A">
      <w:pPr>
        <w:pStyle w:val="3"/>
        <w:keepNext/>
        <w:keepLines/>
        <w:pageBreakBefore w:val="0"/>
        <w:widowControl w:val="0"/>
        <w:kinsoku/>
        <w:wordWrap/>
        <w:overflowPunct/>
        <w:topLinePunct w:val="0"/>
        <w:autoSpaceDE/>
        <w:autoSpaceDN/>
        <w:bidi w:val="0"/>
        <w:adjustRightInd/>
        <w:snapToGrid/>
        <w:spacing w:before="0" w:beforeLines="0" w:after="157" w:afterLines="50" w:line="240" w:lineRule="auto"/>
        <w:textAlignment w:val="auto"/>
        <w:rPr>
          <w:rFonts w:hint="default" w:ascii="Arial Regular" w:hAnsi="Arial Regular" w:cs="Arial Regular"/>
          <w:sz w:val="20"/>
          <w:szCs w:val="20"/>
        </w:rPr>
      </w:pPr>
      <w:r>
        <w:rPr>
          <w:rFonts w:hint="default" w:ascii="Arial Regular" w:hAnsi="Arial Regular" w:cs="Arial Regular"/>
          <w:sz w:val="20"/>
          <w:szCs w:val="20"/>
        </w:rPr>
        <w:t>Supplementary Text 1. Preparation of fungal spore and bacterial suspensions.</w:t>
      </w:r>
    </w:p>
    <w:p w14:paraId="21CE6CBD">
      <w:pPr>
        <w:keepNext w:val="0"/>
        <w:keepLines w:val="0"/>
        <w:pageBreakBefore w:val="0"/>
        <w:widowControl w:val="0"/>
        <w:kinsoku/>
        <w:wordWrap/>
        <w:overflowPunct/>
        <w:topLinePunct w:val="0"/>
        <w:autoSpaceDE/>
        <w:autoSpaceDN/>
        <w:bidi w:val="0"/>
        <w:adjustRightInd w:val="0"/>
        <w:snapToGrid w:val="0"/>
        <w:spacing w:line="360" w:lineRule="auto"/>
        <w:ind w:firstLine="400" w:firstLineChars="200"/>
        <w:textAlignment w:val="auto"/>
        <w:rPr>
          <w:rFonts w:hint="default" w:ascii="Arial Regular" w:hAnsi="Arial Regular" w:cs="Arial Regular"/>
          <w:b w:val="0"/>
          <w:i w:val="0"/>
          <w:sz w:val="20"/>
          <w:szCs w:val="22"/>
        </w:rPr>
      </w:pPr>
      <w:r>
        <w:rPr>
          <w:rFonts w:hint="default" w:ascii="Arial Regular" w:hAnsi="Arial Regular" w:cs="Arial Regular"/>
          <w:b w:val="0"/>
          <w:i w:val="0"/>
          <w:sz w:val="20"/>
          <w:szCs w:val="22"/>
        </w:rPr>
        <w:t xml:space="preserve">A severe fungal proliferation issue was encountered at a groundwater treatment plant in Northwest China, significantly affecting water quality. A total of 148 fungal species were isolated from the contaminated water samples, and two dominant strains were selected for study: </w:t>
      </w:r>
      <w:r>
        <w:rPr>
          <w:rFonts w:hint="default" w:ascii="Arial Regular" w:hAnsi="Arial Regular" w:cs="Arial Regular"/>
          <w:b w:val="0"/>
          <w:i/>
          <w:iCs w:val="0"/>
          <w:sz w:val="20"/>
          <w:szCs w:val="22"/>
        </w:rPr>
        <w:t>Aspergillus niger</w:t>
      </w:r>
      <w:r>
        <w:rPr>
          <w:rFonts w:hint="default" w:ascii="Arial Regular" w:hAnsi="Arial Regular" w:cs="Arial Regular"/>
          <w:b w:val="0"/>
          <w:i w:val="0"/>
          <w:sz w:val="20"/>
          <w:szCs w:val="22"/>
        </w:rPr>
        <w:t xml:space="preserve"> (</w:t>
      </w:r>
      <w:r>
        <w:rPr>
          <w:rFonts w:hint="default" w:ascii="Arial Regular" w:hAnsi="Arial Regular" w:cs="Arial Regular"/>
          <w:b w:val="0"/>
          <w:i/>
          <w:iCs w:val="0"/>
          <w:sz w:val="20"/>
          <w:szCs w:val="22"/>
        </w:rPr>
        <w:t>A.niger</w:t>
      </w:r>
      <w:r>
        <w:rPr>
          <w:rFonts w:hint="default" w:ascii="Arial Regular" w:hAnsi="Arial Regular" w:cs="Arial Regular"/>
          <w:b w:val="0"/>
          <w:i w:val="0"/>
          <w:sz w:val="20"/>
          <w:szCs w:val="22"/>
        </w:rPr>
        <w:t xml:space="preserve">) and </w:t>
      </w:r>
      <w:r>
        <w:rPr>
          <w:rFonts w:hint="default" w:ascii="Arial Regular" w:hAnsi="Arial Regular" w:cs="Arial Regular"/>
          <w:b w:val="0"/>
          <w:i/>
          <w:iCs w:val="0"/>
          <w:sz w:val="20"/>
          <w:szCs w:val="22"/>
        </w:rPr>
        <w:t>Penicillium polonicum</w:t>
      </w:r>
      <w:r>
        <w:rPr>
          <w:rFonts w:hint="default" w:ascii="Arial Regular" w:hAnsi="Arial Regular" w:cs="Arial Regular"/>
          <w:b w:val="0"/>
          <w:i w:val="0"/>
          <w:sz w:val="20"/>
          <w:szCs w:val="22"/>
        </w:rPr>
        <w:t xml:space="preserve"> (</w:t>
      </w:r>
      <w:r>
        <w:rPr>
          <w:rFonts w:hint="default" w:ascii="Arial Regular" w:hAnsi="Arial Regular" w:cs="Arial Regular"/>
          <w:b w:val="0"/>
          <w:i/>
          <w:iCs w:val="0"/>
          <w:sz w:val="20"/>
          <w:szCs w:val="22"/>
        </w:rPr>
        <w:t>P.polonicum</w:t>
      </w:r>
      <w:r>
        <w:rPr>
          <w:rFonts w:hint="default" w:ascii="Arial Regular" w:hAnsi="Arial Regular" w:cs="Arial Regular"/>
          <w:b w:val="0"/>
          <w:i w:val="0"/>
          <w:sz w:val="20"/>
          <w:szCs w:val="22"/>
        </w:rPr>
        <w:t>). These two fungi were inoculated onto DRBC agar plates and incubated in a constant-temperature incubator for three weeks until they reached the stationary phase.</w:t>
      </w:r>
    </w:p>
    <w:p w14:paraId="5992806B">
      <w:pPr>
        <w:keepNext w:val="0"/>
        <w:keepLines w:val="0"/>
        <w:pageBreakBefore w:val="0"/>
        <w:widowControl w:val="0"/>
        <w:kinsoku/>
        <w:wordWrap/>
        <w:overflowPunct/>
        <w:topLinePunct w:val="0"/>
        <w:autoSpaceDE/>
        <w:autoSpaceDN/>
        <w:bidi w:val="0"/>
        <w:adjustRightInd w:val="0"/>
        <w:snapToGrid w:val="0"/>
        <w:spacing w:line="360" w:lineRule="auto"/>
        <w:ind w:firstLine="400" w:firstLineChars="200"/>
        <w:textAlignment w:val="auto"/>
        <w:rPr>
          <w:rFonts w:hint="default" w:ascii="Arial Regular" w:hAnsi="Arial Regular" w:cs="Arial Regular"/>
          <w:b w:val="0"/>
          <w:i w:val="0"/>
          <w:sz w:val="20"/>
          <w:szCs w:val="22"/>
        </w:rPr>
      </w:pPr>
      <w:r>
        <w:rPr>
          <w:rFonts w:hint="default" w:ascii="Arial Regular" w:hAnsi="Arial Regular" w:cs="Arial Regular"/>
          <w:b w:val="0"/>
          <w:i w:val="0"/>
          <w:sz w:val="20"/>
          <w:szCs w:val="22"/>
        </w:rPr>
        <w:t>Following incubation, 5 mL of phosphate-buffered saline (PBS) was added to each Petri dish. Fungal spores were scraped off with a sterile glass rod and filtered through a three-layer sterile lens cleaning paper to remove mycelium and residual culture medium. The filtered spores were washed three times with sterile PBS (centrifuged at 8000 rpm for 10 minutes at 4 ℃</w:t>
      </w:r>
      <w:bookmarkStart w:id="1" w:name="_GoBack"/>
      <w:bookmarkEnd w:id="1"/>
      <w:r>
        <w:rPr>
          <w:rFonts w:hint="default" w:ascii="Arial Regular" w:hAnsi="Arial Regular" w:cs="Arial Regular"/>
          <w:b w:val="0"/>
          <w:i w:val="0"/>
          <w:sz w:val="20"/>
          <w:szCs w:val="22"/>
        </w:rPr>
        <w:t>), and then resuspended in an appropriate amount of PBS. Spore counts were performed using an optical microscope (BX51, Olympus, Japan), and the final spore suspension was stored at 4℃.</w:t>
      </w:r>
    </w:p>
    <w:p w14:paraId="113B8537">
      <w:pPr>
        <w:keepNext w:val="0"/>
        <w:keepLines w:val="0"/>
        <w:pageBreakBefore w:val="0"/>
        <w:widowControl w:val="0"/>
        <w:kinsoku/>
        <w:wordWrap/>
        <w:overflowPunct/>
        <w:topLinePunct w:val="0"/>
        <w:autoSpaceDE/>
        <w:autoSpaceDN/>
        <w:bidi w:val="0"/>
        <w:adjustRightInd w:val="0"/>
        <w:snapToGrid w:val="0"/>
        <w:spacing w:line="360" w:lineRule="auto"/>
        <w:ind w:firstLine="400" w:firstLineChars="200"/>
        <w:textAlignment w:val="auto"/>
        <w:rPr>
          <w:rFonts w:hint="default" w:ascii="Arial Regular" w:hAnsi="Arial Regular" w:cs="Arial Regular"/>
          <w:b w:val="0"/>
          <w:bCs/>
          <w:i w:val="0"/>
          <w:szCs w:val="24"/>
        </w:rPr>
      </w:pPr>
      <w:r>
        <w:rPr>
          <w:rFonts w:hint="default" w:ascii="Arial Regular" w:hAnsi="Arial Regular" w:cs="Arial Regular"/>
          <w:b w:val="0"/>
          <w:i/>
          <w:iCs w:val="0"/>
          <w:sz w:val="20"/>
          <w:szCs w:val="22"/>
        </w:rPr>
        <w:t>Escherichia coli</w:t>
      </w:r>
      <w:r>
        <w:rPr>
          <w:rFonts w:hint="default" w:ascii="Arial Regular" w:hAnsi="Arial Regular" w:cs="Arial Regular"/>
          <w:b w:val="0"/>
          <w:i w:val="0"/>
          <w:sz w:val="20"/>
          <w:szCs w:val="22"/>
        </w:rPr>
        <w:t xml:space="preserve"> (</w:t>
      </w:r>
      <w:r>
        <w:rPr>
          <w:rFonts w:hint="default" w:ascii="Arial Regular" w:hAnsi="Arial Regular" w:cs="Arial Regular"/>
          <w:b w:val="0"/>
          <w:i/>
          <w:iCs w:val="0"/>
          <w:sz w:val="20"/>
          <w:szCs w:val="22"/>
        </w:rPr>
        <w:t>E.coli</w:t>
      </w:r>
      <w:r>
        <w:rPr>
          <w:rFonts w:hint="default" w:ascii="Arial Regular" w:hAnsi="Arial Regular" w:cs="Arial Regular"/>
          <w:b w:val="0"/>
          <w:i w:val="0"/>
          <w:sz w:val="20"/>
          <w:szCs w:val="22"/>
        </w:rPr>
        <w:t>) was chosen as the bacterial representative for comparative experiments. The bacteria were first activated in LB liquid medium and then transferred to fresh medium for an 18-hour incubation. After culturing, the bacterial suspension was transferred to a centrifuge tube and centrifuged at 10,000 rpm for 10 minutes at 4 ℃. The supernatant was discarded, and the bacterial pellet was washed three times with phosphate-buffered saline (PBS). Finally, the bacteria were resuspended in PBS. The concentration of the bacterial suspension was determined using flow cytometry (Accuri C6, BD, USA) and SYBR Green I (SG, 10,000×) staining method.</w:t>
      </w:r>
      <w:r>
        <w:rPr>
          <w:rFonts w:hint="default" w:ascii="Arial Regular" w:hAnsi="Arial Regular" w:cs="Arial Regular"/>
          <w:b w:val="0"/>
          <w:bCs/>
          <w:i w:val="0"/>
          <w:szCs w:val="24"/>
        </w:rPr>
        <w:br w:type="page"/>
      </w:r>
    </w:p>
    <w:p w14:paraId="2EF7109B">
      <w:pPr>
        <w:pStyle w:val="3"/>
        <w:keepNext/>
        <w:keepLines/>
        <w:pageBreakBefore w:val="0"/>
        <w:widowControl w:val="0"/>
        <w:kinsoku/>
        <w:wordWrap/>
        <w:overflowPunct/>
        <w:topLinePunct w:val="0"/>
        <w:autoSpaceDE/>
        <w:autoSpaceDN/>
        <w:bidi w:val="0"/>
        <w:adjustRightInd/>
        <w:snapToGrid/>
        <w:spacing w:before="0" w:beforeLines="0" w:after="157" w:afterLines="50" w:line="240" w:lineRule="auto"/>
        <w:textAlignment w:val="auto"/>
        <w:rPr>
          <w:rFonts w:hint="default" w:ascii="Arial Regular" w:hAnsi="Arial Regular" w:cs="Arial Regular"/>
          <w:b/>
          <w:sz w:val="20"/>
          <w:szCs w:val="20"/>
        </w:rPr>
      </w:pPr>
      <w:r>
        <w:rPr>
          <w:rFonts w:hint="default" w:ascii="Arial Regular" w:hAnsi="Arial Regular" w:cs="Arial Regular"/>
          <w:b/>
          <w:sz w:val="20"/>
          <w:szCs w:val="20"/>
        </w:rPr>
        <w:t>Supplementary Text 2. Metal ion adsorption by fungal spores.</w:t>
      </w:r>
    </w:p>
    <w:p w14:paraId="4BD6459F">
      <w:pPr>
        <w:keepNext w:val="0"/>
        <w:keepLines w:val="0"/>
        <w:pageBreakBefore w:val="0"/>
        <w:widowControl w:val="0"/>
        <w:kinsoku/>
        <w:wordWrap/>
        <w:overflowPunct/>
        <w:topLinePunct w:val="0"/>
        <w:autoSpaceDE/>
        <w:autoSpaceDN/>
        <w:bidi w:val="0"/>
        <w:adjustRightInd w:val="0"/>
        <w:snapToGrid w:val="0"/>
        <w:spacing w:line="360" w:lineRule="auto"/>
        <w:ind w:firstLine="400" w:firstLineChars="200"/>
        <w:textAlignment w:val="auto"/>
        <w:rPr>
          <w:rFonts w:hint="default" w:ascii="Arial Regular" w:hAnsi="Arial Regular" w:cs="Arial Regular"/>
          <w:sz w:val="20"/>
          <w:szCs w:val="20"/>
        </w:rPr>
      </w:pPr>
      <w:r>
        <w:rPr>
          <w:rFonts w:hint="default" w:ascii="Arial Regular" w:hAnsi="Arial Regular" w:cs="Arial Regular"/>
          <w:sz w:val="20"/>
          <w:szCs w:val="20"/>
        </w:rPr>
        <w:t xml:space="preserve">Four </w:t>
      </w:r>
      <w:r>
        <w:rPr>
          <w:rFonts w:hint="default" w:ascii="Arial Regular" w:hAnsi="Arial Regular" w:cs="Arial Regular"/>
          <w:b w:val="0"/>
          <w:i w:val="0"/>
          <w:sz w:val="20"/>
          <w:szCs w:val="22"/>
        </w:rPr>
        <w:t xml:space="preserve">representative </w:t>
      </w:r>
      <w:r>
        <w:rPr>
          <w:rFonts w:hint="default" w:ascii="Arial Regular" w:hAnsi="Arial Regular" w:cs="Arial Regular"/>
          <w:sz w:val="20"/>
          <w:szCs w:val="20"/>
        </w:rPr>
        <w:t>metal ions, Cu(II), Fe(II), Mn(II), and Co(II), were selected based on their environmental relevance and distinct coordination behaviors. Cu and Fe are the most common corrosion-derived ions in water distribution systems, originating from pipe materials and dissolution processes</w:t>
      </w:r>
      <w:r>
        <w:rPr>
          <w:rFonts w:hint="default" w:ascii="Arial Regular" w:hAnsi="Arial Regular" w:cs="Arial Regular"/>
          <w:sz w:val="20"/>
          <w:szCs w:val="20"/>
        </w:rPr>
        <w:fldChar w:fldCharType="begin"/>
      </w:r>
      <w:r>
        <w:rPr>
          <w:rFonts w:hint="default" w:ascii="Arial Regular" w:hAnsi="Arial Regular" w:cs="Arial Regular"/>
          <w:sz w:val="20"/>
          <w:szCs w:val="20"/>
        </w:rPr>
        <w:instrText xml:space="preserve"> ADDIN ZOTERO_ITEM CSL_CITATION {"citationID":"Tycb9Reh","properties":{"formattedCitation":"\\super 1\\nosupersub{}","plainCitation":"1","noteIndex":0},"citationItems":[{"id":8929,"uris":["http://zotero.org/groups/4557901/items/M9Q4H6FU"],"itemData":{"id":8929,"type":"article-journal","container-title":"Toxicological &amp; Environmental Chemistry","DOI":"10.1080/02772248.2013.840372","ISSN":"0277-2248, 1029-0486","issue":"6","language":"en","note":"publisher: Informa UK Limited","page":"870-889","source":"Crossref","title":"Presence of metals in drinking water distribution networks due to pipe material leaching: a review","title-short":"Presence of metals in drinking water distribution networks due to pipe material leaching","volume":"95","author":[{"family":"Gonzalez","given":"Susana"},{"family":"Lopez-Roldan","given":"Ramón"},{"family":"Cortina","given":"Jose-Luis"}],"issued":{"date-parts":[["2013",7]]}}}],"schema":"https://github.com/citation-style-language/schema/raw/master/csl-citation.json"} </w:instrText>
      </w:r>
      <w:r>
        <w:rPr>
          <w:rFonts w:hint="default" w:ascii="Arial Regular" w:hAnsi="Arial Regular" w:cs="Arial Regular"/>
          <w:sz w:val="20"/>
          <w:szCs w:val="20"/>
        </w:rPr>
        <w:fldChar w:fldCharType="separate"/>
      </w:r>
      <w:r>
        <w:rPr>
          <w:rFonts w:hint="default" w:ascii="Arial Regular" w:hAnsi="Arial Regular" w:cs="Arial Regular"/>
          <w:kern w:val="0"/>
          <w:sz w:val="20"/>
          <w:szCs w:val="22"/>
          <w:vertAlign w:val="superscript"/>
        </w:rPr>
        <w:t>1</w:t>
      </w:r>
      <w:r>
        <w:rPr>
          <w:rFonts w:hint="default" w:ascii="Arial Regular" w:hAnsi="Arial Regular" w:cs="Arial Regular"/>
          <w:sz w:val="20"/>
          <w:szCs w:val="20"/>
        </w:rPr>
        <w:fldChar w:fldCharType="end"/>
      </w:r>
      <w:r>
        <w:rPr>
          <w:rFonts w:hint="default" w:ascii="Arial Regular" w:hAnsi="Arial Regular" w:cs="Arial Regular"/>
          <w:sz w:val="20"/>
          <w:szCs w:val="20"/>
        </w:rPr>
        <w:t>. Mn occurs widely in groundwater and sediments, while its release from pipe deposits also contributes to elevated concentrations</w:t>
      </w:r>
      <w:r>
        <w:rPr>
          <w:rFonts w:hint="default" w:ascii="Arial Regular" w:hAnsi="Arial Regular" w:cs="Arial Regular"/>
          <w:sz w:val="20"/>
          <w:szCs w:val="20"/>
        </w:rPr>
        <w:fldChar w:fldCharType="begin"/>
      </w:r>
      <w:r>
        <w:rPr>
          <w:rFonts w:hint="default" w:ascii="Arial Regular" w:hAnsi="Arial Regular" w:cs="Arial Regular"/>
          <w:sz w:val="20"/>
          <w:szCs w:val="20"/>
        </w:rPr>
        <w:instrText xml:space="preserve"> ADDIN ZOTERO_ITEM CSL_CITATION {"citationID":"es8gLdcC","properties":{"formattedCitation":"\\super 2\\nosupersub{}","plainCitation":"2","noteIndex":0},"citationItems":[{"id":3990,"uris":["http://zotero.org/groups/4557901/items/WJQGKQBS","http://zotero.org/groups/4557901/items/Y5YJTDRS"],"itemData":{"id":3990,"type":"article-journal","abstract":"Trace heavy metals accumulated in iron corrosion scales within a drinking water distribution system (DWDS) could potentially be released to bulk water and consequently deteriorate the tap water quality. The objective of this study was to identify and evaluate the release of trace heavy metals in DWDS under changing source water conditions. Experimental pipe loops with different iron corrosion scales were set up to simulate the actual DWDS. The effects of sulfate levels on heavy metal release were systemically investigated. Heavy metal releases of Mn, Ni, Cu, Pb, Cr and As could be rapidly triggered by sulfate addition but the releases slowly decreased over time. Heavy metal release was more severe in pipes transporting groundwater (GW) than in pipes transporting surface water (SW). There were strong positive correlations (R2 &gt; 0.8) between the releases of Fe and Mn, Fe and Ni, Fe and Cu, and Fe and Pb. When switching to higher sulfate water, iron corrosion scales in all pipe loops tended to be more stable (especially in pipes transporting GW), with a larger proportion of stable constituents (mainly Fe3O4) and fewer unstable compounds (b-FeOOH, g-FeOOH, FeCO3 and amorphous iron oxides). The main functional iron reducing bacteria (IRB) communities were favorable for the formation of Fe3O4. The transformation of corrosion scales and the growth of sulfate reducing bacteria (SRB) accounted for the gradually reduced heavy metal release with time. The higher metal release in pipes transporting GW could be due to increased Fe6(OH)12CO3 content under higher sulfate concentrations.","container-title":"Water Research","DOI":"10.1016/j.watres.2017.02.021","ISSN":"00431354","journalAbbreviation":"Water Research","language":"en","note":"TLDR: The transformation of corrosion scales and the growth of sulfate reducing bacteria (SRB) accounted for the gradually reduced heavy metal release with time, and the higher metal release in pipes transporting GW could be due to increased Fe6(OH)12CO3 content under higher sulfate concentrations.","page":"69-77","source":"DOI.org (Crossref)","title":"Effects of sulfate on heavy metal release from iron corrosion scales in drinking water distribution system","volume":"114","author":[{"family":"Sun","given":"Huifang"},{"family":"Shi","given":"Baoyou"},{"family":"Yang","given":"Fan"},{"family":"Wang","given":"Dongsheng"}],"issued":{"date-parts":[["2017",5]]}}}],"schema":"https://github.com/citation-style-language/schema/raw/master/csl-citation.json"} </w:instrText>
      </w:r>
      <w:r>
        <w:rPr>
          <w:rFonts w:hint="default" w:ascii="Arial Regular" w:hAnsi="Arial Regular" w:cs="Arial Regular"/>
          <w:sz w:val="20"/>
          <w:szCs w:val="20"/>
        </w:rPr>
        <w:fldChar w:fldCharType="separate"/>
      </w:r>
      <w:r>
        <w:rPr>
          <w:rFonts w:hint="default" w:ascii="Arial Regular" w:hAnsi="Arial Regular" w:cs="Arial Regular"/>
          <w:kern w:val="0"/>
          <w:sz w:val="20"/>
          <w:szCs w:val="22"/>
          <w:vertAlign w:val="superscript"/>
        </w:rPr>
        <w:t>2</w:t>
      </w:r>
      <w:r>
        <w:rPr>
          <w:rFonts w:hint="default" w:ascii="Arial Regular" w:hAnsi="Arial Regular" w:cs="Arial Regular"/>
          <w:sz w:val="20"/>
          <w:szCs w:val="20"/>
        </w:rPr>
        <w:fldChar w:fldCharType="end"/>
      </w:r>
      <w:r>
        <w:rPr>
          <w:rFonts w:hint="default" w:ascii="Arial Regular" w:hAnsi="Arial Regular" w:cs="Arial Regular"/>
          <w:sz w:val="20"/>
          <w:szCs w:val="20"/>
        </w:rPr>
        <w:t>. Although Co is less abundant, it frequently coexists with Fe–Mn minerals and can enter water through geochemical mobilization and microbial interactions</w:t>
      </w:r>
      <w:r>
        <w:rPr>
          <w:rFonts w:hint="default" w:ascii="Arial Regular" w:hAnsi="Arial Regular" w:cs="Arial Regular"/>
          <w:sz w:val="20"/>
          <w:szCs w:val="20"/>
        </w:rPr>
        <w:fldChar w:fldCharType="begin"/>
      </w:r>
      <w:r>
        <w:rPr>
          <w:rFonts w:hint="default" w:ascii="Arial Regular" w:hAnsi="Arial Regular" w:cs="Arial Regular"/>
          <w:sz w:val="20"/>
          <w:szCs w:val="20"/>
        </w:rPr>
        <w:instrText xml:space="preserve"> ADDIN ZOTERO_ITEM CSL_CITATION {"citationID":"94X0SC9M","properties":{"formattedCitation":"\\super 3\\nosupersub{}","plainCitation":"3","noteIndex":0},"citationItems":[{"id":9816,"uris":["http://zotero.org/users/8940920/items/JFNXU3EI"],"itemData":{"id":9816,"type":"article-journal","abstract":"Cobalt (Co) is an essential trace element for humans and other animals, but high doses can be harmful to human health. It is present in some foods such as green vegetables, various spices, meat, milk products, seafood, and eggs, and in drinking water. Co is necessary for the metabolism of human beings and animals due to its key role in the formation of vitamin B12, also known as cobalamin, the biological reservoir of Co. In high concentrations, Co may cause some health issues such as vomiting, nausea, diarrhea, bleeding, low blood pressure, heart diseases, thyroid damage, hair loss, bone defects, and the inhibition of some enzyme activities. Conversely, Co deficiency can lead to anorexia, chronic swelling, and detrimental anemia. Co nanoparticles have different and various biomedical applications thanks to their antioxidant, antimicrobial, anticancer, and antidiabetic properties. In addition, Co and cobalt oxide nanoparticles can be used in lithium-ion batteries, as a catalyst, a carrier for targeted drug delivery, a gas sensor, an electronic thin film, and in energy storage. Accumulation of Co in agriculture and humans, due to natural and anthropogenic factors, represents a global problem affecting water quality and human and animal health. Besides the common chelating agents used for Co intoxication, phytoremediation is an interesting environmental technology for cleaning up soil contaminated with Co. The occurrence of Co in the environment is discussed and its involvement in biological processes is underlined. Toxicological aspects related to Co are also examined in this review.","container-title":"Biology","DOI":"10.3390/biology12101335","ISSN":"2079-7737","issue":"10","journalAbbreviation":"Biology","language":"en","license":"https://creativecommons.org/licenses/by/4.0/","note":"TLDR: Co is an essential element with ubiquitous dietary exposure and possible incremental exposure due to dietary supplements, occupations, and medical devices and its involvement in biological processes is underlined.","page":"1335","source":"DOI.org (Crossref)","title":"Prevalence of Cobalt in the Environment and Its Role in Biological Processes","volume":"12","author":[{"family":"Genchi","given":"Giuseppe"},{"family":"Lauria","given":"Graziantonio"},{"family":"Catalano","given":"Alessia"},{"family":"Carocci","given":"Alessia"},{"family":"Sinicropi","given":"Maria Stefania"}],"issued":{"date-parts":[["2023",10,16]]}}}],"schema":"https://github.com/citation-style-language/schema/raw/master/csl-citation.json"} </w:instrText>
      </w:r>
      <w:r>
        <w:rPr>
          <w:rFonts w:hint="default" w:ascii="Arial Regular" w:hAnsi="Arial Regular" w:cs="Arial Regular"/>
          <w:sz w:val="20"/>
          <w:szCs w:val="20"/>
        </w:rPr>
        <w:fldChar w:fldCharType="separate"/>
      </w:r>
      <w:r>
        <w:rPr>
          <w:rFonts w:hint="default" w:ascii="Arial Regular" w:hAnsi="Arial Regular" w:cs="Arial Regular"/>
          <w:kern w:val="0"/>
          <w:sz w:val="20"/>
          <w:szCs w:val="22"/>
          <w:vertAlign w:val="superscript"/>
        </w:rPr>
        <w:t>3</w:t>
      </w:r>
      <w:r>
        <w:rPr>
          <w:rFonts w:hint="default" w:ascii="Arial Regular" w:hAnsi="Arial Regular" w:cs="Arial Regular"/>
          <w:sz w:val="20"/>
          <w:szCs w:val="20"/>
        </w:rPr>
        <w:fldChar w:fldCharType="end"/>
      </w:r>
      <w:r>
        <w:rPr>
          <w:rFonts w:hint="default" w:ascii="Arial Regular" w:hAnsi="Arial Regular" w:cs="Arial Regular"/>
          <w:sz w:val="20"/>
          <w:szCs w:val="20"/>
        </w:rPr>
        <w:t>.</w:t>
      </w:r>
    </w:p>
    <w:p w14:paraId="2E87D100">
      <w:pPr>
        <w:keepNext w:val="0"/>
        <w:keepLines w:val="0"/>
        <w:pageBreakBefore w:val="0"/>
        <w:widowControl w:val="0"/>
        <w:kinsoku/>
        <w:wordWrap/>
        <w:overflowPunct/>
        <w:topLinePunct w:val="0"/>
        <w:autoSpaceDE/>
        <w:autoSpaceDN/>
        <w:bidi w:val="0"/>
        <w:adjustRightInd w:val="0"/>
        <w:snapToGrid w:val="0"/>
        <w:spacing w:line="360" w:lineRule="auto"/>
        <w:ind w:firstLine="400" w:firstLineChars="200"/>
        <w:textAlignment w:val="auto"/>
        <w:rPr>
          <w:rFonts w:hint="default" w:ascii="Arial Regular" w:hAnsi="Arial Regular" w:cs="Arial Regular"/>
          <w:sz w:val="20"/>
          <w:szCs w:val="20"/>
        </w:rPr>
      </w:pPr>
      <w:r>
        <w:rPr>
          <w:rFonts w:hint="default" w:ascii="Arial Regular" w:hAnsi="Arial Regular" w:cs="Arial Regular"/>
          <w:sz w:val="20"/>
          <w:szCs w:val="20"/>
        </w:rPr>
        <w:t xml:space="preserve">From a </w:t>
      </w:r>
      <w:r>
        <w:rPr>
          <w:rFonts w:hint="default" w:ascii="Arial Regular" w:hAnsi="Arial Regular" w:cs="Arial Regular"/>
          <w:b w:val="0"/>
          <w:i w:val="0"/>
          <w:sz w:val="20"/>
          <w:szCs w:val="22"/>
        </w:rPr>
        <w:t xml:space="preserve">chemical </w:t>
      </w:r>
      <w:r>
        <w:rPr>
          <w:rFonts w:hint="default" w:ascii="Arial Regular" w:hAnsi="Arial Regular" w:cs="Arial Regular"/>
          <w:sz w:val="20"/>
          <w:szCs w:val="20"/>
        </w:rPr>
        <w:t>reactivity perspective, these ions exhibit distinct complexation preferences governed by the hard–soft acid–base (HSAB) principle. Mn(II), a hard acid, predominantly coordinates with oxygen-containing groups such as carboxyl and hydroxyl moieties</w:t>
      </w:r>
      <w:r>
        <w:rPr>
          <w:rFonts w:hint="default" w:ascii="Arial Regular" w:hAnsi="Arial Regular" w:cs="Arial Regular"/>
          <w:sz w:val="20"/>
          <w:szCs w:val="20"/>
        </w:rPr>
        <w:fldChar w:fldCharType="begin"/>
      </w:r>
      <w:r>
        <w:rPr>
          <w:rFonts w:hint="default" w:ascii="Arial Regular" w:hAnsi="Arial Regular" w:cs="Arial Regular"/>
          <w:sz w:val="20"/>
          <w:szCs w:val="20"/>
        </w:rPr>
        <w:instrText xml:space="preserve"> ADDIN ZOTERO_ITEM CSL_CITATION {"citationID":"20tJ4tve","properties":{"formattedCitation":"\\super 4\\nosupersub{}","plainCitation":"4","noteIndex":0},"citationItems":[{"id":9632,"uris":["http://zotero.org/groups/4557901/items/WCYMG3SM"],"itemData":{"id":9632,"type":"article-journal","container-title":"Chemical Reviews","DOI":"10.1021/cr60293a001","ISSN":"0009-2665, 1520-6890","issue":"1","journalAbbreviation":"Chem. Rev.","language":"en","page":"1-20","source":"DOI.org (Crossref)","title":"Hard soft acids bases (HSAB) principle and organic chemistry","volume":"75","author":[{"family":"Ho","given":"Tse-Lok"}],"issued":{"date-parts":[["1975",2,1]]}}}],"schema":"https://github.com/citation-style-language/schema/raw/master/csl-citation.json"} </w:instrText>
      </w:r>
      <w:r>
        <w:rPr>
          <w:rFonts w:hint="default" w:ascii="Arial Regular" w:hAnsi="Arial Regular" w:cs="Arial Regular"/>
          <w:sz w:val="20"/>
          <w:szCs w:val="20"/>
        </w:rPr>
        <w:fldChar w:fldCharType="separate"/>
      </w:r>
      <w:r>
        <w:rPr>
          <w:rFonts w:hint="default" w:ascii="Arial Regular" w:hAnsi="Arial Regular" w:cs="Arial Regular"/>
          <w:kern w:val="0"/>
          <w:sz w:val="20"/>
          <w:szCs w:val="22"/>
          <w:vertAlign w:val="superscript"/>
        </w:rPr>
        <w:t>4</w:t>
      </w:r>
      <w:r>
        <w:rPr>
          <w:rFonts w:hint="default" w:ascii="Arial Regular" w:hAnsi="Arial Regular" w:cs="Arial Regular"/>
          <w:sz w:val="20"/>
          <w:szCs w:val="20"/>
        </w:rPr>
        <w:fldChar w:fldCharType="end"/>
      </w:r>
      <w:r>
        <w:rPr>
          <w:rFonts w:hint="default" w:ascii="Arial Regular" w:hAnsi="Arial Regular" w:cs="Arial Regular"/>
          <w:sz w:val="20"/>
          <w:szCs w:val="20"/>
        </w:rPr>
        <w:t>. Cu(II) and Co(II) act as borderline acids, capable of forming stable bonds with both oxygen and nitrogen donors (e.g., amino or amide groups)</w:t>
      </w:r>
      <w:r>
        <w:rPr>
          <w:rFonts w:hint="default" w:ascii="Arial Regular" w:hAnsi="Arial Regular" w:cs="Arial Regular"/>
          <w:sz w:val="20"/>
          <w:szCs w:val="20"/>
        </w:rPr>
        <w:fldChar w:fldCharType="begin"/>
      </w:r>
      <w:r>
        <w:rPr>
          <w:rFonts w:hint="default" w:ascii="Arial Regular" w:hAnsi="Arial Regular" w:cs="Arial Regular"/>
          <w:sz w:val="20"/>
          <w:szCs w:val="20"/>
        </w:rPr>
        <w:instrText xml:space="preserve"> ADDIN ZOTERO_ITEM CSL_CITATION {"citationID":"QXapRGoP","properties":{"formattedCitation":"\\super 4\\nosupersub{}","plainCitation":"4","noteIndex":0},"citationItems":[{"id":9632,"uris":["http://zotero.org/groups/4557901/items/WCYMG3SM"],"itemData":{"id":9632,"type":"article-journal","container-title":"Chemical Reviews","DOI":"10.1021/cr60293a001","ISSN":"0009-2665, 1520-6890","issue":"1","journalAbbreviation":"Chem. Rev.","language":"en","page":"1-20","source":"DOI.org (Crossref)","title":"Hard soft acids bases (HSAB) principle and organic chemistry","volume":"75","author":[{"family":"Ho","given":"Tse-Lok"}],"issued":{"date-parts":[["1975",2,1]]}}}],"schema":"https://github.com/citation-style-language/schema/raw/master/csl-citation.json"} </w:instrText>
      </w:r>
      <w:r>
        <w:rPr>
          <w:rFonts w:hint="default" w:ascii="Arial Regular" w:hAnsi="Arial Regular" w:cs="Arial Regular"/>
          <w:sz w:val="20"/>
          <w:szCs w:val="20"/>
        </w:rPr>
        <w:fldChar w:fldCharType="separate"/>
      </w:r>
      <w:r>
        <w:rPr>
          <w:rFonts w:hint="default" w:ascii="Arial Regular" w:hAnsi="Arial Regular" w:cs="Arial Regular"/>
          <w:kern w:val="0"/>
          <w:sz w:val="20"/>
          <w:szCs w:val="22"/>
          <w:vertAlign w:val="superscript"/>
        </w:rPr>
        <w:t>4</w:t>
      </w:r>
      <w:r>
        <w:rPr>
          <w:rFonts w:hint="default" w:ascii="Arial Regular" w:hAnsi="Arial Regular" w:cs="Arial Regular"/>
          <w:sz w:val="20"/>
          <w:szCs w:val="20"/>
        </w:rPr>
        <w:fldChar w:fldCharType="end"/>
      </w:r>
      <w:r>
        <w:rPr>
          <w:rFonts w:hint="default" w:ascii="Arial Regular" w:hAnsi="Arial Regular" w:cs="Arial Regular"/>
          <w:sz w:val="20"/>
          <w:szCs w:val="20"/>
        </w:rPr>
        <w:t>. Co(II) also exhibits notable catalytic activity, potentially affecting disinfection efficiency. Fe(II), with variable oxidation states and redox activity, interacts with carboxyl and phenolic hydroxyl groups, altering the surface chemistry of fungal spores</w:t>
      </w:r>
      <w:r>
        <w:rPr>
          <w:rFonts w:hint="default" w:ascii="Arial Regular" w:hAnsi="Arial Regular" w:cs="Arial Regular"/>
          <w:sz w:val="20"/>
          <w:szCs w:val="20"/>
        </w:rPr>
        <w:fldChar w:fldCharType="begin"/>
      </w:r>
      <w:r>
        <w:rPr>
          <w:rFonts w:hint="default" w:ascii="Arial Regular" w:hAnsi="Arial Regular" w:cs="Arial Regular"/>
          <w:sz w:val="20"/>
          <w:szCs w:val="20"/>
        </w:rPr>
        <w:instrText xml:space="preserve"> ADDIN ZOTERO_ITEM CSL_CITATION {"citationID":"jdpGONzO","properties":{"formattedCitation":"\\super 5\\nosupersub{}","plainCitation":"5","noteIndex":0},"citationItems":[{"id":10385,"uris":["http://zotero.org/groups/4557901/items/YDVX7R9M"],"itemData":{"id":10385,"type":"article-journal","abstract":"Iron (Fe) is the fourth most abundant element in the earth’s crust and plays important roles in both biological and chemical processes. The redox reactivity of various Fe(II) forms has gained increasing attention over recent decades in the areas of (bio) geochemistry, environmental chemistry and engineering, and material sciences. The goal of this paper is to review these recent advances and the current state of knowledge of Fe(II) redox chemistry in the environment. Speciﬁcally, this comprehensive review focuses on the redox reactivity of four types of Fe(II) species including aqueous Fe(II), Fe(II) complexed with ligands, minerals bearing structural Fe(II), and sorbed Fe(II) on mineral oxide surfaces. The formation pathways, factors governing the reactivity, insights into potential mechanisms, reactivity comparison, and characterization techniques are discussed with reference to the most recent breakthroughs in this ﬁeld where possible. We also cover the roles of these Fe(II) species in environmental applications of zerovalent iron, microbial processes, biogeochemical cycling of carbon and nutrients, and their abiotic oxidation related processes in natural and engineered systems.","container-title":"Chemical Reviews","DOI":"10.1021/acs.chemrev.0c01286","ISSN":"0009-2665, 1520-6890","issue":"13","journalAbbreviation":"Chem. Rev.","language":"en","license":"https://doi.org/10.15223/policy-029","note":"TLDR: This comprehensive review focuses on the redox reactivity of four types of Fe(II) species including aqueous Fe(III) complexed with ligands, minerals bearing structural Fe( II), and sorbed Fe(ii) on mineral oxide surfaces.","page":"8161-8233","source":"DOI.org (Crossref)","title":"Fe(II) Redox Chemistry in the Environment","volume":"121","author":[{"family":"Huang","given":"Jianzhi"},{"family":"Jones","given":"Adele"},{"family":"Waite","given":"T. David"},{"family":"Chen","given":"Yiling"},{"family":"Huang","given":"Xiaopeng"},{"family":"Rosso","given":"Kevin M."},{"family":"Kappler","given":"Andreas"},{"family":"Mansor","given":"Muammar"},{"family":"Tratnyek","given":"Paul G."},{"family":"Zhang","given":"Huichun"}],"issued":{"date-parts":[["2021",7,14]]}}}],"schema":"https://github.com/citation-style-language/schema/raw/master/csl-citation.json"} </w:instrText>
      </w:r>
      <w:r>
        <w:rPr>
          <w:rFonts w:hint="default" w:ascii="Arial Regular" w:hAnsi="Arial Regular" w:cs="Arial Regular"/>
          <w:sz w:val="20"/>
          <w:szCs w:val="20"/>
        </w:rPr>
        <w:fldChar w:fldCharType="separate"/>
      </w:r>
      <w:r>
        <w:rPr>
          <w:rFonts w:hint="default" w:ascii="Arial Regular" w:hAnsi="Arial Regular" w:cs="Arial Regular"/>
          <w:kern w:val="0"/>
          <w:sz w:val="20"/>
          <w:szCs w:val="22"/>
          <w:vertAlign w:val="superscript"/>
        </w:rPr>
        <w:t>5</w:t>
      </w:r>
      <w:r>
        <w:rPr>
          <w:rFonts w:hint="default" w:ascii="Arial Regular" w:hAnsi="Arial Regular" w:cs="Arial Regular"/>
          <w:sz w:val="20"/>
          <w:szCs w:val="20"/>
        </w:rPr>
        <w:fldChar w:fldCharType="end"/>
      </w:r>
      <w:r>
        <w:rPr>
          <w:rFonts w:hint="default" w:ascii="Arial Regular" w:hAnsi="Arial Regular" w:cs="Arial Regular"/>
          <w:sz w:val="20"/>
          <w:szCs w:val="20"/>
        </w:rPr>
        <w:t>. Consequently, variations in ionic radius, electrophilicity, and electronic configuration among these metals are expected to differentially influence their binding strength with melanin and chitosan components in fungal cell walls, thereby modulating chlorine decay dynamics and chlorine resistance.</w:t>
      </w:r>
    </w:p>
    <w:p w14:paraId="08C96D27">
      <w:pPr>
        <w:keepNext w:val="0"/>
        <w:keepLines w:val="0"/>
        <w:pageBreakBefore w:val="0"/>
        <w:widowControl w:val="0"/>
        <w:kinsoku/>
        <w:wordWrap/>
        <w:overflowPunct/>
        <w:topLinePunct w:val="0"/>
        <w:autoSpaceDE/>
        <w:autoSpaceDN/>
        <w:bidi w:val="0"/>
        <w:adjustRightInd w:val="0"/>
        <w:snapToGrid w:val="0"/>
        <w:spacing w:line="360" w:lineRule="auto"/>
        <w:ind w:firstLine="400" w:firstLineChars="200"/>
        <w:textAlignment w:val="auto"/>
        <w:rPr>
          <w:rFonts w:hint="default" w:ascii="Arial Regular" w:hAnsi="Arial Regular" w:cs="Arial Regular"/>
          <w:sz w:val="20"/>
          <w:szCs w:val="20"/>
        </w:rPr>
      </w:pPr>
      <w:r>
        <w:rPr>
          <w:rFonts w:hint="default" w:ascii="Arial Regular" w:hAnsi="Arial Regular" w:cs="Arial Regular"/>
          <w:sz w:val="20"/>
          <w:szCs w:val="20"/>
        </w:rPr>
        <w:t xml:space="preserve">Finally, </w:t>
      </w:r>
      <w:r>
        <w:rPr>
          <w:rFonts w:hint="default" w:ascii="Arial Regular" w:hAnsi="Arial Regular" w:cs="Arial Regular"/>
          <w:b w:val="0"/>
          <w:i w:val="0"/>
          <w:sz w:val="20"/>
          <w:szCs w:val="22"/>
        </w:rPr>
        <w:t>copper</w:t>
      </w:r>
      <w:r>
        <w:rPr>
          <w:rFonts w:hint="default" w:ascii="Arial Regular" w:hAnsi="Arial Regular" w:cs="Arial Regular"/>
          <w:sz w:val="20"/>
          <w:szCs w:val="20"/>
        </w:rPr>
        <w:t>, iron, and manganese are listed as routine monitoring indicators in the Chinese Standards for Drinking Water Quality (GB 5749-2022), with concentration limits of 1.0 mg/L, 0.3 mg/L, and 0.1 mg/L, respectively. Exceeding these limits can lead to “red water” and odor problems in distribution systems. In contrast, cobalt is considered an emerging environmental contaminant, and its interactions with microorganisms remain poorly understood.</w:t>
      </w:r>
    </w:p>
    <w:p w14:paraId="0CF2E00D">
      <w:pPr>
        <w:keepNext w:val="0"/>
        <w:keepLines w:val="0"/>
        <w:pageBreakBefore w:val="0"/>
        <w:widowControl w:val="0"/>
        <w:kinsoku/>
        <w:wordWrap/>
        <w:overflowPunct/>
        <w:topLinePunct w:val="0"/>
        <w:autoSpaceDE/>
        <w:autoSpaceDN/>
        <w:bidi w:val="0"/>
        <w:adjustRightInd w:val="0"/>
        <w:snapToGrid w:val="0"/>
        <w:spacing w:line="360" w:lineRule="auto"/>
        <w:ind w:firstLine="400" w:firstLineChars="200"/>
        <w:textAlignment w:val="auto"/>
        <w:rPr>
          <w:rFonts w:hint="default" w:ascii="Arial Regular" w:hAnsi="Arial Regular" w:cs="Arial Regular"/>
          <w:sz w:val="20"/>
          <w:szCs w:val="20"/>
        </w:rPr>
      </w:pPr>
      <w:r>
        <w:rPr>
          <w:rFonts w:hint="default" w:ascii="Arial Regular" w:hAnsi="Arial Regular" w:cs="Arial Regular"/>
          <w:sz w:val="20"/>
          <w:szCs w:val="20"/>
        </w:rPr>
        <w:t xml:space="preserve">For </w:t>
      </w:r>
      <w:r>
        <w:rPr>
          <w:rFonts w:hint="default" w:ascii="Arial Regular" w:hAnsi="Arial Regular" w:cs="Arial Regular"/>
          <w:b w:val="0"/>
          <w:i w:val="0"/>
          <w:sz w:val="20"/>
          <w:szCs w:val="22"/>
        </w:rPr>
        <w:t xml:space="preserve">adsorption </w:t>
      </w:r>
      <w:r>
        <w:rPr>
          <w:rFonts w:hint="default" w:ascii="Arial Regular" w:hAnsi="Arial Regular" w:cs="Arial Regular"/>
          <w:sz w:val="20"/>
          <w:szCs w:val="20"/>
        </w:rPr>
        <w:t>experiments, fungal spores were incubated with 100 μM of each metal ion in a thermostatic shaker at 150 rpm for 96 h. Samples were withdrawn at predefined intervals and filtered through 0.22 μm membranes. Residual metal concentrations in the filtrates were determined using an atomic absorption spectrophotometer (Analytik Jena ZEEnit 700P). All experiments were performed in biological triplicate (n ≥ 3).</w:t>
      </w:r>
    </w:p>
    <w:p w14:paraId="3E2E3B0B">
      <w:pPr>
        <w:keepNext w:val="0"/>
        <w:keepLines w:val="0"/>
        <w:pageBreakBefore w:val="0"/>
        <w:widowControl w:val="0"/>
        <w:kinsoku/>
        <w:wordWrap/>
        <w:overflowPunct/>
        <w:topLinePunct w:val="0"/>
        <w:autoSpaceDE/>
        <w:autoSpaceDN/>
        <w:bidi w:val="0"/>
        <w:adjustRightInd w:val="0"/>
        <w:snapToGrid w:val="0"/>
        <w:spacing w:line="360" w:lineRule="auto"/>
        <w:ind w:firstLine="400" w:firstLineChars="200"/>
        <w:textAlignment w:val="auto"/>
        <w:rPr>
          <w:rFonts w:hint="default" w:ascii="Arial Regular" w:hAnsi="Arial Regular" w:cs="Arial Regular"/>
          <w:sz w:val="20"/>
          <w:szCs w:val="20"/>
        </w:rPr>
      </w:pPr>
      <w:r>
        <w:rPr>
          <w:rFonts w:hint="default" w:ascii="Arial Regular" w:hAnsi="Arial Regular" w:cs="Arial Regular"/>
          <w:sz w:val="20"/>
          <w:szCs w:val="20"/>
        </w:rPr>
        <w:t xml:space="preserve">To </w:t>
      </w:r>
      <w:r>
        <w:rPr>
          <w:rFonts w:hint="default" w:ascii="Arial Regular" w:hAnsi="Arial Regular" w:cs="Arial Regular"/>
          <w:b w:val="0"/>
          <w:i w:val="0"/>
          <w:sz w:val="20"/>
          <w:szCs w:val="22"/>
        </w:rPr>
        <w:t xml:space="preserve">approximate </w:t>
      </w:r>
      <w:r>
        <w:rPr>
          <w:rFonts w:hint="default" w:ascii="Arial Regular" w:hAnsi="Arial Regular" w:cs="Arial Regular"/>
          <w:sz w:val="20"/>
          <w:szCs w:val="20"/>
        </w:rPr>
        <w:t>real water distribution conditions, a CDC biofilm reactor was employed to simulate dynamic hydrodynamic and compositional conditions. The system was operated at a flow velocity of 0.8 m/s using tap water collected from a terminal point of the distribution network as the background matrix. Residual metal concentrations were measured by atomic absorption spectroscopy. The adsorption capacity and removal efficiency were calculated as follows:</w:t>
      </w:r>
    </w:p>
    <w:p w14:paraId="669A2D7E">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default" w:ascii="Arial Regular" w:hAnsi="Arial Regular" w:cs="Arial Regular"/>
          <w:sz w:val="20"/>
          <w:szCs w:val="20"/>
        </w:rPr>
      </w:pPr>
      <m:oMathPara>
        <m:oMath>
          <m:eqArr>
            <m:eqArrPr>
              <m:maxDist m:val="1"/>
              <m:ctrlPr>
                <w:rPr>
                  <w:rFonts w:hint="default" w:ascii="DejaVu Math TeX Gyre" w:hAnsi="DejaVu Math TeX Gyre" w:cs="Arial Regular"/>
                  <w:sz w:val="20"/>
                  <w:szCs w:val="20"/>
                </w:rPr>
              </m:ctrlPr>
            </m:eqArrPr>
            <m:e>
              <m:sSub>
                <m:sSubPr>
                  <m:ctrlPr>
                    <w:rPr>
                      <w:rFonts w:hint="default" w:ascii="DejaVu Math TeX Gyre" w:hAnsi="DejaVu Math TeX Gyre" w:cs="Arial Regular"/>
                      <w:sz w:val="20"/>
                      <w:szCs w:val="20"/>
                    </w:rPr>
                  </m:ctrlPr>
                </m:sSubPr>
                <m:e>
                  <m:r>
                    <m:rPr>
                      <m:nor/>
                    </m:rPr>
                    <w:rPr>
                      <w:rFonts w:hint="default" w:ascii="DejaVu Math TeX Gyre" w:hAnsi="DejaVu Math TeX Gyre" w:cs="Arial Regular"/>
                      <w:i/>
                      <w:sz w:val="20"/>
                      <w:szCs w:val="20"/>
                    </w:rPr>
                    <m:t>q</m:t>
                  </m:r>
                  <m:ctrlPr>
                    <w:rPr>
                      <w:rFonts w:hint="default" w:ascii="DejaVu Math TeX Gyre" w:hAnsi="DejaVu Math TeX Gyre" w:cs="Arial Regular"/>
                      <w:sz w:val="20"/>
                      <w:szCs w:val="20"/>
                    </w:rPr>
                  </m:ctrlPr>
                </m:e>
                <m:sub>
                  <m:r>
                    <m:rPr>
                      <m:nor/>
                      <m:sty m:val="p"/>
                    </m:rPr>
                    <w:rPr>
                      <w:rFonts w:hint="default" w:ascii="DejaVu Math TeX Gyre" w:hAnsi="DejaVu Math TeX Gyre" w:cs="Arial Regular"/>
                      <w:b w:val="0"/>
                      <w:i w:val="0"/>
                      <w:sz w:val="20"/>
                      <w:szCs w:val="20"/>
                    </w:rPr>
                    <m:t>e</m:t>
                  </m:r>
                  <m:ctrlPr>
                    <w:rPr>
                      <w:rFonts w:hint="default" w:ascii="DejaVu Math TeX Gyre" w:hAnsi="DejaVu Math TeX Gyre" w:cs="Arial Regular"/>
                      <w:sz w:val="20"/>
                      <w:szCs w:val="20"/>
                    </w:rPr>
                  </m:ctrlPr>
                </m:sub>
              </m:sSub>
              <m:r>
                <m:rPr>
                  <m:nor/>
                  <m:sty m:val="p"/>
                </m:rPr>
                <w:rPr>
                  <w:rFonts w:hint="default" w:ascii="DejaVu Math TeX Gyre" w:hAnsi="DejaVu Math TeX Gyre" w:cs="Arial Regular"/>
                  <w:b w:val="0"/>
                  <w:i w:val="0"/>
                  <w:sz w:val="20"/>
                  <w:szCs w:val="20"/>
                </w:rPr>
                <m:t>=</m:t>
              </m:r>
              <m:f>
                <m:fPr>
                  <m:ctrlPr>
                    <w:rPr>
                      <w:rFonts w:hint="default" w:ascii="DejaVu Math TeX Gyre" w:hAnsi="DejaVu Math TeX Gyre" w:cs="Arial Regular"/>
                      <w:sz w:val="20"/>
                      <w:szCs w:val="20"/>
                    </w:rPr>
                  </m:ctrlPr>
                </m:fPr>
                <m:num>
                  <m:d>
                    <m:dPr>
                      <m:ctrlPr>
                        <w:rPr>
                          <w:rFonts w:hint="default" w:ascii="DejaVu Math TeX Gyre" w:hAnsi="DejaVu Math TeX Gyre" w:cs="Arial Regular"/>
                          <w:sz w:val="20"/>
                          <w:szCs w:val="20"/>
                        </w:rPr>
                      </m:ctrlPr>
                    </m:dPr>
                    <m:e>
                      <m:sSub>
                        <m:sSubPr>
                          <m:ctrlPr>
                            <w:rPr>
                              <w:rFonts w:hint="default" w:ascii="DejaVu Math TeX Gyre" w:hAnsi="DejaVu Math TeX Gyre" w:cs="Arial Regular"/>
                              <w:sz w:val="20"/>
                              <w:szCs w:val="20"/>
                            </w:rPr>
                          </m:ctrlPr>
                        </m:sSubPr>
                        <m:e>
                          <m:r>
                            <m:rPr>
                              <m:nor/>
                            </m:rPr>
                            <w:rPr>
                              <w:rFonts w:hint="default" w:ascii="DejaVu Math TeX Gyre" w:hAnsi="DejaVu Math TeX Gyre" w:cs="Arial Regular"/>
                              <w:i/>
                              <w:sz w:val="20"/>
                              <w:szCs w:val="20"/>
                            </w:rPr>
                            <m:t>C</m:t>
                          </m:r>
                          <m:ctrlPr>
                            <w:rPr>
                              <w:rFonts w:hint="default" w:ascii="DejaVu Math TeX Gyre" w:hAnsi="DejaVu Math TeX Gyre" w:cs="Arial Regular"/>
                              <w:sz w:val="20"/>
                              <w:szCs w:val="20"/>
                            </w:rPr>
                          </m:ctrlPr>
                        </m:e>
                        <m:sub>
                          <m:r>
                            <m:rPr>
                              <m:nor/>
                              <m:sty m:val="p"/>
                            </m:rPr>
                            <w:rPr>
                              <w:rFonts w:hint="default" w:ascii="DejaVu Math TeX Gyre" w:hAnsi="DejaVu Math TeX Gyre" w:cs="Arial Regular"/>
                              <w:b w:val="0"/>
                              <w:i w:val="0"/>
                              <w:sz w:val="20"/>
                              <w:szCs w:val="20"/>
                            </w:rPr>
                            <m:t>0</m:t>
                          </m:r>
                          <m:ctrlPr>
                            <w:rPr>
                              <w:rFonts w:hint="default" w:ascii="DejaVu Math TeX Gyre" w:hAnsi="DejaVu Math TeX Gyre" w:cs="Arial Regular"/>
                              <w:sz w:val="20"/>
                              <w:szCs w:val="20"/>
                            </w:rPr>
                          </m:ctrlPr>
                        </m:sub>
                      </m:sSub>
                      <m:r>
                        <m:rPr>
                          <m:nor/>
                          <m:sty m:val="p"/>
                        </m:rPr>
                        <w:rPr>
                          <w:rFonts w:hint="default" w:ascii="DejaVu Math TeX Gyre" w:hAnsi="DejaVu Math TeX Gyre" w:cs="Arial Regular"/>
                          <w:b w:val="0"/>
                          <w:i w:val="0"/>
                          <w:sz w:val="20"/>
                          <w:szCs w:val="20"/>
                        </w:rPr>
                        <m:t>-</m:t>
                      </m:r>
                      <m:sSub>
                        <m:sSubPr>
                          <m:ctrlPr>
                            <w:rPr>
                              <w:rFonts w:hint="default" w:ascii="DejaVu Math TeX Gyre" w:hAnsi="DejaVu Math TeX Gyre" w:cs="Arial Regular"/>
                              <w:sz w:val="20"/>
                              <w:szCs w:val="20"/>
                            </w:rPr>
                          </m:ctrlPr>
                        </m:sSubPr>
                        <m:e>
                          <m:r>
                            <m:rPr>
                              <m:nor/>
                            </m:rPr>
                            <w:rPr>
                              <w:rFonts w:hint="default" w:ascii="DejaVu Math TeX Gyre" w:hAnsi="DejaVu Math TeX Gyre" w:cs="Arial Regular"/>
                              <w:i/>
                              <w:sz w:val="20"/>
                              <w:szCs w:val="20"/>
                            </w:rPr>
                            <m:t>C</m:t>
                          </m:r>
                          <m:ctrlPr>
                            <w:rPr>
                              <w:rFonts w:hint="default" w:ascii="DejaVu Math TeX Gyre" w:hAnsi="DejaVu Math TeX Gyre" w:cs="Arial Regular"/>
                              <w:sz w:val="20"/>
                              <w:szCs w:val="20"/>
                            </w:rPr>
                          </m:ctrlPr>
                        </m:e>
                        <m:sub>
                          <m:r>
                            <m:rPr>
                              <m:nor/>
                              <m:sty m:val="p"/>
                            </m:rPr>
                            <w:rPr>
                              <w:rFonts w:hint="default" w:ascii="DejaVu Math TeX Gyre" w:hAnsi="DejaVu Math TeX Gyre" w:cs="Arial Regular"/>
                              <w:b w:val="0"/>
                              <w:i w:val="0"/>
                              <w:sz w:val="20"/>
                              <w:szCs w:val="20"/>
                            </w:rPr>
                            <m:t>e</m:t>
                          </m:r>
                          <m:ctrlPr>
                            <w:rPr>
                              <w:rFonts w:hint="default" w:ascii="DejaVu Math TeX Gyre" w:hAnsi="DejaVu Math TeX Gyre" w:cs="Arial Regular"/>
                              <w:sz w:val="20"/>
                              <w:szCs w:val="20"/>
                            </w:rPr>
                          </m:ctrlPr>
                        </m:sub>
                      </m:sSub>
                      <m:ctrlPr>
                        <w:rPr>
                          <w:rFonts w:hint="default" w:ascii="DejaVu Math TeX Gyre" w:hAnsi="DejaVu Math TeX Gyre" w:cs="Arial Regular"/>
                          <w:sz w:val="20"/>
                          <w:szCs w:val="20"/>
                        </w:rPr>
                      </m:ctrlPr>
                    </m:e>
                  </m:d>
                  <m:r>
                    <m:rPr>
                      <m:nor/>
                      <m:sty m:val="p"/>
                    </m:rPr>
                    <w:rPr>
                      <w:rFonts w:hint="default" w:ascii="DejaVu Math TeX Gyre" w:hAnsi="DejaVu Math TeX Gyre" w:cs="Arial Regular"/>
                      <w:b w:val="0"/>
                      <w:i w:val="0"/>
                      <w:sz w:val="20"/>
                      <w:szCs w:val="20"/>
                    </w:rPr>
                    <m:t>∙</m:t>
                  </m:r>
                  <m:r>
                    <m:rPr>
                      <m:nor/>
                    </m:rPr>
                    <w:rPr>
                      <w:rFonts w:hint="default" w:ascii="DejaVu Math TeX Gyre" w:hAnsi="DejaVu Math TeX Gyre" w:cs="Arial Regular"/>
                      <w:i/>
                      <w:sz w:val="20"/>
                      <w:szCs w:val="20"/>
                    </w:rPr>
                    <m:t>V</m:t>
                  </m:r>
                  <m:ctrlPr>
                    <w:rPr>
                      <w:rFonts w:hint="default" w:ascii="DejaVu Math TeX Gyre" w:hAnsi="DejaVu Math TeX Gyre" w:cs="Arial Regular"/>
                      <w:sz w:val="20"/>
                      <w:szCs w:val="20"/>
                    </w:rPr>
                  </m:ctrlPr>
                </m:num>
                <m:den>
                  <m:r>
                    <m:rPr>
                      <m:nor/>
                    </m:rPr>
                    <w:rPr>
                      <w:rFonts w:hint="default" w:ascii="DejaVu Math TeX Gyre" w:hAnsi="DejaVu Math TeX Gyre" w:cs="Arial Regular"/>
                      <w:i/>
                      <w:sz w:val="20"/>
                      <w:szCs w:val="20"/>
                    </w:rPr>
                    <m:t>M</m:t>
                  </m:r>
                  <m:ctrlPr>
                    <w:rPr>
                      <w:rFonts w:hint="default" w:ascii="DejaVu Math TeX Gyre" w:hAnsi="DejaVu Math TeX Gyre" w:cs="Arial Regular"/>
                      <w:sz w:val="20"/>
                      <w:szCs w:val="20"/>
                    </w:rPr>
                  </m:ctrlPr>
                </m:den>
              </m:f>
              <m:ctrlPr>
                <w:rPr>
                  <w:rFonts w:hint="default" w:ascii="DejaVu Math TeX Gyre" w:hAnsi="DejaVu Math TeX Gyre" w:cs="Arial Regular"/>
                  <w:i/>
                  <w:sz w:val="20"/>
                  <w:szCs w:val="20"/>
                </w:rPr>
              </m:ctrlPr>
            </m:e>
          </m:eqArr>
        </m:oMath>
      </m:oMathPara>
    </w:p>
    <w:p w14:paraId="5BC291E4">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default" w:ascii="Arial Regular" w:hAnsi="Arial Regular" w:cs="Arial Regular"/>
          <w:i w:val="0"/>
          <w:sz w:val="20"/>
          <w:szCs w:val="20"/>
        </w:rPr>
      </w:pPr>
      <m:oMathPara>
        <m:oMath>
          <m:eqArr>
            <m:eqArrPr>
              <m:maxDist m:val="1"/>
              <m:ctrlPr>
                <w:rPr>
                  <w:rFonts w:hint="default" w:ascii="DejaVu Math TeX Gyre" w:hAnsi="DejaVu Math TeX Gyre" w:cs="Arial Regular"/>
                  <w:i/>
                  <w:sz w:val="20"/>
                  <w:szCs w:val="20"/>
                </w:rPr>
              </m:ctrlPr>
            </m:eqArrPr>
            <m:e>
              <m:sSub>
                <m:sSubPr>
                  <m:ctrlPr>
                    <w:rPr>
                      <w:rFonts w:hint="default" w:ascii="DejaVu Math TeX Gyre" w:hAnsi="DejaVu Math TeX Gyre" w:cs="Arial Regular"/>
                      <w:sz w:val="20"/>
                      <w:szCs w:val="20"/>
                    </w:rPr>
                  </m:ctrlPr>
                </m:sSubPr>
                <m:e>
                  <m:r>
                    <m:rPr>
                      <m:nor/>
                    </m:rPr>
                    <w:rPr>
                      <w:rFonts w:hint="default" w:ascii="DejaVu Math TeX Gyre" w:hAnsi="DejaVu Math TeX Gyre" w:cs="Arial Regular"/>
                      <w:i/>
                      <w:sz w:val="20"/>
                      <w:szCs w:val="20"/>
                    </w:rPr>
                    <m:t>W</m:t>
                  </m:r>
                  <m:ctrlPr>
                    <w:rPr>
                      <w:rFonts w:hint="default" w:ascii="DejaVu Math TeX Gyre" w:hAnsi="DejaVu Math TeX Gyre" w:cs="Arial Regular"/>
                      <w:sz w:val="20"/>
                      <w:szCs w:val="20"/>
                    </w:rPr>
                  </m:ctrlPr>
                </m:e>
                <m:sub>
                  <m:r>
                    <m:rPr>
                      <m:nor/>
                      <m:sty m:val="p"/>
                    </m:rPr>
                    <w:rPr>
                      <w:rFonts w:hint="default" w:ascii="DejaVu Math TeX Gyre" w:hAnsi="DejaVu Math TeX Gyre" w:cs="Arial Regular"/>
                      <w:b w:val="0"/>
                      <w:i w:val="0"/>
                      <w:sz w:val="20"/>
                      <w:szCs w:val="20"/>
                    </w:rPr>
                    <m:t>e</m:t>
                  </m:r>
                  <m:ctrlPr>
                    <w:rPr>
                      <w:rFonts w:hint="default" w:ascii="DejaVu Math TeX Gyre" w:hAnsi="DejaVu Math TeX Gyre" w:cs="Arial Regular"/>
                      <w:sz w:val="20"/>
                      <w:szCs w:val="20"/>
                    </w:rPr>
                  </m:ctrlPr>
                </m:sub>
              </m:sSub>
              <m:r>
                <m:rPr>
                  <m:nor/>
                  <m:sty m:val="p"/>
                </m:rPr>
                <w:rPr>
                  <w:rFonts w:hint="default" w:ascii="DejaVu Math TeX Gyre" w:hAnsi="DejaVu Math TeX Gyre" w:cs="Arial Regular"/>
                  <w:b w:val="0"/>
                  <w:i w:val="0"/>
                  <w:sz w:val="20"/>
                  <w:szCs w:val="20"/>
                </w:rPr>
                <m:t>=</m:t>
              </m:r>
              <m:f>
                <m:fPr>
                  <m:ctrlPr>
                    <w:rPr>
                      <w:rFonts w:hint="default" w:ascii="DejaVu Math TeX Gyre" w:hAnsi="DejaVu Math TeX Gyre" w:cs="Arial Regular"/>
                      <w:sz w:val="20"/>
                      <w:szCs w:val="20"/>
                    </w:rPr>
                  </m:ctrlPr>
                </m:fPr>
                <m:num>
                  <m:d>
                    <m:dPr>
                      <m:ctrlPr>
                        <w:rPr>
                          <w:rFonts w:hint="default" w:ascii="DejaVu Math TeX Gyre" w:hAnsi="DejaVu Math TeX Gyre" w:cs="Arial Regular"/>
                          <w:sz w:val="20"/>
                          <w:szCs w:val="20"/>
                        </w:rPr>
                      </m:ctrlPr>
                    </m:dPr>
                    <m:e>
                      <m:sSub>
                        <m:sSubPr>
                          <m:ctrlPr>
                            <w:rPr>
                              <w:rFonts w:hint="default" w:ascii="DejaVu Math TeX Gyre" w:hAnsi="DejaVu Math TeX Gyre" w:cs="Arial Regular"/>
                              <w:sz w:val="20"/>
                              <w:szCs w:val="20"/>
                            </w:rPr>
                          </m:ctrlPr>
                        </m:sSubPr>
                        <m:e>
                          <m:r>
                            <m:rPr>
                              <m:nor/>
                            </m:rPr>
                            <w:rPr>
                              <w:rFonts w:hint="default" w:ascii="DejaVu Math TeX Gyre" w:hAnsi="DejaVu Math TeX Gyre" w:cs="Arial Regular"/>
                              <w:i/>
                              <w:sz w:val="20"/>
                              <w:szCs w:val="20"/>
                            </w:rPr>
                            <m:t>C</m:t>
                          </m:r>
                          <m:ctrlPr>
                            <w:rPr>
                              <w:rFonts w:hint="default" w:ascii="DejaVu Math TeX Gyre" w:hAnsi="DejaVu Math TeX Gyre" w:cs="Arial Regular"/>
                              <w:sz w:val="20"/>
                              <w:szCs w:val="20"/>
                            </w:rPr>
                          </m:ctrlPr>
                        </m:e>
                        <m:sub>
                          <m:r>
                            <m:rPr>
                              <m:nor/>
                              <m:sty m:val="p"/>
                            </m:rPr>
                            <w:rPr>
                              <w:rFonts w:hint="default" w:ascii="DejaVu Math TeX Gyre" w:hAnsi="DejaVu Math TeX Gyre" w:cs="Arial Regular"/>
                              <w:b w:val="0"/>
                              <w:i w:val="0"/>
                              <w:sz w:val="20"/>
                              <w:szCs w:val="20"/>
                            </w:rPr>
                            <m:t>0</m:t>
                          </m:r>
                          <m:ctrlPr>
                            <w:rPr>
                              <w:rFonts w:hint="default" w:ascii="DejaVu Math TeX Gyre" w:hAnsi="DejaVu Math TeX Gyre" w:cs="Arial Regular"/>
                              <w:sz w:val="20"/>
                              <w:szCs w:val="20"/>
                            </w:rPr>
                          </m:ctrlPr>
                        </m:sub>
                      </m:sSub>
                      <m:r>
                        <m:rPr>
                          <m:nor/>
                          <m:sty m:val="p"/>
                        </m:rPr>
                        <w:rPr>
                          <w:rFonts w:hint="default" w:ascii="DejaVu Math TeX Gyre" w:hAnsi="DejaVu Math TeX Gyre" w:cs="Arial Regular"/>
                          <w:b w:val="0"/>
                          <w:i w:val="0"/>
                          <w:sz w:val="20"/>
                          <w:szCs w:val="20"/>
                        </w:rPr>
                        <m:t>-</m:t>
                      </m:r>
                      <m:sSub>
                        <m:sSubPr>
                          <m:ctrlPr>
                            <w:rPr>
                              <w:rFonts w:hint="default" w:ascii="DejaVu Math TeX Gyre" w:hAnsi="DejaVu Math TeX Gyre" w:cs="Arial Regular"/>
                              <w:sz w:val="20"/>
                              <w:szCs w:val="20"/>
                            </w:rPr>
                          </m:ctrlPr>
                        </m:sSubPr>
                        <m:e>
                          <m:r>
                            <m:rPr>
                              <m:nor/>
                            </m:rPr>
                            <w:rPr>
                              <w:rFonts w:hint="default" w:ascii="DejaVu Math TeX Gyre" w:hAnsi="DejaVu Math TeX Gyre" w:cs="Arial Regular"/>
                              <w:i/>
                              <w:sz w:val="20"/>
                              <w:szCs w:val="20"/>
                            </w:rPr>
                            <m:t>C</m:t>
                          </m:r>
                          <m:ctrlPr>
                            <w:rPr>
                              <w:rFonts w:hint="default" w:ascii="DejaVu Math TeX Gyre" w:hAnsi="DejaVu Math TeX Gyre" w:cs="Arial Regular"/>
                              <w:sz w:val="20"/>
                              <w:szCs w:val="20"/>
                            </w:rPr>
                          </m:ctrlPr>
                        </m:e>
                        <m:sub>
                          <m:r>
                            <m:rPr>
                              <m:nor/>
                              <m:sty m:val="p"/>
                            </m:rPr>
                            <w:rPr>
                              <w:rFonts w:hint="default" w:ascii="DejaVu Math TeX Gyre" w:hAnsi="DejaVu Math TeX Gyre" w:cs="Arial Regular"/>
                              <w:b w:val="0"/>
                              <w:i w:val="0"/>
                              <w:sz w:val="20"/>
                              <w:szCs w:val="20"/>
                            </w:rPr>
                            <m:t>e</m:t>
                          </m:r>
                          <m:ctrlPr>
                            <w:rPr>
                              <w:rFonts w:hint="default" w:ascii="DejaVu Math TeX Gyre" w:hAnsi="DejaVu Math TeX Gyre" w:cs="Arial Regular"/>
                              <w:sz w:val="20"/>
                              <w:szCs w:val="20"/>
                            </w:rPr>
                          </m:ctrlPr>
                        </m:sub>
                      </m:sSub>
                      <m:ctrlPr>
                        <w:rPr>
                          <w:rFonts w:hint="default" w:ascii="DejaVu Math TeX Gyre" w:hAnsi="DejaVu Math TeX Gyre" w:cs="Arial Regular"/>
                          <w:sz w:val="20"/>
                          <w:szCs w:val="20"/>
                        </w:rPr>
                      </m:ctrlPr>
                    </m:e>
                  </m:d>
                  <m:ctrlPr>
                    <w:rPr>
                      <w:rFonts w:hint="default" w:ascii="DejaVu Math TeX Gyre" w:hAnsi="DejaVu Math TeX Gyre" w:cs="Arial Regular"/>
                      <w:sz w:val="20"/>
                      <w:szCs w:val="20"/>
                    </w:rPr>
                  </m:ctrlPr>
                </m:num>
                <m:den>
                  <m:sSub>
                    <m:sSubPr>
                      <m:ctrlPr>
                        <w:rPr>
                          <w:rFonts w:hint="default" w:ascii="DejaVu Math TeX Gyre" w:hAnsi="DejaVu Math TeX Gyre" w:cs="Arial Regular"/>
                          <w:sz w:val="20"/>
                          <w:szCs w:val="20"/>
                        </w:rPr>
                      </m:ctrlPr>
                    </m:sSubPr>
                    <m:e>
                      <m:r>
                        <m:rPr>
                          <m:nor/>
                        </m:rPr>
                        <w:rPr>
                          <w:rFonts w:hint="default" w:ascii="DejaVu Math TeX Gyre" w:hAnsi="DejaVu Math TeX Gyre" w:cs="Arial Regular"/>
                          <w:i/>
                          <w:sz w:val="20"/>
                          <w:szCs w:val="20"/>
                        </w:rPr>
                        <m:t>C</m:t>
                      </m:r>
                      <m:ctrlPr>
                        <w:rPr>
                          <w:rFonts w:hint="default" w:ascii="DejaVu Math TeX Gyre" w:hAnsi="DejaVu Math TeX Gyre" w:cs="Arial Regular"/>
                          <w:sz w:val="20"/>
                          <w:szCs w:val="20"/>
                        </w:rPr>
                      </m:ctrlPr>
                    </m:e>
                    <m:sub>
                      <m:r>
                        <m:rPr>
                          <m:nor/>
                          <m:sty m:val="p"/>
                        </m:rPr>
                        <w:rPr>
                          <w:rFonts w:hint="default" w:ascii="DejaVu Math TeX Gyre" w:hAnsi="DejaVu Math TeX Gyre" w:cs="Arial Regular"/>
                          <w:b w:val="0"/>
                          <w:i w:val="0"/>
                          <w:sz w:val="20"/>
                          <w:szCs w:val="20"/>
                        </w:rPr>
                        <m:t>0</m:t>
                      </m:r>
                      <m:ctrlPr>
                        <w:rPr>
                          <w:rFonts w:hint="default" w:ascii="DejaVu Math TeX Gyre" w:hAnsi="DejaVu Math TeX Gyre" w:cs="Arial Regular"/>
                          <w:sz w:val="20"/>
                          <w:szCs w:val="20"/>
                        </w:rPr>
                      </m:ctrlPr>
                    </m:sub>
                  </m:sSub>
                  <m:ctrlPr>
                    <w:rPr>
                      <w:rFonts w:hint="default" w:ascii="DejaVu Math TeX Gyre" w:hAnsi="DejaVu Math TeX Gyre" w:cs="Arial Regular"/>
                      <w:sz w:val="20"/>
                      <w:szCs w:val="20"/>
                    </w:rPr>
                  </m:ctrlPr>
                </m:den>
              </m:f>
              <m:r>
                <m:rPr>
                  <m:nor/>
                  <m:sty m:val="p"/>
                </m:rPr>
                <w:rPr>
                  <w:rFonts w:hint="default" w:ascii="DejaVu Math TeX Gyre" w:hAnsi="DejaVu Math TeX Gyre" w:cs="Arial Regular"/>
                  <w:b w:val="0"/>
                  <w:i w:val="0"/>
                  <w:sz w:val="20"/>
                  <w:szCs w:val="20"/>
                </w:rPr>
                <m:t>×100%</m:t>
              </m:r>
              <m:ctrlPr>
                <w:rPr>
                  <w:rFonts w:hint="default" w:ascii="DejaVu Math TeX Gyre" w:hAnsi="DejaVu Math TeX Gyre" w:cs="Arial Regular"/>
                  <w:sz w:val="20"/>
                  <w:szCs w:val="20"/>
                </w:rPr>
              </m:ctrlPr>
            </m:e>
          </m:eqArr>
        </m:oMath>
      </m:oMathPara>
    </w:p>
    <w:p w14:paraId="733C64FF">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default" w:ascii="Arial Regular" w:hAnsi="Arial Regular" w:cs="Arial Regular"/>
          <w:i w:val="0"/>
          <w:sz w:val="20"/>
          <w:szCs w:val="20"/>
        </w:rPr>
      </w:pPr>
      <w:r>
        <w:rPr>
          <w:rFonts w:hint="default" w:ascii="Arial Regular" w:hAnsi="Arial Regular" w:cs="Arial Regular"/>
          <w:i w:val="0"/>
          <w:sz w:val="20"/>
          <w:szCs w:val="20"/>
        </w:rPr>
        <w:br w:type="page"/>
      </w:r>
    </w:p>
    <w:p w14:paraId="4453B689">
      <w:pPr>
        <w:pStyle w:val="3"/>
        <w:keepNext/>
        <w:keepLines/>
        <w:pageBreakBefore w:val="0"/>
        <w:widowControl w:val="0"/>
        <w:kinsoku/>
        <w:wordWrap/>
        <w:overflowPunct/>
        <w:topLinePunct w:val="0"/>
        <w:autoSpaceDE/>
        <w:autoSpaceDN/>
        <w:bidi w:val="0"/>
        <w:adjustRightInd/>
        <w:snapToGrid/>
        <w:spacing w:before="0" w:beforeLines="0" w:after="157" w:afterLines="50" w:line="240" w:lineRule="auto"/>
        <w:textAlignment w:val="auto"/>
        <w:rPr>
          <w:rFonts w:hint="default" w:ascii="Arial Regular" w:hAnsi="Arial Regular" w:cs="Arial Regular"/>
          <w:b/>
          <w:sz w:val="20"/>
          <w:szCs w:val="20"/>
        </w:rPr>
      </w:pPr>
      <w:r>
        <w:rPr>
          <w:rFonts w:hint="default" w:ascii="Arial Regular" w:hAnsi="Arial Regular" w:cs="Arial Regular"/>
          <w:b/>
          <w:sz w:val="20"/>
          <w:szCs w:val="20"/>
        </w:rPr>
        <w:t>Supplementary Text 3. Disinfection experiments.</w:t>
      </w:r>
    </w:p>
    <w:p w14:paraId="411E8CB8">
      <w:pPr>
        <w:keepNext w:val="0"/>
        <w:keepLines w:val="0"/>
        <w:pageBreakBefore w:val="0"/>
        <w:widowControl w:val="0"/>
        <w:kinsoku/>
        <w:wordWrap/>
        <w:overflowPunct/>
        <w:topLinePunct w:val="0"/>
        <w:autoSpaceDE/>
        <w:autoSpaceDN/>
        <w:bidi w:val="0"/>
        <w:adjustRightInd w:val="0"/>
        <w:snapToGrid w:val="0"/>
        <w:spacing w:line="360" w:lineRule="auto"/>
        <w:ind w:firstLine="400" w:firstLineChars="200"/>
        <w:textAlignment w:val="auto"/>
        <w:rPr>
          <w:rFonts w:hint="default" w:ascii="Arial Regular" w:hAnsi="Arial Regular" w:cs="Arial Regular"/>
          <w:sz w:val="20"/>
          <w:szCs w:val="20"/>
        </w:rPr>
      </w:pPr>
      <w:r>
        <w:rPr>
          <w:rFonts w:hint="default" w:ascii="Arial Regular" w:hAnsi="Arial Regular" w:cs="Arial Regular"/>
          <w:sz w:val="20"/>
          <w:szCs w:val="20"/>
        </w:rPr>
        <w:t xml:space="preserve">The </w:t>
      </w:r>
      <w:r>
        <w:rPr>
          <w:rFonts w:hint="default" w:ascii="Arial Regular" w:hAnsi="Arial Regular" w:cs="Arial Regular"/>
          <w:b w:val="0"/>
          <w:i w:val="0"/>
          <w:sz w:val="20"/>
          <w:szCs w:val="22"/>
        </w:rPr>
        <w:t xml:space="preserve">concentration </w:t>
      </w:r>
      <w:r>
        <w:rPr>
          <w:rFonts w:hint="default" w:ascii="Arial Regular" w:hAnsi="Arial Regular" w:cs="Arial Regular"/>
          <w:sz w:val="20"/>
          <w:szCs w:val="20"/>
        </w:rPr>
        <w:t>of sodium hypochlorite (Shanghai Pharmaceutical Group Chemical Reagents Co., Ltd.) was determined using the N,N-diethyl-1,4-phenylenediamine (DPD) spectrophotometric method. Monochloramine (NH</w:t>
      </w:r>
      <w:r>
        <w:rPr>
          <w:rFonts w:hint="default" w:ascii="Arial Regular" w:hAnsi="Arial Regular" w:cs="Arial Regular"/>
          <w:sz w:val="20"/>
          <w:szCs w:val="20"/>
          <w:vertAlign w:val="subscript"/>
        </w:rPr>
        <w:t>2</w:t>
      </w:r>
      <w:r>
        <w:rPr>
          <w:rFonts w:hint="default" w:ascii="Arial Regular" w:hAnsi="Arial Regular" w:cs="Arial Regular"/>
          <w:sz w:val="20"/>
          <w:szCs w:val="20"/>
        </w:rPr>
        <w:t>Cl) was prepared by slowly adding a free chlorine solution into a rapidly stirred ammonium chloride solution, maintaining a chlorine-to-nitrogen (Cl:N) mass ratio of 4:1 and a pH above 8.5. The solution was stirred continuously for 40-60 minutes to ensure complete reaction. The concentration of chloramine was measured using the DPD method in the presence of potassium iodide (KI).</w:t>
      </w:r>
    </w:p>
    <w:p w14:paraId="01674617">
      <w:pPr>
        <w:keepNext w:val="0"/>
        <w:keepLines w:val="0"/>
        <w:pageBreakBefore w:val="0"/>
        <w:widowControl w:val="0"/>
        <w:kinsoku/>
        <w:wordWrap/>
        <w:overflowPunct/>
        <w:topLinePunct w:val="0"/>
        <w:autoSpaceDE/>
        <w:autoSpaceDN/>
        <w:bidi w:val="0"/>
        <w:adjustRightInd w:val="0"/>
        <w:snapToGrid w:val="0"/>
        <w:spacing w:line="360" w:lineRule="auto"/>
        <w:ind w:firstLine="400" w:firstLineChars="200"/>
        <w:textAlignment w:val="auto"/>
        <w:rPr>
          <w:rFonts w:hint="default" w:ascii="Arial Regular" w:hAnsi="Arial Regular" w:cs="Arial Regular"/>
          <w:sz w:val="20"/>
          <w:szCs w:val="20"/>
        </w:rPr>
      </w:pPr>
      <w:r>
        <w:rPr>
          <w:rFonts w:hint="default" w:ascii="Arial Regular" w:hAnsi="Arial Regular" w:cs="Arial Regular"/>
          <w:b w:val="0"/>
          <w:i w:val="0"/>
          <w:sz w:val="20"/>
          <w:szCs w:val="22"/>
        </w:rPr>
        <w:t xml:space="preserve">Chlorine </w:t>
      </w:r>
      <w:r>
        <w:rPr>
          <w:rFonts w:hint="default" w:ascii="Arial Regular" w:hAnsi="Arial Regular" w:cs="Arial Regular"/>
          <w:sz w:val="20"/>
          <w:szCs w:val="20"/>
        </w:rPr>
        <w:t>dioxide (ClO</w:t>
      </w:r>
      <w:r>
        <w:rPr>
          <w:rFonts w:hint="default" w:ascii="Arial Regular" w:hAnsi="Arial Regular" w:cs="Arial Regular"/>
          <w:sz w:val="20"/>
          <w:szCs w:val="20"/>
          <w:vertAlign w:val="subscript"/>
        </w:rPr>
        <w:t>2</w:t>
      </w:r>
      <w:r>
        <w:rPr>
          <w:rFonts w:hint="default" w:ascii="Arial Regular" w:hAnsi="Arial Regular" w:cs="Arial Regular"/>
          <w:sz w:val="20"/>
          <w:szCs w:val="20"/>
        </w:rPr>
        <w:t>) was generated through the reaction of potassium persulfate (K</w:t>
      </w:r>
      <w:r>
        <w:rPr>
          <w:rFonts w:hint="default" w:ascii="Arial Regular" w:hAnsi="Arial Regular" w:cs="Arial Regular"/>
          <w:sz w:val="20"/>
          <w:szCs w:val="20"/>
          <w:vertAlign w:val="subscript"/>
        </w:rPr>
        <w:t>2</w:t>
      </w:r>
      <w:r>
        <w:rPr>
          <w:rFonts w:hint="default" w:ascii="Arial Regular" w:hAnsi="Arial Regular" w:cs="Arial Regular"/>
          <w:sz w:val="20"/>
          <w:szCs w:val="20"/>
        </w:rPr>
        <w:t>S</w:t>
      </w:r>
      <w:r>
        <w:rPr>
          <w:rFonts w:hint="default" w:ascii="Arial Regular" w:hAnsi="Arial Regular" w:cs="Arial Regular"/>
          <w:sz w:val="20"/>
          <w:szCs w:val="20"/>
          <w:vertAlign w:val="subscript"/>
        </w:rPr>
        <w:t>2</w:t>
      </w:r>
      <w:r>
        <w:rPr>
          <w:rFonts w:hint="default" w:ascii="Arial Regular" w:hAnsi="Arial Regular" w:cs="Arial Regular"/>
          <w:sz w:val="20"/>
          <w:szCs w:val="20"/>
        </w:rPr>
        <w:t>O</w:t>
      </w:r>
      <w:r>
        <w:rPr>
          <w:rFonts w:hint="default" w:ascii="Arial Regular" w:hAnsi="Arial Regular" w:cs="Arial Regular"/>
          <w:sz w:val="20"/>
          <w:szCs w:val="20"/>
          <w:vertAlign w:val="subscript"/>
        </w:rPr>
        <w:t>8</w:t>
      </w:r>
      <w:r>
        <w:rPr>
          <w:rFonts w:hint="default" w:ascii="Arial Regular" w:hAnsi="Arial Regular" w:cs="Arial Regular"/>
          <w:sz w:val="20"/>
          <w:szCs w:val="20"/>
        </w:rPr>
        <w:t>) with sodium chlorite (NaClO</w:t>
      </w:r>
      <w:r>
        <w:rPr>
          <w:rFonts w:hint="default" w:ascii="Arial Regular" w:hAnsi="Arial Regular" w:cs="Arial Regular"/>
          <w:sz w:val="20"/>
          <w:szCs w:val="20"/>
          <w:vertAlign w:val="subscript"/>
        </w:rPr>
        <w:t>2</w:t>
      </w:r>
      <w:r>
        <w:rPr>
          <w:rFonts w:hint="default" w:ascii="Arial Regular" w:hAnsi="Arial Regular" w:cs="Arial Regular"/>
          <w:sz w:val="20"/>
          <w:szCs w:val="20"/>
        </w:rPr>
        <w:t>). Specifically, 40 g/L of K</w:t>
      </w:r>
      <w:r>
        <w:rPr>
          <w:rFonts w:hint="default" w:ascii="Arial Regular" w:hAnsi="Arial Regular" w:cs="Arial Regular"/>
          <w:sz w:val="20"/>
          <w:szCs w:val="20"/>
          <w:vertAlign w:val="subscript"/>
        </w:rPr>
        <w:t>2</w:t>
      </w:r>
      <w:r>
        <w:rPr>
          <w:rFonts w:hint="default" w:ascii="Arial Regular" w:hAnsi="Arial Regular" w:cs="Arial Regular"/>
          <w:sz w:val="20"/>
          <w:szCs w:val="20"/>
        </w:rPr>
        <w:t>S</w:t>
      </w:r>
      <w:r>
        <w:rPr>
          <w:rFonts w:hint="default" w:ascii="Arial Regular" w:hAnsi="Arial Regular" w:cs="Arial Regular"/>
          <w:sz w:val="20"/>
          <w:szCs w:val="20"/>
          <w:vertAlign w:val="subscript"/>
        </w:rPr>
        <w:t>2</w:t>
      </w:r>
      <w:r>
        <w:rPr>
          <w:rFonts w:hint="default" w:ascii="Arial Regular" w:hAnsi="Arial Regular" w:cs="Arial Regular"/>
          <w:sz w:val="20"/>
          <w:szCs w:val="20"/>
        </w:rPr>
        <w:t>O</w:t>
      </w:r>
      <w:r>
        <w:rPr>
          <w:rFonts w:hint="default" w:ascii="Arial Regular" w:hAnsi="Arial Regular" w:cs="Arial Regular"/>
          <w:sz w:val="20"/>
          <w:szCs w:val="20"/>
          <w:vertAlign w:val="subscript"/>
        </w:rPr>
        <w:t>8</w:t>
      </w:r>
      <w:r>
        <w:rPr>
          <w:rFonts w:hint="default" w:ascii="Arial Regular" w:hAnsi="Arial Regular" w:cs="Arial Regular"/>
          <w:sz w:val="20"/>
          <w:szCs w:val="20"/>
        </w:rPr>
        <w:t xml:space="preserve"> was mixed with 80 g/L of NaClO</w:t>
      </w:r>
      <w:r>
        <w:rPr>
          <w:rFonts w:hint="default" w:ascii="Arial Regular" w:hAnsi="Arial Regular" w:cs="Arial Regular"/>
          <w:sz w:val="20"/>
          <w:szCs w:val="20"/>
          <w:vertAlign w:val="subscript"/>
        </w:rPr>
        <w:t>2</w:t>
      </w:r>
      <w:r>
        <w:rPr>
          <w:rFonts w:hint="default" w:ascii="Arial Regular" w:hAnsi="Arial Regular" w:cs="Arial Regular"/>
          <w:sz w:val="20"/>
          <w:szCs w:val="20"/>
        </w:rPr>
        <w:t>, and the resulting mixture was purged with nitrogen gas to volatilize the produced ClO</w:t>
      </w:r>
      <w:r>
        <w:rPr>
          <w:rFonts w:hint="default" w:ascii="Arial Regular" w:hAnsi="Arial Regular" w:cs="Arial Regular"/>
          <w:sz w:val="20"/>
          <w:szCs w:val="20"/>
          <w:vertAlign w:val="subscript"/>
        </w:rPr>
        <w:t>2</w:t>
      </w:r>
      <w:r>
        <w:rPr>
          <w:rFonts w:hint="default" w:ascii="Arial Regular" w:hAnsi="Arial Regular" w:cs="Arial Regular"/>
          <w:sz w:val="20"/>
          <w:szCs w:val="20"/>
        </w:rPr>
        <w:t>. The gas was then captured and dissolved in ice-cold ultrapure water to obtain a chlorine dioxide stock solution. The ClO</w:t>
      </w:r>
      <w:r>
        <w:rPr>
          <w:rFonts w:hint="default" w:ascii="Arial Regular" w:hAnsi="Arial Regular" w:cs="Arial Regular"/>
          <w:sz w:val="20"/>
          <w:szCs w:val="20"/>
          <w:vertAlign w:val="subscript"/>
        </w:rPr>
        <w:t>2</w:t>
      </w:r>
      <w:r>
        <w:rPr>
          <w:rFonts w:hint="default" w:ascii="Arial Regular" w:hAnsi="Arial Regular" w:cs="Arial Regular"/>
          <w:sz w:val="20"/>
          <w:szCs w:val="20"/>
        </w:rPr>
        <w:t xml:space="preserve"> concentration was quantified spectrophotometrically at 358 nm using an extinction coefficient of ε = 1200 M</w:t>
      </w:r>
      <w:r>
        <w:rPr>
          <w:rFonts w:hint="default" w:ascii="Arial Regular" w:hAnsi="Arial Regular" w:cs="Arial Regular"/>
          <w:sz w:val="20"/>
          <w:szCs w:val="20"/>
          <w:vertAlign w:val="superscript"/>
        </w:rPr>
        <w:t>-1</w:t>
      </w:r>
      <w:r>
        <w:rPr>
          <w:rFonts w:hint="default" w:ascii="Arial Regular" w:hAnsi="Arial Regular" w:cs="Arial Regular"/>
          <w:sz w:val="20"/>
          <w:szCs w:val="20"/>
        </w:rPr>
        <w:t>·cm</w:t>
      </w:r>
      <w:r>
        <w:rPr>
          <w:rFonts w:hint="default" w:ascii="Arial Regular" w:hAnsi="Arial Regular" w:cs="Arial Regular"/>
          <w:sz w:val="20"/>
          <w:szCs w:val="20"/>
          <w:vertAlign w:val="superscript"/>
        </w:rPr>
        <w:t>-1</w:t>
      </w:r>
      <w:r>
        <w:rPr>
          <w:rFonts w:hint="default" w:ascii="Arial Regular" w:hAnsi="Arial Regular" w:cs="Arial Regular"/>
          <w:sz w:val="20"/>
          <w:szCs w:val="20"/>
        </w:rPr>
        <w:t>.</w:t>
      </w:r>
    </w:p>
    <w:p w14:paraId="259B12B1">
      <w:pPr>
        <w:keepNext w:val="0"/>
        <w:keepLines w:val="0"/>
        <w:pageBreakBefore w:val="0"/>
        <w:widowControl w:val="0"/>
        <w:kinsoku/>
        <w:wordWrap/>
        <w:overflowPunct/>
        <w:topLinePunct w:val="0"/>
        <w:autoSpaceDE/>
        <w:autoSpaceDN/>
        <w:bidi w:val="0"/>
        <w:adjustRightInd w:val="0"/>
        <w:snapToGrid w:val="0"/>
        <w:spacing w:line="360" w:lineRule="auto"/>
        <w:ind w:firstLine="400" w:firstLineChars="200"/>
        <w:textAlignment w:val="auto"/>
        <w:rPr>
          <w:rFonts w:hint="default" w:ascii="Arial Regular" w:hAnsi="Arial Regular" w:cs="Arial Regular"/>
          <w:sz w:val="20"/>
          <w:szCs w:val="20"/>
        </w:rPr>
      </w:pPr>
      <w:r>
        <w:rPr>
          <w:rFonts w:hint="default" w:ascii="Arial Regular" w:hAnsi="Arial Regular" w:cs="Arial Regular"/>
          <w:sz w:val="20"/>
          <w:szCs w:val="20"/>
        </w:rPr>
        <w:t xml:space="preserve">The </w:t>
      </w:r>
      <w:r>
        <w:rPr>
          <w:rFonts w:hint="default" w:ascii="Arial Regular" w:hAnsi="Arial Regular" w:cs="Arial Regular"/>
          <w:b w:val="0"/>
          <w:i w:val="0"/>
          <w:sz w:val="20"/>
          <w:szCs w:val="22"/>
        </w:rPr>
        <w:t xml:space="preserve">irradiation </w:t>
      </w:r>
      <w:r>
        <w:rPr>
          <w:rFonts w:hint="default" w:ascii="Arial Regular" w:hAnsi="Arial Regular" w:cs="Arial Regular"/>
          <w:sz w:val="20"/>
          <w:szCs w:val="20"/>
        </w:rPr>
        <w:t>intensity of the 254 nm low-pressure UV lamp was determined using the potassium iodide–iodate (KI-KIO</w:t>
      </w:r>
      <w:r>
        <w:rPr>
          <w:rFonts w:hint="default" w:ascii="Arial Regular" w:hAnsi="Arial Regular" w:cs="Arial Regular"/>
          <w:sz w:val="20"/>
          <w:szCs w:val="20"/>
          <w:vertAlign w:val="subscript"/>
        </w:rPr>
        <w:t>3</w:t>
      </w:r>
      <w:r>
        <w:rPr>
          <w:rFonts w:hint="default" w:ascii="Arial Regular" w:hAnsi="Arial Regular" w:cs="Arial Regular"/>
          <w:sz w:val="20"/>
          <w:szCs w:val="20"/>
        </w:rPr>
        <w:t>) chemical actinometry method. The measurement results indicated that the irradiation intensity of the low-pressure ultraviolet (LPUV) was 0.1132 mW/cm</w:t>
      </w:r>
      <w:r>
        <w:rPr>
          <w:rFonts w:hint="default" w:ascii="Arial Regular" w:hAnsi="Arial Regular" w:cs="Arial Regular"/>
          <w:sz w:val="20"/>
          <w:szCs w:val="20"/>
          <w:vertAlign w:val="superscript"/>
        </w:rPr>
        <w:t>2</w:t>
      </w:r>
      <w:r>
        <w:rPr>
          <w:rFonts w:hint="default" w:ascii="Arial Regular" w:hAnsi="Arial Regular" w:cs="Arial Regular"/>
          <w:sz w:val="20"/>
          <w:szCs w:val="20"/>
        </w:rPr>
        <w:t>.</w:t>
      </w:r>
    </w:p>
    <w:p w14:paraId="64D310CD">
      <w:pPr>
        <w:keepNext w:val="0"/>
        <w:keepLines w:val="0"/>
        <w:pageBreakBefore w:val="0"/>
        <w:widowControl w:val="0"/>
        <w:kinsoku/>
        <w:wordWrap/>
        <w:overflowPunct/>
        <w:topLinePunct w:val="0"/>
        <w:autoSpaceDE/>
        <w:autoSpaceDN/>
        <w:bidi w:val="0"/>
        <w:adjustRightInd w:val="0"/>
        <w:snapToGrid w:val="0"/>
        <w:spacing w:line="360" w:lineRule="auto"/>
        <w:ind w:firstLine="400" w:firstLineChars="200"/>
        <w:textAlignment w:val="auto"/>
        <w:rPr>
          <w:rFonts w:hint="default" w:ascii="Arial Regular" w:hAnsi="Arial Regular" w:cs="Arial Regular"/>
          <w:sz w:val="20"/>
          <w:szCs w:val="20"/>
        </w:rPr>
      </w:pPr>
      <w:r>
        <w:rPr>
          <w:rFonts w:hint="default" w:ascii="Arial Regular" w:hAnsi="Arial Regular" w:cs="Arial Regular"/>
          <w:sz w:val="20"/>
          <w:szCs w:val="20"/>
        </w:rPr>
        <w:t xml:space="preserve">As </w:t>
      </w:r>
      <w:r>
        <w:rPr>
          <w:rFonts w:hint="default" w:ascii="Arial Regular" w:hAnsi="Arial Regular" w:cs="Arial Regular"/>
          <w:b w:val="0"/>
          <w:i w:val="0"/>
          <w:sz w:val="20"/>
          <w:szCs w:val="22"/>
        </w:rPr>
        <w:t xml:space="preserve">shown </w:t>
      </w:r>
      <w:r>
        <w:rPr>
          <w:rFonts w:hint="default" w:ascii="Arial Regular" w:hAnsi="Arial Regular" w:cs="Arial Regular"/>
          <w:sz w:val="20"/>
          <w:szCs w:val="20"/>
        </w:rPr>
        <w:t xml:space="preserve">in </w:t>
      </w:r>
      <w:r>
        <w:rPr>
          <w:rFonts w:hint="default" w:ascii="Arial Regular" w:hAnsi="Arial Regular" w:cs="Arial Regular"/>
          <w:color w:val="0000FF"/>
          <w:sz w:val="20"/>
          <w:szCs w:val="20"/>
        </w:rPr>
        <w:t>Supplementary</w:t>
      </w:r>
      <w:r>
        <w:rPr>
          <w:rFonts w:hint="default" w:ascii="Arial Regular" w:hAnsi="Arial Regular" w:cs="Arial Regular"/>
          <w:color w:val="0000FF"/>
          <w:sz w:val="20"/>
          <w:szCs w:val="20"/>
          <w:lang w:val="en-US" w:eastAsia="zh-CN"/>
        </w:rPr>
        <w:t xml:space="preserve"> </w:t>
      </w:r>
      <w:r>
        <w:rPr>
          <w:rFonts w:hint="default" w:ascii="Arial Regular" w:hAnsi="Arial Regular" w:cs="Arial Regular"/>
          <w:color w:val="0000FF"/>
          <w:sz w:val="20"/>
          <w:szCs w:val="20"/>
        </w:rPr>
        <w:t>Figure 1</w:t>
      </w:r>
      <w:r>
        <w:rPr>
          <w:rFonts w:hint="default" w:ascii="Arial Regular" w:hAnsi="Arial Regular" w:cs="Arial Regular"/>
          <w:sz w:val="20"/>
          <w:szCs w:val="20"/>
        </w:rPr>
        <w:t>, fungal spores were mixed with metal ions at specified initial concentrations and incubated in a constant-temperature shaker to ensure continuous agitation (T=30±2 ℃). This ensured that metal ions fully reacted with fungal spores to reach a state of complexation equilibrium. After complexation, the system was divided into two treatment conditions. The first condition is the non-centrifuged system, which simulates actual water quality conditions. The complexed spore suspension was directly used for chlorine inactivation experiments. In this system, metal ions complexed with the spore surface coexisted with free or weakly bound metal ions, reflecting the combined impact of metal ions on fungal spore inactivation in real water treatment processes.</w:t>
      </w:r>
    </w:p>
    <w:p w14:paraId="3A6B3E89">
      <w:pPr>
        <w:keepNext w:val="0"/>
        <w:keepLines w:val="0"/>
        <w:pageBreakBefore w:val="0"/>
        <w:widowControl w:val="0"/>
        <w:kinsoku/>
        <w:wordWrap/>
        <w:overflowPunct/>
        <w:topLinePunct w:val="0"/>
        <w:autoSpaceDE/>
        <w:autoSpaceDN/>
        <w:bidi w:val="0"/>
        <w:adjustRightInd w:val="0"/>
        <w:snapToGrid w:val="0"/>
        <w:spacing w:line="360" w:lineRule="auto"/>
        <w:ind w:firstLine="400" w:firstLineChars="200"/>
        <w:textAlignment w:val="auto"/>
        <w:rPr>
          <w:rFonts w:hint="default" w:ascii="Arial Regular" w:hAnsi="Arial Regular" w:cs="Arial Regular"/>
          <w:sz w:val="20"/>
          <w:szCs w:val="20"/>
        </w:rPr>
      </w:pPr>
      <w:r>
        <w:rPr>
          <w:rFonts w:hint="default" w:ascii="Arial Regular" w:hAnsi="Arial Regular" w:cs="Arial Regular"/>
          <w:sz w:val="20"/>
          <w:szCs w:val="20"/>
        </w:rPr>
        <w:t>The second condition is the centrifuged system, where the spore suspension underwent high-speed centrifugation (8000 rpm for 10 minutes) to remove free or weakly bound metal ions from the solution, leaving only the metal ions tightly bound to the fungal spore surface. This system aimed to investigate the actual regulatory effect of metal complexation on fungal spore chlorine resistance, after eliminating the interference of free metal ions, to reveal the underlying mechanism of how complexed metal ions influence the chemical reactivity of fungal spores.</w:t>
      </w:r>
    </w:p>
    <w:p w14:paraId="553EF715">
      <w:pPr>
        <w:keepNext w:val="0"/>
        <w:keepLines w:val="0"/>
        <w:pageBreakBefore w:val="0"/>
        <w:widowControl w:val="0"/>
        <w:kinsoku/>
        <w:wordWrap/>
        <w:overflowPunct/>
        <w:topLinePunct w:val="0"/>
        <w:autoSpaceDE/>
        <w:autoSpaceDN/>
        <w:bidi w:val="0"/>
        <w:adjustRightInd w:val="0"/>
        <w:snapToGrid w:val="0"/>
        <w:spacing w:line="360" w:lineRule="auto"/>
        <w:ind w:firstLine="400" w:firstLineChars="200"/>
        <w:textAlignment w:val="auto"/>
        <w:rPr>
          <w:rFonts w:hint="default" w:ascii="Arial Regular" w:hAnsi="Arial Regular" w:cs="Arial Regular"/>
          <w:b/>
          <w:sz w:val="20"/>
          <w:szCs w:val="20"/>
        </w:rPr>
      </w:pPr>
      <w:r>
        <w:rPr>
          <w:rFonts w:hint="default" w:ascii="Arial Regular" w:hAnsi="Arial Regular" w:cs="Arial Regular"/>
          <w:b w:val="0"/>
          <w:i w:val="0"/>
          <w:sz w:val="20"/>
          <w:szCs w:val="22"/>
        </w:rPr>
        <w:t>Subsequently</w:t>
      </w:r>
      <w:r>
        <w:rPr>
          <w:rFonts w:hint="default" w:ascii="Arial Regular" w:hAnsi="Arial Regular" w:cs="Arial Regular"/>
          <w:sz w:val="20"/>
          <w:szCs w:val="20"/>
        </w:rPr>
        <w:t>, Cl</w:t>
      </w:r>
      <w:r>
        <w:rPr>
          <w:rFonts w:hint="default" w:ascii="Arial Regular" w:hAnsi="Arial Regular" w:cs="Arial Regular"/>
          <w:sz w:val="20"/>
          <w:szCs w:val="20"/>
          <w:vertAlign w:val="subscript"/>
        </w:rPr>
        <w:t>2</w:t>
      </w:r>
      <w:r>
        <w:rPr>
          <w:rFonts w:hint="default" w:ascii="Arial Regular" w:hAnsi="Arial Regular" w:cs="Arial Regular"/>
          <w:sz w:val="20"/>
          <w:szCs w:val="20"/>
        </w:rPr>
        <w:t xml:space="preserve"> (or NH</w:t>
      </w:r>
      <w:r>
        <w:rPr>
          <w:rFonts w:hint="default" w:ascii="Arial Regular" w:hAnsi="Arial Regular" w:cs="Arial Regular"/>
          <w:sz w:val="20"/>
          <w:szCs w:val="20"/>
          <w:vertAlign w:val="subscript"/>
        </w:rPr>
        <w:t>2</w:t>
      </w:r>
      <w:r>
        <w:rPr>
          <w:rFonts w:hint="default" w:ascii="Arial Regular" w:hAnsi="Arial Regular" w:cs="Arial Regular"/>
          <w:sz w:val="20"/>
          <w:szCs w:val="20"/>
        </w:rPr>
        <w:t>Cl, ClO</w:t>
      </w:r>
      <w:r>
        <w:rPr>
          <w:rFonts w:hint="default" w:ascii="Arial Regular" w:hAnsi="Arial Regular" w:cs="Arial Regular"/>
          <w:sz w:val="20"/>
          <w:szCs w:val="20"/>
          <w:vertAlign w:val="subscript"/>
        </w:rPr>
        <w:t>2</w:t>
      </w:r>
      <w:r>
        <w:rPr>
          <w:rFonts w:hint="default" w:ascii="Arial Regular" w:hAnsi="Arial Regular" w:cs="Arial Regular"/>
          <w:sz w:val="20"/>
          <w:szCs w:val="20"/>
        </w:rPr>
        <w:t>, and UV) was added to both treatment systems for inactivation experiments (T=25±2 ℃). It is important to note that, to ensure the effectiveness of NH</w:t>
      </w:r>
      <w:r>
        <w:rPr>
          <w:rFonts w:hint="default" w:ascii="Arial Regular" w:hAnsi="Arial Regular" w:cs="Arial Regular"/>
          <w:sz w:val="20"/>
          <w:szCs w:val="20"/>
          <w:vertAlign w:val="subscript"/>
        </w:rPr>
        <w:t>2</w:t>
      </w:r>
      <w:r>
        <w:rPr>
          <w:rFonts w:hint="default" w:ascii="Arial Regular" w:hAnsi="Arial Regular" w:cs="Arial Regular"/>
          <w:sz w:val="20"/>
          <w:szCs w:val="20"/>
        </w:rPr>
        <w:t xml:space="preserve">Cl, the inactivation experiment was conducted at pH 8.0 ± 0.2, while the adsorption experiment was performed at pH 7.0 ± 0.2. During the experiment, samples were collected at regular intervals, and the survival of fungal spores was measured using the plate count method (HPC) to calculate the log inactivation value and assess the </w:t>
      </w:r>
      <w:r>
        <w:rPr>
          <w:rFonts w:hint="default" w:ascii="Arial Regular" w:hAnsi="Arial Regular" w:cs="Arial Regular"/>
          <w:b w:val="0"/>
          <w:i w:val="0"/>
          <w:sz w:val="20"/>
          <w:szCs w:val="22"/>
        </w:rPr>
        <w:t xml:space="preserve">disinfectant’s </w:t>
      </w:r>
      <w:r>
        <w:rPr>
          <w:rFonts w:hint="default" w:ascii="Arial Regular" w:hAnsi="Arial Regular" w:cs="Arial Regular"/>
          <w:sz w:val="20"/>
          <w:szCs w:val="20"/>
        </w:rPr>
        <w:t xml:space="preserve">effectiveness in inactivating the fungal spores. Additionally, </w:t>
      </w:r>
      <w:r>
        <w:rPr>
          <w:rFonts w:hint="default" w:ascii="Arial Regular" w:hAnsi="Arial Regular" w:cs="Arial Regular"/>
          <w:b w:val="0"/>
          <w:i w:val="0"/>
          <w:sz w:val="20"/>
          <w:szCs w:val="22"/>
        </w:rPr>
        <w:t xml:space="preserve">the </w:t>
      </w:r>
      <w:r>
        <w:rPr>
          <w:rFonts w:hint="default" w:ascii="Arial Regular" w:hAnsi="Arial Regular" w:cs="Arial Regular"/>
          <w:sz w:val="20"/>
          <w:szCs w:val="20"/>
        </w:rPr>
        <w:t>decay curve of disinfectant concentration in the solution was monitored to analyze the impact of metal complexation on the disinfectant consumption rate.</w:t>
      </w:r>
      <w:r>
        <w:rPr>
          <w:rFonts w:hint="default" w:ascii="Arial Regular" w:hAnsi="Arial Regular" w:cs="Arial Regular"/>
          <w:sz w:val="20"/>
          <w:szCs w:val="20"/>
        </w:rPr>
        <w:br w:type="page"/>
      </w:r>
    </w:p>
    <w:p w14:paraId="264BD999">
      <w:pPr>
        <w:pStyle w:val="3"/>
        <w:keepNext/>
        <w:keepLines/>
        <w:pageBreakBefore w:val="0"/>
        <w:widowControl w:val="0"/>
        <w:kinsoku/>
        <w:wordWrap/>
        <w:overflowPunct/>
        <w:topLinePunct w:val="0"/>
        <w:autoSpaceDE/>
        <w:autoSpaceDN/>
        <w:bidi w:val="0"/>
        <w:adjustRightInd/>
        <w:snapToGrid/>
        <w:spacing w:before="0" w:beforeLines="0" w:after="157" w:afterLines="50" w:line="240" w:lineRule="auto"/>
        <w:textAlignment w:val="auto"/>
        <w:rPr>
          <w:rFonts w:hint="default" w:ascii="Arial Regular" w:hAnsi="Arial Regular" w:cs="Arial Regular"/>
          <w:b/>
          <w:sz w:val="20"/>
          <w:szCs w:val="20"/>
        </w:rPr>
      </w:pPr>
      <w:r>
        <w:rPr>
          <w:rFonts w:hint="default" w:ascii="Arial Regular" w:hAnsi="Arial Regular" w:cs="Arial Regular"/>
          <w:b/>
          <w:sz w:val="20"/>
          <w:szCs w:val="20"/>
        </w:rPr>
        <w:t xml:space="preserve">Supplementary Text 4. Extraction of melanin and chitosan from </w:t>
      </w:r>
      <w:r>
        <w:rPr>
          <w:rFonts w:hint="default" w:ascii="Arial Regular" w:hAnsi="Arial Regular" w:cs="Arial Regular"/>
          <w:b/>
          <w:i/>
          <w:iCs/>
          <w:sz w:val="20"/>
          <w:szCs w:val="20"/>
        </w:rPr>
        <w:t>A. niger</w:t>
      </w:r>
      <w:r>
        <w:rPr>
          <w:rFonts w:hint="default" w:ascii="Arial Regular" w:hAnsi="Arial Regular" w:cs="Arial Regular"/>
          <w:b/>
          <w:sz w:val="20"/>
          <w:szCs w:val="20"/>
        </w:rPr>
        <w:t>.</w:t>
      </w:r>
    </w:p>
    <w:p w14:paraId="1E917565">
      <w:pPr>
        <w:keepNext w:val="0"/>
        <w:keepLines w:val="0"/>
        <w:pageBreakBefore w:val="0"/>
        <w:widowControl w:val="0"/>
        <w:kinsoku/>
        <w:wordWrap/>
        <w:overflowPunct/>
        <w:topLinePunct w:val="0"/>
        <w:autoSpaceDE/>
        <w:autoSpaceDN/>
        <w:bidi w:val="0"/>
        <w:adjustRightInd w:val="0"/>
        <w:snapToGrid w:val="0"/>
        <w:spacing w:line="360" w:lineRule="auto"/>
        <w:ind w:firstLine="400" w:firstLineChars="200"/>
        <w:textAlignment w:val="auto"/>
        <w:rPr>
          <w:rFonts w:hint="default" w:ascii="Arial Regular" w:hAnsi="Arial Regular" w:cs="Arial Regular"/>
          <w:b w:val="0"/>
          <w:i w:val="0"/>
          <w:sz w:val="20"/>
          <w:szCs w:val="22"/>
        </w:rPr>
      </w:pPr>
      <w:r>
        <w:rPr>
          <w:rFonts w:hint="default" w:ascii="Arial Regular" w:hAnsi="Arial Regular" w:cs="Arial Regular"/>
          <w:b w:val="0"/>
          <w:i w:val="0"/>
          <w:sz w:val="20"/>
          <w:szCs w:val="22"/>
        </w:rPr>
        <w:t xml:space="preserve">Melanin was extracted by mixing 5 mL of </w:t>
      </w:r>
      <w:r>
        <w:rPr>
          <w:rFonts w:hint="default" w:ascii="Arial Regular" w:hAnsi="Arial Regular" w:cs="Arial Regular"/>
          <w:b w:val="0"/>
          <w:i/>
          <w:iCs w:val="0"/>
          <w:sz w:val="20"/>
          <w:szCs w:val="22"/>
        </w:rPr>
        <w:t>A. niger</w:t>
      </w:r>
      <w:r>
        <w:rPr>
          <w:rFonts w:hint="default" w:ascii="Arial Regular" w:hAnsi="Arial Regular" w:cs="Arial Regular"/>
          <w:b w:val="0"/>
          <w:i w:val="0"/>
          <w:sz w:val="20"/>
          <w:szCs w:val="22"/>
        </w:rPr>
        <w:t xml:space="preserve"> spore suspension with 5 mL of 1 mol/L NaOH, followed by autoclaving at 121 ℃ for 20 minutes. After cooling, the mixture was centrifuged at 8000 rpm for 10 minutes. The supernatant was acidified to pH 2.5 with HCl and centrifuged again to collect the melanin precipitate, which was washed three times with ultrapure water and freeze-dried.</w:t>
      </w:r>
    </w:p>
    <w:p w14:paraId="51FFA0AB">
      <w:pPr>
        <w:keepNext w:val="0"/>
        <w:keepLines w:val="0"/>
        <w:pageBreakBefore w:val="0"/>
        <w:widowControl w:val="0"/>
        <w:kinsoku/>
        <w:wordWrap/>
        <w:overflowPunct/>
        <w:topLinePunct w:val="0"/>
        <w:autoSpaceDE/>
        <w:autoSpaceDN/>
        <w:bidi w:val="0"/>
        <w:adjustRightInd w:val="0"/>
        <w:snapToGrid w:val="0"/>
        <w:spacing w:line="360" w:lineRule="auto"/>
        <w:ind w:firstLine="400" w:firstLineChars="200"/>
        <w:textAlignment w:val="auto"/>
        <w:rPr>
          <w:rFonts w:hint="default" w:ascii="Arial Regular" w:hAnsi="Arial Regular" w:cs="Arial Regular"/>
          <w:b w:val="0"/>
          <w:i w:val="0"/>
          <w:sz w:val="20"/>
          <w:szCs w:val="22"/>
        </w:rPr>
      </w:pPr>
      <w:r>
        <w:rPr>
          <w:rFonts w:hint="default" w:ascii="Arial Regular" w:hAnsi="Arial Regular" w:cs="Arial Regular"/>
          <w:b w:val="0"/>
          <w:i w:val="0"/>
          <w:sz w:val="20"/>
          <w:szCs w:val="22"/>
        </w:rPr>
        <w:t>Chitosan was obtained by mixing the same volume of spore suspension with 1 mol/L NaOH and autoclaving under identical conditions. The cooled mixture was centrifuged at 8000 rpm for 10 minutes at 4 ℃. The supernatant was discarded, and the pellet was washed 3–4 times with ultrapure water to yield deacetylated chitosan.</w:t>
      </w:r>
    </w:p>
    <w:p w14:paraId="578C28C6">
      <w:pPr>
        <w:keepNext w:val="0"/>
        <w:keepLines w:val="0"/>
        <w:pageBreakBefore w:val="0"/>
        <w:widowControl w:val="0"/>
        <w:kinsoku/>
        <w:wordWrap/>
        <w:overflowPunct/>
        <w:topLinePunct w:val="0"/>
        <w:autoSpaceDE/>
        <w:autoSpaceDN/>
        <w:bidi w:val="0"/>
        <w:adjustRightInd w:val="0"/>
        <w:snapToGrid w:val="0"/>
        <w:spacing w:line="360" w:lineRule="auto"/>
        <w:ind w:firstLine="400" w:firstLineChars="200"/>
        <w:textAlignment w:val="auto"/>
        <w:rPr>
          <w:rFonts w:hint="default" w:ascii="Arial Regular" w:hAnsi="Arial Regular" w:cs="Arial Regular"/>
          <w:b w:val="0"/>
          <w:i w:val="0"/>
          <w:sz w:val="20"/>
          <w:szCs w:val="20"/>
        </w:rPr>
      </w:pPr>
      <w:r>
        <w:rPr>
          <w:rFonts w:hint="default" w:ascii="Arial Regular" w:hAnsi="Arial Regular" w:cs="Arial Regular"/>
          <w:b w:val="0"/>
          <w:i w:val="0"/>
          <w:sz w:val="20"/>
          <w:szCs w:val="22"/>
        </w:rPr>
        <w:t>FTIR spectroscopy (4000–400 cm</w:t>
      </w:r>
      <w:r>
        <w:rPr>
          <w:rFonts w:hint="default" w:ascii="Arial Regular" w:hAnsi="Arial Regular" w:cs="Arial Regular"/>
          <w:b w:val="0"/>
          <w:i w:val="0"/>
          <w:sz w:val="20"/>
          <w:szCs w:val="22"/>
          <w:vertAlign w:val="superscript"/>
        </w:rPr>
        <w:t>-1</w:t>
      </w:r>
      <w:r>
        <w:rPr>
          <w:rFonts w:hint="default" w:ascii="Arial Regular" w:hAnsi="Arial Regular" w:cs="Arial Regular"/>
          <w:b w:val="0"/>
          <w:i w:val="0"/>
          <w:sz w:val="20"/>
          <w:szCs w:val="22"/>
        </w:rPr>
        <w:t xml:space="preserve">) was used to characterize </w:t>
      </w:r>
      <w:r>
        <w:rPr>
          <w:rFonts w:hint="default" w:ascii="Arial Regular" w:hAnsi="Arial Regular" w:cs="Arial Regular"/>
          <w:b w:val="0"/>
          <w:i/>
          <w:iCs w:val="0"/>
          <w:sz w:val="20"/>
          <w:szCs w:val="22"/>
        </w:rPr>
        <w:t>A. niger</w:t>
      </w:r>
      <w:r>
        <w:rPr>
          <w:rFonts w:hint="default" w:ascii="Arial Regular" w:hAnsi="Arial Regular" w:cs="Arial Regular"/>
          <w:b w:val="0"/>
          <w:i w:val="0"/>
          <w:sz w:val="20"/>
          <w:szCs w:val="22"/>
        </w:rPr>
        <w:t xml:space="preserve"> spores, as well as the extracted melanin and chitosan, before and after complexation with metal ions.</w:t>
      </w:r>
      <w:r>
        <w:rPr>
          <w:rFonts w:hint="default" w:ascii="Arial Regular" w:hAnsi="Arial Regular" w:cs="Arial Regular"/>
          <w:b w:val="0"/>
          <w:i w:val="0"/>
          <w:szCs w:val="24"/>
        </w:rPr>
        <w:br w:type="page"/>
      </w:r>
    </w:p>
    <w:p w14:paraId="13A6CBF0">
      <w:pPr>
        <w:pStyle w:val="3"/>
        <w:keepNext/>
        <w:keepLines/>
        <w:pageBreakBefore w:val="0"/>
        <w:widowControl w:val="0"/>
        <w:kinsoku/>
        <w:wordWrap/>
        <w:overflowPunct/>
        <w:topLinePunct w:val="0"/>
        <w:autoSpaceDE/>
        <w:autoSpaceDN/>
        <w:bidi w:val="0"/>
        <w:adjustRightInd/>
        <w:snapToGrid/>
        <w:spacing w:before="0" w:beforeLines="0" w:after="157" w:afterLines="50" w:line="240" w:lineRule="auto"/>
        <w:textAlignment w:val="auto"/>
        <w:rPr>
          <w:rFonts w:hint="default" w:ascii="Arial Regular" w:hAnsi="Arial Regular" w:cs="Arial Regular"/>
          <w:b/>
          <w:sz w:val="20"/>
          <w:szCs w:val="20"/>
        </w:rPr>
      </w:pPr>
      <w:r>
        <w:rPr>
          <w:rFonts w:hint="default" w:ascii="Arial Regular" w:hAnsi="Arial Regular" w:cs="Arial Regular"/>
          <w:b/>
          <w:sz w:val="20"/>
          <w:szCs w:val="20"/>
        </w:rPr>
        <w:t>Supplementary Text 5. Assessment of membrane integrity, intracellular ROS, and structural damage.</w:t>
      </w:r>
    </w:p>
    <w:p w14:paraId="693D2E22">
      <w:pPr>
        <w:keepNext w:val="0"/>
        <w:keepLines w:val="0"/>
        <w:pageBreakBefore w:val="0"/>
        <w:widowControl w:val="0"/>
        <w:kinsoku/>
        <w:wordWrap/>
        <w:overflowPunct/>
        <w:topLinePunct w:val="0"/>
        <w:autoSpaceDE/>
        <w:autoSpaceDN/>
        <w:bidi w:val="0"/>
        <w:adjustRightInd w:val="0"/>
        <w:snapToGrid w:val="0"/>
        <w:spacing w:line="360" w:lineRule="auto"/>
        <w:ind w:firstLine="400" w:firstLineChars="200"/>
        <w:textAlignment w:val="auto"/>
        <w:rPr>
          <w:rFonts w:hint="default" w:ascii="Arial Regular" w:hAnsi="Arial Regular" w:cs="Arial Regular"/>
          <w:sz w:val="20"/>
          <w:szCs w:val="20"/>
        </w:rPr>
      </w:pPr>
      <w:r>
        <w:rPr>
          <w:rFonts w:hint="default" w:ascii="Arial Regular" w:hAnsi="Arial Regular" w:cs="Arial Regular"/>
          <w:sz w:val="20"/>
          <w:szCs w:val="20"/>
        </w:rPr>
        <w:t xml:space="preserve">SYBR </w:t>
      </w:r>
      <w:r>
        <w:rPr>
          <w:rFonts w:hint="default" w:ascii="Arial Regular" w:hAnsi="Arial Regular" w:cs="Arial Regular"/>
          <w:b w:val="0"/>
          <w:i w:val="0"/>
          <w:sz w:val="20"/>
          <w:szCs w:val="22"/>
        </w:rPr>
        <w:t xml:space="preserve">Green </w:t>
      </w:r>
      <w:r>
        <w:rPr>
          <w:rFonts w:hint="default" w:ascii="Arial Regular" w:hAnsi="Arial Regular" w:cs="Arial Regular"/>
          <w:sz w:val="20"/>
          <w:szCs w:val="20"/>
        </w:rPr>
        <w:t>I (SG) is a membrane-permeable fluorescent dye that binds to nucleic acids in viable cells and emits green fluorescence. In contrast, propidium iodide (PI) is membrane-impermeable and only penetrates spores with compromised membranes, binding to nucleic acids and emitting red fluorescence. For staining, 160 μL of spore suspension was mixed with 30 μL of EDTA solution (0.5 M, pH 8.0) and 10 μL of SG/PI dye mixture in a 1.5 mL microcentrifuge tube. The mixture was incubated in a thermostatic metal bath (HDB-smart, DHS, China) at 35 ℃ for 20 minutes in the dark. Membrane permeability was subsequently assessed using flow cytometry (FCM, Accuri C6, BD, USA).</w:t>
      </w:r>
    </w:p>
    <w:p w14:paraId="604643BD">
      <w:pPr>
        <w:keepNext w:val="0"/>
        <w:keepLines w:val="0"/>
        <w:pageBreakBefore w:val="0"/>
        <w:widowControl w:val="0"/>
        <w:kinsoku/>
        <w:wordWrap/>
        <w:overflowPunct/>
        <w:topLinePunct w:val="0"/>
        <w:autoSpaceDE/>
        <w:autoSpaceDN/>
        <w:bidi w:val="0"/>
        <w:adjustRightInd w:val="0"/>
        <w:snapToGrid w:val="0"/>
        <w:spacing w:line="360" w:lineRule="auto"/>
        <w:ind w:firstLine="400" w:firstLineChars="200"/>
        <w:textAlignment w:val="auto"/>
        <w:rPr>
          <w:rFonts w:hint="default" w:ascii="Arial Regular" w:hAnsi="Arial Regular" w:cs="Arial Regular"/>
          <w:sz w:val="20"/>
          <w:szCs w:val="20"/>
        </w:rPr>
      </w:pPr>
      <w:r>
        <w:rPr>
          <w:rFonts w:hint="default" w:ascii="Arial Regular" w:hAnsi="Arial Regular" w:cs="Arial Regular"/>
          <w:b w:val="0"/>
          <w:i w:val="0"/>
          <w:sz w:val="20"/>
          <w:szCs w:val="22"/>
        </w:rPr>
        <w:t xml:space="preserve">Intracellular </w:t>
      </w:r>
      <w:r>
        <w:rPr>
          <w:rFonts w:hint="default" w:ascii="Arial Regular" w:hAnsi="Arial Regular" w:cs="Arial Regular"/>
          <w:sz w:val="20"/>
          <w:szCs w:val="20"/>
        </w:rPr>
        <w:t>reactive oxygen species (ROS) levels in fungal spores were quantitatively assessed using flow cytometry (FCM) with dihydroethidium (DHE) as the fluorescent probe (Sigma Merck, USA). DHE is a membrane-permeable dye that selectively reacts with intracellular ROS to emit fluorescence. Spores exhibiting fluorescence intensities greater than 9 × 10</w:t>
      </w:r>
      <w:r>
        <w:rPr>
          <w:rFonts w:hint="default" w:ascii="Arial Regular" w:hAnsi="Arial Regular" w:cs="Arial Regular"/>
          <w:sz w:val="20"/>
          <w:szCs w:val="20"/>
          <w:vertAlign w:val="superscript"/>
        </w:rPr>
        <w:t>3</w:t>
      </w:r>
      <w:r>
        <w:rPr>
          <w:rFonts w:hint="default" w:ascii="Arial Regular" w:hAnsi="Arial Regular" w:cs="Arial Regular"/>
          <w:sz w:val="20"/>
          <w:szCs w:val="20"/>
        </w:rPr>
        <w:t xml:space="preserve"> were classified as having high ROS levels. To perform the assay, 197 μL of spore suspension was mixed with 5 μL of DHE solution in a 1.5 mL microcentrifuge tube. The mixture was incubated at 35 ℃ for 20 minutes in the dark using a thermostatic metal bath (HDB-smart, DHS, China), followed by flow cytometric analysis.</w:t>
      </w:r>
    </w:p>
    <w:p w14:paraId="5A3D09AE">
      <w:pPr>
        <w:keepNext w:val="0"/>
        <w:keepLines w:val="0"/>
        <w:pageBreakBefore w:val="0"/>
        <w:widowControl w:val="0"/>
        <w:kinsoku/>
        <w:wordWrap/>
        <w:overflowPunct/>
        <w:topLinePunct w:val="0"/>
        <w:autoSpaceDE/>
        <w:autoSpaceDN/>
        <w:bidi w:val="0"/>
        <w:adjustRightInd w:val="0"/>
        <w:snapToGrid w:val="0"/>
        <w:spacing w:line="360" w:lineRule="auto"/>
        <w:ind w:firstLine="400" w:firstLineChars="200"/>
        <w:textAlignment w:val="auto"/>
        <w:rPr>
          <w:rFonts w:hint="default" w:ascii="Arial Regular" w:hAnsi="Arial Regular" w:cs="Arial Regular"/>
          <w:b/>
          <w:sz w:val="20"/>
          <w:szCs w:val="20"/>
        </w:rPr>
      </w:pPr>
      <w:r>
        <w:rPr>
          <w:rFonts w:hint="default" w:ascii="Arial Regular" w:hAnsi="Arial Regular" w:cs="Arial Regular"/>
          <w:sz w:val="20"/>
          <w:szCs w:val="20"/>
        </w:rPr>
        <w:t xml:space="preserve">A 1 mL </w:t>
      </w:r>
      <w:r>
        <w:rPr>
          <w:rFonts w:hint="default" w:ascii="Arial Regular" w:hAnsi="Arial Regular" w:cs="Arial Regular"/>
          <w:b w:val="0"/>
          <w:i w:val="0"/>
          <w:sz w:val="20"/>
          <w:szCs w:val="22"/>
        </w:rPr>
        <w:t xml:space="preserve">aliquot </w:t>
      </w:r>
      <w:r>
        <w:rPr>
          <w:rFonts w:hint="default" w:ascii="Arial Regular" w:hAnsi="Arial Regular" w:cs="Arial Regular"/>
          <w:sz w:val="20"/>
          <w:szCs w:val="20"/>
        </w:rPr>
        <w:t>of the fungal spore suspension was transferred into a 1.5 mL microcentrifuge tube and centrifuged at 10,000 rpm for 15 minutes. The supernatant was discarded, and the pellet was fixed with 1 mL of 3% glutaraldehyde at 4 ℃ overnight. After fixation, the supernatant was removed, and the pellet was sequentially washed with sterile phosphate-buffered saline (PBS) and a graded ethanol series (10%, 30%, 50%, 80%, and 100%) to remove residual glutaraldehyde. Following dehydration, 1 mL of isoamyl acetate was added, and the sample was allowed to air-dry in a fume hood. The bottom of the centrifuge tube was then cut open, and the dried pellet was mounted onto an SEM stub using conductive adhesive. Finally, the sample was sputter-coated with gold and examined using a scanning electron microscope (Quanta 600F, FEI, USA).</w:t>
      </w:r>
      <w:r>
        <w:rPr>
          <w:rFonts w:hint="default" w:ascii="Arial Regular" w:hAnsi="Arial Regular" w:cs="Arial Regular"/>
          <w:sz w:val="20"/>
          <w:szCs w:val="20"/>
        </w:rPr>
        <w:br w:type="page"/>
      </w:r>
    </w:p>
    <w:p w14:paraId="2D2EF5F4">
      <w:pPr>
        <w:pStyle w:val="3"/>
        <w:keepNext/>
        <w:keepLines/>
        <w:pageBreakBefore w:val="0"/>
        <w:widowControl w:val="0"/>
        <w:kinsoku/>
        <w:wordWrap/>
        <w:overflowPunct/>
        <w:topLinePunct w:val="0"/>
        <w:autoSpaceDE/>
        <w:autoSpaceDN/>
        <w:bidi w:val="0"/>
        <w:adjustRightInd/>
        <w:snapToGrid/>
        <w:spacing w:before="0" w:beforeLines="0" w:after="157" w:afterLines="50" w:line="240" w:lineRule="auto"/>
        <w:textAlignment w:val="auto"/>
        <w:rPr>
          <w:rFonts w:hint="default" w:ascii="Arial Regular" w:hAnsi="Arial Regular" w:cs="Arial Regular"/>
          <w:b/>
          <w:sz w:val="20"/>
          <w:szCs w:val="20"/>
        </w:rPr>
      </w:pPr>
      <w:r>
        <w:rPr>
          <w:rFonts w:hint="default" w:ascii="Arial Regular" w:hAnsi="Arial Regular" w:cs="Arial Regular"/>
          <w:b/>
          <w:sz w:val="20"/>
          <w:szCs w:val="20"/>
        </w:rPr>
        <w:t>Supplementary Text 6. Proteomic analysis.</w:t>
      </w:r>
    </w:p>
    <w:p w14:paraId="475F59C3">
      <w:pPr>
        <w:keepNext w:val="0"/>
        <w:keepLines w:val="0"/>
        <w:pageBreakBefore w:val="0"/>
        <w:widowControl w:val="0"/>
        <w:kinsoku/>
        <w:wordWrap/>
        <w:overflowPunct/>
        <w:topLinePunct w:val="0"/>
        <w:autoSpaceDE/>
        <w:autoSpaceDN/>
        <w:bidi w:val="0"/>
        <w:adjustRightInd w:val="0"/>
        <w:snapToGrid w:val="0"/>
        <w:spacing w:line="360" w:lineRule="auto"/>
        <w:ind w:firstLine="400" w:firstLineChars="200"/>
        <w:textAlignment w:val="auto"/>
        <w:rPr>
          <w:rFonts w:hint="default" w:ascii="Arial Regular" w:hAnsi="Arial Regular" w:cs="Arial Regular"/>
          <w:b w:val="0"/>
          <w:sz w:val="20"/>
          <w:szCs w:val="20"/>
        </w:rPr>
      </w:pPr>
      <w:r>
        <w:rPr>
          <w:rFonts w:hint="default" w:ascii="Arial Regular" w:hAnsi="Arial Regular" w:cs="Arial Regular"/>
          <w:b w:val="0"/>
          <w:bCs/>
          <w:sz w:val="20"/>
          <w:szCs w:val="20"/>
        </w:rPr>
        <w:t xml:space="preserve">Protein </w:t>
      </w:r>
      <w:r>
        <w:rPr>
          <w:rFonts w:hint="default" w:ascii="Arial Regular" w:hAnsi="Arial Regular" w:cs="Arial Regular"/>
          <w:b w:val="0"/>
          <w:i w:val="0"/>
          <w:sz w:val="20"/>
          <w:szCs w:val="22"/>
        </w:rPr>
        <w:t>extraction</w:t>
      </w:r>
      <w:r>
        <w:rPr>
          <w:rFonts w:hint="default" w:ascii="Arial Regular" w:hAnsi="Arial Regular" w:cs="Arial Regular"/>
          <w:b w:val="0"/>
          <w:bCs/>
          <w:sz w:val="20"/>
          <w:szCs w:val="20"/>
        </w:rPr>
        <w:t>.</w:t>
      </w:r>
      <w:r>
        <w:rPr>
          <w:rFonts w:hint="default" w:ascii="Arial Regular" w:hAnsi="Arial Regular" w:cs="Arial Regular"/>
          <w:b w:val="0"/>
          <w:sz w:val="20"/>
          <w:szCs w:val="20"/>
        </w:rPr>
        <w:t xml:space="preserve"> All frozen samples were retrieved and transferred to grinding tubes, followed by the addition of an appropriate volume of borax/PVPP/phenol (BPP) extraction buffer. Samples were ground three times using a mechanical grinder, each for 180 seconds. The homogenates were then centrifuged at 14,000×g for 15 minutes at 8 ℃, and the supernatants were collected. An equal volume of Tris-saturated phenol was added to each supernatant, vortexed vigorously for 5–10 seconds, and centrifuged again under the same conditions. The phenolic phase was collected and mixed with an equal volume of BPP buffer, followed by vortexing for 5–10 seconds and centrifugation at 14,000×g for 15 minutes at 8 ℃. The resulting phenolic phase was collected once more. Four volumes of pre-chilled methanol containing 100 mM ammonium acetate were added to the phenolic phase to precipitate proteins overnight at −20 ℃. The next day, the samples were centrifuged at 14,000×g for 15 minutes at 8 ℃, and the supernatant was discarded. The protein pellet was washed with 90% pre-chilled acetone, vortexed, and centrifuged to remove residual contaminants. This acetone wash step was repeated twice. The resulting protein pellet was dissolved in lysis buffer containing 8 M urea, 1% SDS, and a protease inhibitor cocktail. The suspension was subjected to low-temperature non-contact ultrasonication for 30 minutes to ensure complete dissolution. Finally, the mixture was centrifuged at 14,000×g for 15 minutes at 8 ℃, and the supernatant containing solubilized proteins was collected for subsequent analyses.</w:t>
      </w:r>
    </w:p>
    <w:p w14:paraId="0DCF333B">
      <w:pPr>
        <w:keepNext w:val="0"/>
        <w:keepLines w:val="0"/>
        <w:pageBreakBefore w:val="0"/>
        <w:widowControl w:val="0"/>
        <w:kinsoku/>
        <w:wordWrap/>
        <w:overflowPunct/>
        <w:topLinePunct w:val="0"/>
        <w:autoSpaceDE/>
        <w:autoSpaceDN/>
        <w:bidi w:val="0"/>
        <w:adjustRightInd w:val="0"/>
        <w:snapToGrid w:val="0"/>
        <w:spacing w:line="360" w:lineRule="auto"/>
        <w:ind w:firstLine="400" w:firstLineChars="200"/>
        <w:textAlignment w:val="auto"/>
        <w:rPr>
          <w:rFonts w:hint="default" w:ascii="Arial Regular" w:hAnsi="Arial Regular" w:cs="Arial Regular"/>
          <w:b w:val="0"/>
          <w:sz w:val="20"/>
          <w:szCs w:val="20"/>
        </w:rPr>
      </w:pPr>
      <w:r>
        <w:rPr>
          <w:rFonts w:hint="default" w:ascii="Arial Regular" w:hAnsi="Arial Regular" w:cs="Arial Regular"/>
          <w:b/>
          <w:bCs w:val="0"/>
          <w:sz w:val="20"/>
          <w:szCs w:val="20"/>
        </w:rPr>
        <w:t xml:space="preserve">Sample </w:t>
      </w:r>
      <w:r>
        <w:rPr>
          <w:rFonts w:hint="default" w:ascii="Arial Regular" w:hAnsi="Arial Regular" w:cs="Arial Regular"/>
          <w:b/>
          <w:bCs w:val="0"/>
          <w:i w:val="0"/>
          <w:sz w:val="20"/>
          <w:szCs w:val="22"/>
        </w:rPr>
        <w:t xml:space="preserve">concentration </w:t>
      </w:r>
      <w:r>
        <w:rPr>
          <w:rFonts w:hint="default" w:ascii="Arial Regular" w:hAnsi="Arial Regular" w:cs="Arial Regular"/>
          <w:b/>
          <w:bCs w:val="0"/>
          <w:sz w:val="20"/>
          <w:szCs w:val="20"/>
        </w:rPr>
        <w:t xml:space="preserve">detection (BCA method). </w:t>
      </w:r>
      <w:r>
        <w:rPr>
          <w:rFonts w:hint="default" w:ascii="Arial Regular" w:hAnsi="Arial Regular" w:cs="Arial Regular"/>
          <w:b w:val="0"/>
          <w:sz w:val="20"/>
          <w:szCs w:val="20"/>
        </w:rPr>
        <w:t>Using the standard protein provided in the Thermo Scientific Pierce BCA Protein Assay Kit, different concentrations of bovine serum albumin (BSA) were prepared according to the kit's protocol. The standard concentration range was from 0 to 2 μg/μl, including 0, 0.125, 0.25, 0.5, 0.75, 1, 1.5, and 2 μg/μl. The absorbance at 562 nm was measured using the SPECTRA MAX microplate reader, and a standard curve was generated. The protein concentration and total protein content of the samples were determined based on the standard curve.</w:t>
      </w:r>
    </w:p>
    <w:p w14:paraId="007E0236">
      <w:pPr>
        <w:keepNext w:val="0"/>
        <w:keepLines w:val="0"/>
        <w:pageBreakBefore w:val="0"/>
        <w:widowControl w:val="0"/>
        <w:kinsoku/>
        <w:wordWrap/>
        <w:overflowPunct/>
        <w:topLinePunct w:val="0"/>
        <w:autoSpaceDE/>
        <w:autoSpaceDN/>
        <w:bidi w:val="0"/>
        <w:adjustRightInd w:val="0"/>
        <w:snapToGrid w:val="0"/>
        <w:spacing w:line="360" w:lineRule="auto"/>
        <w:ind w:firstLine="400" w:firstLineChars="200"/>
        <w:textAlignment w:val="auto"/>
        <w:rPr>
          <w:rFonts w:hint="default" w:ascii="Arial Regular" w:hAnsi="Arial Regular" w:cs="Arial Regular"/>
          <w:b w:val="0"/>
          <w:sz w:val="20"/>
          <w:szCs w:val="20"/>
        </w:rPr>
      </w:pPr>
      <w:r>
        <w:rPr>
          <w:rFonts w:hint="default" w:ascii="Arial Regular" w:hAnsi="Arial Regular" w:cs="Arial Regular"/>
          <w:b/>
          <w:bCs w:val="0"/>
          <w:sz w:val="20"/>
          <w:szCs w:val="20"/>
        </w:rPr>
        <w:t>SDS-</w:t>
      </w:r>
      <w:r>
        <w:rPr>
          <w:rFonts w:hint="default" w:ascii="Arial Regular" w:hAnsi="Arial Regular" w:cs="Arial Regular"/>
          <w:b/>
          <w:bCs w:val="0"/>
          <w:i w:val="0"/>
          <w:sz w:val="20"/>
          <w:szCs w:val="22"/>
        </w:rPr>
        <w:t xml:space="preserve">PAGE </w:t>
      </w:r>
      <w:r>
        <w:rPr>
          <w:rFonts w:hint="default" w:ascii="Arial Regular" w:hAnsi="Arial Regular" w:cs="Arial Regular"/>
          <w:b/>
          <w:bCs w:val="0"/>
          <w:sz w:val="20"/>
          <w:szCs w:val="20"/>
        </w:rPr>
        <w:t>electrophoresis.</w:t>
      </w:r>
      <w:r>
        <w:rPr>
          <w:rFonts w:hint="default" w:ascii="Arial Regular" w:hAnsi="Arial Regular" w:cs="Arial Regular"/>
          <w:b w:val="0"/>
          <w:sz w:val="20"/>
          <w:szCs w:val="20"/>
        </w:rPr>
        <w:t xml:space="preserve"> An aliquot of 10 μl of the sample was loaded for SDS-PAGE electrophoresis to assess the protein quality. Based on the total protein amount and band clarity, a total protein content of over 50 μg with clear bands was considered sufficient for subsequent experiments.</w:t>
      </w:r>
    </w:p>
    <w:p w14:paraId="19D3D7C3">
      <w:pPr>
        <w:keepNext w:val="0"/>
        <w:keepLines w:val="0"/>
        <w:pageBreakBefore w:val="0"/>
        <w:widowControl w:val="0"/>
        <w:kinsoku/>
        <w:wordWrap/>
        <w:overflowPunct/>
        <w:topLinePunct w:val="0"/>
        <w:autoSpaceDE/>
        <w:autoSpaceDN/>
        <w:bidi w:val="0"/>
        <w:adjustRightInd w:val="0"/>
        <w:snapToGrid w:val="0"/>
        <w:spacing w:line="360" w:lineRule="auto"/>
        <w:ind w:firstLine="400" w:firstLineChars="200"/>
        <w:textAlignment w:val="auto"/>
        <w:rPr>
          <w:rFonts w:hint="default" w:ascii="Arial Regular" w:hAnsi="Arial Regular" w:cs="Arial Regular"/>
          <w:b w:val="0"/>
          <w:sz w:val="20"/>
          <w:szCs w:val="20"/>
        </w:rPr>
      </w:pPr>
      <w:r>
        <w:rPr>
          <w:rFonts w:hint="default" w:ascii="Arial Regular" w:hAnsi="Arial Regular" w:cs="Arial Regular"/>
          <w:b/>
          <w:bCs w:val="0"/>
          <w:sz w:val="20"/>
          <w:szCs w:val="20"/>
        </w:rPr>
        <w:t xml:space="preserve">Protein </w:t>
      </w:r>
      <w:r>
        <w:rPr>
          <w:rFonts w:hint="default" w:ascii="Arial Regular" w:hAnsi="Arial Regular" w:cs="Arial Regular"/>
          <w:b/>
          <w:bCs w:val="0"/>
          <w:i w:val="0"/>
          <w:sz w:val="20"/>
          <w:szCs w:val="22"/>
        </w:rPr>
        <w:t>digestion</w:t>
      </w:r>
      <w:r>
        <w:rPr>
          <w:rFonts w:hint="default" w:ascii="Arial Regular" w:hAnsi="Arial Regular" w:cs="Arial Regular"/>
          <w:b/>
          <w:bCs w:val="0"/>
          <w:sz w:val="20"/>
          <w:szCs w:val="20"/>
        </w:rPr>
        <w:t>.</w:t>
      </w:r>
      <w:r>
        <w:rPr>
          <w:rFonts w:hint="default" w:ascii="Arial Regular" w:hAnsi="Arial Regular" w:cs="Arial Regular"/>
          <w:b w:val="0"/>
          <w:sz w:val="20"/>
          <w:szCs w:val="20"/>
        </w:rPr>
        <w:t xml:space="preserve"> Take 100 μg of the protein sample and add lysis buffer. Then, add 100 mM triethylammonium bicarbonate (TEAB) buffer to reach a final concentration of 100 mM. Add 10 mM TCEP to achieve a final concentration of 10 mM and incubate at 37°C for 60 minutes. Next, add 40 mM iodoacetamide (final concentration) and incubate in the dark at room temperature for 40 minutes. To precipitate proteins, add precooled acetone (acetone:sample v:v = 6:1), and incubate at -20°C for 4 hours. Centrifuge at 10,000×g for 20 minutes and collect the precipitate. Dissolve the sample thoroughly in 100 μL of 100 mM TEAB. Add trypsin at a mass ratio of 1:50 (enzyme:protein) and digest overnight at 37°C.</w:t>
      </w:r>
    </w:p>
    <w:p w14:paraId="20D57415">
      <w:pPr>
        <w:keepNext w:val="0"/>
        <w:keepLines w:val="0"/>
        <w:pageBreakBefore w:val="0"/>
        <w:widowControl w:val="0"/>
        <w:kinsoku/>
        <w:wordWrap/>
        <w:overflowPunct/>
        <w:topLinePunct w:val="0"/>
        <w:autoSpaceDE/>
        <w:autoSpaceDN/>
        <w:bidi w:val="0"/>
        <w:adjustRightInd w:val="0"/>
        <w:snapToGrid w:val="0"/>
        <w:spacing w:line="360" w:lineRule="auto"/>
        <w:ind w:firstLine="400" w:firstLineChars="200"/>
        <w:textAlignment w:val="auto"/>
        <w:rPr>
          <w:rFonts w:hint="default" w:ascii="Arial Regular" w:hAnsi="Arial Regular" w:cs="Arial Regular"/>
          <w:b w:val="0"/>
          <w:sz w:val="20"/>
          <w:szCs w:val="20"/>
        </w:rPr>
      </w:pPr>
      <w:r>
        <w:rPr>
          <w:rFonts w:hint="default" w:ascii="Arial Regular" w:hAnsi="Arial Regular" w:cs="Arial Regular"/>
          <w:b/>
          <w:bCs w:val="0"/>
          <w:sz w:val="20"/>
          <w:szCs w:val="20"/>
        </w:rPr>
        <w:t xml:space="preserve">Peptide </w:t>
      </w:r>
      <w:r>
        <w:rPr>
          <w:rFonts w:hint="default" w:ascii="Arial Regular" w:hAnsi="Arial Regular" w:cs="Arial Regular"/>
          <w:b/>
          <w:bCs w:val="0"/>
          <w:i w:val="0"/>
          <w:sz w:val="20"/>
          <w:szCs w:val="22"/>
        </w:rPr>
        <w:t xml:space="preserve">desalting </w:t>
      </w:r>
      <w:r>
        <w:rPr>
          <w:rFonts w:hint="default" w:ascii="Arial Regular" w:hAnsi="Arial Regular" w:cs="Arial Regular"/>
          <w:b/>
          <w:bCs w:val="0"/>
          <w:sz w:val="20"/>
          <w:szCs w:val="20"/>
        </w:rPr>
        <w:t>and quantification.</w:t>
      </w:r>
      <w:r>
        <w:rPr>
          <w:rFonts w:hint="default" w:ascii="Arial Regular" w:hAnsi="Arial Regular" w:cs="Arial Regular"/>
          <w:b w:val="0"/>
          <w:bCs/>
          <w:sz w:val="20"/>
          <w:szCs w:val="20"/>
        </w:rPr>
        <w:t xml:space="preserve"> </w:t>
      </w:r>
      <w:r>
        <w:rPr>
          <w:rFonts w:hint="default" w:ascii="Arial Regular" w:hAnsi="Arial Regular" w:cs="Arial Regular"/>
          <w:b w:val="0"/>
          <w:sz w:val="20"/>
          <w:szCs w:val="20"/>
        </w:rPr>
        <w:t xml:space="preserve">After trypsin digestion, equal volumes of the sample were vacuum concentrated to remove solvents and dry the peptides. The dried peptides were then re-dissolved in 0.1% trifluoroacetic acid (TFA). Peptide quantification was performed using the Thermo Fisher Scientific peptide </w:t>
      </w:r>
      <w:r>
        <w:rPr>
          <w:rFonts w:hint="default" w:ascii="Arial Regular" w:hAnsi="Arial Regular" w:cs="Arial Regular"/>
          <w:b w:val="0"/>
          <w:i w:val="0"/>
          <w:sz w:val="20"/>
          <w:szCs w:val="22"/>
        </w:rPr>
        <w:t xml:space="preserve">quantification </w:t>
      </w:r>
      <w:r>
        <w:rPr>
          <w:rFonts w:hint="default" w:ascii="Arial Regular" w:hAnsi="Arial Regular" w:cs="Arial Regular"/>
          <w:b w:val="0"/>
          <w:sz w:val="20"/>
          <w:szCs w:val="20"/>
        </w:rPr>
        <w:t>kit. Peptides were desalted using an HLB (Hydrophilic-Lipophilic Balance) column, and then dried again using a vacuum concentrator.</w:t>
      </w:r>
    </w:p>
    <w:p w14:paraId="7EF7BB0F">
      <w:pPr>
        <w:keepNext w:val="0"/>
        <w:keepLines w:val="0"/>
        <w:pageBreakBefore w:val="0"/>
        <w:widowControl w:val="0"/>
        <w:kinsoku/>
        <w:wordWrap/>
        <w:overflowPunct/>
        <w:topLinePunct w:val="0"/>
        <w:autoSpaceDE/>
        <w:autoSpaceDN/>
        <w:bidi w:val="0"/>
        <w:adjustRightInd w:val="0"/>
        <w:snapToGrid w:val="0"/>
        <w:spacing w:line="360" w:lineRule="auto"/>
        <w:ind w:firstLine="400" w:firstLineChars="200"/>
        <w:textAlignment w:val="auto"/>
        <w:rPr>
          <w:rFonts w:hint="default" w:ascii="Arial Regular" w:hAnsi="Arial Regular" w:cs="Arial Regular"/>
          <w:b/>
          <w:bCs w:val="0"/>
          <w:sz w:val="20"/>
          <w:szCs w:val="20"/>
        </w:rPr>
      </w:pPr>
      <w:r>
        <w:rPr>
          <w:rFonts w:hint="default" w:ascii="Arial Regular" w:hAnsi="Arial Regular" w:cs="Arial Regular"/>
          <w:b/>
          <w:bCs w:val="0"/>
          <w:sz w:val="20"/>
          <w:szCs w:val="20"/>
        </w:rPr>
        <w:t xml:space="preserve">DIA </w:t>
      </w:r>
      <w:r>
        <w:rPr>
          <w:rFonts w:hint="default" w:ascii="Arial Regular" w:hAnsi="Arial Regular" w:cs="Arial Regular"/>
          <w:b/>
          <w:bCs w:val="0"/>
          <w:i w:val="0"/>
          <w:sz w:val="20"/>
          <w:szCs w:val="22"/>
        </w:rPr>
        <w:t xml:space="preserve">quantification </w:t>
      </w:r>
      <w:r>
        <w:rPr>
          <w:rFonts w:hint="default" w:ascii="Arial Regular" w:hAnsi="Arial Regular" w:cs="Arial Regular"/>
          <w:b/>
          <w:bCs w:val="0"/>
          <w:sz w:val="20"/>
          <w:szCs w:val="20"/>
        </w:rPr>
        <w:t xml:space="preserve">and analysis. </w:t>
      </w:r>
    </w:p>
    <w:p w14:paraId="1383A0F5">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425" w:leftChars="0" w:hanging="425" w:firstLineChars="0"/>
        <w:textAlignment w:val="auto"/>
        <w:rPr>
          <w:rFonts w:hint="default" w:ascii="Arial Regular" w:hAnsi="Arial Regular" w:cs="Arial Regular"/>
          <w:b w:val="0"/>
          <w:sz w:val="20"/>
          <w:szCs w:val="20"/>
        </w:rPr>
      </w:pPr>
      <w:r>
        <w:rPr>
          <w:rFonts w:hint="default" w:ascii="Arial Regular" w:hAnsi="Arial Regular" w:cs="Arial Regular"/>
          <w:b w:val="0"/>
          <w:sz w:val="20"/>
          <w:szCs w:val="20"/>
        </w:rPr>
        <w:t xml:space="preserve">DDA library </w:t>
      </w:r>
      <w:r>
        <w:rPr>
          <w:rFonts w:hint="default" w:ascii="Arial Regular" w:hAnsi="Arial Regular" w:cs="Arial Regular"/>
          <w:b w:val="0"/>
          <w:i w:val="0"/>
          <w:sz w:val="20"/>
          <w:szCs w:val="22"/>
        </w:rPr>
        <w:t xml:space="preserve">construction </w:t>
      </w:r>
      <w:r>
        <w:rPr>
          <w:rFonts w:hint="default" w:ascii="Arial Regular" w:hAnsi="Arial Regular" w:cs="Arial Regular"/>
          <w:b w:val="0"/>
          <w:sz w:val="20"/>
          <w:szCs w:val="20"/>
        </w:rPr>
        <w:t>(reference library for DIA data analysis):</w:t>
      </w:r>
    </w:p>
    <w:p w14:paraId="27E46AC3">
      <w:pPr>
        <w:keepNext w:val="0"/>
        <w:keepLines w:val="0"/>
        <w:pageBreakBefore w:val="0"/>
        <w:widowControl w:val="0"/>
        <w:kinsoku/>
        <w:wordWrap/>
        <w:overflowPunct/>
        <w:topLinePunct w:val="0"/>
        <w:autoSpaceDE/>
        <w:autoSpaceDN/>
        <w:bidi w:val="0"/>
        <w:adjustRightInd w:val="0"/>
        <w:snapToGrid w:val="0"/>
        <w:spacing w:line="360" w:lineRule="auto"/>
        <w:ind w:firstLine="400" w:firstLineChars="200"/>
        <w:textAlignment w:val="auto"/>
        <w:rPr>
          <w:rFonts w:hint="default" w:ascii="Arial Regular" w:hAnsi="Arial Regular" w:cs="Arial Regular"/>
          <w:b w:val="0"/>
          <w:sz w:val="20"/>
          <w:szCs w:val="20"/>
        </w:rPr>
      </w:pPr>
      <w:r>
        <w:rPr>
          <w:rFonts w:hint="default" w:ascii="Arial Regular" w:hAnsi="Arial Regular" w:cs="Arial Regular"/>
          <w:b w:val="0"/>
          <w:sz w:val="20"/>
          <w:szCs w:val="20"/>
        </w:rPr>
        <w:t>Equal amounts of the digested peptide samples were mixed, vacuum-concentrated, and re-dissolved in UPLC loading buffer. High pH liquid phase separation was performed using a reverse-phase C18 column (e.g., ACQUITY UPLC BEH C18 Column) with a Thermo SCIENTIFIC Vanquish F UHPLC system. Solvent A was 2% acetonitrile (adjusted to pH 10 with ammonium hydroxide), and solvent B was 80% acetonitrile (adjusted to pH 10 with ammonium hydroxide). UV detection was set to 214 nm with a flow rate of 200 μL/min. Based on peak shape and retention time, 20 fractions were collected, vacuum-concentrated, and re-dissolved in mass spectrometry loading buffer.</w:t>
      </w:r>
    </w:p>
    <w:p w14:paraId="6021044F">
      <w:pPr>
        <w:keepNext w:val="0"/>
        <w:keepLines w:val="0"/>
        <w:pageBreakBefore w:val="0"/>
        <w:widowControl w:val="0"/>
        <w:kinsoku/>
        <w:wordWrap/>
        <w:overflowPunct/>
        <w:topLinePunct w:val="0"/>
        <w:autoSpaceDE/>
        <w:autoSpaceDN/>
        <w:bidi w:val="0"/>
        <w:adjustRightInd w:val="0"/>
        <w:snapToGrid w:val="0"/>
        <w:spacing w:line="360" w:lineRule="auto"/>
        <w:ind w:firstLine="400" w:firstLineChars="200"/>
        <w:textAlignment w:val="auto"/>
        <w:rPr>
          <w:rFonts w:hint="default" w:ascii="Arial Regular" w:hAnsi="Arial Regular" w:cs="Arial Regular"/>
          <w:b w:val="0"/>
          <w:sz w:val="20"/>
          <w:szCs w:val="20"/>
        </w:rPr>
      </w:pPr>
      <w:r>
        <w:rPr>
          <w:rFonts w:hint="default" w:ascii="Arial Regular" w:hAnsi="Arial Regular" w:cs="Arial Regular"/>
          <w:b w:val="0"/>
          <w:sz w:val="20"/>
          <w:szCs w:val="20"/>
        </w:rPr>
        <w:t>Peptide fractions were analyzed by mass spectrometry using a Q-Exactive HF-X mass spectrometer and EASY-nLC 1200 chromatography system. In DDA mode, the top 20 most abundant ions from the full MS scan were selected for fragmentation. The MS1 resolution was set to 70,000 with a scanning range of m/z 350-1300, while MS2 resolution was set to 17,500, with HCD fragmentation. Chromatographic separation time was 120 minutes.</w:t>
      </w:r>
    </w:p>
    <w:p w14:paraId="3755724F">
      <w:pPr>
        <w:keepNext w:val="0"/>
        <w:keepLines w:val="0"/>
        <w:pageBreakBefore w:val="0"/>
        <w:widowControl w:val="0"/>
        <w:kinsoku/>
        <w:wordWrap/>
        <w:overflowPunct/>
        <w:topLinePunct w:val="0"/>
        <w:autoSpaceDE/>
        <w:autoSpaceDN/>
        <w:bidi w:val="0"/>
        <w:adjustRightInd w:val="0"/>
        <w:snapToGrid w:val="0"/>
        <w:spacing w:line="360" w:lineRule="auto"/>
        <w:ind w:firstLine="400" w:firstLineChars="200"/>
        <w:textAlignment w:val="auto"/>
        <w:rPr>
          <w:rFonts w:hint="default" w:ascii="Arial Regular" w:hAnsi="Arial Regular" w:cs="Arial Regular"/>
          <w:b w:val="0"/>
          <w:sz w:val="20"/>
          <w:szCs w:val="20"/>
        </w:rPr>
      </w:pPr>
      <w:r>
        <w:rPr>
          <w:rFonts w:hint="default" w:ascii="Arial Regular" w:hAnsi="Arial Regular" w:cs="Arial Regular"/>
          <w:b w:val="0"/>
          <w:sz w:val="20"/>
          <w:szCs w:val="20"/>
        </w:rPr>
        <w:t>Raw files were submitted to the server for database search using Proteome DiscovererTM software, with a locally established species-specific database for identification.</w:t>
      </w:r>
    </w:p>
    <w:p w14:paraId="62443A20">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425" w:leftChars="0" w:hanging="425" w:firstLineChars="0"/>
        <w:textAlignment w:val="auto"/>
        <w:rPr>
          <w:rFonts w:hint="default" w:ascii="Arial Regular" w:hAnsi="Arial Regular" w:cs="Arial Regular"/>
          <w:b w:val="0"/>
          <w:sz w:val="20"/>
          <w:szCs w:val="20"/>
        </w:rPr>
      </w:pPr>
      <w:r>
        <w:rPr>
          <w:rFonts w:hint="default" w:ascii="Arial Regular" w:hAnsi="Arial Regular" w:cs="Arial Regular"/>
          <w:b w:val="0"/>
          <w:sz w:val="20"/>
          <w:szCs w:val="20"/>
        </w:rPr>
        <w:t>Sample DIA mass spectrometry detection:</w:t>
      </w:r>
    </w:p>
    <w:p w14:paraId="3307B049">
      <w:pPr>
        <w:keepNext w:val="0"/>
        <w:keepLines w:val="0"/>
        <w:pageBreakBefore w:val="0"/>
        <w:widowControl w:val="0"/>
        <w:kinsoku/>
        <w:wordWrap/>
        <w:overflowPunct/>
        <w:topLinePunct w:val="0"/>
        <w:autoSpaceDE/>
        <w:autoSpaceDN/>
        <w:bidi w:val="0"/>
        <w:adjustRightInd w:val="0"/>
        <w:snapToGrid w:val="0"/>
        <w:spacing w:line="360" w:lineRule="auto"/>
        <w:ind w:firstLine="400" w:firstLineChars="200"/>
        <w:textAlignment w:val="auto"/>
        <w:rPr>
          <w:rFonts w:hint="default" w:ascii="Arial Regular" w:hAnsi="Arial Regular" w:cs="Arial Regular"/>
          <w:b w:val="0"/>
          <w:sz w:val="20"/>
          <w:szCs w:val="20"/>
        </w:rPr>
      </w:pPr>
      <w:r>
        <w:rPr>
          <w:rFonts w:hint="default" w:ascii="Arial Regular" w:hAnsi="Arial Regular" w:cs="Arial Regular"/>
          <w:b w:val="0"/>
          <w:sz w:val="20"/>
          <w:szCs w:val="20"/>
        </w:rPr>
        <w:t>Equal amounts of peptides were re-dissolved in mass spectrometry loading buffer, and 10× iRT peptides were added and mixed before performing DIA analysis. Data acquisition was conducted using the same software and gradient conditions as the DDA method. In DIA mode, the MS1 resolution was 70,000 with a scanning range of m/z 350-1300, and MS2 resolution was 17,500. The HCD fragmentation method was used.</w:t>
      </w:r>
    </w:p>
    <w:p w14:paraId="3F9A92A2">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425" w:leftChars="0" w:hanging="425" w:firstLineChars="0"/>
        <w:textAlignment w:val="auto"/>
        <w:rPr>
          <w:rFonts w:hint="default" w:ascii="Arial Regular" w:hAnsi="Arial Regular" w:cs="Arial Regular"/>
          <w:b w:val="0"/>
          <w:sz w:val="20"/>
          <w:szCs w:val="20"/>
        </w:rPr>
      </w:pPr>
      <w:r>
        <w:rPr>
          <w:rFonts w:hint="default" w:ascii="Arial Regular" w:hAnsi="Arial Regular" w:cs="Arial Regular"/>
          <w:b w:val="0"/>
          <w:sz w:val="20"/>
          <w:szCs w:val="20"/>
        </w:rPr>
        <w:t>DIA data analysis:</w:t>
      </w:r>
    </w:p>
    <w:p w14:paraId="79473AE1">
      <w:pPr>
        <w:keepNext w:val="0"/>
        <w:keepLines w:val="0"/>
        <w:pageBreakBefore w:val="0"/>
        <w:widowControl w:val="0"/>
        <w:kinsoku/>
        <w:wordWrap/>
        <w:overflowPunct/>
        <w:topLinePunct w:val="0"/>
        <w:autoSpaceDE/>
        <w:autoSpaceDN/>
        <w:bidi w:val="0"/>
        <w:adjustRightInd w:val="0"/>
        <w:snapToGrid w:val="0"/>
        <w:spacing w:line="360" w:lineRule="auto"/>
        <w:ind w:firstLine="400" w:firstLineChars="200"/>
        <w:textAlignment w:val="auto"/>
        <w:rPr>
          <w:rFonts w:hint="default" w:ascii="Arial Regular" w:hAnsi="Arial Regular" w:cs="Arial Regular"/>
          <w:b w:val="0"/>
          <w:sz w:val="20"/>
          <w:szCs w:val="20"/>
        </w:rPr>
      </w:pPr>
      <w:r>
        <w:rPr>
          <w:rFonts w:hint="default" w:ascii="Arial Regular" w:hAnsi="Arial Regular" w:cs="Arial Regular"/>
          <w:b w:val="0"/>
          <w:sz w:val="20"/>
          <w:szCs w:val="20"/>
        </w:rPr>
        <w:t>The spectral library generated from the DDA-based search was used for database search in Spectronaut software. Spectronaut software extracted peaks from the DIA raw data based on the ion pairs from the spectral library, using default settings and iRT calibration. Up to 6 specific peptides were selected per protein, with a maximum of 6 fragment ions per peptide, and quantitative analysis was performed by summing their areas. A list of proteins with both qualitative and quantitative data was generated.</w:t>
      </w:r>
    </w:p>
    <w:p w14:paraId="2F68F1AF">
      <w:pPr>
        <w:keepNext w:val="0"/>
        <w:keepLines w:val="0"/>
        <w:pageBreakBefore w:val="0"/>
        <w:widowControl w:val="0"/>
        <w:kinsoku/>
        <w:wordWrap/>
        <w:overflowPunct/>
        <w:topLinePunct w:val="0"/>
        <w:autoSpaceDE/>
        <w:autoSpaceDN/>
        <w:bidi w:val="0"/>
        <w:adjustRightInd w:val="0"/>
        <w:snapToGrid w:val="0"/>
        <w:spacing w:line="360" w:lineRule="auto"/>
        <w:ind w:firstLine="400" w:firstLineChars="200"/>
        <w:textAlignment w:val="auto"/>
        <w:rPr>
          <w:rFonts w:hint="default" w:ascii="Arial Regular" w:hAnsi="Arial Regular" w:cs="Arial Regular"/>
          <w:b/>
          <w:sz w:val="20"/>
          <w:szCs w:val="20"/>
        </w:rPr>
      </w:pPr>
      <w:r>
        <w:rPr>
          <w:rFonts w:hint="default" w:ascii="Arial Regular" w:hAnsi="Arial Regular" w:cs="Arial Regular"/>
          <w:b/>
          <w:bCs/>
          <w:sz w:val="20"/>
          <w:szCs w:val="20"/>
        </w:rPr>
        <w:t>Bioinformatics analysis.</w:t>
      </w:r>
      <w:r>
        <w:rPr>
          <w:rFonts w:hint="default" w:ascii="Arial Regular" w:hAnsi="Arial Regular" w:cs="Arial Regular"/>
          <w:b w:val="0"/>
          <w:sz w:val="20"/>
          <w:szCs w:val="20"/>
        </w:rPr>
        <w:t xml:space="preserve"> Gene Ontology (GO) and Kyoto Encyclopedia of Genes and Genomes (KEGG) pathway analyses were performed on the differentially expressed proteins to gain insights into their functional annotations and associated metabolic pathways.</w:t>
      </w:r>
      <w:r>
        <w:rPr>
          <w:rFonts w:hint="default" w:ascii="Arial Regular" w:hAnsi="Arial Regular" w:cs="Arial Regular"/>
          <w:b w:val="0"/>
          <w:sz w:val="20"/>
          <w:szCs w:val="20"/>
        </w:rPr>
        <w:br w:type="page"/>
      </w:r>
    </w:p>
    <w:p w14:paraId="1A7C56EF">
      <w:pPr>
        <w:pStyle w:val="3"/>
        <w:keepNext/>
        <w:keepLines/>
        <w:pageBreakBefore w:val="0"/>
        <w:widowControl w:val="0"/>
        <w:kinsoku/>
        <w:wordWrap/>
        <w:overflowPunct/>
        <w:topLinePunct w:val="0"/>
        <w:autoSpaceDE/>
        <w:autoSpaceDN/>
        <w:bidi w:val="0"/>
        <w:adjustRightInd/>
        <w:snapToGrid/>
        <w:spacing w:before="0" w:beforeLines="0" w:after="157" w:afterLines="50" w:line="240" w:lineRule="auto"/>
        <w:textAlignment w:val="auto"/>
        <w:rPr>
          <w:rFonts w:hint="default" w:ascii="Arial Regular" w:hAnsi="Arial Regular" w:cs="Arial Regular"/>
          <w:b/>
          <w:sz w:val="20"/>
          <w:szCs w:val="20"/>
        </w:rPr>
      </w:pPr>
      <w:r>
        <w:rPr>
          <w:rFonts w:hint="default" w:ascii="Arial Regular" w:hAnsi="Arial Regular" w:cs="Arial Regular"/>
          <w:b/>
          <w:sz w:val="20"/>
          <w:szCs w:val="20"/>
        </w:rPr>
        <w:t>Supplementary Text 7. 2D-COS analysis.</w:t>
      </w:r>
    </w:p>
    <w:p w14:paraId="4F6DE039">
      <w:pPr>
        <w:keepNext w:val="0"/>
        <w:keepLines w:val="0"/>
        <w:pageBreakBefore w:val="0"/>
        <w:widowControl w:val="0"/>
        <w:kinsoku/>
        <w:wordWrap/>
        <w:overflowPunct/>
        <w:topLinePunct w:val="0"/>
        <w:autoSpaceDE/>
        <w:autoSpaceDN/>
        <w:bidi w:val="0"/>
        <w:adjustRightInd w:val="0"/>
        <w:snapToGrid w:val="0"/>
        <w:spacing w:line="360" w:lineRule="auto"/>
        <w:ind w:firstLine="400" w:firstLineChars="200"/>
        <w:textAlignment w:val="auto"/>
        <w:rPr>
          <w:rFonts w:hint="default" w:ascii="Arial Regular" w:hAnsi="Arial Regular" w:cs="Arial Regular"/>
          <w:sz w:val="20"/>
          <w:szCs w:val="20"/>
        </w:rPr>
      </w:pPr>
      <w:r>
        <w:rPr>
          <w:rFonts w:hint="default" w:ascii="Arial Regular" w:hAnsi="Arial Regular" w:cs="Arial Regular"/>
          <w:sz w:val="20"/>
          <w:szCs w:val="20"/>
        </w:rPr>
        <w:t xml:space="preserve">Metal ions at </w:t>
      </w:r>
      <w:r>
        <w:rPr>
          <w:rFonts w:hint="default" w:ascii="Arial Regular" w:hAnsi="Arial Regular" w:cs="Arial Regular"/>
          <w:b w:val="0"/>
          <w:sz w:val="20"/>
          <w:szCs w:val="20"/>
        </w:rPr>
        <w:t xml:space="preserve">concentrations </w:t>
      </w:r>
      <w:r>
        <w:rPr>
          <w:rFonts w:hint="default" w:ascii="Arial Regular" w:hAnsi="Arial Regular" w:cs="Arial Regular"/>
          <w:sz w:val="20"/>
          <w:szCs w:val="20"/>
        </w:rPr>
        <w:t>of 5, 10, 20, 40, 60, 80, and 100 μM were added to the fungal spore suspension and allowed to complex under constant agitation in a thermostatic shaker until saturation was achieved. Unbound metal ions were then removed, and the spore samples were thoroughly dried using a vacuum freeze dryer. The dried samples were prepared into solid pellets using the potassium bromide (KBr) pressing method for Fourier transform infrared (FTIR) spectroscopy analysis. The spectral range was set from 4000 to 400 cm⁻</w:t>
      </w:r>
      <w:r>
        <w:rPr>
          <w:rFonts w:hint="default" w:ascii="Arial Regular" w:hAnsi="Arial Regular" w:cs="Arial Regular"/>
          <w:sz w:val="20"/>
          <w:szCs w:val="20"/>
          <w:vertAlign w:val="superscript"/>
        </w:rPr>
        <w:t>1</w:t>
      </w:r>
      <w:r>
        <w:rPr>
          <w:rFonts w:hint="default" w:ascii="Arial Regular" w:hAnsi="Arial Regular" w:cs="Arial Regular"/>
          <w:sz w:val="20"/>
          <w:szCs w:val="20"/>
        </w:rPr>
        <w:t xml:space="preserve"> with a </w:t>
      </w:r>
      <w:r>
        <w:rPr>
          <w:rFonts w:hint="default" w:ascii="Arial Regular" w:hAnsi="Arial Regular" w:cs="Arial Regular"/>
          <w:b w:val="0"/>
          <w:sz w:val="20"/>
          <w:szCs w:val="20"/>
        </w:rPr>
        <w:t xml:space="preserve">resolution </w:t>
      </w:r>
      <w:r>
        <w:rPr>
          <w:rFonts w:hint="default" w:ascii="Arial Regular" w:hAnsi="Arial Regular" w:cs="Arial Regular"/>
          <w:sz w:val="20"/>
          <w:szCs w:val="20"/>
        </w:rPr>
        <w:t>of 4 cm⁻</w:t>
      </w:r>
      <w:r>
        <w:rPr>
          <w:rFonts w:hint="default" w:ascii="Arial Regular" w:hAnsi="Arial Regular" w:cs="Arial Regular"/>
          <w:sz w:val="20"/>
          <w:szCs w:val="20"/>
          <w:vertAlign w:val="superscript"/>
        </w:rPr>
        <w:t>1</w:t>
      </w:r>
      <w:r>
        <w:rPr>
          <w:rFonts w:hint="default" w:ascii="Arial Regular" w:hAnsi="Arial Regular" w:cs="Arial Regular"/>
          <w:sz w:val="20"/>
          <w:szCs w:val="20"/>
        </w:rPr>
        <w:t xml:space="preserve">, and each spectrum was obtained by averaging at least 32 scans. The obtained FTIR data were subjected to baseline correction, smoothing, and </w:t>
      </w:r>
      <w:r>
        <w:rPr>
          <w:rFonts w:hint="default" w:ascii="Arial Regular" w:hAnsi="Arial Regular" w:cs="Arial Regular"/>
          <w:b w:val="0"/>
          <w:sz w:val="20"/>
          <w:szCs w:val="20"/>
        </w:rPr>
        <w:t xml:space="preserve">normalization </w:t>
      </w:r>
      <w:r>
        <w:rPr>
          <w:rFonts w:hint="default" w:ascii="Arial Regular" w:hAnsi="Arial Regular" w:cs="Arial Regular"/>
          <w:sz w:val="20"/>
          <w:szCs w:val="20"/>
        </w:rPr>
        <w:t>prior to further analysis. Two-dimensional correlation spectroscopy (2D-COS) was then employed to investigate the variations in functional groups under external perturbation conditions.</w:t>
      </w:r>
    </w:p>
    <w:p w14:paraId="1D357940">
      <w:pPr>
        <w:keepNext w:val="0"/>
        <w:keepLines w:val="0"/>
        <w:pageBreakBefore w:val="0"/>
        <w:widowControl w:val="0"/>
        <w:kinsoku/>
        <w:wordWrap/>
        <w:overflowPunct/>
        <w:topLinePunct w:val="0"/>
        <w:autoSpaceDE/>
        <w:autoSpaceDN/>
        <w:bidi w:val="0"/>
        <w:adjustRightInd w:val="0"/>
        <w:snapToGrid w:val="0"/>
        <w:spacing w:line="360" w:lineRule="auto"/>
        <w:ind w:firstLine="400" w:firstLineChars="200"/>
        <w:textAlignment w:val="auto"/>
        <w:rPr>
          <w:rFonts w:hint="default" w:ascii="Arial Regular" w:hAnsi="Arial Regular" w:cs="Arial Regular"/>
          <w:sz w:val="20"/>
          <w:szCs w:val="20"/>
        </w:rPr>
      </w:pPr>
      <w:r>
        <w:rPr>
          <w:rFonts w:hint="default" w:ascii="Arial Regular" w:hAnsi="Arial Regular" w:cs="Arial Regular"/>
          <w:sz w:val="20"/>
          <w:szCs w:val="20"/>
        </w:rPr>
        <w:t xml:space="preserve">A dynamic </w:t>
      </w:r>
      <w:r>
        <w:rPr>
          <w:rFonts w:hint="default" w:ascii="Arial Regular" w:hAnsi="Arial Regular" w:cs="Arial Regular"/>
          <w:b w:val="0"/>
          <w:sz w:val="20"/>
          <w:szCs w:val="20"/>
        </w:rPr>
        <w:t xml:space="preserve">spectral </w:t>
      </w:r>
      <w:r>
        <w:rPr>
          <w:rFonts w:hint="default" w:ascii="Arial Regular" w:hAnsi="Arial Regular" w:cs="Arial Regular"/>
          <w:sz w:val="20"/>
          <w:szCs w:val="20"/>
        </w:rPr>
        <w:t xml:space="preserve">matrix, </w:t>
      </w:r>
      <m:oMath>
        <m:r>
          <m:rPr>
            <m:nor/>
          </m:rPr>
          <w:rPr>
            <w:rFonts w:hint="default" w:ascii="DejaVu Math TeX Gyre" w:hAnsi="DejaVu Math TeX Gyre" w:cs="Arial Regular"/>
            <w:i/>
            <w:sz w:val="20"/>
            <w:szCs w:val="20"/>
          </w:rPr>
          <m:t>X</m:t>
        </m:r>
        <m:r>
          <m:rPr>
            <m:nor/>
            <m:sty m:val="p"/>
          </m:rPr>
          <w:rPr>
            <w:rFonts w:hint="default" w:ascii="DejaVu Math TeX Gyre" w:hAnsi="DejaVu Math TeX Gyre" w:cs="Arial Regular"/>
            <w:b w:val="0"/>
            <w:i w:val="0"/>
            <w:sz w:val="20"/>
            <w:szCs w:val="20"/>
          </w:rPr>
          <m:t>(</m:t>
        </m:r>
        <m:r>
          <m:rPr>
            <m:nor/>
          </m:rPr>
          <w:rPr>
            <w:rFonts w:hint="default" w:ascii="DejaVu Math TeX Gyre" w:hAnsi="DejaVu Math TeX Gyre" w:cs="Arial Regular"/>
            <w:i/>
            <w:sz w:val="20"/>
            <w:szCs w:val="20"/>
          </w:rPr>
          <m:t>v</m:t>
        </m:r>
        <m:r>
          <m:rPr>
            <m:nor/>
            <m:sty m:val="p"/>
          </m:rPr>
          <w:rPr>
            <w:rFonts w:hint="default" w:ascii="DejaVu Math TeX Gyre" w:hAnsi="DejaVu Math TeX Gyre" w:cs="Arial Regular"/>
            <w:b w:val="0"/>
            <w:i w:val="0"/>
            <w:sz w:val="20"/>
            <w:szCs w:val="20"/>
          </w:rPr>
          <m:t>,</m:t>
        </m:r>
        <m:sSub>
          <m:sSubPr>
            <m:ctrlPr>
              <w:rPr>
                <w:rFonts w:hint="default" w:ascii="DejaVu Math TeX Gyre" w:hAnsi="DejaVu Math TeX Gyre" w:cs="Arial Regular"/>
                <w:sz w:val="20"/>
                <w:szCs w:val="20"/>
              </w:rPr>
            </m:ctrlPr>
          </m:sSubPr>
          <m:e>
            <m:r>
              <m:rPr>
                <m:nor/>
                <m:sty m:val="p"/>
              </m:rPr>
              <w:rPr>
                <w:rFonts w:hint="default" w:ascii="DejaVu Math TeX Gyre" w:hAnsi="DejaVu Math TeX Gyre" w:cs="Arial Regular"/>
                <w:b w:val="0"/>
                <w:i w:val="0"/>
                <w:sz w:val="20"/>
                <w:szCs w:val="20"/>
              </w:rPr>
              <m:t>t</m:t>
            </m:r>
            <m:ctrlPr>
              <w:rPr>
                <w:rFonts w:hint="default" w:ascii="DejaVu Math TeX Gyre" w:hAnsi="DejaVu Math TeX Gyre" w:cs="Arial Regular"/>
                <w:sz w:val="20"/>
                <w:szCs w:val="20"/>
              </w:rPr>
            </m:ctrlPr>
          </m:e>
          <m:sub>
            <m:r>
              <m:rPr>
                <m:nor/>
                <m:sty m:val="p"/>
              </m:rPr>
              <w:rPr>
                <w:rFonts w:hint="default" w:ascii="DejaVu Math TeX Gyre" w:hAnsi="DejaVu Math TeX Gyre" w:cs="Arial Regular"/>
                <w:b w:val="0"/>
                <w:i w:val="0"/>
                <w:sz w:val="20"/>
                <w:szCs w:val="20"/>
              </w:rPr>
              <m:t>j</m:t>
            </m:r>
            <m:ctrlPr>
              <w:rPr>
                <w:rFonts w:hint="default" w:ascii="DejaVu Math TeX Gyre" w:hAnsi="DejaVu Math TeX Gyre" w:cs="Arial Regular"/>
                <w:sz w:val="20"/>
                <w:szCs w:val="20"/>
              </w:rPr>
            </m:ctrlPr>
          </m:sub>
        </m:sSub>
        <m:r>
          <m:rPr>
            <m:nor/>
            <m:sty m:val="p"/>
          </m:rPr>
          <w:rPr>
            <w:rFonts w:hint="default" w:ascii="DejaVu Math TeX Gyre" w:hAnsi="DejaVu Math TeX Gyre" w:cs="Arial Regular"/>
            <w:b w:val="0"/>
            <w:i w:val="0"/>
            <w:sz w:val="20"/>
            <w:szCs w:val="20"/>
          </w:rPr>
          <m:t>)</m:t>
        </m:r>
      </m:oMath>
      <w:r>
        <w:rPr>
          <w:rFonts w:hint="default" w:ascii="Arial Regular" w:hAnsi="Arial Regular" w:cs="Arial Regular"/>
          <w:sz w:val="20"/>
          <w:szCs w:val="20"/>
        </w:rPr>
        <w:t xml:space="preserve">, was constructed by arranging a series of spectra measured under varying perturbations, where </w:t>
      </w:r>
      <w:r>
        <w:rPr>
          <w:rFonts w:hint="default" w:ascii="Arial Regular" w:hAnsi="Arial Regular" w:cs="Arial Regular"/>
          <w:i/>
          <w:iCs/>
          <w:sz w:val="20"/>
          <w:szCs w:val="20"/>
        </w:rPr>
        <w:t>v</w:t>
      </w:r>
      <w:r>
        <w:rPr>
          <w:rFonts w:hint="default" w:ascii="Arial Regular" w:hAnsi="Arial Regular" w:cs="Arial Regular"/>
          <w:sz w:val="20"/>
          <w:szCs w:val="20"/>
        </w:rPr>
        <w:t xml:space="preserve"> represents the wavenumber and </w:t>
      </w:r>
      <w:r>
        <w:rPr>
          <w:rFonts w:hint="default" w:ascii="Arial Regular" w:hAnsi="Arial Regular" w:cs="Arial Regular"/>
          <w:i/>
          <w:iCs/>
          <w:sz w:val="20"/>
          <w:szCs w:val="20"/>
        </w:rPr>
        <w:t>t</w:t>
      </w:r>
      <w:r>
        <w:rPr>
          <w:rFonts w:hint="default" w:ascii="Arial Regular" w:hAnsi="Arial Regular" w:cs="Arial Regular"/>
          <w:sz w:val="20"/>
          <w:szCs w:val="20"/>
        </w:rPr>
        <w:t xml:space="preserve"> denotes the external perturbation condition (e.g., metal ion concentration). The mean spectrum,</w:t>
      </w:r>
      <m:oMath>
        <m:r>
          <m:rPr>
            <m:nor/>
            <m:sty m:val="p"/>
          </m:rPr>
          <w:rPr>
            <w:rFonts w:hint="default" w:ascii="DejaVu Math TeX Gyre" w:hAnsi="DejaVu Math TeX Gyre" w:cs="Arial Regular"/>
            <w:b w:val="0"/>
            <w:i w:val="0"/>
            <w:sz w:val="20"/>
            <w:szCs w:val="20"/>
          </w:rPr>
          <m:t xml:space="preserve"> </m:t>
        </m:r>
        <m:acc>
          <m:accPr>
            <m:chr m:val="̅"/>
            <m:ctrlPr>
              <w:rPr>
                <w:rFonts w:hint="default" w:ascii="DejaVu Math TeX Gyre" w:hAnsi="DejaVu Math TeX Gyre" w:cs="Arial Regular"/>
                <w:i/>
                <w:sz w:val="20"/>
                <w:szCs w:val="20"/>
              </w:rPr>
            </m:ctrlPr>
          </m:accPr>
          <m:e>
            <m:r>
              <m:rPr>
                <m:nor/>
              </m:rPr>
              <w:rPr>
                <w:rFonts w:hint="default" w:ascii="DejaVu Math TeX Gyre" w:hAnsi="DejaVu Math TeX Gyre" w:cs="Arial Regular"/>
                <w:i/>
                <w:sz w:val="20"/>
                <w:szCs w:val="20"/>
              </w:rPr>
              <m:t>X</m:t>
            </m:r>
            <m:ctrlPr>
              <w:rPr>
                <w:rFonts w:hint="default" w:ascii="DejaVu Math TeX Gyre" w:hAnsi="DejaVu Math TeX Gyre" w:cs="Arial Regular"/>
                <w:i/>
                <w:sz w:val="20"/>
                <w:szCs w:val="20"/>
              </w:rPr>
            </m:ctrlPr>
          </m:e>
        </m:acc>
        <m:r>
          <m:rPr>
            <m:nor/>
            <m:sty m:val="p"/>
          </m:rPr>
          <w:rPr>
            <w:rFonts w:hint="default" w:ascii="DejaVu Math TeX Gyre" w:hAnsi="DejaVu Math TeX Gyre" w:cs="Arial Regular"/>
            <w:b w:val="0"/>
            <w:i w:val="0"/>
            <w:sz w:val="20"/>
            <w:szCs w:val="20"/>
          </w:rPr>
          <m:t>(</m:t>
        </m:r>
        <m:r>
          <m:rPr>
            <m:nor/>
          </m:rPr>
          <w:rPr>
            <w:rFonts w:hint="default" w:ascii="DejaVu Math TeX Gyre" w:hAnsi="DejaVu Math TeX Gyre" w:cs="Arial Regular"/>
            <w:i/>
            <w:sz w:val="20"/>
            <w:szCs w:val="20"/>
          </w:rPr>
          <m:t>v</m:t>
        </m:r>
        <m:r>
          <m:rPr>
            <m:nor/>
            <m:sty m:val="p"/>
          </m:rPr>
          <w:rPr>
            <w:rFonts w:hint="default" w:ascii="DejaVu Math TeX Gyre" w:hAnsi="DejaVu Math TeX Gyre" w:cs="Arial Regular"/>
            <w:b w:val="0"/>
            <w:i w:val="0"/>
            <w:sz w:val="20"/>
            <w:szCs w:val="20"/>
          </w:rPr>
          <m:t>)</m:t>
        </m:r>
      </m:oMath>
      <w:r>
        <w:rPr>
          <w:rFonts w:hint="default" w:ascii="Arial Regular" w:hAnsi="Arial Regular" w:cs="Arial Regular"/>
          <w:sz w:val="20"/>
          <w:szCs w:val="20"/>
        </w:rPr>
        <w:t xml:space="preserve">, was calculated across all conditions. The differential spectra, </w:t>
      </w:r>
      <m:oMath>
        <m:r>
          <m:rPr>
            <m:nor/>
            <m:sty m:val="p"/>
          </m:rPr>
          <w:rPr>
            <w:rFonts w:hint="default" w:ascii="DejaVu Math TeX Gyre" w:hAnsi="DejaVu Math TeX Gyre" w:cs="Arial Regular"/>
            <w:b w:val="0"/>
            <w:i w:val="0"/>
            <w:sz w:val="20"/>
            <w:szCs w:val="20"/>
          </w:rPr>
          <m:t>ΔX(</m:t>
        </m:r>
        <m:r>
          <m:rPr>
            <m:nor/>
          </m:rPr>
          <w:rPr>
            <w:rFonts w:hint="default" w:ascii="DejaVu Math TeX Gyre" w:hAnsi="DejaVu Math TeX Gyre" w:cs="Arial Regular"/>
            <w:i/>
            <w:sz w:val="20"/>
            <w:szCs w:val="20"/>
          </w:rPr>
          <m:t>v</m:t>
        </m:r>
        <m:r>
          <m:rPr>
            <m:nor/>
            <m:sty m:val="p"/>
          </m:rPr>
          <w:rPr>
            <w:rFonts w:hint="default" w:ascii="DejaVu Math TeX Gyre" w:hAnsi="DejaVu Math TeX Gyre" w:cs="Arial Regular"/>
            <w:b w:val="0"/>
            <w:i w:val="0"/>
            <w:sz w:val="20"/>
            <w:szCs w:val="20"/>
          </w:rPr>
          <m:t>,</m:t>
        </m:r>
        <m:sSub>
          <m:sSubPr>
            <m:ctrlPr>
              <w:rPr>
                <w:rFonts w:hint="default" w:ascii="DejaVu Math TeX Gyre" w:hAnsi="DejaVu Math TeX Gyre" w:cs="Arial Regular"/>
                <w:sz w:val="20"/>
                <w:szCs w:val="20"/>
              </w:rPr>
            </m:ctrlPr>
          </m:sSubPr>
          <m:e>
            <m:r>
              <m:rPr>
                <m:nor/>
                <m:sty m:val="p"/>
              </m:rPr>
              <w:rPr>
                <w:rFonts w:hint="default" w:ascii="DejaVu Math TeX Gyre" w:hAnsi="DejaVu Math TeX Gyre" w:cs="Arial Regular"/>
                <w:b w:val="0"/>
                <w:i w:val="0"/>
                <w:sz w:val="20"/>
                <w:szCs w:val="20"/>
              </w:rPr>
              <m:t>t</m:t>
            </m:r>
            <m:ctrlPr>
              <w:rPr>
                <w:rFonts w:hint="default" w:ascii="DejaVu Math TeX Gyre" w:hAnsi="DejaVu Math TeX Gyre" w:cs="Arial Regular"/>
                <w:sz w:val="20"/>
                <w:szCs w:val="20"/>
              </w:rPr>
            </m:ctrlPr>
          </m:e>
          <m:sub>
            <m:r>
              <m:rPr>
                <m:nor/>
                <m:sty m:val="p"/>
              </m:rPr>
              <w:rPr>
                <w:rFonts w:hint="default" w:ascii="DejaVu Math TeX Gyre" w:hAnsi="DejaVu Math TeX Gyre" w:cs="Arial Regular"/>
                <w:b w:val="0"/>
                <w:i w:val="0"/>
                <w:sz w:val="20"/>
                <w:szCs w:val="20"/>
              </w:rPr>
              <m:t>j</m:t>
            </m:r>
            <m:ctrlPr>
              <w:rPr>
                <w:rFonts w:hint="default" w:ascii="DejaVu Math TeX Gyre" w:hAnsi="DejaVu Math TeX Gyre" w:cs="Arial Regular"/>
                <w:sz w:val="20"/>
                <w:szCs w:val="20"/>
              </w:rPr>
            </m:ctrlPr>
          </m:sub>
        </m:sSub>
        <m:r>
          <m:rPr>
            <m:nor/>
            <m:sty m:val="p"/>
          </m:rPr>
          <w:rPr>
            <w:rFonts w:hint="default" w:ascii="DejaVu Math TeX Gyre" w:hAnsi="DejaVu Math TeX Gyre" w:cs="Arial Regular"/>
            <w:b w:val="0"/>
            <w:i w:val="0"/>
            <w:sz w:val="20"/>
            <w:szCs w:val="20"/>
          </w:rPr>
          <m:t>)</m:t>
        </m:r>
      </m:oMath>
      <w:r>
        <w:rPr>
          <w:rFonts w:hint="default" w:ascii="Arial Regular" w:hAnsi="Arial Regular" w:cs="Arial Regular"/>
          <w:sz w:val="20"/>
          <w:szCs w:val="20"/>
        </w:rPr>
        <w:t>, were obtained by subtracting the mean spectrum from each individual spectrum:</w:t>
      </w:r>
    </w:p>
    <w:p w14:paraId="3B8E9518">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default" w:ascii="Arial Regular" w:hAnsi="Arial Regular" w:cs="Arial Regular"/>
          <w:sz w:val="20"/>
          <w:szCs w:val="20"/>
        </w:rPr>
      </w:pPr>
      <m:oMathPara>
        <m:oMath>
          <m:r>
            <m:rPr>
              <m:nor/>
              <m:sty m:val="p"/>
            </m:rPr>
            <w:rPr>
              <w:rFonts w:hint="default" w:ascii="DejaVu Math TeX Gyre" w:hAnsi="DejaVu Math TeX Gyre" w:cs="Arial Regular"/>
              <w:b w:val="0"/>
              <w:i w:val="0"/>
              <w:sz w:val="20"/>
              <w:szCs w:val="20"/>
            </w:rPr>
            <m:t>ΔX(</m:t>
          </m:r>
          <m:r>
            <m:rPr>
              <m:nor/>
            </m:rPr>
            <w:rPr>
              <w:rFonts w:hint="default" w:ascii="DejaVu Math TeX Gyre" w:hAnsi="DejaVu Math TeX Gyre" w:cs="Arial Regular"/>
              <w:i/>
              <w:sz w:val="20"/>
              <w:szCs w:val="20"/>
            </w:rPr>
            <m:t>v</m:t>
          </m:r>
          <m:r>
            <m:rPr>
              <m:nor/>
              <m:sty m:val="p"/>
            </m:rPr>
            <w:rPr>
              <w:rFonts w:hint="default" w:ascii="DejaVu Math TeX Gyre" w:hAnsi="DejaVu Math TeX Gyre" w:cs="Arial Regular"/>
              <w:b w:val="0"/>
              <w:i w:val="0"/>
              <w:sz w:val="20"/>
              <w:szCs w:val="20"/>
            </w:rPr>
            <m:t>,</m:t>
          </m:r>
          <m:sSub>
            <m:sSubPr>
              <m:ctrlPr>
                <w:rPr>
                  <w:rFonts w:hint="default" w:ascii="DejaVu Math TeX Gyre" w:hAnsi="DejaVu Math TeX Gyre" w:cs="Arial Regular"/>
                  <w:sz w:val="20"/>
                  <w:szCs w:val="20"/>
                </w:rPr>
              </m:ctrlPr>
            </m:sSubPr>
            <m:e>
              <m:r>
                <m:rPr>
                  <m:nor/>
                  <m:sty m:val="p"/>
                </m:rPr>
                <w:rPr>
                  <w:rFonts w:hint="default" w:ascii="DejaVu Math TeX Gyre" w:hAnsi="DejaVu Math TeX Gyre" w:cs="Arial Regular"/>
                  <w:b w:val="0"/>
                  <w:i w:val="0"/>
                  <w:sz w:val="20"/>
                  <w:szCs w:val="20"/>
                </w:rPr>
                <m:t>t</m:t>
              </m:r>
              <m:ctrlPr>
                <w:rPr>
                  <w:rFonts w:hint="default" w:ascii="DejaVu Math TeX Gyre" w:hAnsi="DejaVu Math TeX Gyre" w:cs="Arial Regular"/>
                  <w:sz w:val="20"/>
                  <w:szCs w:val="20"/>
                </w:rPr>
              </m:ctrlPr>
            </m:e>
            <m:sub>
              <m:r>
                <m:rPr>
                  <m:nor/>
                  <m:sty m:val="p"/>
                </m:rPr>
                <w:rPr>
                  <w:rFonts w:hint="default" w:ascii="DejaVu Math TeX Gyre" w:hAnsi="DejaVu Math TeX Gyre" w:cs="Arial Regular"/>
                  <w:b w:val="0"/>
                  <w:i w:val="0"/>
                  <w:sz w:val="20"/>
                  <w:szCs w:val="20"/>
                </w:rPr>
                <m:t>j</m:t>
              </m:r>
              <m:ctrlPr>
                <w:rPr>
                  <w:rFonts w:hint="default" w:ascii="DejaVu Math TeX Gyre" w:hAnsi="DejaVu Math TeX Gyre" w:cs="Arial Regular"/>
                  <w:sz w:val="20"/>
                  <w:szCs w:val="20"/>
                </w:rPr>
              </m:ctrlPr>
            </m:sub>
          </m:sSub>
          <m:r>
            <m:rPr>
              <m:nor/>
              <m:sty m:val="p"/>
            </m:rPr>
            <w:rPr>
              <w:rFonts w:hint="default" w:ascii="DejaVu Math TeX Gyre" w:hAnsi="DejaVu Math TeX Gyre" w:cs="Arial Regular"/>
              <w:b w:val="0"/>
              <w:i w:val="0"/>
              <w:sz w:val="20"/>
              <w:szCs w:val="20"/>
            </w:rPr>
            <m:t>)=</m:t>
          </m:r>
          <m:d>
            <m:dPr>
              <m:begChr m:val="{"/>
              <m:endChr m:val=""/>
              <m:ctrlPr>
                <w:rPr>
                  <w:rFonts w:hint="default" w:ascii="DejaVu Math TeX Gyre" w:hAnsi="DejaVu Math TeX Gyre" w:cs="Arial Regular"/>
                  <w:sz w:val="20"/>
                  <w:szCs w:val="20"/>
                </w:rPr>
              </m:ctrlPr>
            </m:dPr>
            <m:e>
              <m:eqArr>
                <m:eqArrPr>
                  <m:ctrlPr>
                    <w:rPr>
                      <w:rFonts w:hint="default" w:ascii="DejaVu Math TeX Gyre" w:hAnsi="DejaVu Math TeX Gyre" w:cs="Arial Regular"/>
                      <w:sz w:val="20"/>
                      <w:szCs w:val="20"/>
                    </w:rPr>
                  </m:ctrlPr>
                </m:eqArrPr>
                <m:e>
                  <m:r>
                    <m:rPr>
                      <m:nor/>
                    </m:rPr>
                    <w:rPr>
                      <w:rFonts w:hint="default" w:ascii="DejaVu Math TeX Gyre" w:hAnsi="DejaVu Math TeX Gyre" w:cs="Arial Regular"/>
                      <w:i/>
                      <w:sz w:val="20"/>
                      <w:szCs w:val="20"/>
                    </w:rPr>
                    <m:t>X</m:t>
                  </m:r>
                  <m:r>
                    <m:rPr>
                      <m:nor/>
                      <m:sty m:val="p"/>
                    </m:rPr>
                    <w:rPr>
                      <w:rFonts w:hint="default" w:ascii="DejaVu Math TeX Gyre" w:hAnsi="DejaVu Math TeX Gyre" w:cs="Arial Regular"/>
                      <w:b w:val="0"/>
                      <w:i w:val="0"/>
                      <w:sz w:val="20"/>
                      <w:szCs w:val="20"/>
                    </w:rPr>
                    <m:t>(</m:t>
                  </m:r>
                  <m:r>
                    <m:rPr>
                      <m:nor/>
                    </m:rPr>
                    <w:rPr>
                      <w:rFonts w:hint="default" w:ascii="DejaVu Math TeX Gyre" w:hAnsi="DejaVu Math TeX Gyre" w:cs="Arial Regular"/>
                      <w:i/>
                      <w:sz w:val="20"/>
                      <w:szCs w:val="20"/>
                    </w:rPr>
                    <m:t>v</m:t>
                  </m:r>
                  <m:r>
                    <m:rPr>
                      <m:nor/>
                      <m:sty m:val="p"/>
                    </m:rPr>
                    <w:rPr>
                      <w:rFonts w:hint="default" w:ascii="DejaVu Math TeX Gyre" w:hAnsi="DejaVu Math TeX Gyre" w:cs="Arial Regular"/>
                      <w:b w:val="0"/>
                      <w:i w:val="0"/>
                      <w:sz w:val="20"/>
                      <w:szCs w:val="20"/>
                    </w:rPr>
                    <m:t>,</m:t>
                  </m:r>
                  <m:sSub>
                    <m:sSubPr>
                      <m:ctrlPr>
                        <w:rPr>
                          <w:rFonts w:hint="default" w:ascii="DejaVu Math TeX Gyre" w:hAnsi="DejaVu Math TeX Gyre" w:cs="Arial Regular"/>
                          <w:sz w:val="20"/>
                          <w:szCs w:val="20"/>
                        </w:rPr>
                      </m:ctrlPr>
                    </m:sSubPr>
                    <m:e>
                      <m:r>
                        <m:rPr>
                          <m:nor/>
                          <m:sty m:val="p"/>
                        </m:rPr>
                        <w:rPr>
                          <w:rFonts w:hint="default" w:ascii="DejaVu Math TeX Gyre" w:hAnsi="DejaVu Math TeX Gyre" w:cs="Arial Regular"/>
                          <w:b w:val="0"/>
                          <w:i w:val="0"/>
                          <w:sz w:val="20"/>
                          <w:szCs w:val="20"/>
                        </w:rPr>
                        <m:t>t</m:t>
                      </m:r>
                      <m:ctrlPr>
                        <w:rPr>
                          <w:rFonts w:hint="default" w:ascii="DejaVu Math TeX Gyre" w:hAnsi="DejaVu Math TeX Gyre" w:cs="Arial Regular"/>
                          <w:sz w:val="20"/>
                          <w:szCs w:val="20"/>
                        </w:rPr>
                      </m:ctrlPr>
                    </m:e>
                    <m:sub>
                      <m:r>
                        <m:rPr>
                          <m:nor/>
                          <m:sty m:val="p"/>
                        </m:rPr>
                        <w:rPr>
                          <w:rFonts w:hint="default" w:ascii="DejaVu Math TeX Gyre" w:hAnsi="DejaVu Math TeX Gyre" w:cs="Arial Regular"/>
                          <w:b w:val="0"/>
                          <w:i w:val="0"/>
                          <w:sz w:val="20"/>
                          <w:szCs w:val="20"/>
                        </w:rPr>
                        <m:t>j</m:t>
                      </m:r>
                      <m:ctrlPr>
                        <w:rPr>
                          <w:rFonts w:hint="default" w:ascii="DejaVu Math TeX Gyre" w:hAnsi="DejaVu Math TeX Gyre" w:cs="Arial Regular"/>
                          <w:sz w:val="20"/>
                          <w:szCs w:val="20"/>
                        </w:rPr>
                      </m:ctrlPr>
                    </m:sub>
                  </m:sSub>
                  <m:r>
                    <m:rPr>
                      <m:nor/>
                      <m:sty m:val="p"/>
                    </m:rPr>
                    <w:rPr>
                      <w:rFonts w:hint="default" w:ascii="DejaVu Math TeX Gyre" w:hAnsi="DejaVu Math TeX Gyre" w:cs="Arial Regular"/>
                      <w:b w:val="0"/>
                      <w:i w:val="0"/>
                      <w:sz w:val="20"/>
                      <w:szCs w:val="20"/>
                    </w:rPr>
                    <m:t>)-</m:t>
                  </m:r>
                  <m:acc>
                    <m:accPr>
                      <m:chr m:val="̅"/>
                      <m:ctrlPr>
                        <w:rPr>
                          <w:rFonts w:hint="default" w:ascii="DejaVu Math TeX Gyre" w:hAnsi="DejaVu Math TeX Gyre" w:cs="Arial Regular"/>
                          <w:i/>
                          <w:sz w:val="20"/>
                          <w:szCs w:val="20"/>
                        </w:rPr>
                      </m:ctrlPr>
                    </m:accPr>
                    <m:e>
                      <m:r>
                        <m:rPr>
                          <m:nor/>
                        </m:rPr>
                        <w:rPr>
                          <w:rFonts w:hint="default" w:ascii="DejaVu Math TeX Gyre" w:hAnsi="DejaVu Math TeX Gyre" w:cs="Arial Regular"/>
                          <w:i/>
                          <w:sz w:val="20"/>
                          <w:szCs w:val="20"/>
                        </w:rPr>
                        <m:t>X</m:t>
                      </m:r>
                      <m:ctrlPr>
                        <w:rPr>
                          <w:rFonts w:hint="default" w:ascii="DejaVu Math TeX Gyre" w:hAnsi="DejaVu Math TeX Gyre" w:cs="Arial Regular"/>
                          <w:i/>
                          <w:sz w:val="20"/>
                          <w:szCs w:val="20"/>
                        </w:rPr>
                      </m:ctrlPr>
                    </m:e>
                  </m:acc>
                  <m:r>
                    <m:rPr>
                      <m:nor/>
                      <m:sty m:val="p"/>
                    </m:rPr>
                    <w:rPr>
                      <w:rFonts w:hint="default" w:ascii="DejaVu Math TeX Gyre" w:hAnsi="DejaVu Math TeX Gyre" w:cs="Arial Regular"/>
                      <w:b w:val="0"/>
                      <w:i w:val="0"/>
                      <w:sz w:val="20"/>
                      <w:szCs w:val="20"/>
                    </w:rPr>
                    <m:t>(</m:t>
                  </m:r>
                  <m:r>
                    <m:rPr>
                      <m:nor/>
                    </m:rPr>
                    <w:rPr>
                      <w:rFonts w:hint="default" w:ascii="DejaVu Math TeX Gyre" w:hAnsi="DejaVu Math TeX Gyre" w:cs="Arial Regular"/>
                      <w:i/>
                      <w:sz w:val="20"/>
                      <w:szCs w:val="20"/>
                    </w:rPr>
                    <m:t>v</m:t>
                  </m:r>
                  <m:r>
                    <m:rPr>
                      <m:nor/>
                      <m:sty m:val="p"/>
                    </m:rPr>
                    <w:rPr>
                      <w:rFonts w:hint="default" w:ascii="DejaVu Math TeX Gyre" w:hAnsi="DejaVu Math TeX Gyre" w:cs="Arial Regular"/>
                      <w:b w:val="0"/>
                      <w:i w:val="0"/>
                      <w:sz w:val="20"/>
                      <w:szCs w:val="20"/>
                    </w:rPr>
                    <m:t>) for 1≤j≤m</m:t>
                  </m:r>
                  <m:ctrlPr>
                    <w:rPr>
                      <w:rFonts w:hint="default" w:ascii="DejaVu Math TeX Gyre" w:hAnsi="DejaVu Math TeX Gyre" w:cs="Arial Regular"/>
                      <w:sz w:val="20"/>
                      <w:szCs w:val="20"/>
                    </w:rPr>
                  </m:ctrlPr>
                </m:e>
                <m:e>
                  <m:r>
                    <m:rPr>
                      <m:nor/>
                      <m:sty m:val="p"/>
                    </m:rPr>
                    <w:rPr>
                      <w:rFonts w:hint="default" w:ascii="DejaVu Math TeX Gyre" w:hAnsi="DejaVu Math TeX Gyre" w:cs="Arial Regular"/>
                      <w:b w:val="0"/>
                      <w:i w:val="0"/>
                      <w:sz w:val="20"/>
                      <w:szCs w:val="20"/>
                    </w:rPr>
                    <m:t>0                otherwise</m:t>
                  </m:r>
                  <m:ctrlPr>
                    <w:rPr>
                      <w:rFonts w:hint="default" w:ascii="DejaVu Math TeX Gyre" w:hAnsi="DejaVu Math TeX Gyre" w:cs="Arial Regular"/>
                      <w:sz w:val="20"/>
                      <w:szCs w:val="20"/>
                    </w:rPr>
                  </m:ctrlPr>
                </m:e>
              </m:eqArr>
              <m:ctrlPr>
                <w:rPr>
                  <w:rFonts w:hint="default" w:ascii="DejaVu Math TeX Gyre" w:hAnsi="DejaVu Math TeX Gyre" w:cs="Arial Regular"/>
                  <w:sz w:val="20"/>
                  <w:szCs w:val="20"/>
                </w:rPr>
              </m:ctrlPr>
            </m:e>
          </m:d>
        </m:oMath>
      </m:oMathPara>
    </w:p>
    <w:p w14:paraId="34C7ED04">
      <w:pPr>
        <w:keepNext w:val="0"/>
        <w:keepLines w:val="0"/>
        <w:pageBreakBefore w:val="0"/>
        <w:widowControl w:val="0"/>
        <w:kinsoku/>
        <w:wordWrap/>
        <w:overflowPunct/>
        <w:topLinePunct w:val="0"/>
        <w:autoSpaceDE/>
        <w:autoSpaceDN/>
        <w:bidi w:val="0"/>
        <w:adjustRightInd w:val="0"/>
        <w:snapToGrid w:val="0"/>
        <w:spacing w:line="360" w:lineRule="auto"/>
        <w:ind w:firstLine="400" w:firstLineChars="200"/>
        <w:textAlignment w:val="auto"/>
        <w:rPr>
          <w:rFonts w:hint="default" w:ascii="Arial Regular" w:hAnsi="Arial Regular" w:cs="Arial Regular"/>
          <w:sz w:val="20"/>
          <w:szCs w:val="20"/>
        </w:rPr>
      </w:pPr>
      <w:r>
        <w:rPr>
          <w:rFonts w:hint="default" w:ascii="Arial Regular" w:hAnsi="Arial Regular" w:cs="Arial Regular"/>
          <w:sz w:val="20"/>
          <w:szCs w:val="20"/>
        </w:rPr>
        <w:t xml:space="preserve">The </w:t>
      </w:r>
      <w:r>
        <w:rPr>
          <w:rFonts w:hint="default" w:ascii="Arial Regular" w:hAnsi="Arial Regular" w:cs="Arial Regular"/>
          <w:b w:val="0"/>
          <w:sz w:val="20"/>
          <w:szCs w:val="20"/>
        </w:rPr>
        <w:t xml:space="preserve">synchronous </w:t>
      </w:r>
      <w:r>
        <w:rPr>
          <w:rFonts w:hint="default" w:ascii="Arial Regular" w:hAnsi="Arial Regular" w:cs="Arial Regular"/>
          <w:sz w:val="20"/>
          <w:szCs w:val="20"/>
        </w:rPr>
        <w:t xml:space="preserve">2D correlation spectrum, </w:t>
      </w:r>
      <m:oMath>
        <m:r>
          <m:rPr>
            <m:nor/>
            <m:sty m:val="p"/>
          </m:rPr>
          <w:rPr>
            <w:rFonts w:hint="default" w:ascii="DejaVu Math TeX Gyre" w:hAnsi="DejaVu Math TeX Gyre" w:cs="Arial Regular"/>
            <w:b w:val="0"/>
            <w:i w:val="0"/>
            <w:sz w:val="20"/>
            <w:szCs w:val="20"/>
          </w:rPr>
          <m:t>ϕ(ν₁,ν₂)</m:t>
        </m:r>
      </m:oMath>
      <w:r>
        <w:rPr>
          <w:rFonts w:hint="default" w:ascii="Arial Regular" w:hAnsi="Arial Regular" w:cs="Arial Regular"/>
          <w:sz w:val="20"/>
          <w:szCs w:val="20"/>
        </w:rPr>
        <w:t>, was calculated based on the auto- and cross-correlations of these differential spectra to evaluate the simultaneous intensity changes at different wavenumbers.</w:t>
      </w:r>
    </w:p>
    <w:p w14:paraId="12891228">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default" w:ascii="Arial Regular" w:hAnsi="Arial Regular" w:cs="Arial Regular"/>
          <w:sz w:val="20"/>
          <w:szCs w:val="20"/>
        </w:rPr>
      </w:pPr>
      <m:oMathPara>
        <m:oMath>
          <m:r>
            <m:rPr>
              <m:nor/>
              <m:sty m:val="p"/>
            </m:rPr>
            <w:rPr>
              <w:rFonts w:hint="default" w:ascii="DejaVu Math TeX Gyre" w:hAnsi="DejaVu Math TeX Gyre" w:cs="Arial Regular"/>
              <w:b w:val="0"/>
              <w:i w:val="0"/>
              <w:sz w:val="20"/>
              <w:szCs w:val="20"/>
            </w:rPr>
            <m:t>ϕ(ν₁,ν₂)=</m:t>
          </m:r>
          <m:f>
            <m:fPr>
              <m:ctrlPr>
                <w:rPr>
                  <w:rFonts w:hint="default" w:ascii="DejaVu Math TeX Gyre" w:hAnsi="DejaVu Math TeX Gyre" w:cs="Arial Regular"/>
                  <w:sz w:val="20"/>
                  <w:szCs w:val="20"/>
                </w:rPr>
              </m:ctrlPr>
            </m:fPr>
            <m:num>
              <m:r>
                <m:rPr>
                  <m:nor/>
                  <m:sty m:val="p"/>
                </m:rPr>
                <w:rPr>
                  <w:rFonts w:hint="default" w:ascii="DejaVu Math TeX Gyre" w:hAnsi="DejaVu Math TeX Gyre" w:cs="Arial Regular"/>
                  <w:b w:val="0"/>
                  <w:i w:val="0"/>
                  <w:sz w:val="20"/>
                  <w:szCs w:val="20"/>
                </w:rPr>
                <m:t>1</m:t>
              </m:r>
              <m:ctrlPr>
                <w:rPr>
                  <w:rFonts w:hint="default" w:ascii="DejaVu Math TeX Gyre" w:hAnsi="DejaVu Math TeX Gyre" w:cs="Arial Regular"/>
                  <w:sz w:val="20"/>
                  <w:szCs w:val="20"/>
                </w:rPr>
              </m:ctrlPr>
            </m:num>
            <m:den>
              <m:r>
                <m:rPr>
                  <m:nor/>
                  <m:sty m:val="p"/>
                </m:rPr>
                <w:rPr>
                  <w:rFonts w:hint="default" w:ascii="DejaVu Math TeX Gyre" w:hAnsi="DejaVu Math TeX Gyre" w:cs="Arial Regular"/>
                  <w:b w:val="0"/>
                  <w:i w:val="0"/>
                  <w:sz w:val="20"/>
                  <w:szCs w:val="20"/>
                </w:rPr>
                <m:t>m-1</m:t>
              </m:r>
              <m:ctrlPr>
                <w:rPr>
                  <w:rFonts w:hint="default" w:ascii="DejaVu Math TeX Gyre" w:hAnsi="DejaVu Math TeX Gyre" w:cs="Arial Regular"/>
                  <w:sz w:val="20"/>
                  <w:szCs w:val="20"/>
                </w:rPr>
              </m:ctrlPr>
            </m:den>
          </m:f>
          <m:nary>
            <m:naryPr>
              <m:chr m:val="∑"/>
              <m:limLoc m:val="undOvr"/>
              <m:ctrlPr>
                <w:rPr>
                  <w:rFonts w:hint="default" w:ascii="DejaVu Math TeX Gyre" w:hAnsi="DejaVu Math TeX Gyre" w:cs="Arial Regular"/>
                  <w:sz w:val="20"/>
                  <w:szCs w:val="20"/>
                </w:rPr>
              </m:ctrlPr>
            </m:naryPr>
            <m:sub>
              <m:r>
                <m:rPr>
                  <m:nor/>
                  <m:sty m:val="p"/>
                </m:rPr>
                <w:rPr>
                  <w:rFonts w:hint="default" w:ascii="DejaVu Math TeX Gyre" w:hAnsi="DejaVu Math TeX Gyre" w:cs="Arial Regular"/>
                  <w:b w:val="0"/>
                  <w:i w:val="0"/>
                  <w:sz w:val="20"/>
                  <w:szCs w:val="20"/>
                </w:rPr>
                <m:t>j=1</m:t>
              </m:r>
              <m:ctrlPr>
                <w:rPr>
                  <w:rFonts w:hint="default" w:ascii="DejaVu Math TeX Gyre" w:hAnsi="DejaVu Math TeX Gyre" w:cs="Arial Regular"/>
                  <w:sz w:val="20"/>
                  <w:szCs w:val="20"/>
                </w:rPr>
              </m:ctrlPr>
            </m:sub>
            <m:sup>
              <m:r>
                <m:rPr>
                  <m:nor/>
                  <m:sty m:val="p"/>
                </m:rPr>
                <w:rPr>
                  <w:rFonts w:hint="default" w:ascii="DejaVu Math TeX Gyre" w:hAnsi="DejaVu Math TeX Gyre" w:cs="Arial Regular"/>
                  <w:b w:val="0"/>
                  <w:i w:val="0"/>
                  <w:sz w:val="20"/>
                  <w:szCs w:val="20"/>
                </w:rPr>
                <m:t>m</m:t>
              </m:r>
              <m:ctrlPr>
                <w:rPr>
                  <w:rFonts w:hint="default" w:ascii="DejaVu Math TeX Gyre" w:hAnsi="DejaVu Math TeX Gyre" w:cs="Arial Regular"/>
                  <w:sz w:val="20"/>
                  <w:szCs w:val="20"/>
                </w:rPr>
              </m:ctrlPr>
            </m:sup>
            <m:e>
              <m:r>
                <m:rPr>
                  <m:nor/>
                  <m:sty m:val="p"/>
                </m:rPr>
                <w:rPr>
                  <w:rFonts w:hint="default" w:ascii="DejaVu Math TeX Gyre" w:hAnsi="DejaVu Math TeX Gyre" w:cs="Arial Regular"/>
                  <w:b w:val="0"/>
                  <w:i w:val="0"/>
                  <w:sz w:val="20"/>
                  <w:szCs w:val="20"/>
                </w:rPr>
                <m:t>ΔX(</m:t>
              </m:r>
              <m:sSub>
                <m:sSubPr>
                  <m:ctrlPr>
                    <w:rPr>
                      <w:rFonts w:hint="default" w:ascii="DejaVu Math TeX Gyre" w:hAnsi="DejaVu Math TeX Gyre" w:cs="Arial Regular"/>
                      <w:sz w:val="20"/>
                      <w:szCs w:val="20"/>
                    </w:rPr>
                  </m:ctrlPr>
                </m:sSubPr>
                <m:e>
                  <m:r>
                    <m:rPr>
                      <m:nor/>
                    </m:rPr>
                    <w:rPr>
                      <w:rFonts w:hint="default" w:ascii="DejaVu Math TeX Gyre" w:hAnsi="DejaVu Math TeX Gyre" w:cs="Arial Regular"/>
                      <w:i/>
                      <w:sz w:val="20"/>
                      <w:szCs w:val="20"/>
                    </w:rPr>
                    <m:t>v</m:t>
                  </m:r>
                  <m:ctrlPr>
                    <w:rPr>
                      <w:rFonts w:hint="default" w:ascii="DejaVu Math TeX Gyre" w:hAnsi="DejaVu Math TeX Gyre" w:cs="Arial Regular"/>
                      <w:sz w:val="20"/>
                      <w:szCs w:val="20"/>
                    </w:rPr>
                  </m:ctrlPr>
                </m:e>
                <m:sub>
                  <m:r>
                    <m:rPr>
                      <m:nor/>
                      <m:sty m:val="p"/>
                    </m:rPr>
                    <w:rPr>
                      <w:rFonts w:hint="default" w:ascii="DejaVu Math TeX Gyre" w:hAnsi="DejaVu Math TeX Gyre" w:cs="Arial Regular"/>
                      <w:b w:val="0"/>
                      <w:i w:val="0"/>
                      <w:sz w:val="20"/>
                      <w:szCs w:val="20"/>
                    </w:rPr>
                    <m:t>1</m:t>
                  </m:r>
                  <m:ctrlPr>
                    <w:rPr>
                      <w:rFonts w:hint="default" w:ascii="DejaVu Math TeX Gyre" w:hAnsi="DejaVu Math TeX Gyre" w:cs="Arial Regular"/>
                      <w:sz w:val="20"/>
                      <w:szCs w:val="20"/>
                    </w:rPr>
                  </m:ctrlPr>
                </m:sub>
              </m:sSub>
              <m:r>
                <m:rPr>
                  <m:nor/>
                  <m:sty m:val="p"/>
                </m:rPr>
                <w:rPr>
                  <w:rFonts w:hint="default" w:ascii="DejaVu Math TeX Gyre" w:hAnsi="DejaVu Math TeX Gyre" w:cs="Arial Regular"/>
                  <w:b w:val="0"/>
                  <w:i w:val="0"/>
                  <w:sz w:val="20"/>
                  <w:szCs w:val="20"/>
                </w:rPr>
                <m:t>,</m:t>
              </m:r>
              <m:sSub>
                <m:sSubPr>
                  <m:ctrlPr>
                    <w:rPr>
                      <w:rFonts w:hint="default" w:ascii="DejaVu Math TeX Gyre" w:hAnsi="DejaVu Math TeX Gyre" w:cs="Arial Regular"/>
                      <w:sz w:val="20"/>
                      <w:szCs w:val="20"/>
                    </w:rPr>
                  </m:ctrlPr>
                </m:sSubPr>
                <m:e>
                  <m:r>
                    <m:rPr>
                      <m:nor/>
                      <m:sty m:val="p"/>
                    </m:rPr>
                    <w:rPr>
                      <w:rFonts w:hint="default" w:ascii="DejaVu Math TeX Gyre" w:hAnsi="DejaVu Math TeX Gyre" w:cs="Arial Regular"/>
                      <w:b w:val="0"/>
                      <w:i w:val="0"/>
                      <w:sz w:val="20"/>
                      <w:szCs w:val="20"/>
                    </w:rPr>
                    <m:t>t</m:t>
                  </m:r>
                  <m:ctrlPr>
                    <w:rPr>
                      <w:rFonts w:hint="default" w:ascii="DejaVu Math TeX Gyre" w:hAnsi="DejaVu Math TeX Gyre" w:cs="Arial Regular"/>
                      <w:sz w:val="20"/>
                      <w:szCs w:val="20"/>
                    </w:rPr>
                  </m:ctrlPr>
                </m:e>
                <m:sub>
                  <m:r>
                    <m:rPr>
                      <m:nor/>
                      <m:sty m:val="p"/>
                    </m:rPr>
                    <w:rPr>
                      <w:rFonts w:hint="default" w:ascii="DejaVu Math TeX Gyre" w:hAnsi="DejaVu Math TeX Gyre" w:cs="Arial Regular"/>
                      <w:b w:val="0"/>
                      <w:i w:val="0"/>
                      <w:sz w:val="20"/>
                      <w:szCs w:val="20"/>
                    </w:rPr>
                    <m:t>j</m:t>
                  </m:r>
                  <m:ctrlPr>
                    <w:rPr>
                      <w:rFonts w:hint="default" w:ascii="DejaVu Math TeX Gyre" w:hAnsi="DejaVu Math TeX Gyre" w:cs="Arial Regular"/>
                      <w:sz w:val="20"/>
                      <w:szCs w:val="20"/>
                    </w:rPr>
                  </m:ctrlPr>
                </m:sub>
              </m:sSub>
              <m:r>
                <m:rPr>
                  <m:nor/>
                  <m:sty m:val="p"/>
                </m:rPr>
                <w:rPr>
                  <w:rFonts w:hint="default" w:ascii="DejaVu Math TeX Gyre" w:hAnsi="DejaVu Math TeX Gyre" w:cs="Arial Regular"/>
                  <w:b w:val="0"/>
                  <w:i w:val="0"/>
                  <w:sz w:val="20"/>
                  <w:szCs w:val="20"/>
                </w:rPr>
                <m:t>)∙ΔX(</m:t>
              </m:r>
              <m:sSub>
                <m:sSubPr>
                  <m:ctrlPr>
                    <w:rPr>
                      <w:rFonts w:hint="default" w:ascii="DejaVu Math TeX Gyre" w:hAnsi="DejaVu Math TeX Gyre" w:cs="Arial Regular"/>
                      <w:sz w:val="20"/>
                      <w:szCs w:val="20"/>
                    </w:rPr>
                  </m:ctrlPr>
                </m:sSubPr>
                <m:e>
                  <m:r>
                    <m:rPr>
                      <m:nor/>
                    </m:rPr>
                    <w:rPr>
                      <w:rFonts w:hint="default" w:ascii="DejaVu Math TeX Gyre" w:hAnsi="DejaVu Math TeX Gyre" w:cs="Arial Regular"/>
                      <w:i/>
                      <w:sz w:val="20"/>
                      <w:szCs w:val="20"/>
                    </w:rPr>
                    <m:t>v</m:t>
                  </m:r>
                  <m:ctrlPr>
                    <w:rPr>
                      <w:rFonts w:hint="default" w:ascii="DejaVu Math TeX Gyre" w:hAnsi="DejaVu Math TeX Gyre" w:cs="Arial Regular"/>
                      <w:sz w:val="20"/>
                      <w:szCs w:val="20"/>
                    </w:rPr>
                  </m:ctrlPr>
                </m:e>
                <m:sub>
                  <m:r>
                    <m:rPr>
                      <m:nor/>
                      <m:sty m:val="p"/>
                    </m:rPr>
                    <w:rPr>
                      <w:rFonts w:hint="default" w:ascii="DejaVu Math TeX Gyre" w:hAnsi="DejaVu Math TeX Gyre" w:cs="Arial Regular"/>
                      <w:b w:val="0"/>
                      <w:i w:val="0"/>
                      <w:sz w:val="20"/>
                      <w:szCs w:val="20"/>
                    </w:rPr>
                    <m:t>2</m:t>
                  </m:r>
                  <m:ctrlPr>
                    <w:rPr>
                      <w:rFonts w:hint="default" w:ascii="DejaVu Math TeX Gyre" w:hAnsi="DejaVu Math TeX Gyre" w:cs="Arial Regular"/>
                      <w:sz w:val="20"/>
                      <w:szCs w:val="20"/>
                    </w:rPr>
                  </m:ctrlPr>
                </m:sub>
              </m:sSub>
              <m:r>
                <m:rPr>
                  <m:nor/>
                  <m:sty m:val="p"/>
                </m:rPr>
                <w:rPr>
                  <w:rFonts w:hint="default" w:ascii="DejaVu Math TeX Gyre" w:hAnsi="DejaVu Math TeX Gyre" w:cs="Arial Regular"/>
                  <w:b w:val="0"/>
                  <w:i w:val="0"/>
                  <w:sz w:val="20"/>
                  <w:szCs w:val="20"/>
                </w:rPr>
                <m:t>,</m:t>
              </m:r>
              <m:sSub>
                <m:sSubPr>
                  <m:ctrlPr>
                    <w:rPr>
                      <w:rFonts w:hint="default" w:ascii="DejaVu Math TeX Gyre" w:hAnsi="DejaVu Math TeX Gyre" w:cs="Arial Regular"/>
                      <w:sz w:val="20"/>
                      <w:szCs w:val="20"/>
                    </w:rPr>
                  </m:ctrlPr>
                </m:sSubPr>
                <m:e>
                  <m:r>
                    <m:rPr>
                      <m:nor/>
                      <m:sty m:val="p"/>
                    </m:rPr>
                    <w:rPr>
                      <w:rFonts w:hint="default" w:ascii="DejaVu Math TeX Gyre" w:hAnsi="DejaVu Math TeX Gyre" w:cs="Arial Regular"/>
                      <w:b w:val="0"/>
                      <w:i w:val="0"/>
                      <w:sz w:val="20"/>
                      <w:szCs w:val="20"/>
                    </w:rPr>
                    <m:t>t</m:t>
                  </m:r>
                  <m:ctrlPr>
                    <w:rPr>
                      <w:rFonts w:hint="default" w:ascii="DejaVu Math TeX Gyre" w:hAnsi="DejaVu Math TeX Gyre" w:cs="Arial Regular"/>
                      <w:sz w:val="20"/>
                      <w:szCs w:val="20"/>
                    </w:rPr>
                  </m:ctrlPr>
                </m:e>
                <m:sub>
                  <m:r>
                    <m:rPr>
                      <m:nor/>
                      <m:sty m:val="p"/>
                    </m:rPr>
                    <w:rPr>
                      <w:rFonts w:hint="default" w:ascii="DejaVu Math TeX Gyre" w:hAnsi="DejaVu Math TeX Gyre" w:cs="Arial Regular"/>
                      <w:b w:val="0"/>
                      <w:i w:val="0"/>
                      <w:sz w:val="20"/>
                      <w:szCs w:val="20"/>
                    </w:rPr>
                    <m:t>j</m:t>
                  </m:r>
                  <m:ctrlPr>
                    <w:rPr>
                      <w:rFonts w:hint="default" w:ascii="DejaVu Math TeX Gyre" w:hAnsi="DejaVu Math TeX Gyre" w:cs="Arial Regular"/>
                      <w:sz w:val="20"/>
                      <w:szCs w:val="20"/>
                    </w:rPr>
                  </m:ctrlPr>
                </m:sub>
              </m:sSub>
              <m:r>
                <m:rPr>
                  <m:nor/>
                  <m:sty m:val="p"/>
                </m:rPr>
                <w:rPr>
                  <w:rFonts w:hint="default" w:ascii="DejaVu Math TeX Gyre" w:hAnsi="DejaVu Math TeX Gyre" w:cs="Arial Regular"/>
                  <w:b w:val="0"/>
                  <w:i w:val="0"/>
                  <w:sz w:val="20"/>
                  <w:szCs w:val="20"/>
                </w:rPr>
                <m:t>)</m:t>
              </m:r>
              <m:ctrlPr>
                <w:rPr>
                  <w:rFonts w:hint="default" w:ascii="DejaVu Math TeX Gyre" w:hAnsi="DejaVu Math TeX Gyre" w:cs="Arial Regular"/>
                  <w:sz w:val="20"/>
                  <w:szCs w:val="20"/>
                </w:rPr>
              </m:ctrlPr>
            </m:e>
          </m:nary>
        </m:oMath>
      </m:oMathPara>
    </w:p>
    <w:p w14:paraId="513347C6">
      <w:pPr>
        <w:keepNext w:val="0"/>
        <w:keepLines w:val="0"/>
        <w:pageBreakBefore w:val="0"/>
        <w:widowControl w:val="0"/>
        <w:kinsoku/>
        <w:wordWrap/>
        <w:overflowPunct/>
        <w:topLinePunct w:val="0"/>
        <w:autoSpaceDE/>
        <w:autoSpaceDN/>
        <w:bidi w:val="0"/>
        <w:adjustRightInd w:val="0"/>
        <w:snapToGrid w:val="0"/>
        <w:spacing w:line="360" w:lineRule="auto"/>
        <w:ind w:firstLine="400" w:firstLineChars="200"/>
        <w:textAlignment w:val="auto"/>
        <w:rPr>
          <w:rFonts w:hint="default" w:ascii="Arial Regular" w:hAnsi="Arial Regular" w:cs="Arial Regular"/>
          <w:sz w:val="20"/>
          <w:szCs w:val="20"/>
        </w:rPr>
      </w:pPr>
      <w:r>
        <w:rPr>
          <w:rFonts w:hint="default" w:ascii="Arial Regular" w:hAnsi="Arial Regular" w:cs="Arial Regular"/>
          <w:sz w:val="20"/>
          <w:szCs w:val="20"/>
        </w:rPr>
        <w:t xml:space="preserve">To </w:t>
      </w:r>
      <w:r>
        <w:rPr>
          <w:rFonts w:hint="default" w:ascii="Arial Regular" w:hAnsi="Arial Regular" w:cs="Arial Regular"/>
          <w:b w:val="0"/>
          <w:sz w:val="20"/>
          <w:szCs w:val="20"/>
        </w:rPr>
        <w:t xml:space="preserve">generate </w:t>
      </w:r>
      <w:r>
        <w:rPr>
          <w:rFonts w:hint="default" w:ascii="Arial Regular" w:hAnsi="Arial Regular" w:cs="Arial Regular"/>
          <w:sz w:val="20"/>
          <w:szCs w:val="20"/>
        </w:rPr>
        <w:t xml:space="preserve">the asynchronous spectrum, the differential spectral data </w:t>
      </w:r>
      <m:oMath>
        <m:r>
          <m:rPr>
            <m:nor/>
            <m:sty m:val="p"/>
          </m:rPr>
          <w:rPr>
            <w:rFonts w:hint="default" w:ascii="DejaVu Math TeX Gyre" w:hAnsi="DejaVu Math TeX Gyre" w:cs="Arial Regular"/>
            <w:b w:val="0"/>
            <w:i w:val="0"/>
            <w:sz w:val="20"/>
            <w:szCs w:val="20"/>
          </w:rPr>
          <m:t>ΔX(ν,t)</m:t>
        </m:r>
      </m:oMath>
      <w:r>
        <w:rPr>
          <w:rFonts w:hint="default" w:ascii="Arial Regular" w:hAnsi="Arial Regular" w:cs="Arial Regular"/>
          <w:sz w:val="20"/>
          <w:szCs w:val="20"/>
        </w:rPr>
        <w:t xml:space="preserve"> were subjected to Hilbert transformation to yield the quadrature spectra </w:t>
      </w:r>
      <m:oMath>
        <m:sSub>
          <m:sSubPr>
            <m:ctrlPr>
              <w:rPr>
                <w:rFonts w:hint="default" w:ascii="DejaVu Math TeX Gyre" w:hAnsi="DejaVu Math TeX Gyre" w:cs="Arial Regular"/>
                <w:sz w:val="20"/>
                <w:szCs w:val="20"/>
              </w:rPr>
            </m:ctrlPr>
          </m:sSubPr>
          <m:e>
            <m:r>
              <m:rPr>
                <m:nor/>
                <m:sty m:val="p"/>
              </m:rPr>
              <w:rPr>
                <w:rFonts w:hint="default" w:ascii="DejaVu Math TeX Gyre" w:hAnsi="DejaVu Math TeX Gyre" w:cs="Arial Regular"/>
                <w:b w:val="0"/>
                <w:i w:val="0"/>
                <w:sz w:val="20"/>
                <w:szCs w:val="20"/>
              </w:rPr>
              <m:t>ΔX</m:t>
            </m:r>
            <m:ctrlPr>
              <w:rPr>
                <w:rFonts w:hint="default" w:ascii="DejaVu Math TeX Gyre" w:hAnsi="DejaVu Math TeX Gyre" w:cs="Arial Regular"/>
                <w:sz w:val="20"/>
                <w:szCs w:val="20"/>
              </w:rPr>
            </m:ctrlPr>
          </m:e>
          <m:sub>
            <m:r>
              <m:rPr>
                <m:nor/>
                <m:sty m:val="p"/>
              </m:rPr>
              <w:rPr>
                <w:rFonts w:hint="default" w:ascii="DejaVu Math TeX Gyre" w:hAnsi="DejaVu Math TeX Gyre" w:cs="Arial Regular"/>
                <w:b w:val="0"/>
                <w:i w:val="0"/>
                <w:sz w:val="20"/>
                <w:szCs w:val="20"/>
              </w:rPr>
              <m:t>H</m:t>
            </m:r>
            <m:ctrlPr>
              <w:rPr>
                <w:rFonts w:hint="default" w:ascii="DejaVu Math TeX Gyre" w:hAnsi="DejaVu Math TeX Gyre" w:cs="Arial Regular"/>
                <w:sz w:val="20"/>
                <w:szCs w:val="20"/>
              </w:rPr>
            </m:ctrlPr>
          </m:sub>
        </m:sSub>
        <m:r>
          <m:rPr>
            <m:nor/>
            <m:sty m:val="p"/>
          </m:rPr>
          <w:rPr>
            <w:rFonts w:hint="default" w:ascii="DejaVu Math TeX Gyre" w:hAnsi="DejaVu Math TeX Gyre" w:cs="Arial Regular"/>
            <w:b w:val="0"/>
            <w:i w:val="0"/>
            <w:sz w:val="20"/>
            <w:szCs w:val="20"/>
          </w:rPr>
          <m:t>(ν,t)</m:t>
        </m:r>
      </m:oMath>
      <w:r>
        <w:rPr>
          <w:rFonts w:hint="default" w:ascii="Arial Regular" w:hAnsi="Arial Regular" w:cs="Arial Regular"/>
          <w:sz w:val="20"/>
          <w:szCs w:val="20"/>
        </w:rPr>
        <w:t xml:space="preserve">. The asynchronous 2D correlation spectrum, </w:t>
      </w:r>
      <m:oMath>
        <m:r>
          <m:rPr>
            <m:nor/>
            <m:sty m:val="p"/>
          </m:rPr>
          <w:rPr>
            <w:rFonts w:hint="default" w:ascii="DejaVu Math TeX Gyre" w:hAnsi="DejaVu Math TeX Gyre" w:cs="Arial Regular"/>
            <w:b w:val="0"/>
            <w:i w:val="0"/>
            <w:sz w:val="20"/>
            <w:szCs w:val="20"/>
          </w:rPr>
          <m:t>ψ(ν₁,ν₂)</m:t>
        </m:r>
      </m:oMath>
      <w:r>
        <w:rPr>
          <w:rFonts w:hint="default" w:ascii="Arial Regular" w:hAnsi="Arial Regular" w:cs="Arial Regular"/>
          <w:sz w:val="20"/>
          <w:szCs w:val="20"/>
        </w:rPr>
        <w:t>, was then computed to reveal sequential and out-of-phase changes among spectral variables.</w:t>
      </w:r>
    </w:p>
    <w:p w14:paraId="065DD959">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default" w:ascii="Arial Regular" w:hAnsi="Arial Regular" w:cs="Arial Regular"/>
          <w:sz w:val="20"/>
          <w:szCs w:val="20"/>
        </w:rPr>
      </w:pPr>
      <m:oMathPara>
        <m:oMath>
          <m:r>
            <m:rPr>
              <m:nor/>
              <m:sty m:val="p"/>
            </m:rPr>
            <w:rPr>
              <w:rFonts w:hint="default" w:ascii="DejaVu Math TeX Gyre" w:hAnsi="DejaVu Math TeX Gyre" w:cs="Arial Regular"/>
              <w:b w:val="0"/>
              <w:i w:val="0"/>
              <w:sz w:val="20"/>
              <w:szCs w:val="20"/>
            </w:rPr>
            <m:t>ψ(ν₁,ν₂)=</m:t>
          </m:r>
          <m:f>
            <m:fPr>
              <m:ctrlPr>
                <w:rPr>
                  <w:rFonts w:hint="default" w:ascii="DejaVu Math TeX Gyre" w:hAnsi="DejaVu Math TeX Gyre" w:cs="Arial Regular"/>
                  <w:sz w:val="20"/>
                  <w:szCs w:val="20"/>
                </w:rPr>
              </m:ctrlPr>
            </m:fPr>
            <m:num>
              <m:r>
                <m:rPr>
                  <m:nor/>
                  <m:sty m:val="p"/>
                </m:rPr>
                <w:rPr>
                  <w:rFonts w:hint="default" w:ascii="DejaVu Math TeX Gyre" w:hAnsi="DejaVu Math TeX Gyre" w:cs="Arial Regular"/>
                  <w:b w:val="0"/>
                  <w:i w:val="0"/>
                  <w:sz w:val="20"/>
                  <w:szCs w:val="20"/>
                </w:rPr>
                <m:t>1</m:t>
              </m:r>
              <m:ctrlPr>
                <w:rPr>
                  <w:rFonts w:hint="default" w:ascii="DejaVu Math TeX Gyre" w:hAnsi="DejaVu Math TeX Gyre" w:cs="Arial Regular"/>
                  <w:sz w:val="20"/>
                  <w:szCs w:val="20"/>
                </w:rPr>
              </m:ctrlPr>
            </m:num>
            <m:den>
              <m:r>
                <m:rPr>
                  <m:nor/>
                  <m:sty m:val="p"/>
                </m:rPr>
                <w:rPr>
                  <w:rFonts w:hint="default" w:ascii="DejaVu Math TeX Gyre" w:hAnsi="DejaVu Math TeX Gyre" w:cs="Arial Regular"/>
                  <w:b w:val="0"/>
                  <w:i w:val="0"/>
                  <w:sz w:val="20"/>
                  <w:szCs w:val="20"/>
                </w:rPr>
                <m:t>m-1</m:t>
              </m:r>
              <m:ctrlPr>
                <w:rPr>
                  <w:rFonts w:hint="default" w:ascii="DejaVu Math TeX Gyre" w:hAnsi="DejaVu Math TeX Gyre" w:cs="Arial Regular"/>
                  <w:sz w:val="20"/>
                  <w:szCs w:val="20"/>
                </w:rPr>
              </m:ctrlPr>
            </m:den>
          </m:f>
          <m:nary>
            <m:naryPr>
              <m:chr m:val="∑"/>
              <m:limLoc m:val="undOvr"/>
              <m:ctrlPr>
                <w:rPr>
                  <w:rFonts w:hint="default" w:ascii="DejaVu Math TeX Gyre" w:hAnsi="DejaVu Math TeX Gyre" w:cs="Arial Regular"/>
                  <w:sz w:val="20"/>
                  <w:szCs w:val="20"/>
                </w:rPr>
              </m:ctrlPr>
            </m:naryPr>
            <m:sub>
              <m:r>
                <m:rPr>
                  <m:nor/>
                  <m:sty m:val="p"/>
                </m:rPr>
                <w:rPr>
                  <w:rFonts w:hint="default" w:ascii="DejaVu Math TeX Gyre" w:hAnsi="DejaVu Math TeX Gyre" w:cs="Arial Regular"/>
                  <w:b w:val="0"/>
                  <w:i w:val="0"/>
                  <w:sz w:val="20"/>
                  <w:szCs w:val="20"/>
                </w:rPr>
                <m:t>j=1</m:t>
              </m:r>
              <m:ctrlPr>
                <w:rPr>
                  <w:rFonts w:hint="default" w:ascii="DejaVu Math TeX Gyre" w:hAnsi="DejaVu Math TeX Gyre" w:cs="Arial Regular"/>
                  <w:sz w:val="20"/>
                  <w:szCs w:val="20"/>
                </w:rPr>
              </m:ctrlPr>
            </m:sub>
            <m:sup>
              <m:r>
                <m:rPr>
                  <m:nor/>
                  <m:sty m:val="p"/>
                </m:rPr>
                <w:rPr>
                  <w:rFonts w:hint="default" w:ascii="DejaVu Math TeX Gyre" w:hAnsi="DejaVu Math TeX Gyre" w:cs="Arial Regular"/>
                  <w:b w:val="0"/>
                  <w:i w:val="0"/>
                  <w:sz w:val="20"/>
                  <w:szCs w:val="20"/>
                </w:rPr>
                <m:t>m</m:t>
              </m:r>
              <m:ctrlPr>
                <w:rPr>
                  <w:rFonts w:hint="default" w:ascii="DejaVu Math TeX Gyre" w:hAnsi="DejaVu Math TeX Gyre" w:cs="Arial Regular"/>
                  <w:sz w:val="20"/>
                  <w:szCs w:val="20"/>
                </w:rPr>
              </m:ctrlPr>
            </m:sup>
            <m:e>
              <m:r>
                <m:rPr>
                  <m:nor/>
                  <m:sty m:val="p"/>
                </m:rPr>
                <w:rPr>
                  <w:rFonts w:hint="default" w:ascii="DejaVu Math TeX Gyre" w:hAnsi="DejaVu Math TeX Gyre" w:cs="Arial Regular"/>
                  <w:b w:val="0"/>
                  <w:i w:val="0"/>
                  <w:sz w:val="20"/>
                  <w:szCs w:val="20"/>
                </w:rPr>
                <m:t>ΔX(</m:t>
              </m:r>
              <m:sSub>
                <m:sSubPr>
                  <m:ctrlPr>
                    <w:rPr>
                      <w:rFonts w:hint="default" w:ascii="DejaVu Math TeX Gyre" w:hAnsi="DejaVu Math TeX Gyre" w:cs="Arial Regular"/>
                      <w:sz w:val="20"/>
                      <w:szCs w:val="20"/>
                    </w:rPr>
                  </m:ctrlPr>
                </m:sSubPr>
                <m:e>
                  <m:r>
                    <m:rPr>
                      <m:nor/>
                    </m:rPr>
                    <w:rPr>
                      <w:rFonts w:hint="default" w:ascii="DejaVu Math TeX Gyre" w:hAnsi="DejaVu Math TeX Gyre" w:cs="Arial Regular"/>
                      <w:i/>
                      <w:sz w:val="20"/>
                      <w:szCs w:val="20"/>
                    </w:rPr>
                    <m:t>v</m:t>
                  </m:r>
                  <m:ctrlPr>
                    <w:rPr>
                      <w:rFonts w:hint="default" w:ascii="DejaVu Math TeX Gyre" w:hAnsi="DejaVu Math TeX Gyre" w:cs="Arial Regular"/>
                      <w:sz w:val="20"/>
                      <w:szCs w:val="20"/>
                    </w:rPr>
                  </m:ctrlPr>
                </m:e>
                <m:sub>
                  <m:r>
                    <m:rPr>
                      <m:nor/>
                      <m:sty m:val="p"/>
                    </m:rPr>
                    <w:rPr>
                      <w:rFonts w:hint="default" w:ascii="DejaVu Math TeX Gyre" w:hAnsi="DejaVu Math TeX Gyre" w:cs="Arial Regular"/>
                      <w:b w:val="0"/>
                      <w:i w:val="0"/>
                      <w:sz w:val="20"/>
                      <w:szCs w:val="20"/>
                    </w:rPr>
                    <m:t>1</m:t>
                  </m:r>
                  <m:ctrlPr>
                    <w:rPr>
                      <w:rFonts w:hint="default" w:ascii="DejaVu Math TeX Gyre" w:hAnsi="DejaVu Math TeX Gyre" w:cs="Arial Regular"/>
                      <w:sz w:val="20"/>
                      <w:szCs w:val="20"/>
                    </w:rPr>
                  </m:ctrlPr>
                </m:sub>
              </m:sSub>
              <m:r>
                <m:rPr>
                  <m:nor/>
                  <m:sty m:val="p"/>
                </m:rPr>
                <w:rPr>
                  <w:rFonts w:hint="default" w:ascii="DejaVu Math TeX Gyre" w:hAnsi="DejaVu Math TeX Gyre" w:cs="Arial Regular"/>
                  <w:b w:val="0"/>
                  <w:i w:val="0"/>
                  <w:sz w:val="20"/>
                  <w:szCs w:val="20"/>
                </w:rPr>
                <m:t>,</m:t>
              </m:r>
              <m:sSub>
                <m:sSubPr>
                  <m:ctrlPr>
                    <w:rPr>
                      <w:rFonts w:hint="default" w:ascii="DejaVu Math TeX Gyre" w:hAnsi="DejaVu Math TeX Gyre" w:cs="Arial Regular"/>
                      <w:sz w:val="20"/>
                      <w:szCs w:val="20"/>
                    </w:rPr>
                  </m:ctrlPr>
                </m:sSubPr>
                <m:e>
                  <m:r>
                    <m:rPr>
                      <m:nor/>
                      <m:sty m:val="p"/>
                    </m:rPr>
                    <w:rPr>
                      <w:rFonts w:hint="default" w:ascii="DejaVu Math TeX Gyre" w:hAnsi="DejaVu Math TeX Gyre" w:cs="Arial Regular"/>
                      <w:b w:val="0"/>
                      <w:i w:val="0"/>
                      <w:sz w:val="20"/>
                      <w:szCs w:val="20"/>
                    </w:rPr>
                    <m:t>t</m:t>
                  </m:r>
                  <m:ctrlPr>
                    <w:rPr>
                      <w:rFonts w:hint="default" w:ascii="DejaVu Math TeX Gyre" w:hAnsi="DejaVu Math TeX Gyre" w:cs="Arial Regular"/>
                      <w:sz w:val="20"/>
                      <w:szCs w:val="20"/>
                    </w:rPr>
                  </m:ctrlPr>
                </m:e>
                <m:sub>
                  <m:r>
                    <m:rPr>
                      <m:nor/>
                      <m:sty m:val="p"/>
                    </m:rPr>
                    <w:rPr>
                      <w:rFonts w:hint="default" w:ascii="DejaVu Math TeX Gyre" w:hAnsi="DejaVu Math TeX Gyre" w:cs="Arial Regular"/>
                      <w:b w:val="0"/>
                      <w:i w:val="0"/>
                      <w:sz w:val="20"/>
                      <w:szCs w:val="20"/>
                    </w:rPr>
                    <m:t>j</m:t>
                  </m:r>
                  <m:ctrlPr>
                    <w:rPr>
                      <w:rFonts w:hint="default" w:ascii="DejaVu Math TeX Gyre" w:hAnsi="DejaVu Math TeX Gyre" w:cs="Arial Regular"/>
                      <w:sz w:val="20"/>
                      <w:szCs w:val="20"/>
                    </w:rPr>
                  </m:ctrlPr>
                </m:sub>
              </m:sSub>
              <m:r>
                <m:rPr>
                  <m:nor/>
                  <m:sty m:val="p"/>
                </m:rPr>
                <w:rPr>
                  <w:rFonts w:hint="default" w:ascii="DejaVu Math TeX Gyre" w:hAnsi="DejaVu Math TeX Gyre" w:cs="Arial Regular"/>
                  <w:b w:val="0"/>
                  <w:i w:val="0"/>
                  <w:sz w:val="20"/>
                  <w:szCs w:val="20"/>
                </w:rPr>
                <m:t>)∙</m:t>
              </m:r>
              <m:sSub>
                <m:sSubPr>
                  <m:ctrlPr>
                    <w:rPr>
                      <w:rFonts w:hint="default" w:ascii="DejaVu Math TeX Gyre" w:hAnsi="DejaVu Math TeX Gyre" w:cs="Arial Regular"/>
                      <w:sz w:val="20"/>
                      <w:szCs w:val="20"/>
                    </w:rPr>
                  </m:ctrlPr>
                </m:sSubPr>
                <m:e>
                  <m:r>
                    <m:rPr>
                      <m:nor/>
                      <m:sty m:val="p"/>
                    </m:rPr>
                    <w:rPr>
                      <w:rFonts w:hint="default" w:ascii="DejaVu Math TeX Gyre" w:hAnsi="DejaVu Math TeX Gyre" w:cs="Arial Regular"/>
                      <w:b w:val="0"/>
                      <w:i w:val="0"/>
                      <w:sz w:val="20"/>
                      <w:szCs w:val="20"/>
                    </w:rPr>
                    <m:t>ΔX</m:t>
                  </m:r>
                  <m:ctrlPr>
                    <w:rPr>
                      <w:rFonts w:hint="default" w:ascii="DejaVu Math TeX Gyre" w:hAnsi="DejaVu Math TeX Gyre" w:cs="Arial Regular"/>
                      <w:sz w:val="20"/>
                      <w:szCs w:val="20"/>
                    </w:rPr>
                  </m:ctrlPr>
                </m:e>
                <m:sub>
                  <m:r>
                    <m:rPr>
                      <m:nor/>
                      <m:sty m:val="p"/>
                    </m:rPr>
                    <w:rPr>
                      <w:rFonts w:hint="default" w:ascii="DejaVu Math TeX Gyre" w:hAnsi="DejaVu Math TeX Gyre" w:cs="Arial Regular"/>
                      <w:b w:val="0"/>
                      <w:i w:val="0"/>
                      <w:sz w:val="20"/>
                      <w:szCs w:val="20"/>
                    </w:rPr>
                    <m:t>H</m:t>
                  </m:r>
                  <m:ctrlPr>
                    <w:rPr>
                      <w:rFonts w:hint="default" w:ascii="DejaVu Math TeX Gyre" w:hAnsi="DejaVu Math TeX Gyre" w:cs="Arial Regular"/>
                      <w:sz w:val="20"/>
                      <w:szCs w:val="20"/>
                    </w:rPr>
                  </m:ctrlPr>
                </m:sub>
              </m:sSub>
              <m:r>
                <m:rPr>
                  <m:nor/>
                  <m:sty m:val="p"/>
                </m:rPr>
                <w:rPr>
                  <w:rFonts w:hint="default" w:ascii="DejaVu Math TeX Gyre" w:hAnsi="DejaVu Math TeX Gyre" w:cs="Arial Regular"/>
                  <w:b w:val="0"/>
                  <w:i w:val="0"/>
                  <w:sz w:val="20"/>
                  <w:szCs w:val="20"/>
                </w:rPr>
                <m:t>(</m:t>
              </m:r>
              <m:sSub>
                <m:sSubPr>
                  <m:ctrlPr>
                    <w:rPr>
                      <w:rFonts w:hint="default" w:ascii="DejaVu Math TeX Gyre" w:hAnsi="DejaVu Math TeX Gyre" w:cs="Arial Regular"/>
                      <w:sz w:val="20"/>
                      <w:szCs w:val="20"/>
                    </w:rPr>
                  </m:ctrlPr>
                </m:sSubPr>
                <m:e>
                  <m:r>
                    <m:rPr>
                      <m:nor/>
                    </m:rPr>
                    <w:rPr>
                      <w:rFonts w:hint="default" w:ascii="DejaVu Math TeX Gyre" w:hAnsi="DejaVu Math TeX Gyre" w:cs="Arial Regular"/>
                      <w:i/>
                      <w:sz w:val="20"/>
                      <w:szCs w:val="20"/>
                    </w:rPr>
                    <m:t>v</m:t>
                  </m:r>
                  <m:ctrlPr>
                    <w:rPr>
                      <w:rFonts w:hint="default" w:ascii="DejaVu Math TeX Gyre" w:hAnsi="DejaVu Math TeX Gyre" w:cs="Arial Regular"/>
                      <w:sz w:val="20"/>
                      <w:szCs w:val="20"/>
                    </w:rPr>
                  </m:ctrlPr>
                </m:e>
                <m:sub>
                  <m:r>
                    <m:rPr>
                      <m:nor/>
                      <m:sty m:val="p"/>
                    </m:rPr>
                    <w:rPr>
                      <w:rFonts w:hint="default" w:ascii="DejaVu Math TeX Gyre" w:hAnsi="DejaVu Math TeX Gyre" w:cs="Arial Regular"/>
                      <w:b w:val="0"/>
                      <w:i w:val="0"/>
                      <w:sz w:val="20"/>
                      <w:szCs w:val="20"/>
                    </w:rPr>
                    <m:t>2</m:t>
                  </m:r>
                  <m:ctrlPr>
                    <w:rPr>
                      <w:rFonts w:hint="default" w:ascii="DejaVu Math TeX Gyre" w:hAnsi="DejaVu Math TeX Gyre" w:cs="Arial Regular"/>
                      <w:sz w:val="20"/>
                      <w:szCs w:val="20"/>
                    </w:rPr>
                  </m:ctrlPr>
                </m:sub>
              </m:sSub>
              <m:r>
                <m:rPr>
                  <m:nor/>
                  <m:sty m:val="p"/>
                </m:rPr>
                <w:rPr>
                  <w:rFonts w:hint="default" w:ascii="DejaVu Math TeX Gyre" w:hAnsi="DejaVu Math TeX Gyre" w:cs="Arial Regular"/>
                  <w:b w:val="0"/>
                  <w:i w:val="0"/>
                  <w:sz w:val="20"/>
                  <w:szCs w:val="20"/>
                </w:rPr>
                <m:t>,</m:t>
              </m:r>
              <m:sSub>
                <m:sSubPr>
                  <m:ctrlPr>
                    <w:rPr>
                      <w:rFonts w:hint="default" w:ascii="DejaVu Math TeX Gyre" w:hAnsi="DejaVu Math TeX Gyre" w:cs="Arial Regular"/>
                      <w:sz w:val="20"/>
                      <w:szCs w:val="20"/>
                    </w:rPr>
                  </m:ctrlPr>
                </m:sSubPr>
                <m:e>
                  <m:r>
                    <m:rPr>
                      <m:nor/>
                      <m:sty m:val="p"/>
                    </m:rPr>
                    <w:rPr>
                      <w:rFonts w:hint="default" w:ascii="DejaVu Math TeX Gyre" w:hAnsi="DejaVu Math TeX Gyre" w:cs="Arial Regular"/>
                      <w:b w:val="0"/>
                      <w:i w:val="0"/>
                      <w:sz w:val="20"/>
                      <w:szCs w:val="20"/>
                    </w:rPr>
                    <m:t>t</m:t>
                  </m:r>
                  <m:ctrlPr>
                    <w:rPr>
                      <w:rFonts w:hint="default" w:ascii="DejaVu Math TeX Gyre" w:hAnsi="DejaVu Math TeX Gyre" w:cs="Arial Regular"/>
                      <w:sz w:val="20"/>
                      <w:szCs w:val="20"/>
                    </w:rPr>
                  </m:ctrlPr>
                </m:e>
                <m:sub>
                  <m:r>
                    <m:rPr>
                      <m:nor/>
                      <m:sty m:val="p"/>
                    </m:rPr>
                    <w:rPr>
                      <w:rFonts w:hint="default" w:ascii="DejaVu Math TeX Gyre" w:hAnsi="DejaVu Math TeX Gyre" w:cs="Arial Regular"/>
                      <w:b w:val="0"/>
                      <w:i w:val="0"/>
                      <w:sz w:val="20"/>
                      <w:szCs w:val="20"/>
                    </w:rPr>
                    <m:t>j</m:t>
                  </m:r>
                  <m:ctrlPr>
                    <w:rPr>
                      <w:rFonts w:hint="default" w:ascii="DejaVu Math TeX Gyre" w:hAnsi="DejaVu Math TeX Gyre" w:cs="Arial Regular"/>
                      <w:sz w:val="20"/>
                      <w:szCs w:val="20"/>
                    </w:rPr>
                  </m:ctrlPr>
                </m:sub>
              </m:sSub>
              <m:r>
                <m:rPr>
                  <m:nor/>
                  <m:sty m:val="p"/>
                </m:rPr>
                <w:rPr>
                  <w:rFonts w:hint="default" w:ascii="DejaVu Math TeX Gyre" w:hAnsi="DejaVu Math TeX Gyre" w:cs="Arial Regular"/>
                  <w:b w:val="0"/>
                  <w:i w:val="0"/>
                  <w:sz w:val="20"/>
                  <w:szCs w:val="20"/>
                </w:rPr>
                <m:t>)</m:t>
              </m:r>
              <m:ctrlPr>
                <w:rPr>
                  <w:rFonts w:hint="default" w:ascii="DejaVu Math TeX Gyre" w:hAnsi="DejaVu Math TeX Gyre" w:cs="Arial Regular"/>
                  <w:sz w:val="20"/>
                  <w:szCs w:val="20"/>
                </w:rPr>
              </m:ctrlPr>
            </m:e>
          </m:nary>
        </m:oMath>
      </m:oMathPara>
    </w:p>
    <w:p w14:paraId="284D3973">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default" w:ascii="Arial Regular" w:hAnsi="Arial Regular" w:cs="Arial Regular"/>
          <w:sz w:val="20"/>
          <w:szCs w:val="20"/>
        </w:rPr>
      </w:pPr>
      <m:oMathPara>
        <m:oMath>
          <m:sSub>
            <m:sSubPr>
              <m:ctrlPr>
                <w:rPr>
                  <w:rFonts w:hint="default" w:ascii="DejaVu Math TeX Gyre" w:hAnsi="DejaVu Math TeX Gyre" w:cs="Arial Regular"/>
                  <w:sz w:val="20"/>
                  <w:szCs w:val="20"/>
                </w:rPr>
              </m:ctrlPr>
            </m:sSubPr>
            <m:e>
              <m:r>
                <m:rPr>
                  <m:nor/>
                  <m:sty m:val="p"/>
                </m:rPr>
                <w:rPr>
                  <w:rFonts w:hint="default" w:ascii="DejaVu Math TeX Gyre" w:hAnsi="DejaVu Math TeX Gyre" w:cs="Arial Regular"/>
                  <w:b w:val="0"/>
                  <w:i w:val="0"/>
                  <w:sz w:val="20"/>
                  <w:szCs w:val="20"/>
                </w:rPr>
                <m:t>ΔX</m:t>
              </m:r>
              <m:ctrlPr>
                <w:rPr>
                  <w:rFonts w:hint="default" w:ascii="DejaVu Math TeX Gyre" w:hAnsi="DejaVu Math TeX Gyre" w:cs="Arial Regular"/>
                  <w:sz w:val="20"/>
                  <w:szCs w:val="20"/>
                </w:rPr>
              </m:ctrlPr>
            </m:e>
            <m:sub>
              <m:r>
                <m:rPr>
                  <m:nor/>
                  <m:sty m:val="p"/>
                </m:rPr>
                <w:rPr>
                  <w:rFonts w:hint="default" w:ascii="DejaVu Math TeX Gyre" w:hAnsi="DejaVu Math TeX Gyre" w:cs="Arial Regular"/>
                  <w:b w:val="0"/>
                  <w:i w:val="0"/>
                  <w:sz w:val="20"/>
                  <w:szCs w:val="20"/>
                </w:rPr>
                <m:t>H</m:t>
              </m:r>
              <m:ctrlPr>
                <w:rPr>
                  <w:rFonts w:hint="default" w:ascii="DejaVu Math TeX Gyre" w:hAnsi="DejaVu Math TeX Gyre" w:cs="Arial Regular"/>
                  <w:sz w:val="20"/>
                  <w:szCs w:val="20"/>
                </w:rPr>
              </m:ctrlPr>
            </m:sub>
          </m:sSub>
          <m:r>
            <m:rPr>
              <m:nor/>
              <m:sty m:val="p"/>
            </m:rPr>
            <w:rPr>
              <w:rFonts w:hint="default" w:ascii="DejaVu Math TeX Gyre" w:hAnsi="DejaVu Math TeX Gyre" w:cs="Arial Regular"/>
              <w:b w:val="0"/>
              <w:i w:val="0"/>
              <w:sz w:val="20"/>
              <w:szCs w:val="20"/>
            </w:rPr>
            <m:t>(</m:t>
          </m:r>
          <m:sSub>
            <m:sSubPr>
              <m:ctrlPr>
                <w:rPr>
                  <w:rFonts w:hint="default" w:ascii="DejaVu Math TeX Gyre" w:hAnsi="DejaVu Math TeX Gyre" w:cs="Arial Regular"/>
                  <w:sz w:val="20"/>
                  <w:szCs w:val="20"/>
                </w:rPr>
              </m:ctrlPr>
            </m:sSubPr>
            <m:e>
              <m:r>
                <m:rPr>
                  <m:nor/>
                </m:rPr>
                <w:rPr>
                  <w:rFonts w:hint="default" w:ascii="DejaVu Math TeX Gyre" w:hAnsi="DejaVu Math TeX Gyre" w:cs="Arial Regular"/>
                  <w:i/>
                  <w:sz w:val="20"/>
                  <w:szCs w:val="20"/>
                </w:rPr>
                <m:t>v</m:t>
              </m:r>
              <m:ctrlPr>
                <w:rPr>
                  <w:rFonts w:hint="default" w:ascii="DejaVu Math TeX Gyre" w:hAnsi="DejaVu Math TeX Gyre" w:cs="Arial Regular"/>
                  <w:sz w:val="20"/>
                  <w:szCs w:val="20"/>
                </w:rPr>
              </m:ctrlPr>
            </m:e>
            <m:sub>
              <m:r>
                <m:rPr>
                  <m:nor/>
                  <m:sty m:val="p"/>
                </m:rPr>
                <w:rPr>
                  <w:rFonts w:hint="default" w:ascii="DejaVu Math TeX Gyre" w:hAnsi="DejaVu Math TeX Gyre" w:cs="Arial Regular"/>
                  <w:b w:val="0"/>
                  <w:i w:val="0"/>
                  <w:sz w:val="20"/>
                  <w:szCs w:val="20"/>
                </w:rPr>
                <m:t>2</m:t>
              </m:r>
              <m:ctrlPr>
                <w:rPr>
                  <w:rFonts w:hint="default" w:ascii="DejaVu Math TeX Gyre" w:hAnsi="DejaVu Math TeX Gyre" w:cs="Arial Regular"/>
                  <w:sz w:val="20"/>
                  <w:szCs w:val="20"/>
                </w:rPr>
              </m:ctrlPr>
            </m:sub>
          </m:sSub>
          <m:r>
            <m:rPr>
              <m:nor/>
              <m:sty m:val="p"/>
            </m:rPr>
            <w:rPr>
              <w:rFonts w:hint="default" w:ascii="DejaVu Math TeX Gyre" w:hAnsi="DejaVu Math TeX Gyre" w:cs="Arial Regular"/>
              <w:b w:val="0"/>
              <w:i w:val="0"/>
              <w:sz w:val="20"/>
              <w:szCs w:val="20"/>
            </w:rPr>
            <m:t>,</m:t>
          </m:r>
          <m:sSub>
            <m:sSubPr>
              <m:ctrlPr>
                <w:rPr>
                  <w:rFonts w:hint="default" w:ascii="DejaVu Math TeX Gyre" w:hAnsi="DejaVu Math TeX Gyre" w:cs="Arial Regular"/>
                  <w:sz w:val="20"/>
                  <w:szCs w:val="20"/>
                </w:rPr>
              </m:ctrlPr>
            </m:sSubPr>
            <m:e>
              <m:r>
                <m:rPr>
                  <m:nor/>
                  <m:sty m:val="p"/>
                </m:rPr>
                <w:rPr>
                  <w:rFonts w:hint="default" w:ascii="DejaVu Math TeX Gyre" w:hAnsi="DejaVu Math TeX Gyre" w:cs="Arial Regular"/>
                  <w:b w:val="0"/>
                  <w:i w:val="0"/>
                  <w:sz w:val="20"/>
                  <w:szCs w:val="20"/>
                </w:rPr>
                <m:t>t</m:t>
              </m:r>
              <m:ctrlPr>
                <w:rPr>
                  <w:rFonts w:hint="default" w:ascii="DejaVu Math TeX Gyre" w:hAnsi="DejaVu Math TeX Gyre" w:cs="Arial Regular"/>
                  <w:sz w:val="20"/>
                  <w:szCs w:val="20"/>
                </w:rPr>
              </m:ctrlPr>
            </m:e>
            <m:sub>
              <m:r>
                <m:rPr>
                  <m:nor/>
                  <m:sty m:val="p"/>
                </m:rPr>
                <w:rPr>
                  <w:rFonts w:hint="default" w:ascii="DejaVu Math TeX Gyre" w:hAnsi="DejaVu Math TeX Gyre" w:cs="Arial Regular"/>
                  <w:b w:val="0"/>
                  <w:i w:val="0"/>
                  <w:sz w:val="20"/>
                  <w:szCs w:val="20"/>
                </w:rPr>
                <m:t>j</m:t>
              </m:r>
              <m:ctrlPr>
                <w:rPr>
                  <w:rFonts w:hint="default" w:ascii="DejaVu Math TeX Gyre" w:hAnsi="DejaVu Math TeX Gyre" w:cs="Arial Regular"/>
                  <w:sz w:val="20"/>
                  <w:szCs w:val="20"/>
                </w:rPr>
              </m:ctrlPr>
            </m:sub>
          </m:sSub>
          <m:r>
            <m:rPr>
              <m:nor/>
              <m:sty m:val="p"/>
            </m:rPr>
            <w:rPr>
              <w:rFonts w:hint="default" w:ascii="DejaVu Math TeX Gyre" w:hAnsi="DejaVu Math TeX Gyre" w:cs="Arial Regular"/>
              <w:b w:val="0"/>
              <w:i w:val="0"/>
              <w:sz w:val="20"/>
              <w:szCs w:val="20"/>
            </w:rPr>
            <m:t>)=</m:t>
          </m:r>
          <m:nary>
            <m:naryPr>
              <m:chr m:val="∑"/>
              <m:limLoc m:val="undOvr"/>
              <m:ctrlPr>
                <w:rPr>
                  <w:rFonts w:hint="default" w:ascii="DejaVu Math TeX Gyre" w:hAnsi="DejaVu Math TeX Gyre" w:cs="Arial Regular"/>
                  <w:sz w:val="20"/>
                  <w:szCs w:val="20"/>
                </w:rPr>
              </m:ctrlPr>
            </m:naryPr>
            <m:sub>
              <m:r>
                <m:rPr>
                  <m:nor/>
                  <m:sty m:val="p"/>
                </m:rPr>
                <w:rPr>
                  <w:rFonts w:hint="default" w:ascii="DejaVu Math TeX Gyre" w:hAnsi="DejaVu Math TeX Gyre" w:cs="Arial Regular"/>
                  <w:b w:val="0"/>
                  <w:i w:val="0"/>
                  <w:sz w:val="20"/>
                  <w:szCs w:val="20"/>
                </w:rPr>
                <m:t>l=1</m:t>
              </m:r>
              <m:ctrlPr>
                <w:rPr>
                  <w:rFonts w:hint="default" w:ascii="DejaVu Math TeX Gyre" w:hAnsi="DejaVu Math TeX Gyre" w:cs="Arial Regular"/>
                  <w:sz w:val="20"/>
                  <w:szCs w:val="20"/>
                </w:rPr>
              </m:ctrlPr>
            </m:sub>
            <m:sup>
              <m:r>
                <m:rPr>
                  <m:nor/>
                  <m:sty m:val="p"/>
                </m:rPr>
                <w:rPr>
                  <w:rFonts w:hint="default" w:ascii="DejaVu Math TeX Gyre" w:hAnsi="DejaVu Math TeX Gyre" w:cs="Arial Regular"/>
                  <w:b w:val="0"/>
                  <w:i w:val="0"/>
                  <w:sz w:val="20"/>
                  <w:szCs w:val="20"/>
                </w:rPr>
                <m:t>m</m:t>
              </m:r>
              <m:ctrlPr>
                <w:rPr>
                  <w:rFonts w:hint="default" w:ascii="DejaVu Math TeX Gyre" w:hAnsi="DejaVu Math TeX Gyre" w:cs="Arial Regular"/>
                  <w:sz w:val="20"/>
                  <w:szCs w:val="20"/>
                </w:rPr>
              </m:ctrlPr>
            </m:sup>
            <m:e>
              <m:sSub>
                <m:sSubPr>
                  <m:ctrlPr>
                    <w:rPr>
                      <w:rFonts w:hint="default" w:ascii="DejaVu Math TeX Gyre" w:hAnsi="DejaVu Math TeX Gyre" w:cs="Arial Regular"/>
                      <w:sz w:val="20"/>
                      <w:szCs w:val="20"/>
                    </w:rPr>
                  </m:ctrlPr>
                </m:sSubPr>
                <m:e>
                  <m:r>
                    <m:rPr>
                      <m:nor/>
                      <m:sty m:val="p"/>
                    </m:rPr>
                    <w:rPr>
                      <w:rFonts w:hint="default" w:ascii="DejaVu Math TeX Gyre" w:hAnsi="DejaVu Math TeX Gyre" w:cs="Arial Regular"/>
                      <w:b w:val="0"/>
                      <w:i w:val="0"/>
                      <w:sz w:val="20"/>
                      <w:szCs w:val="20"/>
                    </w:rPr>
                    <m:t>N</m:t>
                  </m:r>
                  <m:ctrlPr>
                    <w:rPr>
                      <w:rFonts w:hint="default" w:ascii="DejaVu Math TeX Gyre" w:hAnsi="DejaVu Math TeX Gyre" w:cs="Arial Regular"/>
                      <w:sz w:val="20"/>
                      <w:szCs w:val="20"/>
                    </w:rPr>
                  </m:ctrlPr>
                </m:e>
                <m:sub>
                  <m:r>
                    <m:rPr>
                      <m:nor/>
                      <m:sty m:val="p"/>
                    </m:rPr>
                    <w:rPr>
                      <w:rFonts w:hint="default" w:ascii="DejaVu Math TeX Gyre" w:hAnsi="DejaVu Math TeX Gyre" w:cs="Arial Regular"/>
                      <w:b w:val="0"/>
                      <w:i w:val="0"/>
                      <w:sz w:val="20"/>
                      <w:szCs w:val="20"/>
                    </w:rPr>
                    <m:t>jl</m:t>
                  </m:r>
                  <m:ctrlPr>
                    <w:rPr>
                      <w:rFonts w:hint="default" w:ascii="DejaVu Math TeX Gyre" w:hAnsi="DejaVu Math TeX Gyre" w:cs="Arial Regular"/>
                      <w:sz w:val="20"/>
                      <w:szCs w:val="20"/>
                    </w:rPr>
                  </m:ctrlPr>
                </m:sub>
              </m:sSub>
              <m:r>
                <m:rPr>
                  <m:nor/>
                  <m:sty m:val="p"/>
                </m:rPr>
                <w:rPr>
                  <w:rFonts w:hint="default" w:ascii="DejaVu Math TeX Gyre" w:hAnsi="DejaVu Math TeX Gyre" w:cs="Arial Regular"/>
                  <w:b w:val="0"/>
                  <w:i w:val="0"/>
                  <w:sz w:val="20"/>
                  <w:szCs w:val="20"/>
                </w:rPr>
                <m:t>∙ΔX(</m:t>
              </m:r>
              <m:r>
                <m:rPr>
                  <m:nor/>
                </m:rPr>
                <w:rPr>
                  <w:rFonts w:hint="default" w:ascii="DejaVu Math TeX Gyre" w:hAnsi="DejaVu Math TeX Gyre" w:cs="Arial Regular"/>
                  <w:i/>
                  <w:sz w:val="20"/>
                  <w:szCs w:val="20"/>
                </w:rPr>
                <m:t>v</m:t>
              </m:r>
              <m:r>
                <m:rPr>
                  <m:nor/>
                  <m:sty m:val="p"/>
                </m:rPr>
                <w:rPr>
                  <w:rFonts w:hint="default" w:ascii="DejaVu Math TeX Gyre" w:hAnsi="DejaVu Math TeX Gyre" w:cs="Arial Regular"/>
                  <w:b w:val="0"/>
                  <w:i w:val="0"/>
                  <w:sz w:val="20"/>
                  <w:szCs w:val="20"/>
                </w:rPr>
                <m:t>,</m:t>
              </m:r>
              <m:sSub>
                <m:sSubPr>
                  <m:ctrlPr>
                    <w:rPr>
                      <w:rFonts w:hint="default" w:ascii="DejaVu Math TeX Gyre" w:hAnsi="DejaVu Math TeX Gyre" w:cs="Arial Regular"/>
                      <w:sz w:val="20"/>
                      <w:szCs w:val="20"/>
                    </w:rPr>
                  </m:ctrlPr>
                </m:sSubPr>
                <m:e>
                  <m:r>
                    <m:rPr>
                      <m:nor/>
                      <m:sty m:val="p"/>
                    </m:rPr>
                    <w:rPr>
                      <w:rFonts w:hint="default" w:ascii="DejaVu Math TeX Gyre" w:hAnsi="DejaVu Math TeX Gyre" w:cs="Arial Regular"/>
                      <w:b w:val="0"/>
                      <w:i w:val="0"/>
                      <w:sz w:val="20"/>
                      <w:szCs w:val="20"/>
                    </w:rPr>
                    <m:t>t</m:t>
                  </m:r>
                  <m:ctrlPr>
                    <w:rPr>
                      <w:rFonts w:hint="default" w:ascii="DejaVu Math TeX Gyre" w:hAnsi="DejaVu Math TeX Gyre" w:cs="Arial Regular"/>
                      <w:sz w:val="20"/>
                      <w:szCs w:val="20"/>
                    </w:rPr>
                  </m:ctrlPr>
                </m:e>
                <m:sub>
                  <m:r>
                    <m:rPr>
                      <m:nor/>
                      <m:sty m:val="p"/>
                    </m:rPr>
                    <w:rPr>
                      <w:rFonts w:hint="default" w:ascii="DejaVu Math TeX Gyre" w:hAnsi="DejaVu Math TeX Gyre" w:cs="Arial Regular"/>
                      <w:b w:val="0"/>
                      <w:i w:val="0"/>
                      <w:sz w:val="20"/>
                      <w:szCs w:val="20"/>
                    </w:rPr>
                    <m:t>l</m:t>
                  </m:r>
                  <m:ctrlPr>
                    <w:rPr>
                      <w:rFonts w:hint="default" w:ascii="DejaVu Math TeX Gyre" w:hAnsi="DejaVu Math TeX Gyre" w:cs="Arial Regular"/>
                      <w:sz w:val="20"/>
                      <w:szCs w:val="20"/>
                    </w:rPr>
                  </m:ctrlPr>
                </m:sub>
              </m:sSub>
              <m:r>
                <m:rPr>
                  <m:nor/>
                  <m:sty m:val="p"/>
                </m:rPr>
                <w:rPr>
                  <w:rFonts w:hint="default" w:ascii="DejaVu Math TeX Gyre" w:hAnsi="DejaVu Math TeX Gyre" w:cs="Arial Regular"/>
                  <w:b w:val="0"/>
                  <w:i w:val="0"/>
                  <w:sz w:val="20"/>
                  <w:szCs w:val="20"/>
                </w:rPr>
                <m:t>)</m:t>
              </m:r>
              <m:ctrlPr>
                <w:rPr>
                  <w:rFonts w:hint="default" w:ascii="DejaVu Math TeX Gyre" w:hAnsi="DejaVu Math TeX Gyre" w:cs="Arial Regular"/>
                  <w:sz w:val="20"/>
                  <w:szCs w:val="20"/>
                </w:rPr>
              </m:ctrlPr>
            </m:e>
          </m:nary>
        </m:oMath>
      </m:oMathPara>
    </w:p>
    <w:p w14:paraId="731112CA">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default" w:ascii="Arial Regular" w:hAnsi="Arial Regular" w:cs="Arial Regular"/>
          <w:sz w:val="20"/>
          <w:szCs w:val="20"/>
        </w:rPr>
      </w:pPr>
      <m:oMathPara>
        <m:oMath>
          <m:sSub>
            <m:sSubPr>
              <m:ctrlPr>
                <w:rPr>
                  <w:rFonts w:hint="default" w:ascii="DejaVu Math TeX Gyre" w:hAnsi="DejaVu Math TeX Gyre" w:cs="Arial Regular"/>
                  <w:sz w:val="20"/>
                  <w:szCs w:val="20"/>
                </w:rPr>
              </m:ctrlPr>
            </m:sSubPr>
            <m:e>
              <m:r>
                <m:rPr>
                  <m:nor/>
                  <m:sty m:val="p"/>
                </m:rPr>
                <w:rPr>
                  <w:rFonts w:hint="default" w:ascii="DejaVu Math TeX Gyre" w:hAnsi="DejaVu Math TeX Gyre" w:cs="Arial Regular"/>
                  <w:b w:val="0"/>
                  <w:i w:val="0"/>
                  <w:sz w:val="20"/>
                  <w:szCs w:val="20"/>
                </w:rPr>
                <m:t>N</m:t>
              </m:r>
              <m:ctrlPr>
                <w:rPr>
                  <w:rFonts w:hint="default" w:ascii="DejaVu Math TeX Gyre" w:hAnsi="DejaVu Math TeX Gyre" w:cs="Arial Regular"/>
                  <w:sz w:val="20"/>
                  <w:szCs w:val="20"/>
                </w:rPr>
              </m:ctrlPr>
            </m:e>
            <m:sub>
              <m:r>
                <m:rPr>
                  <m:nor/>
                  <m:sty m:val="p"/>
                </m:rPr>
                <w:rPr>
                  <w:rFonts w:hint="default" w:ascii="DejaVu Math TeX Gyre" w:hAnsi="DejaVu Math TeX Gyre" w:cs="Arial Regular"/>
                  <w:b w:val="0"/>
                  <w:i w:val="0"/>
                  <w:sz w:val="20"/>
                  <w:szCs w:val="20"/>
                </w:rPr>
                <m:t>jl</m:t>
              </m:r>
              <m:ctrlPr>
                <w:rPr>
                  <w:rFonts w:hint="default" w:ascii="DejaVu Math TeX Gyre" w:hAnsi="DejaVu Math TeX Gyre" w:cs="Arial Regular"/>
                  <w:sz w:val="20"/>
                  <w:szCs w:val="20"/>
                </w:rPr>
              </m:ctrlPr>
            </m:sub>
          </m:sSub>
          <m:r>
            <m:rPr>
              <m:nor/>
              <m:sty m:val="p"/>
            </m:rPr>
            <w:rPr>
              <w:rFonts w:hint="default" w:ascii="DejaVu Math TeX Gyre" w:hAnsi="DejaVu Math TeX Gyre" w:cs="Arial Regular"/>
              <w:b w:val="0"/>
              <w:i w:val="0"/>
              <w:sz w:val="20"/>
              <w:szCs w:val="20"/>
            </w:rPr>
            <m:t>=</m:t>
          </m:r>
          <m:d>
            <m:dPr>
              <m:begChr m:val="{"/>
              <m:endChr m:val=""/>
              <m:ctrlPr>
                <w:rPr>
                  <w:rFonts w:hint="default" w:ascii="DejaVu Math TeX Gyre" w:hAnsi="DejaVu Math TeX Gyre" w:cs="Arial Regular"/>
                  <w:sz w:val="20"/>
                  <w:szCs w:val="20"/>
                </w:rPr>
              </m:ctrlPr>
            </m:dPr>
            <m:e>
              <m:eqArr>
                <m:eqArrPr>
                  <m:ctrlPr>
                    <w:rPr>
                      <w:rFonts w:hint="default" w:ascii="DejaVu Math TeX Gyre" w:hAnsi="DejaVu Math TeX Gyre" w:cs="Arial Regular"/>
                      <w:sz w:val="20"/>
                      <w:szCs w:val="20"/>
                    </w:rPr>
                  </m:ctrlPr>
                </m:eqArrPr>
                <m:e>
                  <m:r>
                    <m:rPr>
                      <m:nor/>
                      <m:sty m:val="p"/>
                    </m:rPr>
                    <w:rPr>
                      <w:rFonts w:hint="default" w:ascii="DejaVu Math TeX Gyre" w:hAnsi="DejaVu Math TeX Gyre" w:cs="Arial Regular"/>
                      <w:b w:val="0"/>
                      <w:i w:val="0"/>
                      <w:sz w:val="20"/>
                      <w:szCs w:val="20"/>
                    </w:rPr>
                    <m:t>0                      j=l</m:t>
                  </m:r>
                  <m:ctrlPr>
                    <w:rPr>
                      <w:rFonts w:hint="default" w:ascii="DejaVu Math TeX Gyre" w:hAnsi="DejaVu Math TeX Gyre" w:cs="Arial Regular"/>
                      <w:sz w:val="20"/>
                      <w:szCs w:val="20"/>
                    </w:rPr>
                  </m:ctrlPr>
                </m:e>
                <m:e>
                  <m:f>
                    <m:fPr>
                      <m:ctrlPr>
                        <w:rPr>
                          <w:rFonts w:hint="default" w:ascii="DejaVu Math TeX Gyre" w:hAnsi="DejaVu Math TeX Gyre" w:cs="Arial Regular"/>
                          <w:sz w:val="20"/>
                          <w:szCs w:val="20"/>
                        </w:rPr>
                      </m:ctrlPr>
                    </m:fPr>
                    <m:num>
                      <m:r>
                        <m:rPr>
                          <m:nor/>
                          <m:sty m:val="p"/>
                        </m:rPr>
                        <w:rPr>
                          <w:rFonts w:hint="default" w:ascii="DejaVu Math TeX Gyre" w:hAnsi="DejaVu Math TeX Gyre" w:cs="Arial Regular"/>
                          <w:b w:val="0"/>
                          <w:i w:val="0"/>
                          <w:sz w:val="20"/>
                          <w:szCs w:val="20"/>
                        </w:rPr>
                        <m:t>1</m:t>
                      </m:r>
                      <m:ctrlPr>
                        <w:rPr>
                          <w:rFonts w:hint="default" w:ascii="DejaVu Math TeX Gyre" w:hAnsi="DejaVu Math TeX Gyre" w:cs="Arial Regular"/>
                          <w:sz w:val="20"/>
                          <w:szCs w:val="20"/>
                        </w:rPr>
                      </m:ctrlPr>
                    </m:num>
                    <m:den>
                      <m:r>
                        <m:rPr>
                          <m:nor/>
                          <m:sty m:val="p"/>
                        </m:rPr>
                        <w:rPr>
                          <w:rFonts w:hint="default" w:ascii="DejaVu Math TeX Gyre" w:hAnsi="DejaVu Math TeX Gyre" w:cs="Arial Regular"/>
                          <w:b w:val="0"/>
                          <w:i w:val="0"/>
                          <w:sz w:val="20"/>
                          <w:szCs w:val="20"/>
                        </w:rPr>
                        <m:t>π</m:t>
                      </m:r>
                      <m:d>
                        <m:dPr>
                          <m:ctrlPr>
                            <w:rPr>
                              <w:rFonts w:hint="default" w:ascii="DejaVu Math TeX Gyre" w:hAnsi="DejaVu Math TeX Gyre" w:cs="Arial Regular"/>
                              <w:sz w:val="20"/>
                              <w:szCs w:val="20"/>
                            </w:rPr>
                          </m:ctrlPr>
                        </m:dPr>
                        <m:e>
                          <m:r>
                            <m:rPr>
                              <m:nor/>
                              <m:sty m:val="p"/>
                            </m:rPr>
                            <w:rPr>
                              <w:rFonts w:hint="default" w:ascii="DejaVu Math TeX Gyre" w:hAnsi="DejaVu Math TeX Gyre" w:cs="Arial Regular"/>
                              <w:b w:val="0"/>
                              <w:i w:val="0"/>
                              <w:sz w:val="20"/>
                              <w:szCs w:val="20"/>
                            </w:rPr>
                            <m:t>l-j</m:t>
                          </m:r>
                          <m:ctrlPr>
                            <w:rPr>
                              <w:rFonts w:hint="default" w:ascii="DejaVu Math TeX Gyre" w:hAnsi="DejaVu Math TeX Gyre" w:cs="Arial Regular"/>
                              <w:sz w:val="20"/>
                              <w:szCs w:val="20"/>
                            </w:rPr>
                          </m:ctrlPr>
                        </m:e>
                      </m:d>
                      <m:ctrlPr>
                        <w:rPr>
                          <w:rFonts w:hint="default" w:ascii="DejaVu Math TeX Gyre" w:hAnsi="DejaVu Math TeX Gyre" w:cs="Arial Regular"/>
                          <w:sz w:val="20"/>
                          <w:szCs w:val="20"/>
                        </w:rPr>
                      </m:ctrlPr>
                    </m:den>
                  </m:f>
                  <m:r>
                    <m:rPr>
                      <m:nor/>
                      <m:sty m:val="p"/>
                    </m:rPr>
                    <w:rPr>
                      <w:rFonts w:hint="default" w:ascii="DejaVu Math TeX Gyre" w:hAnsi="DejaVu Math TeX Gyre" w:cs="Arial Regular"/>
                      <w:b w:val="0"/>
                      <w:i w:val="0"/>
                      <w:sz w:val="20"/>
                      <w:szCs w:val="20"/>
                    </w:rPr>
                    <m:t xml:space="preserve">   otherwise</m:t>
                  </m:r>
                  <m:ctrlPr>
                    <w:rPr>
                      <w:rFonts w:hint="default" w:ascii="DejaVu Math TeX Gyre" w:hAnsi="DejaVu Math TeX Gyre" w:cs="Arial Regular"/>
                      <w:sz w:val="20"/>
                      <w:szCs w:val="20"/>
                    </w:rPr>
                  </m:ctrlPr>
                </m:e>
              </m:eqArr>
              <m:ctrlPr>
                <w:rPr>
                  <w:rFonts w:hint="default" w:ascii="DejaVu Math TeX Gyre" w:hAnsi="DejaVu Math TeX Gyre" w:cs="Arial Regular"/>
                  <w:sz w:val="20"/>
                  <w:szCs w:val="20"/>
                </w:rPr>
              </m:ctrlPr>
            </m:e>
          </m:d>
        </m:oMath>
      </m:oMathPara>
    </w:p>
    <w:p w14:paraId="65BDAC3E">
      <w:pPr>
        <w:keepNext w:val="0"/>
        <w:keepLines w:val="0"/>
        <w:pageBreakBefore w:val="0"/>
        <w:widowControl w:val="0"/>
        <w:kinsoku/>
        <w:wordWrap/>
        <w:overflowPunct/>
        <w:topLinePunct w:val="0"/>
        <w:autoSpaceDE/>
        <w:autoSpaceDN/>
        <w:bidi w:val="0"/>
        <w:adjustRightInd w:val="0"/>
        <w:snapToGrid w:val="0"/>
        <w:spacing w:line="360" w:lineRule="auto"/>
        <w:ind w:firstLine="400" w:firstLineChars="200"/>
        <w:textAlignment w:val="auto"/>
        <w:rPr>
          <w:rFonts w:hint="default" w:ascii="Arial Regular" w:hAnsi="Arial Regular" w:cs="Arial Regular"/>
          <w:b/>
          <w:sz w:val="20"/>
          <w:szCs w:val="20"/>
        </w:rPr>
      </w:pPr>
      <w:r>
        <w:rPr>
          <w:rFonts w:hint="default" w:ascii="Arial Regular" w:hAnsi="Arial Regular" w:cs="Arial Regular"/>
          <w:b w:val="0"/>
          <w:sz w:val="20"/>
          <w:szCs w:val="20"/>
        </w:rPr>
        <w:t xml:space="preserve">According </w:t>
      </w:r>
      <w:r>
        <w:rPr>
          <w:rFonts w:hint="default" w:ascii="Arial Regular" w:hAnsi="Arial Regular" w:cs="Arial Regular"/>
          <w:sz w:val="20"/>
          <w:szCs w:val="20"/>
        </w:rPr>
        <w:t xml:space="preserve">to Noda’s rules, the sequential order of spectral intensity changes can be determined by analyzing the sign relationship of cross-peaks in the synchronous and asynchronous 2D correlation spectra. If the cross-peaks at the same spectral coordinates </w:t>
      </w:r>
      <m:oMath>
        <m:r>
          <m:rPr>
            <m:nor/>
            <m:sty m:val="p"/>
          </m:rPr>
          <w:rPr>
            <w:rFonts w:hint="default" w:ascii="DejaVu Math TeX Gyre" w:hAnsi="DejaVu Math TeX Gyre" w:cs="Arial Regular"/>
            <w:b w:val="0"/>
            <w:i w:val="0"/>
            <w:sz w:val="20"/>
            <w:szCs w:val="20"/>
          </w:rPr>
          <m:t>(</m:t>
        </m:r>
        <m:sSub>
          <m:sSubPr>
            <m:ctrlPr>
              <w:rPr>
                <w:rFonts w:hint="default" w:ascii="DejaVu Math TeX Gyre" w:hAnsi="DejaVu Math TeX Gyre" w:cs="Arial Regular"/>
                <w:sz w:val="20"/>
                <w:szCs w:val="20"/>
              </w:rPr>
            </m:ctrlPr>
          </m:sSubPr>
          <m:e>
            <m:r>
              <m:rPr>
                <m:nor/>
              </m:rPr>
              <w:rPr>
                <w:rFonts w:hint="default" w:ascii="DejaVu Math TeX Gyre" w:hAnsi="DejaVu Math TeX Gyre" w:cs="Arial Regular"/>
                <w:i/>
                <w:sz w:val="20"/>
                <w:szCs w:val="20"/>
              </w:rPr>
              <m:t>v</m:t>
            </m:r>
            <m:ctrlPr>
              <w:rPr>
                <w:rFonts w:hint="default" w:ascii="DejaVu Math TeX Gyre" w:hAnsi="DejaVu Math TeX Gyre" w:cs="Arial Regular"/>
                <w:sz w:val="20"/>
                <w:szCs w:val="20"/>
              </w:rPr>
            </m:ctrlPr>
          </m:e>
          <m:sub>
            <m:r>
              <m:rPr>
                <m:nor/>
                <m:sty m:val="p"/>
              </m:rPr>
              <w:rPr>
                <w:rFonts w:hint="default" w:ascii="DejaVu Math TeX Gyre" w:hAnsi="DejaVu Math TeX Gyre" w:cs="Arial Regular"/>
                <w:b w:val="0"/>
                <w:i w:val="0"/>
                <w:sz w:val="20"/>
                <w:szCs w:val="20"/>
              </w:rPr>
              <m:t>1</m:t>
            </m:r>
            <m:ctrlPr>
              <w:rPr>
                <w:rFonts w:hint="default" w:ascii="DejaVu Math TeX Gyre" w:hAnsi="DejaVu Math TeX Gyre" w:cs="Arial Regular"/>
                <w:sz w:val="20"/>
                <w:szCs w:val="20"/>
              </w:rPr>
            </m:ctrlPr>
          </m:sub>
        </m:sSub>
        <m:r>
          <m:rPr>
            <m:nor/>
            <m:sty m:val="p"/>
          </m:rPr>
          <w:rPr>
            <w:rFonts w:hint="default" w:ascii="DejaVu Math TeX Gyre" w:hAnsi="DejaVu Math TeX Gyre" w:cs="Arial Regular"/>
            <w:b w:val="0"/>
            <w:i w:val="0"/>
            <w:sz w:val="20"/>
            <w:szCs w:val="20"/>
          </w:rPr>
          <m:t>,</m:t>
        </m:r>
        <m:sSub>
          <m:sSubPr>
            <m:ctrlPr>
              <w:rPr>
                <w:rFonts w:hint="default" w:ascii="DejaVu Math TeX Gyre" w:hAnsi="DejaVu Math TeX Gyre" w:cs="Arial Regular"/>
                <w:sz w:val="20"/>
                <w:szCs w:val="20"/>
              </w:rPr>
            </m:ctrlPr>
          </m:sSubPr>
          <m:e>
            <m:r>
              <m:rPr>
                <m:nor/>
              </m:rPr>
              <w:rPr>
                <w:rFonts w:hint="default" w:ascii="DejaVu Math TeX Gyre" w:hAnsi="DejaVu Math TeX Gyre" w:cs="Arial Regular"/>
                <w:i/>
                <w:sz w:val="20"/>
                <w:szCs w:val="20"/>
              </w:rPr>
              <m:t>v</m:t>
            </m:r>
            <m:ctrlPr>
              <w:rPr>
                <w:rFonts w:hint="default" w:ascii="DejaVu Math TeX Gyre" w:hAnsi="DejaVu Math TeX Gyre" w:cs="Arial Regular"/>
                <w:sz w:val="20"/>
                <w:szCs w:val="20"/>
              </w:rPr>
            </m:ctrlPr>
          </m:e>
          <m:sub>
            <m:r>
              <m:rPr>
                <m:nor/>
                <m:sty m:val="p"/>
              </m:rPr>
              <w:rPr>
                <w:rFonts w:hint="default" w:ascii="DejaVu Math TeX Gyre" w:hAnsi="DejaVu Math TeX Gyre" w:cs="Arial Regular"/>
                <w:b w:val="0"/>
                <w:i w:val="0"/>
                <w:sz w:val="20"/>
                <w:szCs w:val="20"/>
              </w:rPr>
              <m:t>2</m:t>
            </m:r>
            <m:ctrlPr>
              <w:rPr>
                <w:rFonts w:hint="default" w:ascii="DejaVu Math TeX Gyre" w:hAnsi="DejaVu Math TeX Gyre" w:cs="Arial Regular"/>
                <w:sz w:val="20"/>
                <w:szCs w:val="20"/>
              </w:rPr>
            </m:ctrlPr>
          </m:sub>
        </m:sSub>
        <m:r>
          <m:rPr>
            <m:nor/>
            <m:sty m:val="p"/>
          </m:rPr>
          <w:rPr>
            <w:rFonts w:hint="default" w:ascii="DejaVu Math TeX Gyre" w:hAnsi="DejaVu Math TeX Gyre" w:cs="Arial Regular"/>
            <w:b w:val="0"/>
            <w:i w:val="0"/>
            <w:sz w:val="20"/>
            <w:szCs w:val="20"/>
          </w:rPr>
          <m:t>)</m:t>
        </m:r>
      </m:oMath>
      <w:r>
        <w:rPr>
          <w:rFonts w:hint="default" w:ascii="Arial Regular" w:hAnsi="Arial Regular" w:cs="Arial Regular"/>
          <w:sz w:val="20"/>
          <w:szCs w:val="20"/>
        </w:rPr>
        <w:t xml:space="preserve"> exhibit the same sign (both positive or both negative) in both the synchronous and asynchronous spectra, the change in spectral intensity at </w:t>
      </w:r>
      <m:oMath>
        <m:sSub>
          <m:sSubPr>
            <m:ctrlPr>
              <w:rPr>
                <w:rFonts w:hint="default" w:ascii="DejaVu Math TeX Gyre" w:hAnsi="DejaVu Math TeX Gyre" w:cs="Arial Regular"/>
                <w:sz w:val="20"/>
                <w:szCs w:val="20"/>
              </w:rPr>
            </m:ctrlPr>
          </m:sSubPr>
          <m:e>
            <m:r>
              <m:rPr>
                <m:nor/>
              </m:rPr>
              <w:rPr>
                <w:rFonts w:hint="default" w:ascii="DejaVu Math TeX Gyre" w:hAnsi="DejaVu Math TeX Gyre" w:cs="Arial Regular"/>
                <w:i/>
                <w:sz w:val="20"/>
                <w:szCs w:val="20"/>
              </w:rPr>
              <m:t>v</m:t>
            </m:r>
            <m:ctrlPr>
              <w:rPr>
                <w:rFonts w:hint="default" w:ascii="DejaVu Math TeX Gyre" w:hAnsi="DejaVu Math TeX Gyre" w:cs="Arial Regular"/>
                <w:sz w:val="20"/>
                <w:szCs w:val="20"/>
              </w:rPr>
            </m:ctrlPr>
          </m:e>
          <m:sub>
            <m:r>
              <m:rPr>
                <m:nor/>
                <m:sty m:val="p"/>
              </m:rPr>
              <w:rPr>
                <w:rFonts w:hint="default" w:ascii="DejaVu Math TeX Gyre" w:hAnsi="DejaVu Math TeX Gyre" w:cs="Arial Regular"/>
                <w:b w:val="0"/>
                <w:i w:val="0"/>
                <w:sz w:val="20"/>
                <w:szCs w:val="20"/>
              </w:rPr>
              <m:t>1</m:t>
            </m:r>
            <m:ctrlPr>
              <w:rPr>
                <w:rFonts w:hint="default" w:ascii="DejaVu Math TeX Gyre" w:hAnsi="DejaVu Math TeX Gyre" w:cs="Arial Regular"/>
                <w:sz w:val="20"/>
                <w:szCs w:val="20"/>
              </w:rPr>
            </m:ctrlPr>
          </m:sub>
        </m:sSub>
      </m:oMath>
      <w:r>
        <w:rPr>
          <w:rFonts w:hint="default" w:ascii="Arial Regular" w:hAnsi="Arial Regular" w:cs="Arial Regular"/>
          <w:sz w:val="20"/>
          <w:szCs w:val="20"/>
        </w:rPr>
        <w:t xml:space="preserve"> precedes that at </w:t>
      </w:r>
      <m:oMath>
        <m:sSub>
          <m:sSubPr>
            <m:ctrlPr>
              <w:rPr>
                <w:rFonts w:hint="default" w:ascii="DejaVu Math TeX Gyre" w:hAnsi="DejaVu Math TeX Gyre" w:cs="Arial Regular"/>
                <w:sz w:val="20"/>
                <w:szCs w:val="20"/>
              </w:rPr>
            </m:ctrlPr>
          </m:sSubPr>
          <m:e>
            <m:r>
              <m:rPr>
                <m:nor/>
              </m:rPr>
              <w:rPr>
                <w:rFonts w:hint="default" w:ascii="DejaVu Math TeX Gyre" w:hAnsi="DejaVu Math TeX Gyre" w:cs="Arial Regular"/>
                <w:i/>
                <w:sz w:val="20"/>
                <w:szCs w:val="20"/>
              </w:rPr>
              <m:t>v</m:t>
            </m:r>
            <m:ctrlPr>
              <w:rPr>
                <w:rFonts w:hint="default" w:ascii="DejaVu Math TeX Gyre" w:hAnsi="DejaVu Math TeX Gyre" w:cs="Arial Regular"/>
                <w:sz w:val="20"/>
                <w:szCs w:val="20"/>
              </w:rPr>
            </m:ctrlPr>
          </m:e>
          <m:sub>
            <m:r>
              <m:rPr>
                <m:nor/>
                <m:sty m:val="p"/>
              </m:rPr>
              <w:rPr>
                <w:rFonts w:hint="default" w:ascii="DejaVu Math TeX Gyre" w:hAnsi="DejaVu Math TeX Gyre" w:cs="Arial Regular"/>
                <w:b w:val="0"/>
                <w:i w:val="0"/>
                <w:sz w:val="20"/>
                <w:szCs w:val="20"/>
              </w:rPr>
              <m:t>2</m:t>
            </m:r>
            <m:ctrlPr>
              <w:rPr>
                <w:rFonts w:hint="default" w:ascii="DejaVu Math TeX Gyre" w:hAnsi="DejaVu Math TeX Gyre" w:cs="Arial Regular"/>
                <w:sz w:val="20"/>
                <w:szCs w:val="20"/>
              </w:rPr>
            </m:ctrlPr>
          </m:sub>
        </m:sSub>
      </m:oMath>
      <w:r>
        <w:rPr>
          <w:rFonts w:hint="default" w:ascii="Arial Regular" w:hAnsi="Arial Regular" w:cs="Arial Regular"/>
          <w:sz w:val="20"/>
          <w:szCs w:val="20"/>
        </w:rPr>
        <w:t xml:space="preserve">. Conversely, if the cross-peaks at the same coordinates have opposite signs (one positive and the other negative), the change at </w:t>
      </w:r>
      <m:oMath>
        <m:sSub>
          <m:sSubPr>
            <m:ctrlPr>
              <w:rPr>
                <w:rFonts w:hint="default" w:ascii="DejaVu Math TeX Gyre" w:hAnsi="DejaVu Math TeX Gyre" w:cs="Arial Regular"/>
                <w:sz w:val="20"/>
                <w:szCs w:val="20"/>
              </w:rPr>
            </m:ctrlPr>
          </m:sSubPr>
          <m:e>
            <m:r>
              <m:rPr>
                <m:nor/>
              </m:rPr>
              <w:rPr>
                <w:rFonts w:hint="default" w:ascii="DejaVu Math TeX Gyre" w:hAnsi="DejaVu Math TeX Gyre" w:cs="Arial Regular"/>
                <w:i/>
                <w:sz w:val="20"/>
                <w:szCs w:val="20"/>
              </w:rPr>
              <m:t>v</m:t>
            </m:r>
            <m:ctrlPr>
              <w:rPr>
                <w:rFonts w:hint="default" w:ascii="DejaVu Math TeX Gyre" w:hAnsi="DejaVu Math TeX Gyre" w:cs="Arial Regular"/>
                <w:sz w:val="20"/>
                <w:szCs w:val="20"/>
              </w:rPr>
            </m:ctrlPr>
          </m:e>
          <m:sub>
            <m:r>
              <m:rPr>
                <m:nor/>
                <m:sty m:val="p"/>
              </m:rPr>
              <w:rPr>
                <w:rFonts w:hint="default" w:ascii="DejaVu Math TeX Gyre" w:hAnsi="DejaVu Math TeX Gyre" w:cs="Arial Regular"/>
                <w:b w:val="0"/>
                <w:i w:val="0"/>
                <w:sz w:val="20"/>
                <w:szCs w:val="20"/>
              </w:rPr>
              <m:t>2</m:t>
            </m:r>
            <m:ctrlPr>
              <w:rPr>
                <w:rFonts w:hint="default" w:ascii="DejaVu Math TeX Gyre" w:hAnsi="DejaVu Math TeX Gyre" w:cs="Arial Regular"/>
                <w:sz w:val="20"/>
                <w:szCs w:val="20"/>
              </w:rPr>
            </m:ctrlPr>
          </m:sub>
        </m:sSub>
      </m:oMath>
      <w:r>
        <w:rPr>
          <w:rFonts w:hint="default" w:ascii="Arial Regular" w:hAnsi="Arial Regular" w:cs="Arial Regular"/>
          <w:sz w:val="20"/>
          <w:szCs w:val="20"/>
        </w:rPr>
        <w:t xml:space="preserve"> occurs before the change at </w:t>
      </w:r>
      <m:oMath>
        <m:sSub>
          <m:sSubPr>
            <m:ctrlPr>
              <w:rPr>
                <w:rFonts w:hint="default" w:ascii="DejaVu Math TeX Gyre" w:hAnsi="DejaVu Math TeX Gyre" w:cs="Arial Regular"/>
                <w:sz w:val="20"/>
                <w:szCs w:val="20"/>
              </w:rPr>
            </m:ctrlPr>
          </m:sSubPr>
          <m:e>
            <m:r>
              <m:rPr>
                <m:nor/>
              </m:rPr>
              <w:rPr>
                <w:rFonts w:hint="default" w:ascii="DejaVu Math TeX Gyre" w:hAnsi="DejaVu Math TeX Gyre" w:cs="Arial Regular"/>
                <w:i/>
                <w:sz w:val="20"/>
                <w:szCs w:val="20"/>
              </w:rPr>
              <m:t>v</m:t>
            </m:r>
            <m:ctrlPr>
              <w:rPr>
                <w:rFonts w:hint="default" w:ascii="DejaVu Math TeX Gyre" w:hAnsi="DejaVu Math TeX Gyre" w:cs="Arial Regular"/>
                <w:sz w:val="20"/>
                <w:szCs w:val="20"/>
              </w:rPr>
            </m:ctrlPr>
          </m:e>
          <m:sub>
            <m:r>
              <m:rPr>
                <m:nor/>
                <m:sty m:val="p"/>
              </m:rPr>
              <w:rPr>
                <w:rFonts w:hint="default" w:ascii="DejaVu Math TeX Gyre" w:hAnsi="DejaVu Math TeX Gyre" w:cs="Arial Regular"/>
                <w:b w:val="0"/>
                <w:i w:val="0"/>
                <w:sz w:val="20"/>
                <w:szCs w:val="20"/>
              </w:rPr>
              <m:t>1</m:t>
            </m:r>
            <m:ctrlPr>
              <w:rPr>
                <w:rFonts w:hint="default" w:ascii="DejaVu Math TeX Gyre" w:hAnsi="DejaVu Math TeX Gyre" w:cs="Arial Regular"/>
                <w:sz w:val="20"/>
                <w:szCs w:val="20"/>
              </w:rPr>
            </m:ctrlPr>
          </m:sub>
        </m:sSub>
      </m:oMath>
      <w:r>
        <w:rPr>
          <w:rFonts w:hint="default" w:ascii="Arial Regular" w:hAnsi="Arial Regular" w:cs="Arial Regular"/>
          <w:sz w:val="20"/>
          <w:szCs w:val="20"/>
        </w:rPr>
        <w:t>.</w:t>
      </w:r>
      <w:r>
        <w:rPr>
          <w:rFonts w:hint="default" w:ascii="Arial Regular" w:hAnsi="Arial Regular" w:cs="Arial Regular"/>
          <w:sz w:val="20"/>
          <w:szCs w:val="20"/>
        </w:rPr>
        <w:br w:type="page"/>
      </w:r>
    </w:p>
    <w:p w14:paraId="4D7D6116">
      <w:pPr>
        <w:pStyle w:val="3"/>
        <w:keepNext/>
        <w:keepLines/>
        <w:pageBreakBefore w:val="0"/>
        <w:widowControl w:val="0"/>
        <w:kinsoku/>
        <w:wordWrap/>
        <w:overflowPunct/>
        <w:topLinePunct w:val="0"/>
        <w:autoSpaceDE/>
        <w:autoSpaceDN/>
        <w:bidi w:val="0"/>
        <w:adjustRightInd/>
        <w:snapToGrid/>
        <w:spacing w:before="0" w:beforeLines="0" w:after="157" w:afterLines="50" w:line="240" w:lineRule="auto"/>
        <w:textAlignment w:val="auto"/>
        <w:rPr>
          <w:rFonts w:hint="default" w:ascii="Arial Regular" w:hAnsi="Arial Regular" w:cs="Arial Regular"/>
          <w:b/>
          <w:sz w:val="20"/>
          <w:szCs w:val="20"/>
        </w:rPr>
      </w:pPr>
      <w:r>
        <w:rPr>
          <w:rFonts w:hint="default" w:ascii="Arial Regular" w:hAnsi="Arial Regular" w:cs="Arial Regular"/>
          <w:b/>
          <w:sz w:val="20"/>
          <w:szCs w:val="20"/>
        </w:rPr>
        <w:t>Supplementary Text 8. Density functional theory (DFT) calculations.</w:t>
      </w:r>
    </w:p>
    <w:p w14:paraId="4CB8AFA8">
      <w:pPr>
        <w:keepNext w:val="0"/>
        <w:keepLines w:val="0"/>
        <w:pageBreakBefore w:val="0"/>
        <w:widowControl w:val="0"/>
        <w:kinsoku/>
        <w:wordWrap/>
        <w:overflowPunct/>
        <w:topLinePunct w:val="0"/>
        <w:autoSpaceDE/>
        <w:autoSpaceDN/>
        <w:bidi w:val="0"/>
        <w:adjustRightInd w:val="0"/>
        <w:snapToGrid w:val="0"/>
        <w:spacing w:line="360" w:lineRule="auto"/>
        <w:ind w:firstLine="400" w:firstLineChars="200"/>
        <w:textAlignment w:val="auto"/>
        <w:rPr>
          <w:rFonts w:hint="default" w:ascii="Arial Regular" w:hAnsi="Arial Regular" w:cs="Arial Regular"/>
          <w:sz w:val="20"/>
          <w:szCs w:val="20"/>
        </w:rPr>
      </w:pPr>
      <w:r>
        <w:rPr>
          <w:rFonts w:hint="default" w:ascii="Arial Regular" w:hAnsi="Arial Regular" w:cs="Arial Regular"/>
          <w:sz w:val="20"/>
          <w:szCs w:val="20"/>
        </w:rPr>
        <w:t xml:space="preserve">The </w:t>
      </w:r>
      <w:r>
        <w:rPr>
          <w:rFonts w:hint="default" w:ascii="Arial Regular" w:hAnsi="Arial Regular" w:cs="Arial Regular"/>
          <w:b w:val="0"/>
          <w:sz w:val="20"/>
          <w:szCs w:val="20"/>
        </w:rPr>
        <w:t xml:space="preserve">molecular </w:t>
      </w:r>
      <w:r>
        <w:rPr>
          <w:rFonts w:hint="default" w:ascii="Arial Regular" w:hAnsi="Arial Regular" w:cs="Arial Regular"/>
          <w:sz w:val="20"/>
          <w:szCs w:val="20"/>
        </w:rPr>
        <w:t xml:space="preserve">structures of the selected compounds were retrieved from the PubChem database (CIDs: 439213 and 68438) and converted to 3D using GaussView. Geometry optimization and frequency analysis were performed using density functional theory (DFT) at the B3LYP level with the 6-311G(d,p) basis set. The SMD solvation model (with water as the solvent) was employed to simulate the aqueous environment, and the Grimme D3 dispersion correction with Becke–Johnson damping (GD3BJ) was applied to accurately account for long-range dispersion interactions. All quantum chemical calculations were carried out using the Gaussian 16 software package. Key electronic properties, including the HOMO–LUMO energy gap and dipole moment, were obtained from the optimized geometries. Based on the electron density differences between the neutral, anionic (N−1), and cationic (N+1) states, the electrostatic potential (ESP) distributions and Fukui functions (f⁺, f⁻, and f⁰) were computed using Multiwfn 3.8 according to </w:t>
      </w:r>
      <w:r>
        <w:rPr>
          <w:rFonts w:hint="default" w:ascii="Arial Regular" w:hAnsi="Arial Regular" w:cs="Arial Regular"/>
          <w:b w:val="0"/>
          <w:sz w:val="20"/>
          <w:szCs w:val="20"/>
        </w:rPr>
        <w:t xml:space="preserve">the </w:t>
      </w:r>
      <w:r>
        <w:rPr>
          <w:rFonts w:hint="default" w:ascii="Arial Regular" w:hAnsi="Arial Regular" w:cs="Arial Regular"/>
          <w:sz w:val="20"/>
          <w:szCs w:val="20"/>
        </w:rPr>
        <w:t>condensed-to-atom scheme. In the subsequent metal-binding analysis, the binding energy between the coordination sites on the fungal spore cell wall and the metal ions was calculated according to the following equation:</w:t>
      </w:r>
    </w:p>
    <w:p w14:paraId="3740BE92">
      <w:pPr>
        <w:keepNext w:val="0"/>
        <w:keepLines w:val="0"/>
        <w:pageBreakBefore w:val="0"/>
        <w:widowControl/>
        <w:kinsoku/>
        <w:wordWrap/>
        <w:overflowPunct/>
        <w:topLinePunct w:val="0"/>
        <w:autoSpaceDE/>
        <w:autoSpaceDN/>
        <w:bidi w:val="0"/>
        <w:adjustRightInd/>
        <w:snapToGrid/>
        <w:spacing w:line="360" w:lineRule="auto"/>
        <w:ind w:firstLine="400" w:firstLineChars="200"/>
        <w:textAlignment w:val="auto"/>
        <w:rPr>
          <w:rFonts w:hint="default" w:ascii="Arial Regular" w:hAnsi="Arial Regular" w:cs="Arial Regular"/>
          <w:b/>
          <w:bCs/>
          <w:sz w:val="21"/>
          <w:szCs w:val="21"/>
        </w:rPr>
      </w:pPr>
      <m:oMathPara>
        <m:oMath>
          <m:sSub>
            <m:sSubPr>
              <m:ctrlPr>
                <w:rPr>
                  <w:rFonts w:hint="default" w:ascii="DejaVu Math TeX Gyre" w:hAnsi="DejaVu Math TeX Gyre" w:eastAsia="宋体" w:cs="Arial Regular"/>
                  <w:sz w:val="20"/>
                  <w:szCs w:val="20"/>
                </w:rPr>
              </m:ctrlPr>
            </m:sSubPr>
            <m:e>
              <m:r>
                <m:rPr>
                  <m:nor/>
                  <m:sty m:val="p"/>
                </m:rPr>
                <w:rPr>
                  <w:rFonts w:hint="default" w:ascii="DejaVu Math TeX Gyre" w:hAnsi="DejaVu Math TeX Gyre" w:eastAsia="宋体" w:cs="Arial Regular"/>
                  <w:b w:val="0"/>
                  <w:i w:val="0"/>
                  <w:sz w:val="20"/>
                  <w:szCs w:val="20"/>
                </w:rPr>
                <m:t>Δ</m:t>
              </m:r>
              <m:r>
                <m:rPr>
                  <m:nor/>
                </m:rPr>
                <w:rPr>
                  <w:rFonts w:hint="default" w:ascii="DejaVu Math TeX Gyre" w:hAnsi="DejaVu Math TeX Gyre" w:eastAsia="宋体" w:cs="Arial Regular"/>
                  <w:i/>
                  <w:sz w:val="20"/>
                  <w:szCs w:val="20"/>
                </w:rPr>
                <m:t>E</m:t>
              </m:r>
              <m:ctrlPr>
                <w:rPr>
                  <w:rFonts w:hint="default" w:ascii="DejaVu Math TeX Gyre" w:hAnsi="DejaVu Math TeX Gyre" w:eastAsia="宋体" w:cs="Arial Regular"/>
                  <w:sz w:val="20"/>
                  <w:szCs w:val="20"/>
                </w:rPr>
              </m:ctrlPr>
            </m:e>
            <m:sub>
              <m:r>
                <m:rPr>
                  <m:nor/>
                  <m:sty m:val="p"/>
                </m:rPr>
                <w:rPr>
                  <w:rFonts w:hint="default" w:ascii="DejaVu Math TeX Gyre" w:hAnsi="DejaVu Math TeX Gyre" w:eastAsia="宋体" w:cs="Arial Regular"/>
                  <w:b w:val="0"/>
                  <w:i w:val="0"/>
                  <w:sz w:val="20"/>
                  <w:szCs w:val="20"/>
                </w:rPr>
                <m:t>binding</m:t>
              </m:r>
              <m:ctrlPr>
                <w:rPr>
                  <w:rFonts w:hint="default" w:ascii="DejaVu Math TeX Gyre" w:hAnsi="DejaVu Math TeX Gyre" w:eastAsia="宋体" w:cs="Arial Regular"/>
                  <w:sz w:val="20"/>
                  <w:szCs w:val="20"/>
                </w:rPr>
              </m:ctrlPr>
            </m:sub>
          </m:sSub>
          <m:r>
            <m:rPr>
              <m:nor/>
              <m:sty m:val="p"/>
            </m:rPr>
            <w:rPr>
              <w:rFonts w:hint="default" w:ascii="DejaVu Math TeX Gyre" w:hAnsi="DejaVu Math TeX Gyre" w:eastAsia="宋体" w:cs="Arial Regular"/>
              <w:b w:val="0"/>
              <w:i w:val="0"/>
              <w:sz w:val="20"/>
              <w:szCs w:val="20"/>
            </w:rPr>
            <m:t>=</m:t>
          </m:r>
          <m:sSub>
            <m:sSubPr>
              <m:ctrlPr>
                <w:rPr>
                  <w:rFonts w:hint="default" w:ascii="DejaVu Math TeX Gyre" w:hAnsi="DejaVu Math TeX Gyre" w:eastAsia="宋体" w:cs="Arial Regular"/>
                  <w:sz w:val="20"/>
                  <w:szCs w:val="20"/>
                </w:rPr>
              </m:ctrlPr>
            </m:sSubPr>
            <m:e>
              <m:r>
                <m:rPr>
                  <m:nor/>
                  <m:sty m:val="p"/>
                </m:rPr>
                <w:rPr>
                  <w:rFonts w:hint="default" w:ascii="DejaVu Math TeX Gyre" w:hAnsi="DejaVu Math TeX Gyre" w:eastAsia="宋体" w:cs="Arial Regular"/>
                  <w:b w:val="0"/>
                  <w:i w:val="0"/>
                  <w:sz w:val="20"/>
                  <w:szCs w:val="20"/>
                </w:rPr>
                <m:t>Δ</m:t>
              </m:r>
              <m:r>
                <m:rPr>
                  <m:nor/>
                </m:rPr>
                <w:rPr>
                  <w:rFonts w:hint="default" w:ascii="DejaVu Math TeX Gyre" w:hAnsi="DejaVu Math TeX Gyre" w:eastAsia="宋体" w:cs="Arial Regular"/>
                  <w:i/>
                  <w:sz w:val="20"/>
                  <w:szCs w:val="20"/>
                </w:rPr>
                <m:t>E</m:t>
              </m:r>
              <m:ctrlPr>
                <w:rPr>
                  <w:rFonts w:hint="default" w:ascii="DejaVu Math TeX Gyre" w:hAnsi="DejaVu Math TeX Gyre" w:eastAsia="宋体" w:cs="Arial Regular"/>
                  <w:sz w:val="20"/>
                  <w:szCs w:val="20"/>
                </w:rPr>
              </m:ctrlPr>
            </m:e>
            <m:sub>
              <m:r>
                <m:rPr>
                  <m:nor/>
                  <m:sty m:val="p"/>
                </m:rPr>
                <w:rPr>
                  <w:rFonts w:hint="default" w:ascii="DejaVu Math TeX Gyre" w:hAnsi="DejaVu Math TeX Gyre" w:eastAsia="宋体" w:cs="Arial Regular"/>
                  <w:b w:val="0"/>
                  <w:i w:val="0"/>
                  <w:sz w:val="20"/>
                  <w:szCs w:val="20"/>
                </w:rPr>
                <m:t>complex</m:t>
              </m:r>
              <m:ctrlPr>
                <w:rPr>
                  <w:rFonts w:hint="default" w:ascii="DejaVu Math TeX Gyre" w:hAnsi="DejaVu Math TeX Gyre" w:eastAsia="宋体" w:cs="Arial Regular"/>
                  <w:sz w:val="20"/>
                  <w:szCs w:val="20"/>
                </w:rPr>
              </m:ctrlPr>
            </m:sub>
          </m:sSub>
          <m:r>
            <m:rPr>
              <m:nor/>
              <m:sty m:val="p"/>
            </m:rPr>
            <w:rPr>
              <w:rFonts w:hint="default" w:ascii="DejaVu Math TeX Gyre" w:hAnsi="DejaVu Math TeX Gyre" w:eastAsia="宋体" w:cs="Arial Regular"/>
              <w:b w:val="0"/>
              <w:i w:val="0"/>
              <w:sz w:val="20"/>
              <w:szCs w:val="20"/>
            </w:rPr>
            <m:t>-</m:t>
          </m:r>
          <m:sSub>
            <m:sSubPr>
              <m:ctrlPr>
                <w:rPr>
                  <w:rFonts w:hint="default" w:ascii="DejaVu Math TeX Gyre" w:hAnsi="DejaVu Math TeX Gyre" w:eastAsia="宋体" w:cs="Arial Regular"/>
                  <w:sz w:val="20"/>
                  <w:szCs w:val="20"/>
                </w:rPr>
              </m:ctrlPr>
            </m:sSubPr>
            <m:e>
              <m:r>
                <m:rPr>
                  <m:nor/>
                  <m:sty m:val="p"/>
                </m:rPr>
                <w:rPr>
                  <w:rFonts w:hint="default" w:ascii="DejaVu Math TeX Gyre" w:hAnsi="DejaVu Math TeX Gyre" w:eastAsia="宋体" w:cs="Arial Regular"/>
                  <w:b w:val="0"/>
                  <w:i w:val="0"/>
                  <w:sz w:val="20"/>
                  <w:szCs w:val="20"/>
                </w:rPr>
                <m:t>Δ</m:t>
              </m:r>
              <m:r>
                <m:rPr>
                  <m:nor/>
                </m:rPr>
                <w:rPr>
                  <w:rFonts w:hint="default" w:ascii="DejaVu Math TeX Gyre" w:hAnsi="DejaVu Math TeX Gyre" w:eastAsia="宋体" w:cs="Arial Regular"/>
                  <w:i/>
                  <w:sz w:val="20"/>
                  <w:szCs w:val="20"/>
                </w:rPr>
                <m:t>E</m:t>
              </m:r>
              <m:ctrlPr>
                <w:rPr>
                  <w:rFonts w:hint="default" w:ascii="DejaVu Math TeX Gyre" w:hAnsi="DejaVu Math TeX Gyre" w:eastAsia="宋体" w:cs="Arial Regular"/>
                  <w:sz w:val="20"/>
                  <w:szCs w:val="20"/>
                </w:rPr>
              </m:ctrlPr>
            </m:e>
            <m:sub>
              <m:r>
                <m:rPr>
                  <m:nor/>
                  <m:sty m:val="p"/>
                </m:rPr>
                <w:rPr>
                  <w:rFonts w:hint="default" w:ascii="DejaVu Math TeX Gyre" w:hAnsi="DejaVu Math TeX Gyre" w:eastAsia="宋体" w:cs="Arial Regular"/>
                  <w:b w:val="0"/>
                  <w:i w:val="0"/>
                  <w:sz w:val="20"/>
                  <w:szCs w:val="20"/>
                </w:rPr>
                <m:t>Me(II)</m:t>
              </m:r>
              <m:ctrlPr>
                <w:rPr>
                  <w:rFonts w:hint="default" w:ascii="DejaVu Math TeX Gyre" w:hAnsi="DejaVu Math TeX Gyre" w:eastAsia="宋体" w:cs="Arial Regular"/>
                  <w:sz w:val="20"/>
                  <w:szCs w:val="20"/>
                </w:rPr>
              </m:ctrlPr>
            </m:sub>
          </m:sSub>
          <m:r>
            <m:rPr>
              <m:nor/>
              <m:sty m:val="p"/>
            </m:rPr>
            <w:rPr>
              <w:rFonts w:hint="default" w:ascii="DejaVu Math TeX Gyre" w:hAnsi="DejaVu Math TeX Gyre" w:eastAsia="宋体" w:cs="Arial Regular"/>
              <w:b w:val="0"/>
              <w:i w:val="0"/>
              <w:sz w:val="20"/>
              <w:szCs w:val="20"/>
            </w:rPr>
            <m:t>-</m:t>
          </m:r>
          <m:sSub>
            <m:sSubPr>
              <m:ctrlPr>
                <w:rPr>
                  <w:rFonts w:hint="default" w:ascii="DejaVu Math TeX Gyre" w:hAnsi="DejaVu Math TeX Gyre" w:eastAsia="宋体" w:cs="Arial Regular"/>
                  <w:sz w:val="20"/>
                  <w:szCs w:val="20"/>
                </w:rPr>
              </m:ctrlPr>
            </m:sSubPr>
            <m:e>
              <m:r>
                <m:rPr>
                  <m:nor/>
                  <m:sty m:val="p"/>
                </m:rPr>
                <w:rPr>
                  <w:rFonts w:hint="default" w:ascii="DejaVu Math TeX Gyre" w:hAnsi="DejaVu Math TeX Gyre" w:eastAsia="宋体" w:cs="Arial Regular"/>
                  <w:b w:val="0"/>
                  <w:i w:val="0"/>
                  <w:sz w:val="20"/>
                  <w:szCs w:val="20"/>
                </w:rPr>
                <m:t>Δ</m:t>
              </m:r>
              <m:r>
                <m:rPr>
                  <m:nor/>
                </m:rPr>
                <w:rPr>
                  <w:rFonts w:hint="default" w:ascii="DejaVu Math TeX Gyre" w:hAnsi="DejaVu Math TeX Gyre" w:eastAsia="宋体" w:cs="Arial Regular"/>
                  <w:i/>
                  <w:sz w:val="20"/>
                  <w:szCs w:val="20"/>
                </w:rPr>
                <m:t>E</m:t>
              </m:r>
              <m:ctrlPr>
                <w:rPr>
                  <w:rFonts w:hint="default" w:ascii="DejaVu Math TeX Gyre" w:hAnsi="DejaVu Math TeX Gyre" w:eastAsia="宋体" w:cs="Arial Regular"/>
                  <w:sz w:val="20"/>
                  <w:szCs w:val="20"/>
                </w:rPr>
              </m:ctrlPr>
            </m:e>
            <m:sub>
              <m:r>
                <m:rPr>
                  <m:nor/>
                  <m:sty m:val="p"/>
                </m:rPr>
                <w:rPr>
                  <w:rFonts w:hint="default" w:ascii="DejaVu Math TeX Gyre" w:hAnsi="DejaVu Math TeX Gyre" w:eastAsia="宋体" w:cs="Arial Regular"/>
                  <w:b w:val="0"/>
                  <w:i w:val="0"/>
                  <w:sz w:val="20"/>
                  <w:szCs w:val="20"/>
                </w:rPr>
                <m:t>ligand</m:t>
              </m:r>
              <m:ctrlPr>
                <w:rPr>
                  <w:rFonts w:hint="default" w:ascii="DejaVu Math TeX Gyre" w:hAnsi="DejaVu Math TeX Gyre" w:eastAsia="宋体" w:cs="Arial Regular"/>
                  <w:sz w:val="20"/>
                  <w:szCs w:val="20"/>
                </w:rPr>
              </m:ctrlPr>
            </m:sub>
          </m:sSub>
        </m:oMath>
      </m:oMathPara>
    </w:p>
    <w:p w14:paraId="02257061">
      <w:pPr>
        <w:pStyle w:val="3"/>
        <w:keepNext/>
        <w:keepLines/>
        <w:pageBreakBefore w:val="0"/>
        <w:widowControl w:val="0"/>
        <w:kinsoku/>
        <w:wordWrap/>
        <w:overflowPunct/>
        <w:topLinePunct w:val="0"/>
        <w:autoSpaceDE/>
        <w:autoSpaceDN/>
        <w:bidi w:val="0"/>
        <w:adjustRightInd/>
        <w:snapToGrid/>
        <w:spacing w:before="0" w:beforeLines="0" w:after="157" w:afterLines="50" w:line="240" w:lineRule="auto"/>
        <w:textAlignment w:val="auto"/>
        <w:rPr>
          <w:rFonts w:hint="default" w:ascii="Arial Regular" w:hAnsi="Arial Regular" w:cs="Arial Regular"/>
          <w:b/>
          <w:bCs/>
          <w:sz w:val="21"/>
          <w:szCs w:val="21"/>
        </w:rPr>
        <w:sectPr>
          <w:footerReference r:id="rId4" w:type="default"/>
          <w:pgSz w:w="12240" w:h="15840"/>
          <w:pgMar w:top="1440" w:right="1440" w:bottom="1440" w:left="1440" w:header="851" w:footer="992" w:gutter="0"/>
          <w:cols w:space="425" w:num="1"/>
          <w:docGrid w:type="lines" w:linePitch="312" w:charSpace="0"/>
        </w:sectPr>
      </w:pPr>
    </w:p>
    <w:p w14:paraId="55915120">
      <w:pPr>
        <w:pStyle w:val="2"/>
        <w:keepNext/>
        <w:keepLines/>
        <w:pageBreakBefore w:val="0"/>
        <w:widowControl w:val="0"/>
        <w:kinsoku/>
        <w:wordWrap/>
        <w:overflowPunct/>
        <w:topLinePunct w:val="0"/>
        <w:autoSpaceDE/>
        <w:autoSpaceDN/>
        <w:bidi w:val="0"/>
        <w:adjustRightInd/>
        <w:snapToGrid/>
        <w:spacing w:before="157" w:beforeLines="50" w:after="0" w:line="360" w:lineRule="auto"/>
        <w:textAlignment w:val="auto"/>
        <w:rPr>
          <w:rFonts w:hint="default" w:ascii="Arial Regular" w:hAnsi="Arial Regular" w:cs="Arial Regular"/>
          <w:sz w:val="22"/>
          <w:szCs w:val="22"/>
        </w:rPr>
      </w:pPr>
      <w:bookmarkStart w:id="0" w:name="_Hlk125130072"/>
      <w:r>
        <w:rPr>
          <w:rFonts w:hint="default" w:ascii="Arial Regular" w:hAnsi="Arial Regular" w:cs="Arial Regular"/>
          <w:b/>
          <w:bCs/>
          <w:sz w:val="26"/>
          <w:szCs w:val="26"/>
        </w:rPr>
        <w:t>Figures</w:t>
      </w:r>
      <w:bookmarkEnd w:id="0"/>
    </w:p>
    <w:p w14:paraId="41838E2D">
      <w:pPr>
        <w:pStyle w:val="3"/>
        <w:keepNext/>
        <w:keepLines/>
        <w:pageBreakBefore w:val="0"/>
        <w:widowControl w:val="0"/>
        <w:kinsoku/>
        <w:wordWrap/>
        <w:overflowPunct/>
        <w:topLinePunct w:val="0"/>
        <w:autoSpaceDE/>
        <w:autoSpaceDN/>
        <w:bidi w:val="0"/>
        <w:adjustRightInd/>
        <w:snapToGrid/>
        <w:spacing w:before="0" w:beforeLines="0" w:after="157" w:afterLines="50" w:line="240" w:lineRule="auto"/>
        <w:textAlignment w:val="auto"/>
        <w:rPr>
          <w:rFonts w:hint="default" w:ascii="Arial Regular" w:hAnsi="Arial Regular" w:cs="Arial Regular"/>
          <w:b/>
          <w:bCs/>
          <w:sz w:val="21"/>
          <w:szCs w:val="21"/>
        </w:rPr>
      </w:pPr>
      <w:r>
        <w:rPr>
          <w:rFonts w:hint="default" w:ascii="Arial Regular" w:hAnsi="Arial Regular" w:cs="Arial Regular"/>
          <w:b/>
          <w:bCs/>
          <w:sz w:val="21"/>
          <w:szCs w:val="21"/>
        </w:rPr>
        <w:drawing>
          <wp:inline distT="0" distB="0" distL="114300" distR="114300">
            <wp:extent cx="8821420" cy="3642995"/>
            <wp:effectExtent l="0" t="0" r="17780" b="14605"/>
            <wp:docPr id="13" name="图片 13" descr="Fig.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Fig.S1"/>
                    <pic:cNvPicPr>
                      <a:picLocks noChangeAspect="1"/>
                    </pic:cNvPicPr>
                  </pic:nvPicPr>
                  <pic:blipFill>
                    <a:blip r:embed="rId6"/>
                    <a:stretch>
                      <a:fillRect/>
                    </a:stretch>
                  </pic:blipFill>
                  <pic:spPr>
                    <a:xfrm>
                      <a:off x="0" y="0"/>
                      <a:ext cx="8821420" cy="3642995"/>
                    </a:xfrm>
                    <a:prstGeom prst="rect">
                      <a:avLst/>
                    </a:prstGeom>
                  </pic:spPr>
                </pic:pic>
              </a:graphicData>
            </a:graphic>
          </wp:inline>
        </w:drawing>
      </w:r>
      <w:r>
        <w:rPr>
          <w:rFonts w:hint="default" w:ascii="Arial Regular" w:hAnsi="Arial Regular" w:cs="Arial Regular"/>
          <w:b/>
          <w:sz w:val="20"/>
          <w:szCs w:val="20"/>
        </w:rPr>
        <w:t xml:space="preserve">Supplementary </w:t>
      </w:r>
      <w:r>
        <w:rPr>
          <w:rFonts w:hint="default" w:ascii="Arial Regular" w:hAnsi="Arial Regular" w:cs="Arial Regular"/>
          <w:b/>
          <w:bCs w:val="0"/>
          <w:sz w:val="20"/>
          <w:szCs w:val="20"/>
        </w:rPr>
        <w:t>Fig. 1.</w:t>
      </w:r>
      <w:r>
        <w:rPr>
          <w:rFonts w:hint="default" w:ascii="Arial Regular" w:hAnsi="Arial Regular" w:cs="Arial Regular"/>
          <w:b/>
          <w:bCs w:val="0"/>
          <w:sz w:val="20"/>
          <w:szCs w:val="20"/>
          <w:lang w:val="en-US" w:eastAsia="zh-CN"/>
        </w:rPr>
        <w:t xml:space="preserve"> </w:t>
      </w:r>
      <w:r>
        <w:rPr>
          <w:rFonts w:hint="default" w:ascii="Arial Regular" w:hAnsi="Arial Regular" w:cs="Arial Regular"/>
          <w:b/>
          <w:bCs w:val="0"/>
          <w:sz w:val="20"/>
          <w:szCs w:val="20"/>
        </w:rPr>
        <w:t>Procedures for disinfection experiments.</w:t>
      </w:r>
    </w:p>
    <w:p w14:paraId="221CF7C2">
      <w:pPr>
        <w:rPr>
          <w:rFonts w:hint="default" w:ascii="Arial Regular" w:hAnsi="Arial Regular" w:cs="Arial Regular"/>
          <w:b/>
          <w:bCs/>
          <w:sz w:val="21"/>
          <w:szCs w:val="21"/>
        </w:rPr>
      </w:pPr>
      <w:r>
        <w:rPr>
          <w:rFonts w:hint="default" w:ascii="Arial Regular" w:hAnsi="Arial Regular" w:cs="Arial Regular"/>
          <w:b/>
          <w:bCs/>
          <w:sz w:val="21"/>
          <w:szCs w:val="21"/>
        </w:rPr>
        <w:br w:type="page"/>
      </w:r>
    </w:p>
    <w:p w14:paraId="77C7EF4A">
      <w:pPr>
        <w:widowControl/>
        <w:jc w:val="center"/>
        <w:rPr>
          <w:rFonts w:hint="default" w:ascii="Arial Regular" w:hAnsi="Arial Regular" w:cs="Arial Regular"/>
          <w:lang w:val="en-US"/>
        </w:rPr>
      </w:pPr>
      <w:r>
        <w:rPr>
          <w:rFonts w:hint="default" w:ascii="Arial Regular" w:hAnsi="Arial Regular" w:cs="Arial Regular"/>
          <w:lang w:val="en-US"/>
        </w:rPr>
        <w:drawing>
          <wp:inline distT="0" distB="0" distL="114300" distR="114300">
            <wp:extent cx="5760085" cy="4232275"/>
            <wp:effectExtent l="0" t="0" r="5715" b="9525"/>
            <wp:docPr id="2" name="图片 2" descr="Supplementary Fi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Supplementary Fig2"/>
                    <pic:cNvPicPr>
                      <a:picLocks noChangeAspect="1"/>
                    </pic:cNvPicPr>
                  </pic:nvPicPr>
                  <pic:blipFill>
                    <a:blip r:embed="rId7"/>
                    <a:stretch>
                      <a:fillRect/>
                    </a:stretch>
                  </pic:blipFill>
                  <pic:spPr>
                    <a:xfrm>
                      <a:off x="0" y="0"/>
                      <a:ext cx="5760085" cy="4232275"/>
                    </a:xfrm>
                    <a:prstGeom prst="rect">
                      <a:avLst/>
                    </a:prstGeom>
                  </pic:spPr>
                </pic:pic>
              </a:graphicData>
            </a:graphic>
          </wp:inline>
        </w:drawing>
      </w:r>
    </w:p>
    <w:p w14:paraId="2305B40D">
      <w:pPr>
        <w:pStyle w:val="3"/>
        <w:keepNext/>
        <w:keepLines/>
        <w:pageBreakBefore w:val="0"/>
        <w:widowControl w:val="0"/>
        <w:kinsoku/>
        <w:wordWrap/>
        <w:overflowPunct/>
        <w:topLinePunct w:val="0"/>
        <w:autoSpaceDE/>
        <w:autoSpaceDN/>
        <w:bidi w:val="0"/>
        <w:adjustRightInd/>
        <w:snapToGrid/>
        <w:spacing w:before="0" w:beforeLines="0" w:after="157" w:afterLines="50" w:line="240" w:lineRule="auto"/>
        <w:textAlignment w:val="auto"/>
        <w:rPr>
          <w:rFonts w:hint="default" w:ascii="Arial Regular" w:hAnsi="Arial Regular" w:cs="Arial Regular"/>
          <w:bCs/>
          <w:sz w:val="20"/>
          <w:szCs w:val="20"/>
        </w:rPr>
      </w:pPr>
      <w:r>
        <w:rPr>
          <w:rFonts w:hint="default" w:ascii="Arial Regular" w:hAnsi="Arial Regular" w:cs="Arial Regular"/>
          <w:b/>
          <w:sz w:val="20"/>
          <w:szCs w:val="20"/>
        </w:rPr>
        <w:t xml:space="preserve">Supplementary </w:t>
      </w:r>
      <w:r>
        <w:rPr>
          <w:rFonts w:hint="default" w:ascii="Arial Regular" w:hAnsi="Arial Regular" w:cs="Arial Regular"/>
          <w:b/>
          <w:bCs w:val="0"/>
          <w:sz w:val="20"/>
          <w:szCs w:val="20"/>
        </w:rPr>
        <w:t xml:space="preserve">Fig. 2. Time-dependent adsorption efficiency of </w:t>
      </w:r>
      <w:r>
        <w:rPr>
          <w:rFonts w:hint="default" w:ascii="Arial Regular" w:hAnsi="Arial Regular" w:cs="Arial Regular"/>
          <w:b/>
          <w:bCs w:val="0"/>
          <w:i/>
          <w:iCs/>
          <w:sz w:val="20"/>
          <w:szCs w:val="20"/>
        </w:rPr>
        <w:t>A. niger</w:t>
      </w:r>
      <w:r>
        <w:rPr>
          <w:rFonts w:hint="default" w:ascii="Arial Regular" w:hAnsi="Arial Regular" w:cs="Arial Regular"/>
          <w:b/>
          <w:bCs w:val="0"/>
          <w:i w:val="0"/>
          <w:iCs w:val="0"/>
          <w:sz w:val="20"/>
          <w:szCs w:val="20"/>
        </w:rPr>
        <w:t xml:space="preserve"> and </w:t>
      </w:r>
      <w:r>
        <w:rPr>
          <w:rFonts w:hint="default" w:ascii="Arial Regular" w:hAnsi="Arial Regular" w:cs="Arial Regular"/>
          <w:b/>
          <w:bCs w:val="0"/>
          <w:i/>
          <w:iCs/>
          <w:sz w:val="20"/>
          <w:szCs w:val="20"/>
        </w:rPr>
        <w:t>P. polonicum</w:t>
      </w:r>
      <w:r>
        <w:rPr>
          <w:rFonts w:hint="default" w:ascii="Arial Regular" w:hAnsi="Arial Regular" w:cs="Arial Regular"/>
          <w:b/>
          <w:bCs w:val="0"/>
          <w:i w:val="0"/>
          <w:iCs w:val="0"/>
          <w:sz w:val="20"/>
          <w:szCs w:val="20"/>
        </w:rPr>
        <w:t xml:space="preserve"> spores</w:t>
      </w:r>
      <w:r>
        <w:rPr>
          <w:rFonts w:hint="default" w:ascii="Arial Regular" w:hAnsi="Arial Regular" w:cs="Arial Regular"/>
          <w:b/>
          <w:bCs w:val="0"/>
          <w:sz w:val="20"/>
          <w:szCs w:val="20"/>
        </w:rPr>
        <w:t>.</w:t>
      </w:r>
      <w:r>
        <w:rPr>
          <w:rFonts w:hint="default" w:ascii="Arial Regular" w:hAnsi="Arial Regular" w:cs="Arial Regular"/>
          <w:b/>
          <w:bCs w:val="0"/>
          <w:sz w:val="20"/>
          <w:szCs w:val="20"/>
          <w:lang w:val="en-US" w:eastAsia="zh-CN"/>
        </w:rPr>
        <w:t xml:space="preserve"> </w:t>
      </w:r>
      <w:r>
        <w:rPr>
          <w:rFonts w:hint="default" w:ascii="Arial Regular" w:hAnsi="Arial Regular" w:cs="Arial Regular"/>
          <w:b w:val="0"/>
          <w:bCs w:val="0"/>
          <w:sz w:val="20"/>
          <w:szCs w:val="20"/>
        </w:rPr>
        <w:t xml:space="preserve">Experimental conditions: Initial spore concentration: </w:t>
      </w:r>
      <w:r>
        <w:rPr>
          <w:rFonts w:hint="default" w:ascii="Arial Regular" w:hAnsi="Arial Regular" w:cs="Arial Regular"/>
          <w:b w:val="0"/>
          <w:bCs w:val="0"/>
          <w:sz w:val="20"/>
          <w:szCs w:val="20"/>
          <w:lang w:val="en-US" w:eastAsia="zh-CN"/>
        </w:rPr>
        <w:t>3.5</w:t>
      </w:r>
      <w:r>
        <w:rPr>
          <w:rFonts w:hint="default" w:ascii="Arial Regular" w:hAnsi="Arial Regular" w:cs="Arial Regular"/>
          <w:b w:val="0"/>
          <w:bCs w:val="0"/>
          <w:sz w:val="20"/>
          <w:szCs w:val="20"/>
        </w:rPr>
        <w:t>×10</w:t>
      </w:r>
      <w:r>
        <w:rPr>
          <w:rFonts w:hint="default" w:ascii="Arial Regular" w:hAnsi="Arial Regular" w:cs="Arial Regular"/>
          <w:b w:val="0"/>
          <w:bCs w:val="0"/>
          <w:sz w:val="20"/>
          <w:szCs w:val="20"/>
          <w:vertAlign w:val="superscript"/>
        </w:rPr>
        <w:t>5</w:t>
      </w:r>
      <w:r>
        <w:rPr>
          <w:rFonts w:hint="default" w:ascii="Arial Regular" w:hAnsi="Arial Regular" w:cs="Arial Regular"/>
          <w:b w:val="0"/>
          <w:bCs w:val="0"/>
          <w:sz w:val="20"/>
          <w:szCs w:val="20"/>
        </w:rPr>
        <w:t xml:space="preserve"> CFU/mL; initial metal ion concentration: 100 μM ([Co(II)]=5.89 mg/L, [Cu(II)]=6.35 mg/L, [Fe(II)]=5.58 mg/L, [Mn(II)]=5.49 mg/L); pH = 7.0 ± 0.2, T=30 ±2 ℃; shaking speed: 150 rpm; until the maximum adsorption equilibrium (9 h).</w:t>
      </w:r>
    </w:p>
    <w:p w14:paraId="250A4E55">
      <w:pPr>
        <w:widowControl/>
        <w:jc w:val="both"/>
        <w:rPr>
          <w:rFonts w:hint="default" w:ascii="Arial Regular" w:hAnsi="Arial Regular" w:cs="Arial Regular"/>
          <w:b/>
          <w:bCs w:val="0"/>
          <w:sz w:val="20"/>
          <w:szCs w:val="20"/>
        </w:rPr>
        <w:sectPr>
          <w:pgSz w:w="15840" w:h="12240" w:orient="landscape"/>
          <w:pgMar w:top="1440" w:right="1270" w:bottom="1440" w:left="1270" w:header="851" w:footer="992" w:gutter="0"/>
          <w:cols w:space="425" w:num="1"/>
          <w:docGrid w:type="lines" w:linePitch="312" w:charSpace="0"/>
        </w:sectPr>
      </w:pPr>
    </w:p>
    <w:p w14:paraId="19EFB360">
      <w:pPr>
        <w:widowControl/>
        <w:jc w:val="center"/>
        <w:rPr>
          <w:rFonts w:hint="default" w:ascii="Arial Regular" w:hAnsi="Arial Regular" w:cs="Arial Regular"/>
          <w:b/>
          <w:bCs w:val="0"/>
          <w:sz w:val="20"/>
          <w:szCs w:val="20"/>
        </w:rPr>
      </w:pPr>
      <w:r>
        <w:rPr>
          <w:rFonts w:hint="default" w:ascii="Arial Regular" w:hAnsi="Arial Regular" w:cs="Arial Regular"/>
        </w:rPr>
        <w:drawing>
          <wp:inline distT="0" distB="0" distL="114300" distR="114300">
            <wp:extent cx="3460750" cy="3486785"/>
            <wp:effectExtent l="0" t="0" r="19050" b="18415"/>
            <wp:docPr id="1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8"/>
                    <pic:cNvPicPr>
                      <a:picLocks noChangeAspect="1"/>
                    </pic:cNvPicPr>
                  </pic:nvPicPr>
                  <pic:blipFill>
                    <a:blip r:embed="rId8"/>
                    <a:stretch>
                      <a:fillRect/>
                    </a:stretch>
                  </pic:blipFill>
                  <pic:spPr>
                    <a:xfrm>
                      <a:off x="0" y="0"/>
                      <a:ext cx="3460750" cy="3486785"/>
                    </a:xfrm>
                    <a:prstGeom prst="rect">
                      <a:avLst/>
                    </a:prstGeom>
                    <a:noFill/>
                    <a:ln>
                      <a:noFill/>
                    </a:ln>
                  </pic:spPr>
                </pic:pic>
              </a:graphicData>
            </a:graphic>
          </wp:inline>
        </w:drawing>
      </w:r>
    </w:p>
    <w:p w14:paraId="1452D990">
      <w:pPr>
        <w:pStyle w:val="3"/>
        <w:keepNext/>
        <w:keepLines/>
        <w:pageBreakBefore w:val="0"/>
        <w:widowControl w:val="0"/>
        <w:kinsoku/>
        <w:wordWrap/>
        <w:overflowPunct/>
        <w:topLinePunct w:val="0"/>
        <w:autoSpaceDE/>
        <w:autoSpaceDN/>
        <w:bidi w:val="0"/>
        <w:adjustRightInd/>
        <w:snapToGrid/>
        <w:spacing w:before="0" w:beforeLines="0" w:after="157" w:afterLines="50" w:line="240" w:lineRule="auto"/>
        <w:textAlignment w:val="auto"/>
        <w:rPr>
          <w:rFonts w:hint="default" w:ascii="Arial Regular" w:hAnsi="Arial Regular" w:cs="Arial Regular" w:eastAsiaTheme="minorEastAsia"/>
          <w:bCs/>
          <w:sz w:val="20"/>
          <w:szCs w:val="20"/>
          <w:lang w:val="en-US" w:eastAsia="zh-CN"/>
        </w:rPr>
      </w:pPr>
      <w:r>
        <w:rPr>
          <w:rFonts w:hint="default" w:ascii="Arial Regular" w:hAnsi="Arial Regular" w:cs="Arial Regular"/>
          <w:b/>
          <w:sz w:val="20"/>
          <w:szCs w:val="20"/>
        </w:rPr>
        <w:t>Supplementary Fig</w:t>
      </w:r>
      <w:r>
        <w:rPr>
          <w:rFonts w:hint="default" w:ascii="Arial Regular" w:hAnsi="Arial Regular" w:cs="Arial Regular"/>
          <w:b/>
          <w:bCs w:val="0"/>
          <w:sz w:val="20"/>
          <w:szCs w:val="20"/>
        </w:rPr>
        <w:t xml:space="preserve">. </w:t>
      </w:r>
      <w:r>
        <w:rPr>
          <w:rFonts w:hint="default" w:ascii="Arial Regular" w:hAnsi="Arial Regular" w:cs="Arial Regular"/>
          <w:b/>
          <w:bCs w:val="0"/>
          <w:sz w:val="20"/>
          <w:szCs w:val="20"/>
          <w:lang w:val="en-US" w:eastAsia="zh-CN"/>
        </w:rPr>
        <w:t>3</w:t>
      </w:r>
      <w:r>
        <w:rPr>
          <w:rFonts w:hint="default" w:ascii="Arial Regular" w:hAnsi="Arial Regular" w:cs="Arial Regular"/>
          <w:b/>
          <w:bCs w:val="0"/>
          <w:sz w:val="20"/>
          <w:szCs w:val="20"/>
        </w:rPr>
        <w:t>. Effects of 100 μM metal ions on the culturability of fungal spores.</w:t>
      </w:r>
      <w:r>
        <w:rPr>
          <w:rFonts w:hint="default" w:ascii="Arial Regular" w:hAnsi="Arial Regular" w:cs="Arial Regular"/>
          <w:bCs/>
          <w:sz w:val="20"/>
          <w:szCs w:val="20"/>
          <w:lang w:val="en-US" w:eastAsia="zh-CN"/>
        </w:rPr>
        <w:t xml:space="preserve"> </w:t>
      </w:r>
      <w:r>
        <w:rPr>
          <w:rFonts w:hint="default" w:ascii="Arial Regular" w:hAnsi="Arial Regular" w:cs="Arial Regular"/>
          <w:b w:val="0"/>
          <w:bCs w:val="0"/>
          <w:color w:val="000000"/>
          <w:sz w:val="20"/>
          <w:szCs w:val="20"/>
          <w:lang w:bidi="ar"/>
        </w:rPr>
        <w:t xml:space="preserve">(a) </w:t>
      </w:r>
      <w:r>
        <w:rPr>
          <w:rFonts w:hint="default" w:ascii="Arial Regular" w:hAnsi="Arial Regular" w:cs="Arial Regular"/>
          <w:b w:val="0"/>
          <w:bCs w:val="0"/>
          <w:i/>
          <w:iCs/>
          <w:color w:val="000000"/>
          <w:sz w:val="20"/>
          <w:szCs w:val="20"/>
          <w:lang w:bidi="ar"/>
        </w:rPr>
        <w:t>A.niger</w:t>
      </w:r>
      <w:r>
        <w:rPr>
          <w:rFonts w:hint="default" w:ascii="Arial Regular" w:hAnsi="Arial Regular" w:cs="Arial Regular"/>
          <w:b w:val="0"/>
          <w:bCs w:val="0"/>
          <w:color w:val="000000"/>
          <w:sz w:val="20"/>
          <w:szCs w:val="20"/>
          <w:lang w:bidi="ar"/>
        </w:rPr>
        <w:t xml:space="preserve"> and (b) </w:t>
      </w:r>
      <w:r>
        <w:rPr>
          <w:rFonts w:hint="default" w:ascii="Arial Regular" w:hAnsi="Arial Regular" w:cs="Arial Regular"/>
          <w:b w:val="0"/>
          <w:bCs w:val="0"/>
          <w:i/>
          <w:iCs/>
          <w:color w:val="000000"/>
          <w:sz w:val="20"/>
          <w:szCs w:val="20"/>
          <w:lang w:bidi="ar"/>
        </w:rPr>
        <w:t>P.polonicum</w:t>
      </w:r>
      <w:r>
        <w:rPr>
          <w:rFonts w:hint="default" w:ascii="Arial Regular" w:hAnsi="Arial Regular" w:cs="Arial Regular"/>
          <w:b w:val="0"/>
          <w:bCs w:val="0"/>
          <w:color w:val="000000"/>
          <w:sz w:val="20"/>
          <w:szCs w:val="20"/>
          <w:lang w:bidi="ar"/>
        </w:rPr>
        <w:t xml:space="preserve"> spore</w:t>
      </w:r>
      <w:r>
        <w:rPr>
          <w:rFonts w:hint="default" w:ascii="Arial Regular" w:hAnsi="Arial Regular" w:cs="Arial Regular"/>
          <w:b w:val="0"/>
          <w:bCs w:val="0"/>
          <w:sz w:val="20"/>
          <w:szCs w:val="20"/>
        </w:rPr>
        <w:t>s (without centrifugation).</w:t>
      </w:r>
      <w:r>
        <w:rPr>
          <w:rFonts w:hint="default" w:ascii="Arial Regular" w:hAnsi="Arial Regular" w:cs="Arial Regular"/>
          <w:b w:val="0"/>
          <w:bCs w:val="0"/>
          <w:color w:val="000000"/>
          <w:sz w:val="20"/>
          <w:szCs w:val="20"/>
          <w:lang w:bidi="ar"/>
        </w:rPr>
        <w:t xml:space="preserve"> </w:t>
      </w:r>
      <w:r>
        <w:rPr>
          <w:rFonts w:hint="default" w:ascii="Arial Regular" w:hAnsi="Arial Regular" w:cs="Arial Regular"/>
          <w:b w:val="0"/>
          <w:bCs w:val="0"/>
          <w:sz w:val="20"/>
          <w:szCs w:val="20"/>
        </w:rPr>
        <w:t>Experimental conditions: Initial spore concentration: (2-4)×10</w:t>
      </w:r>
      <w:r>
        <w:rPr>
          <w:rFonts w:hint="default" w:ascii="Arial Regular" w:hAnsi="Arial Regular" w:cs="Arial Regular"/>
          <w:b w:val="0"/>
          <w:bCs w:val="0"/>
          <w:sz w:val="20"/>
          <w:szCs w:val="20"/>
          <w:vertAlign w:val="superscript"/>
        </w:rPr>
        <w:t>5</w:t>
      </w:r>
      <w:r>
        <w:rPr>
          <w:rFonts w:hint="default" w:ascii="Arial Regular" w:hAnsi="Arial Regular" w:cs="Arial Regular"/>
          <w:b w:val="0"/>
          <w:bCs w:val="0"/>
          <w:sz w:val="20"/>
          <w:szCs w:val="20"/>
        </w:rPr>
        <w:t xml:space="preserve"> CFU/mL; initial metal ion concentration: 100 μM ([Co(II)]=5.89 mg/L, [Cu(II)]=6.35 mg/L, [Fe(II)]=5.58 mg/L, [Mn(II)]=5.49 mg/L); pH = 7.0 ± 0.2, T=30 ±2 ℃; shaking speed: 150 rpm; until the maximum adsorption equilibrium (9 h).</w:t>
      </w:r>
    </w:p>
    <w:p w14:paraId="475A5371">
      <w:pPr>
        <w:rPr>
          <w:rFonts w:hint="default" w:ascii="Arial Regular" w:hAnsi="Arial Regular" w:cs="Arial Regular"/>
          <w:b/>
          <w:bCs w:val="0"/>
          <w:sz w:val="20"/>
          <w:szCs w:val="20"/>
        </w:rPr>
      </w:pPr>
      <w:r>
        <w:rPr>
          <w:rFonts w:hint="default" w:ascii="Arial Regular" w:hAnsi="Arial Regular" w:cs="Arial Regular"/>
          <w:b/>
          <w:bCs w:val="0"/>
          <w:sz w:val="20"/>
          <w:szCs w:val="20"/>
        </w:rPr>
        <w:br w:type="page"/>
      </w:r>
    </w:p>
    <w:p w14:paraId="2A912B44">
      <w:pPr>
        <w:widowControl/>
        <w:jc w:val="center"/>
        <w:rPr>
          <w:rFonts w:hint="default" w:ascii="Arial Regular" w:hAnsi="Arial Regular" w:cs="Arial Regular"/>
          <w:b/>
          <w:bCs w:val="0"/>
          <w:sz w:val="20"/>
          <w:szCs w:val="20"/>
        </w:rPr>
      </w:pPr>
      <w:r>
        <w:rPr>
          <w:rFonts w:hint="default" w:ascii="Arial Regular" w:hAnsi="Arial Regular" w:cs="Arial Regular"/>
        </w:rPr>
        <w:drawing>
          <wp:inline distT="0" distB="0" distL="114300" distR="114300">
            <wp:extent cx="2515235" cy="1908175"/>
            <wp:effectExtent l="0" t="0" r="24765" b="22225"/>
            <wp:docPr id="2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0"/>
                    <pic:cNvPicPr>
                      <a:picLocks noChangeAspect="1"/>
                    </pic:cNvPicPr>
                  </pic:nvPicPr>
                  <pic:blipFill>
                    <a:blip r:embed="rId9"/>
                    <a:stretch>
                      <a:fillRect/>
                    </a:stretch>
                  </pic:blipFill>
                  <pic:spPr>
                    <a:xfrm>
                      <a:off x="0" y="0"/>
                      <a:ext cx="2515235" cy="1908175"/>
                    </a:xfrm>
                    <a:prstGeom prst="rect">
                      <a:avLst/>
                    </a:prstGeom>
                    <a:noFill/>
                    <a:ln>
                      <a:noFill/>
                    </a:ln>
                  </pic:spPr>
                </pic:pic>
              </a:graphicData>
            </a:graphic>
          </wp:inline>
        </w:drawing>
      </w:r>
      <w:r>
        <w:rPr>
          <w:rFonts w:hint="default" w:ascii="Arial Regular" w:hAnsi="Arial Regular" w:cs="Arial Regular"/>
        </w:rPr>
        <w:drawing>
          <wp:inline distT="0" distB="0" distL="114300" distR="114300">
            <wp:extent cx="2534285" cy="1908175"/>
            <wp:effectExtent l="0" t="0" r="5715" b="22225"/>
            <wp:docPr id="2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9"/>
                    <pic:cNvPicPr>
                      <a:picLocks noChangeAspect="1"/>
                    </pic:cNvPicPr>
                  </pic:nvPicPr>
                  <pic:blipFill>
                    <a:blip r:embed="rId10"/>
                    <a:stretch>
                      <a:fillRect/>
                    </a:stretch>
                  </pic:blipFill>
                  <pic:spPr>
                    <a:xfrm>
                      <a:off x="0" y="0"/>
                      <a:ext cx="2534285" cy="1908175"/>
                    </a:xfrm>
                    <a:prstGeom prst="rect">
                      <a:avLst/>
                    </a:prstGeom>
                    <a:noFill/>
                    <a:ln>
                      <a:noFill/>
                    </a:ln>
                  </pic:spPr>
                </pic:pic>
              </a:graphicData>
            </a:graphic>
          </wp:inline>
        </w:drawing>
      </w:r>
    </w:p>
    <w:p w14:paraId="4636A0CE">
      <w:pPr>
        <w:pStyle w:val="3"/>
        <w:keepNext/>
        <w:keepLines/>
        <w:pageBreakBefore w:val="0"/>
        <w:widowControl w:val="0"/>
        <w:kinsoku/>
        <w:wordWrap/>
        <w:overflowPunct/>
        <w:topLinePunct w:val="0"/>
        <w:autoSpaceDE/>
        <w:autoSpaceDN/>
        <w:bidi w:val="0"/>
        <w:adjustRightInd/>
        <w:snapToGrid/>
        <w:spacing w:before="0" w:beforeLines="0" w:after="157" w:afterLines="50" w:line="240" w:lineRule="auto"/>
        <w:textAlignment w:val="auto"/>
        <w:rPr>
          <w:rFonts w:hint="default" w:ascii="Arial Regular" w:hAnsi="Arial Regular" w:cs="Arial Regular" w:eastAsiaTheme="minorEastAsia"/>
          <w:bCs/>
          <w:sz w:val="20"/>
          <w:szCs w:val="20"/>
          <w:lang w:val="en-US" w:eastAsia="zh-CN"/>
        </w:rPr>
      </w:pPr>
      <w:r>
        <w:rPr>
          <w:rFonts w:hint="default" w:ascii="Arial Regular" w:hAnsi="Arial Regular" w:cs="Arial Regular"/>
          <w:b/>
          <w:bCs w:val="0"/>
          <w:sz w:val="20"/>
          <w:szCs w:val="20"/>
        </w:rPr>
        <w:t xml:space="preserve">Supplementary Fig. </w:t>
      </w:r>
      <w:r>
        <w:rPr>
          <w:rFonts w:hint="default" w:ascii="Arial Regular" w:hAnsi="Arial Regular" w:cs="Arial Regular"/>
          <w:b/>
          <w:bCs w:val="0"/>
          <w:sz w:val="20"/>
          <w:szCs w:val="20"/>
          <w:lang w:val="en-US" w:eastAsia="zh-CN"/>
        </w:rPr>
        <w:t>4</w:t>
      </w:r>
      <w:r>
        <w:rPr>
          <w:rFonts w:hint="default" w:ascii="Arial Regular" w:hAnsi="Arial Regular" w:cs="Arial Regular"/>
          <w:b/>
          <w:bCs w:val="0"/>
          <w:sz w:val="20"/>
          <w:szCs w:val="20"/>
        </w:rPr>
        <w:t>. Effects of metal ion concentration on spore surface zeta potential.</w:t>
      </w:r>
      <w:r>
        <w:rPr>
          <w:rFonts w:hint="default" w:ascii="Arial Regular" w:hAnsi="Arial Regular" w:cs="Arial Regular"/>
          <w:bCs/>
          <w:i w:val="0"/>
          <w:sz w:val="20"/>
          <w:szCs w:val="20"/>
          <w:lang w:val="en-US" w:eastAsia="zh-CN"/>
        </w:rPr>
        <w:t xml:space="preserve"> </w:t>
      </w:r>
      <w:r>
        <w:rPr>
          <w:rFonts w:hint="default" w:ascii="Arial Regular" w:hAnsi="Arial Regular" w:cs="Arial Regular"/>
          <w:b w:val="0"/>
          <w:bCs w:val="0"/>
          <w:i w:val="0"/>
          <w:color w:val="000000"/>
          <w:sz w:val="20"/>
          <w:szCs w:val="20"/>
          <w:lang w:bidi="ar"/>
        </w:rPr>
        <w:t>(a)</w:t>
      </w:r>
      <w:r>
        <w:rPr>
          <w:rFonts w:hint="default" w:ascii="Arial Regular" w:hAnsi="Arial Regular" w:cs="Arial Regular"/>
          <w:b w:val="0"/>
          <w:bCs w:val="0"/>
          <w:i/>
          <w:iCs/>
          <w:color w:val="000000"/>
          <w:sz w:val="20"/>
          <w:szCs w:val="20"/>
          <w:lang w:bidi="ar"/>
        </w:rPr>
        <w:t xml:space="preserve"> A.niger</w:t>
      </w:r>
      <w:r>
        <w:rPr>
          <w:rFonts w:hint="default" w:ascii="Arial Regular" w:hAnsi="Arial Regular" w:cs="Arial Regular"/>
          <w:b w:val="0"/>
          <w:bCs w:val="0"/>
          <w:i w:val="0"/>
          <w:color w:val="000000"/>
          <w:sz w:val="20"/>
          <w:szCs w:val="20"/>
          <w:lang w:bidi="ar"/>
        </w:rPr>
        <w:t xml:space="preserve"> and (b) </w:t>
      </w:r>
      <w:r>
        <w:rPr>
          <w:rFonts w:hint="default" w:ascii="Arial Regular" w:hAnsi="Arial Regular" w:cs="Arial Regular"/>
          <w:b w:val="0"/>
          <w:bCs w:val="0"/>
          <w:i/>
          <w:iCs w:val="0"/>
          <w:color w:val="000000"/>
          <w:sz w:val="20"/>
          <w:szCs w:val="20"/>
          <w:lang w:bidi="ar"/>
        </w:rPr>
        <w:t>P.polonicum</w:t>
      </w:r>
      <w:r>
        <w:rPr>
          <w:rFonts w:hint="default" w:ascii="Arial Regular" w:hAnsi="Arial Regular" w:cs="Arial Regular"/>
          <w:b w:val="0"/>
          <w:bCs w:val="0"/>
          <w:i w:val="0"/>
          <w:color w:val="000000"/>
          <w:sz w:val="20"/>
          <w:szCs w:val="20"/>
          <w:lang w:bidi="ar"/>
        </w:rPr>
        <w:t xml:space="preserve"> spores. </w:t>
      </w:r>
      <w:r>
        <w:rPr>
          <w:rFonts w:hint="default" w:ascii="Arial Regular" w:hAnsi="Arial Regular" w:cs="Arial Regular"/>
          <w:b w:val="0"/>
          <w:bCs w:val="0"/>
          <w:i w:val="0"/>
          <w:sz w:val="20"/>
          <w:szCs w:val="20"/>
        </w:rPr>
        <w:t>Experimental conditions: Initial spore concentration: (2-4)×10</w:t>
      </w:r>
      <w:r>
        <w:rPr>
          <w:rFonts w:hint="default" w:ascii="Arial Regular" w:hAnsi="Arial Regular" w:cs="Arial Regular"/>
          <w:b w:val="0"/>
          <w:bCs w:val="0"/>
          <w:i w:val="0"/>
          <w:sz w:val="20"/>
          <w:szCs w:val="20"/>
          <w:vertAlign w:val="superscript"/>
        </w:rPr>
        <w:t>5</w:t>
      </w:r>
      <w:r>
        <w:rPr>
          <w:rFonts w:hint="default" w:ascii="Arial Regular" w:hAnsi="Arial Regular" w:cs="Arial Regular"/>
          <w:b w:val="0"/>
          <w:bCs w:val="0"/>
          <w:i w:val="0"/>
          <w:sz w:val="20"/>
          <w:szCs w:val="20"/>
        </w:rPr>
        <w:t xml:space="preserve"> CFU/mL; initial metal ion concentration: 10, 50, 100 μM; pH = 7.0 ± 0.2, T=30 ±2 ℃; shaking speed: 150 rpm; contact time: until the maximum adsorption equilibrium (9 h).</w:t>
      </w:r>
    </w:p>
    <w:p w14:paraId="1E904B5D">
      <w:pPr>
        <w:rPr>
          <w:rFonts w:hint="default" w:ascii="Arial Regular" w:hAnsi="Arial Regular" w:cs="Arial Regular"/>
          <w:b/>
          <w:bCs w:val="0"/>
          <w:sz w:val="20"/>
          <w:szCs w:val="20"/>
        </w:rPr>
      </w:pPr>
      <w:r>
        <w:rPr>
          <w:rFonts w:hint="default" w:ascii="Arial Regular" w:hAnsi="Arial Regular" w:cs="Arial Regular"/>
          <w:b/>
          <w:bCs w:val="0"/>
          <w:sz w:val="20"/>
          <w:szCs w:val="20"/>
        </w:rPr>
        <w:br w:type="page"/>
      </w:r>
    </w:p>
    <w:p w14:paraId="4F214414">
      <w:pPr>
        <w:widowControl/>
        <w:jc w:val="center"/>
        <w:rPr>
          <w:rFonts w:hint="default" w:ascii="Arial Regular" w:hAnsi="Arial Regular" w:cs="Arial Regular"/>
          <w:b/>
          <w:bCs w:val="0"/>
          <w:sz w:val="20"/>
          <w:szCs w:val="20"/>
        </w:rPr>
      </w:pPr>
      <w:r>
        <w:rPr>
          <w:rFonts w:hint="default" w:ascii="Arial Regular" w:hAnsi="Arial Regular" w:cs="Arial Regular"/>
        </w:rPr>
        <w:drawing>
          <wp:inline distT="0" distB="0" distL="114300" distR="114300">
            <wp:extent cx="5039995" cy="3325495"/>
            <wp:effectExtent l="0" t="0" r="14605" b="1905"/>
            <wp:docPr id="2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1"/>
                    <pic:cNvPicPr>
                      <a:picLocks noChangeAspect="1"/>
                    </pic:cNvPicPr>
                  </pic:nvPicPr>
                  <pic:blipFill>
                    <a:blip r:embed="rId11"/>
                    <a:stretch>
                      <a:fillRect/>
                    </a:stretch>
                  </pic:blipFill>
                  <pic:spPr>
                    <a:xfrm>
                      <a:off x="0" y="0"/>
                      <a:ext cx="5039995" cy="3325495"/>
                    </a:xfrm>
                    <a:prstGeom prst="rect">
                      <a:avLst/>
                    </a:prstGeom>
                    <a:noFill/>
                    <a:ln>
                      <a:noFill/>
                    </a:ln>
                  </pic:spPr>
                </pic:pic>
              </a:graphicData>
            </a:graphic>
          </wp:inline>
        </w:drawing>
      </w:r>
    </w:p>
    <w:p w14:paraId="14B7BFB6">
      <w:pPr>
        <w:pStyle w:val="3"/>
        <w:keepNext/>
        <w:keepLines/>
        <w:pageBreakBefore w:val="0"/>
        <w:widowControl w:val="0"/>
        <w:kinsoku/>
        <w:wordWrap/>
        <w:overflowPunct/>
        <w:topLinePunct w:val="0"/>
        <w:autoSpaceDE/>
        <w:autoSpaceDN/>
        <w:bidi w:val="0"/>
        <w:adjustRightInd/>
        <w:snapToGrid/>
        <w:spacing w:before="0" w:beforeLines="0" w:after="157" w:afterLines="50" w:line="240" w:lineRule="auto"/>
        <w:textAlignment w:val="auto"/>
        <w:rPr>
          <w:rFonts w:hint="default" w:ascii="Arial Regular" w:hAnsi="Arial Regular" w:cs="Arial Regular"/>
          <w:b w:val="0"/>
          <w:bCs w:val="0"/>
          <w:sz w:val="20"/>
          <w:szCs w:val="20"/>
        </w:rPr>
      </w:pPr>
      <w:r>
        <w:rPr>
          <w:rFonts w:hint="default" w:ascii="Arial Regular" w:hAnsi="Arial Regular" w:cs="Arial Regular"/>
          <w:b/>
          <w:sz w:val="20"/>
          <w:szCs w:val="20"/>
        </w:rPr>
        <w:t xml:space="preserve">Supplementary </w:t>
      </w:r>
      <w:r>
        <w:rPr>
          <w:rFonts w:hint="default" w:ascii="Arial Regular" w:hAnsi="Arial Regular" w:cs="Arial Regular"/>
          <w:b/>
          <w:bCs w:val="0"/>
          <w:sz w:val="20"/>
          <w:szCs w:val="20"/>
        </w:rPr>
        <w:t xml:space="preserve">Fig. </w:t>
      </w:r>
      <w:r>
        <w:rPr>
          <w:rFonts w:hint="default" w:ascii="Arial Regular" w:hAnsi="Arial Regular" w:cs="Arial Regular"/>
          <w:b/>
          <w:bCs w:val="0"/>
          <w:sz w:val="20"/>
          <w:szCs w:val="20"/>
          <w:lang w:val="en-US" w:eastAsia="zh-CN"/>
        </w:rPr>
        <w:t>5</w:t>
      </w:r>
      <w:r>
        <w:rPr>
          <w:rFonts w:hint="default" w:ascii="Arial Regular" w:hAnsi="Arial Regular" w:cs="Arial Regular"/>
          <w:b/>
          <w:bCs w:val="0"/>
          <w:sz w:val="20"/>
          <w:szCs w:val="20"/>
        </w:rPr>
        <w:t>. Effects of 100 μM metal ions on spore surface hydrophobicity.</w:t>
      </w:r>
      <w:r>
        <w:rPr>
          <w:rFonts w:hint="default" w:ascii="Arial Regular" w:hAnsi="Arial Regular" w:cs="Arial Regular"/>
          <w:bCs/>
          <w:i w:val="0"/>
          <w:sz w:val="20"/>
          <w:szCs w:val="20"/>
          <w:lang w:val="en-US" w:eastAsia="zh-CN"/>
        </w:rPr>
        <w:t xml:space="preserve"> </w:t>
      </w:r>
      <w:r>
        <w:rPr>
          <w:rFonts w:hint="default" w:ascii="Arial Regular" w:hAnsi="Arial Regular" w:cs="Arial Regular"/>
          <w:b w:val="0"/>
          <w:bCs w:val="0"/>
          <w:i/>
          <w:iCs/>
          <w:color w:val="000000"/>
          <w:sz w:val="20"/>
          <w:szCs w:val="20"/>
          <w:lang w:bidi="ar"/>
        </w:rPr>
        <w:t>A.niger</w:t>
      </w:r>
      <w:r>
        <w:rPr>
          <w:rFonts w:hint="default" w:ascii="Arial Regular" w:hAnsi="Arial Regular" w:cs="Arial Regular"/>
          <w:b w:val="0"/>
          <w:bCs w:val="0"/>
          <w:i w:val="0"/>
          <w:color w:val="000000"/>
          <w:sz w:val="20"/>
          <w:szCs w:val="20"/>
          <w:lang w:bidi="ar"/>
        </w:rPr>
        <w:t xml:space="preserve"> and </w:t>
      </w:r>
      <w:r>
        <w:rPr>
          <w:rFonts w:hint="default" w:ascii="Arial Regular" w:hAnsi="Arial Regular" w:cs="Arial Regular"/>
          <w:b w:val="0"/>
          <w:bCs w:val="0"/>
          <w:i/>
          <w:iCs w:val="0"/>
          <w:color w:val="000000"/>
          <w:sz w:val="20"/>
          <w:szCs w:val="20"/>
          <w:lang w:bidi="ar"/>
        </w:rPr>
        <w:t>P.polonicum</w:t>
      </w:r>
      <w:r>
        <w:rPr>
          <w:rFonts w:hint="default" w:ascii="Arial Regular" w:hAnsi="Arial Regular" w:cs="Arial Regular"/>
          <w:b w:val="0"/>
          <w:bCs w:val="0"/>
          <w:i w:val="0"/>
          <w:color w:val="000000"/>
          <w:sz w:val="20"/>
          <w:szCs w:val="20"/>
          <w:lang w:bidi="ar"/>
        </w:rPr>
        <w:t xml:space="preserve"> spores</w:t>
      </w:r>
      <w:r>
        <w:rPr>
          <w:rFonts w:hint="default" w:ascii="Arial Regular" w:hAnsi="Arial Regular" w:cs="Arial Regular"/>
          <w:b w:val="0"/>
          <w:bCs w:val="0"/>
          <w:sz w:val="20"/>
          <w:szCs w:val="20"/>
        </w:rPr>
        <w:t xml:space="preserve"> measured by microbial adhesion to hydrocarbons (MATH) assay. Experimental conditions: Initial spore concentration: (2-4)×10</w:t>
      </w:r>
      <w:r>
        <w:rPr>
          <w:rFonts w:hint="default" w:ascii="Arial Regular" w:hAnsi="Arial Regular" w:cs="Arial Regular"/>
          <w:b w:val="0"/>
          <w:bCs w:val="0"/>
          <w:sz w:val="20"/>
          <w:szCs w:val="20"/>
          <w:vertAlign w:val="superscript"/>
        </w:rPr>
        <w:t>5</w:t>
      </w:r>
      <w:r>
        <w:rPr>
          <w:rFonts w:hint="default" w:ascii="Arial Regular" w:hAnsi="Arial Regular" w:cs="Arial Regular"/>
          <w:b w:val="0"/>
          <w:bCs w:val="0"/>
          <w:sz w:val="20"/>
          <w:szCs w:val="20"/>
        </w:rPr>
        <w:t xml:space="preserve"> CFU/mL; initial metal ion concentration: 100 μM ([Co(II)]=5.89 mg/L, [Cu(II)]=6.35 mg/L, [Fe(II)]=5.58 mg/L, [Mn(II)]=5.49 mg/L); pH = 7.0 ± 0.2, T=30 ±2 ℃; shaking speed: 150 rpm; until the maximum adsorption equilibrium (9 h).</w:t>
      </w:r>
    </w:p>
    <w:p w14:paraId="7E5B2BE6">
      <w:pPr>
        <w:rPr>
          <w:rFonts w:hint="default" w:ascii="Arial Regular" w:hAnsi="Arial Regular" w:cs="Arial Regular"/>
          <w:b w:val="0"/>
          <w:bCs w:val="0"/>
          <w:sz w:val="20"/>
          <w:szCs w:val="20"/>
        </w:rPr>
      </w:pPr>
      <w:r>
        <w:rPr>
          <w:rFonts w:hint="default" w:ascii="Arial Regular" w:hAnsi="Arial Regular" w:cs="Arial Regular"/>
          <w:b w:val="0"/>
          <w:bCs w:val="0"/>
          <w:sz w:val="20"/>
          <w:szCs w:val="20"/>
        </w:rPr>
        <w:br w:type="page"/>
      </w:r>
    </w:p>
    <w:p w14:paraId="5506B159">
      <w:pPr>
        <w:jc w:val="center"/>
        <w:rPr>
          <w:rFonts w:hint="default" w:ascii="Arial Regular" w:hAnsi="Arial Regular" w:cs="Arial Regular"/>
          <w:b/>
          <w:bCs w:val="0"/>
          <w:sz w:val="20"/>
          <w:szCs w:val="20"/>
          <w:highlight w:val="yellow"/>
        </w:rPr>
      </w:pPr>
      <w:r>
        <w:rPr>
          <w:rFonts w:hint="default" w:ascii="Arial Regular" w:hAnsi="Arial Regular" w:cs="Arial Regular"/>
        </w:rPr>
        <w:drawing>
          <wp:inline distT="0" distB="0" distL="114300" distR="114300">
            <wp:extent cx="4632325" cy="352552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rcRect r="8089"/>
                    <a:stretch>
                      <a:fillRect/>
                    </a:stretch>
                  </pic:blipFill>
                  <pic:spPr>
                    <a:xfrm>
                      <a:off x="0" y="0"/>
                      <a:ext cx="4632325" cy="3525520"/>
                    </a:xfrm>
                    <a:prstGeom prst="rect">
                      <a:avLst/>
                    </a:prstGeom>
                    <a:noFill/>
                    <a:ln>
                      <a:noFill/>
                    </a:ln>
                  </pic:spPr>
                </pic:pic>
              </a:graphicData>
            </a:graphic>
          </wp:inline>
        </w:drawing>
      </w:r>
    </w:p>
    <w:p w14:paraId="5BA6D45E">
      <w:pPr>
        <w:pStyle w:val="3"/>
        <w:keepNext/>
        <w:keepLines/>
        <w:pageBreakBefore w:val="0"/>
        <w:widowControl w:val="0"/>
        <w:kinsoku/>
        <w:wordWrap/>
        <w:overflowPunct/>
        <w:topLinePunct w:val="0"/>
        <w:autoSpaceDE/>
        <w:autoSpaceDN/>
        <w:bidi w:val="0"/>
        <w:adjustRightInd/>
        <w:snapToGrid/>
        <w:spacing w:before="0" w:beforeLines="0" w:after="157" w:afterLines="50" w:line="240" w:lineRule="auto"/>
        <w:textAlignment w:val="auto"/>
        <w:rPr>
          <w:rFonts w:hint="default" w:ascii="Arial Regular" w:hAnsi="Arial Regular" w:cs="Arial Regular"/>
          <w:b w:val="0"/>
          <w:bCs w:val="0"/>
          <w:sz w:val="20"/>
          <w:szCs w:val="20"/>
        </w:rPr>
      </w:pPr>
      <w:r>
        <w:rPr>
          <w:rFonts w:hint="default" w:ascii="Arial Regular" w:hAnsi="Arial Regular" w:cs="Arial Regular"/>
          <w:b/>
          <w:sz w:val="20"/>
          <w:szCs w:val="20"/>
        </w:rPr>
        <w:t xml:space="preserve">Supplementary </w:t>
      </w:r>
      <w:r>
        <w:rPr>
          <w:rFonts w:hint="default" w:ascii="Arial Regular" w:hAnsi="Arial Regular" w:cs="Arial Regular"/>
          <w:b/>
          <w:bCs w:val="0"/>
          <w:sz w:val="20"/>
          <w:szCs w:val="20"/>
          <w:highlight w:val="none"/>
        </w:rPr>
        <w:t xml:space="preserve">Fig. </w:t>
      </w:r>
      <w:r>
        <w:rPr>
          <w:rFonts w:hint="default" w:ascii="Arial Regular" w:hAnsi="Arial Regular" w:cs="Arial Regular"/>
          <w:b/>
          <w:bCs w:val="0"/>
          <w:sz w:val="20"/>
          <w:szCs w:val="20"/>
          <w:highlight w:val="none"/>
          <w:lang w:val="en-US" w:eastAsia="zh-CN"/>
        </w:rPr>
        <w:t>6</w:t>
      </w:r>
      <w:r>
        <w:rPr>
          <w:rFonts w:hint="default" w:ascii="Arial Regular" w:hAnsi="Arial Regular" w:cs="Arial Regular"/>
          <w:b/>
          <w:bCs w:val="0"/>
          <w:sz w:val="20"/>
          <w:szCs w:val="20"/>
          <w:highlight w:val="none"/>
        </w:rPr>
        <w:t>.</w:t>
      </w:r>
      <w:r>
        <w:rPr>
          <w:rFonts w:hint="default" w:ascii="Arial Regular" w:hAnsi="Arial Regular" w:cs="Arial Regular"/>
          <w:b/>
          <w:bCs w:val="0"/>
          <w:sz w:val="20"/>
          <w:szCs w:val="20"/>
          <w:highlight w:val="none"/>
          <w:lang w:val="en-US" w:eastAsia="zh-CN"/>
        </w:rPr>
        <w:t xml:space="preserve"> Particle size changes of </w:t>
      </w:r>
      <w:r>
        <w:rPr>
          <w:rFonts w:hint="default" w:ascii="Arial Regular" w:hAnsi="Arial Regular" w:cs="Arial Regular"/>
          <w:b/>
          <w:bCs/>
          <w:i/>
          <w:iCs/>
          <w:color w:val="000000"/>
          <w:sz w:val="20"/>
          <w:szCs w:val="20"/>
          <w:lang w:bidi="ar"/>
        </w:rPr>
        <w:t>A.niger</w:t>
      </w:r>
      <w:r>
        <w:rPr>
          <w:rFonts w:hint="default" w:ascii="Arial Regular" w:hAnsi="Arial Regular" w:cs="Arial Regular"/>
          <w:b/>
          <w:bCs/>
          <w:i w:val="0"/>
          <w:color w:val="000000"/>
          <w:sz w:val="20"/>
          <w:szCs w:val="20"/>
          <w:lang w:bidi="ar"/>
        </w:rPr>
        <w:t xml:space="preserve"> spores</w:t>
      </w:r>
      <w:r>
        <w:rPr>
          <w:rFonts w:hint="default" w:ascii="Arial Regular" w:hAnsi="Arial Regular" w:cs="Arial Regular"/>
          <w:b/>
          <w:bCs/>
          <w:sz w:val="20"/>
          <w:szCs w:val="20"/>
        </w:rPr>
        <w:t xml:space="preserve"> following metal ion complexation</w:t>
      </w:r>
      <w:r>
        <w:rPr>
          <w:rFonts w:hint="default" w:ascii="Arial Regular" w:hAnsi="Arial Regular" w:cs="Arial Regular"/>
          <w:b/>
          <w:bCs/>
          <w:sz w:val="20"/>
          <w:szCs w:val="20"/>
          <w:lang w:val="en-US"/>
        </w:rPr>
        <w:t>.</w:t>
      </w:r>
      <w:r>
        <w:rPr>
          <w:rFonts w:hint="default" w:ascii="Arial Regular" w:hAnsi="Arial Regular" w:cs="Arial Regular"/>
          <w:b/>
          <w:bCs/>
          <w:sz w:val="20"/>
          <w:szCs w:val="20"/>
        </w:rPr>
        <w:t xml:space="preserve"> </w:t>
      </w:r>
      <w:r>
        <w:rPr>
          <w:rFonts w:hint="default" w:ascii="Arial Regular" w:hAnsi="Arial Regular" w:cs="Arial Regular"/>
          <w:b w:val="0"/>
          <w:bCs w:val="0"/>
          <w:sz w:val="20"/>
          <w:szCs w:val="20"/>
        </w:rPr>
        <w:t>Experimental conditions: Initial spore concentration: (2-4)×10</w:t>
      </w:r>
      <w:r>
        <w:rPr>
          <w:rFonts w:hint="default" w:ascii="Arial Regular" w:hAnsi="Arial Regular" w:cs="Arial Regular"/>
          <w:b w:val="0"/>
          <w:bCs w:val="0"/>
          <w:sz w:val="20"/>
          <w:szCs w:val="20"/>
          <w:vertAlign w:val="superscript"/>
        </w:rPr>
        <w:t>5</w:t>
      </w:r>
      <w:r>
        <w:rPr>
          <w:rFonts w:hint="default" w:ascii="Arial Regular" w:hAnsi="Arial Regular" w:cs="Arial Regular"/>
          <w:b w:val="0"/>
          <w:bCs w:val="0"/>
          <w:sz w:val="20"/>
          <w:szCs w:val="20"/>
        </w:rPr>
        <w:t xml:space="preserve"> CFU/mL; initial metal ion concentration: 10 μM ([Co(II)]=</w:t>
      </w:r>
      <w:r>
        <w:rPr>
          <w:rFonts w:hint="default" w:ascii="Arial Regular" w:hAnsi="Arial Regular" w:cs="Arial Regular"/>
          <w:b w:val="0"/>
          <w:bCs w:val="0"/>
          <w:sz w:val="20"/>
          <w:szCs w:val="20"/>
          <w:lang w:val="en-US" w:eastAsia="zh-CN"/>
        </w:rPr>
        <w:t>0.</w:t>
      </w:r>
      <w:r>
        <w:rPr>
          <w:rFonts w:hint="default" w:ascii="Arial Regular" w:hAnsi="Arial Regular" w:cs="Arial Regular"/>
          <w:b w:val="0"/>
          <w:bCs w:val="0"/>
          <w:sz w:val="20"/>
          <w:szCs w:val="20"/>
        </w:rPr>
        <w:t>589 mg/L, [Cu(II)]=</w:t>
      </w:r>
      <w:r>
        <w:rPr>
          <w:rFonts w:hint="default" w:ascii="Arial Regular" w:hAnsi="Arial Regular" w:cs="Arial Regular"/>
          <w:b w:val="0"/>
          <w:bCs w:val="0"/>
          <w:sz w:val="20"/>
          <w:szCs w:val="20"/>
          <w:lang w:val="en-US" w:eastAsia="zh-CN"/>
        </w:rPr>
        <w:t>0.</w:t>
      </w:r>
      <w:r>
        <w:rPr>
          <w:rFonts w:hint="default" w:ascii="Arial Regular" w:hAnsi="Arial Regular" w:cs="Arial Regular"/>
          <w:b w:val="0"/>
          <w:bCs w:val="0"/>
          <w:sz w:val="20"/>
          <w:szCs w:val="20"/>
        </w:rPr>
        <w:t>635 mg/L, [Fe(II)]=</w:t>
      </w:r>
      <w:r>
        <w:rPr>
          <w:rFonts w:hint="default" w:ascii="Arial Regular" w:hAnsi="Arial Regular" w:cs="Arial Regular"/>
          <w:b w:val="0"/>
          <w:bCs w:val="0"/>
          <w:sz w:val="20"/>
          <w:szCs w:val="20"/>
          <w:lang w:val="en-US" w:eastAsia="zh-CN"/>
        </w:rPr>
        <w:t>0.</w:t>
      </w:r>
      <w:r>
        <w:rPr>
          <w:rFonts w:hint="default" w:ascii="Arial Regular" w:hAnsi="Arial Regular" w:cs="Arial Regular"/>
          <w:b w:val="0"/>
          <w:bCs w:val="0"/>
          <w:sz w:val="20"/>
          <w:szCs w:val="20"/>
        </w:rPr>
        <w:t>558 mg/L, [Mn(II)]=</w:t>
      </w:r>
      <w:r>
        <w:rPr>
          <w:rFonts w:hint="default" w:ascii="Arial Regular" w:hAnsi="Arial Regular" w:cs="Arial Regular"/>
          <w:b w:val="0"/>
          <w:bCs w:val="0"/>
          <w:sz w:val="20"/>
          <w:szCs w:val="20"/>
          <w:lang w:val="en-US" w:eastAsia="zh-CN"/>
        </w:rPr>
        <w:t>0.</w:t>
      </w:r>
      <w:r>
        <w:rPr>
          <w:rFonts w:hint="default" w:ascii="Arial Regular" w:hAnsi="Arial Regular" w:cs="Arial Regular"/>
          <w:b w:val="0"/>
          <w:bCs w:val="0"/>
          <w:sz w:val="20"/>
          <w:szCs w:val="20"/>
        </w:rPr>
        <w:t>549 mg/L); pH = 7.0 ± 0.2, T=30 ±2 ℃; shaking speed: 150 rpm; until the maximum adsorption equilibrium (9 h).</w:t>
      </w:r>
    </w:p>
    <w:p w14:paraId="19C75196">
      <w:pPr>
        <w:rPr>
          <w:rFonts w:hint="default" w:ascii="Arial Regular" w:hAnsi="Arial Regular" w:cs="Arial Regular"/>
          <w:b/>
          <w:bCs w:val="0"/>
          <w:sz w:val="20"/>
          <w:szCs w:val="20"/>
        </w:rPr>
        <w:sectPr>
          <w:pgSz w:w="12240" w:h="15840"/>
          <w:pgMar w:top="1440" w:right="1440" w:bottom="1440" w:left="1440" w:header="851" w:footer="992" w:gutter="0"/>
          <w:cols w:space="425" w:num="1"/>
          <w:docGrid w:type="lines" w:linePitch="312" w:charSpace="0"/>
        </w:sectPr>
      </w:pPr>
    </w:p>
    <w:p w14:paraId="36969620">
      <w:pPr>
        <w:jc w:val="center"/>
        <w:rPr>
          <w:rFonts w:hint="default" w:ascii="Arial Regular" w:hAnsi="Arial Regular" w:cs="Arial Regular"/>
          <w:lang w:val="en-US"/>
        </w:rPr>
      </w:pPr>
      <w:r>
        <w:rPr>
          <w:rFonts w:hint="default" w:ascii="Arial Regular" w:hAnsi="Arial Regular" w:cs="Arial Regular"/>
          <w:lang w:val="en-US"/>
        </w:rPr>
        <w:drawing>
          <wp:inline distT="0" distB="0" distL="114300" distR="114300">
            <wp:extent cx="5763895" cy="3527425"/>
            <wp:effectExtent l="0" t="0" r="0" b="0"/>
            <wp:docPr id="12" name="图片 12" descr="Supplementary Fig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Supplementary Fig7"/>
                    <pic:cNvPicPr>
                      <a:picLocks noChangeAspect="1"/>
                    </pic:cNvPicPr>
                  </pic:nvPicPr>
                  <pic:blipFill>
                    <a:blip r:embed="rId13"/>
                    <a:srcRect t="5757" b="45265"/>
                    <a:stretch>
                      <a:fillRect/>
                    </a:stretch>
                  </pic:blipFill>
                  <pic:spPr>
                    <a:xfrm>
                      <a:off x="0" y="0"/>
                      <a:ext cx="5763895" cy="3527425"/>
                    </a:xfrm>
                    <a:prstGeom prst="rect">
                      <a:avLst/>
                    </a:prstGeom>
                  </pic:spPr>
                </pic:pic>
              </a:graphicData>
            </a:graphic>
          </wp:inline>
        </w:drawing>
      </w:r>
    </w:p>
    <w:p w14:paraId="67C31C91">
      <w:pPr>
        <w:pStyle w:val="3"/>
        <w:keepNext/>
        <w:keepLines/>
        <w:pageBreakBefore w:val="0"/>
        <w:widowControl w:val="0"/>
        <w:kinsoku/>
        <w:wordWrap/>
        <w:overflowPunct/>
        <w:topLinePunct w:val="0"/>
        <w:autoSpaceDE/>
        <w:autoSpaceDN/>
        <w:bidi w:val="0"/>
        <w:adjustRightInd/>
        <w:snapToGrid/>
        <w:spacing w:before="0" w:beforeLines="0" w:after="157" w:afterLines="50" w:line="240" w:lineRule="auto"/>
        <w:textAlignment w:val="auto"/>
        <w:rPr>
          <w:rFonts w:hint="default" w:ascii="Arial Regular" w:hAnsi="Arial Regular" w:cs="Arial Regular"/>
          <w:b w:val="0"/>
          <w:bCs/>
          <w:i w:val="0"/>
          <w:iCs w:val="0"/>
          <w:sz w:val="20"/>
          <w:szCs w:val="20"/>
        </w:rPr>
      </w:pPr>
      <w:r>
        <w:rPr>
          <w:rFonts w:hint="default" w:ascii="Arial Regular" w:hAnsi="Arial Regular" w:cs="Arial Regular"/>
          <w:b/>
          <w:sz w:val="20"/>
          <w:szCs w:val="20"/>
        </w:rPr>
        <w:t xml:space="preserve">Supplementary </w:t>
      </w:r>
      <w:r>
        <w:rPr>
          <w:rFonts w:hint="default" w:ascii="Arial Regular" w:hAnsi="Arial Regular" w:cs="Arial Regular"/>
          <w:b/>
          <w:bCs w:val="0"/>
          <w:sz w:val="20"/>
          <w:szCs w:val="20"/>
        </w:rPr>
        <w:t xml:space="preserve">Fig. </w:t>
      </w:r>
      <w:r>
        <w:rPr>
          <w:rFonts w:hint="default" w:ascii="Arial Regular" w:hAnsi="Arial Regular" w:cs="Arial Regular"/>
          <w:b/>
          <w:bCs w:val="0"/>
          <w:sz w:val="20"/>
          <w:szCs w:val="20"/>
          <w:lang w:val="en-US" w:eastAsia="zh-CN"/>
        </w:rPr>
        <w:t>7</w:t>
      </w:r>
      <w:r>
        <w:rPr>
          <w:rFonts w:hint="default" w:ascii="Arial Regular" w:hAnsi="Arial Regular" w:cs="Arial Regular"/>
          <w:b/>
          <w:bCs w:val="0"/>
          <w:sz w:val="20"/>
          <w:szCs w:val="20"/>
        </w:rPr>
        <w:t>.</w:t>
      </w:r>
      <w:r>
        <w:rPr>
          <w:rFonts w:hint="default" w:ascii="Arial Regular" w:hAnsi="Arial Regular" w:cs="Arial Regular"/>
          <w:b/>
          <w:bCs w:val="0"/>
          <w:sz w:val="20"/>
          <w:szCs w:val="20"/>
          <w:lang w:val="en-US"/>
        </w:rPr>
        <w:t xml:space="preserve"> </w:t>
      </w:r>
      <w:r>
        <w:rPr>
          <w:rFonts w:hint="default" w:ascii="Arial Regular" w:hAnsi="Arial Regular" w:cs="Arial Regular"/>
          <w:b/>
          <w:bCs/>
          <w:i w:val="0"/>
          <w:iCs w:val="0"/>
          <w:sz w:val="20"/>
          <w:szCs w:val="20"/>
        </w:rPr>
        <w:t xml:space="preserve">Chlorine inactivation kinetics of </w:t>
      </w:r>
      <w:r>
        <w:rPr>
          <w:rFonts w:hint="default" w:ascii="Arial Regular" w:hAnsi="Arial Regular" w:cs="Arial Regular"/>
          <w:b/>
          <w:bCs/>
          <w:i/>
          <w:iCs/>
          <w:sz w:val="20"/>
          <w:szCs w:val="20"/>
        </w:rPr>
        <w:t>A. niger</w:t>
      </w:r>
      <w:r>
        <w:rPr>
          <w:rFonts w:hint="default" w:ascii="Arial Regular" w:hAnsi="Arial Regular" w:cs="Arial Regular"/>
          <w:b/>
          <w:bCs/>
          <w:i w:val="0"/>
          <w:iCs w:val="0"/>
          <w:sz w:val="20"/>
          <w:szCs w:val="20"/>
          <w:lang w:val="en-US"/>
        </w:rPr>
        <w:t xml:space="preserve"> </w:t>
      </w:r>
      <w:r>
        <w:rPr>
          <w:rFonts w:hint="default" w:ascii="Arial Regular" w:hAnsi="Arial Regular" w:cs="Arial Regular"/>
          <w:b/>
          <w:bCs/>
          <w:i w:val="0"/>
          <w:iCs w:val="0"/>
          <w:sz w:val="20"/>
          <w:szCs w:val="20"/>
        </w:rPr>
        <w:t xml:space="preserve">spores, and </w:t>
      </w:r>
      <w:r>
        <w:rPr>
          <w:rFonts w:hint="default" w:ascii="Arial Regular" w:hAnsi="Arial Regular" w:cs="Arial Regular"/>
          <w:b/>
          <w:bCs/>
          <w:i/>
          <w:iCs/>
          <w:sz w:val="20"/>
          <w:szCs w:val="20"/>
        </w:rPr>
        <w:t>E. coli</w:t>
      </w:r>
      <w:r>
        <w:rPr>
          <w:rFonts w:hint="default" w:ascii="Arial Regular" w:hAnsi="Arial Regular" w:cs="Arial Regular"/>
          <w:b/>
          <w:bCs/>
          <w:i w:val="0"/>
          <w:iCs w:val="0"/>
          <w:sz w:val="20"/>
          <w:szCs w:val="20"/>
          <w:lang w:val="en-US"/>
        </w:rPr>
        <w:t xml:space="preserve"> </w:t>
      </w:r>
      <w:r>
        <w:rPr>
          <w:rFonts w:hint="default" w:ascii="Arial Regular" w:hAnsi="Arial Regular" w:cs="Arial Regular"/>
          <w:b/>
          <w:bCs/>
          <w:i w:val="0"/>
          <w:iCs w:val="0"/>
          <w:sz w:val="20"/>
          <w:szCs w:val="20"/>
        </w:rPr>
        <w:t>after complexation with metal ions</w:t>
      </w:r>
      <w:r>
        <w:rPr>
          <w:rFonts w:hint="default" w:ascii="Arial Regular" w:hAnsi="Arial Regular" w:cs="Arial Regular"/>
          <w:sz w:val="20"/>
          <w:szCs w:val="20"/>
        </w:rPr>
        <w:t xml:space="preserve"> (</w:t>
      </w:r>
      <w:r>
        <w:rPr>
          <w:rFonts w:hint="default" w:ascii="Arial Regular" w:hAnsi="Arial Regular" w:cs="Arial Regular"/>
          <w:b w:val="0"/>
          <w:bCs w:val="0"/>
          <w:i w:val="0"/>
          <w:sz w:val="20"/>
          <w:szCs w:val="20"/>
        </w:rPr>
        <w:t>without centrifugation</w:t>
      </w:r>
      <w:r>
        <w:rPr>
          <w:rFonts w:hint="default" w:ascii="Arial Regular" w:hAnsi="Arial Regular" w:cs="Arial Regular"/>
          <w:sz w:val="20"/>
          <w:szCs w:val="20"/>
        </w:rPr>
        <w:t>).</w:t>
      </w:r>
      <w:r>
        <w:rPr>
          <w:rFonts w:hint="default" w:ascii="Arial Regular" w:hAnsi="Arial Regular" w:cs="Arial Regular"/>
          <w:b w:val="0"/>
          <w:bCs/>
          <w:i w:val="0"/>
          <w:iCs w:val="0"/>
          <w:sz w:val="20"/>
          <w:szCs w:val="20"/>
        </w:rPr>
        <w:t xml:space="preserve"> Experimental conditions: initial fungal spores concentration=(</w:t>
      </w:r>
      <w:r>
        <w:rPr>
          <w:rFonts w:hint="default" w:ascii="Arial Regular" w:hAnsi="Arial Regular" w:cs="Arial Regular"/>
          <w:b w:val="0"/>
          <w:bCs/>
          <w:i w:val="0"/>
          <w:iCs w:val="0"/>
          <w:sz w:val="20"/>
          <w:szCs w:val="20"/>
          <w:lang w:val="en-US" w:eastAsia="zh-CN"/>
        </w:rPr>
        <w:t>2</w:t>
      </w:r>
      <w:r>
        <w:rPr>
          <w:rFonts w:hint="default" w:ascii="Arial Regular" w:hAnsi="Arial Regular" w:cs="Arial Regular"/>
          <w:b w:val="0"/>
          <w:bCs/>
          <w:i w:val="0"/>
          <w:iCs w:val="0"/>
          <w:sz w:val="20"/>
          <w:szCs w:val="20"/>
        </w:rPr>
        <w:t>-</w:t>
      </w:r>
      <w:r>
        <w:rPr>
          <w:rFonts w:hint="default" w:ascii="Arial Regular" w:hAnsi="Arial Regular" w:cs="Arial Regular"/>
          <w:b w:val="0"/>
          <w:bCs/>
          <w:i w:val="0"/>
          <w:iCs w:val="0"/>
          <w:sz w:val="20"/>
          <w:szCs w:val="20"/>
          <w:lang w:val="en-US" w:eastAsia="zh-CN"/>
        </w:rPr>
        <w:t>4</w:t>
      </w:r>
      <w:r>
        <w:rPr>
          <w:rFonts w:hint="default" w:ascii="Arial Regular" w:hAnsi="Arial Regular" w:cs="Arial Regular"/>
          <w:b w:val="0"/>
          <w:bCs/>
          <w:i w:val="0"/>
          <w:iCs w:val="0"/>
          <w:sz w:val="20"/>
          <w:szCs w:val="20"/>
        </w:rPr>
        <w:t>)×10</w:t>
      </w:r>
      <w:r>
        <w:rPr>
          <w:rFonts w:hint="default" w:ascii="Arial Regular" w:hAnsi="Arial Regular" w:cs="Arial Regular"/>
          <w:b w:val="0"/>
          <w:bCs/>
          <w:i w:val="0"/>
          <w:iCs w:val="0"/>
          <w:sz w:val="20"/>
          <w:szCs w:val="20"/>
          <w:vertAlign w:val="superscript"/>
        </w:rPr>
        <w:t>5</w:t>
      </w:r>
      <w:r>
        <w:rPr>
          <w:rFonts w:hint="default" w:ascii="Arial Regular" w:hAnsi="Arial Regular" w:cs="Arial Regular"/>
          <w:b w:val="0"/>
          <w:bCs/>
          <w:i w:val="0"/>
          <w:iCs w:val="0"/>
          <w:sz w:val="20"/>
          <w:szCs w:val="20"/>
        </w:rPr>
        <w:t xml:space="preserve"> CFU/mL;</w:t>
      </w:r>
      <w:r>
        <w:rPr>
          <w:rFonts w:hint="default" w:ascii="Arial Regular" w:hAnsi="Arial Regular" w:cs="Arial Regular"/>
          <w:b w:val="0"/>
          <w:bCs/>
          <w:i w:val="0"/>
          <w:iCs w:val="0"/>
          <w:sz w:val="20"/>
          <w:szCs w:val="20"/>
          <w:lang w:val="en-US" w:eastAsia="zh-CN"/>
        </w:rPr>
        <w:t xml:space="preserve"> </w:t>
      </w:r>
      <w:r>
        <w:rPr>
          <w:rFonts w:hint="default" w:ascii="Arial Regular" w:hAnsi="Arial Regular" w:cs="Arial Regular"/>
          <w:b w:val="0"/>
          <w:bCs/>
          <w:i w:val="0"/>
          <w:iCs w:val="0"/>
          <w:sz w:val="20"/>
          <w:szCs w:val="20"/>
        </w:rPr>
        <w:t>initial bacteria concentration=(</w:t>
      </w:r>
      <w:r>
        <w:rPr>
          <w:rFonts w:hint="default" w:ascii="Arial Regular" w:hAnsi="Arial Regular" w:cs="Arial Regular"/>
          <w:b w:val="0"/>
          <w:bCs/>
          <w:i w:val="0"/>
          <w:iCs w:val="0"/>
          <w:sz w:val="20"/>
          <w:szCs w:val="20"/>
          <w:lang w:val="en-US" w:eastAsia="zh-CN"/>
        </w:rPr>
        <w:t>2</w:t>
      </w:r>
      <w:r>
        <w:rPr>
          <w:rFonts w:hint="default" w:ascii="Arial Regular" w:hAnsi="Arial Regular" w:cs="Arial Regular"/>
          <w:b w:val="0"/>
          <w:bCs/>
          <w:i w:val="0"/>
          <w:iCs w:val="0"/>
          <w:sz w:val="20"/>
          <w:szCs w:val="20"/>
        </w:rPr>
        <w:t>-</w:t>
      </w:r>
      <w:r>
        <w:rPr>
          <w:rFonts w:hint="default" w:ascii="Arial Regular" w:hAnsi="Arial Regular" w:cs="Arial Regular"/>
          <w:b w:val="0"/>
          <w:bCs/>
          <w:i w:val="0"/>
          <w:iCs w:val="0"/>
          <w:sz w:val="20"/>
          <w:szCs w:val="20"/>
          <w:lang w:val="en-US" w:eastAsia="zh-CN"/>
        </w:rPr>
        <w:t>4</w:t>
      </w:r>
      <w:r>
        <w:rPr>
          <w:rFonts w:hint="default" w:ascii="Arial Regular" w:hAnsi="Arial Regular" w:cs="Arial Regular"/>
          <w:b w:val="0"/>
          <w:bCs/>
          <w:i w:val="0"/>
          <w:iCs w:val="0"/>
          <w:sz w:val="20"/>
          <w:szCs w:val="20"/>
        </w:rPr>
        <w:t>)×10</w:t>
      </w:r>
      <w:r>
        <w:rPr>
          <w:rFonts w:hint="default" w:ascii="Arial Regular" w:hAnsi="Arial Regular" w:cs="Arial Regular"/>
          <w:b w:val="0"/>
          <w:bCs/>
          <w:i w:val="0"/>
          <w:iCs w:val="0"/>
          <w:sz w:val="20"/>
          <w:szCs w:val="20"/>
          <w:vertAlign w:val="superscript"/>
        </w:rPr>
        <w:t>7</w:t>
      </w:r>
      <w:r>
        <w:rPr>
          <w:rFonts w:hint="default" w:ascii="Arial Regular" w:hAnsi="Arial Regular" w:cs="Arial Regular"/>
          <w:b w:val="0"/>
          <w:bCs/>
          <w:i w:val="0"/>
          <w:iCs w:val="0"/>
          <w:sz w:val="20"/>
          <w:szCs w:val="20"/>
        </w:rPr>
        <w:t xml:space="preserve"> CFU/mL; [chlorine]</w:t>
      </w:r>
      <w:r>
        <w:rPr>
          <w:rFonts w:hint="default" w:ascii="Arial Regular" w:hAnsi="Arial Regular" w:cs="Arial Regular"/>
          <w:b w:val="0"/>
          <w:bCs/>
          <w:i w:val="0"/>
          <w:iCs w:val="0"/>
          <w:sz w:val="20"/>
          <w:szCs w:val="20"/>
          <w:vertAlign w:val="subscript"/>
        </w:rPr>
        <w:t>0</w:t>
      </w:r>
      <w:r>
        <w:rPr>
          <w:rFonts w:hint="default" w:ascii="Arial Regular" w:hAnsi="Arial Regular" w:cs="Arial Regular"/>
          <w:b w:val="0"/>
          <w:bCs/>
          <w:i w:val="0"/>
          <w:iCs w:val="0"/>
          <w:sz w:val="20"/>
          <w:szCs w:val="20"/>
        </w:rPr>
        <w:t>=</w:t>
      </w:r>
      <w:r>
        <w:rPr>
          <w:rFonts w:hint="default" w:ascii="Arial Regular" w:hAnsi="Arial Regular" w:cs="Arial Regular"/>
          <w:b w:val="0"/>
          <w:bCs/>
          <w:i w:val="0"/>
          <w:iCs w:val="0"/>
          <w:sz w:val="20"/>
          <w:szCs w:val="20"/>
          <w:lang w:val="en-US" w:eastAsia="zh-CN"/>
        </w:rPr>
        <w:t>2.0</w:t>
      </w:r>
      <w:r>
        <w:rPr>
          <w:rFonts w:hint="default" w:ascii="Arial Regular" w:hAnsi="Arial Regular" w:cs="Arial Regular"/>
          <w:b w:val="0"/>
          <w:bCs/>
          <w:i w:val="0"/>
          <w:iCs w:val="0"/>
          <w:sz w:val="20"/>
          <w:szCs w:val="20"/>
        </w:rPr>
        <w:t xml:space="preserve"> mg/L (for E.coli),</w:t>
      </w:r>
      <w:r>
        <w:rPr>
          <w:rFonts w:hint="default" w:ascii="Arial Regular" w:hAnsi="Arial Regular" w:cs="Arial Regular"/>
          <w:b w:val="0"/>
          <w:bCs/>
          <w:i w:val="0"/>
          <w:iCs w:val="0"/>
          <w:sz w:val="20"/>
          <w:szCs w:val="20"/>
          <w:lang w:val="en-US"/>
        </w:rPr>
        <w:t xml:space="preserve"> </w:t>
      </w:r>
      <w:r>
        <w:rPr>
          <w:rFonts w:hint="default" w:ascii="Arial Regular" w:hAnsi="Arial Regular" w:cs="Arial Regular"/>
          <w:b w:val="0"/>
          <w:bCs/>
          <w:i w:val="0"/>
          <w:iCs w:val="0"/>
          <w:sz w:val="20"/>
          <w:szCs w:val="20"/>
        </w:rPr>
        <w:t xml:space="preserve">3.0 mg/L(for </w:t>
      </w:r>
      <w:r>
        <w:rPr>
          <w:rFonts w:hint="default" w:ascii="Arial Regular" w:hAnsi="Arial Regular" w:cs="Arial Regular"/>
          <w:b w:val="0"/>
          <w:bCs/>
          <w:i/>
          <w:iCs/>
          <w:sz w:val="20"/>
          <w:szCs w:val="20"/>
        </w:rPr>
        <w:t>A.niger</w:t>
      </w:r>
      <w:r>
        <w:rPr>
          <w:rFonts w:hint="default" w:ascii="Arial Regular" w:hAnsi="Arial Regular" w:cs="Arial Regular"/>
          <w:b w:val="0"/>
          <w:bCs/>
          <w:i w:val="0"/>
          <w:iCs w:val="0"/>
          <w:sz w:val="20"/>
          <w:szCs w:val="20"/>
        </w:rPr>
        <w:t>); [Me(II)]=10 μM</w:t>
      </w:r>
      <w:r>
        <w:rPr>
          <w:rFonts w:hint="default" w:ascii="Arial Regular" w:hAnsi="Arial Regular" w:cs="Arial Regular"/>
          <w:b w:val="0"/>
          <w:bCs/>
          <w:i w:val="0"/>
          <w:iCs w:val="0"/>
          <w:sz w:val="20"/>
          <w:szCs w:val="20"/>
          <w:lang w:val="en-US" w:eastAsia="zh-CN"/>
        </w:rPr>
        <w:t xml:space="preserve"> </w:t>
      </w:r>
      <w:r>
        <w:rPr>
          <w:rFonts w:hint="default" w:ascii="Arial Regular" w:hAnsi="Arial Regular" w:cs="Arial Regular"/>
          <w:b w:val="0"/>
          <w:bCs/>
          <w:i w:val="0"/>
          <w:iCs w:val="0"/>
          <w:sz w:val="20"/>
          <w:szCs w:val="20"/>
        </w:rPr>
        <w:t>([Co(II)]=0.589 mg/L, [Cu(II)]=0.635 mg/L, [Fe(II)]=0.558 mg/L, [Mn(II)]=0.549 mg/L); pH=7.2±0.2, T=2</w:t>
      </w:r>
      <w:r>
        <w:rPr>
          <w:rFonts w:hint="default" w:ascii="Arial Regular" w:hAnsi="Arial Regular" w:cs="Arial Regular"/>
          <w:b w:val="0"/>
          <w:bCs/>
          <w:i w:val="0"/>
          <w:iCs w:val="0"/>
          <w:sz w:val="20"/>
          <w:szCs w:val="20"/>
          <w:lang w:val="en-US" w:eastAsia="zh-CN"/>
        </w:rPr>
        <w:t>5</w:t>
      </w:r>
      <w:r>
        <w:rPr>
          <w:rFonts w:hint="default" w:ascii="Arial Regular" w:hAnsi="Arial Regular" w:cs="Arial Regular"/>
          <w:b w:val="0"/>
          <w:bCs/>
          <w:i w:val="0"/>
          <w:iCs w:val="0"/>
          <w:sz w:val="20"/>
          <w:szCs w:val="20"/>
        </w:rPr>
        <w:t>±2 ℃.</w:t>
      </w:r>
      <w:r>
        <w:rPr>
          <w:rFonts w:hint="default" w:ascii="Arial Regular" w:hAnsi="Arial Regular" w:cs="Arial Regular"/>
          <w:b w:val="0"/>
          <w:bCs/>
          <w:i w:val="0"/>
          <w:iCs w:val="0"/>
          <w:sz w:val="20"/>
          <w:szCs w:val="20"/>
          <w:lang w:val="en-US" w:eastAsia="zh-CN"/>
        </w:rPr>
        <w:t xml:space="preserve"> </w:t>
      </w:r>
      <w:r>
        <w:rPr>
          <w:rFonts w:hint="default" w:ascii="Arial Regular" w:hAnsi="Arial Regular" w:cs="Arial Regular"/>
          <w:b w:val="0"/>
          <w:bCs/>
          <w:i w:val="0"/>
          <w:iCs w:val="0"/>
          <w:sz w:val="20"/>
          <w:szCs w:val="20"/>
        </w:rPr>
        <w:t>Error bars represent the standard deviation (n = 3).</w:t>
      </w:r>
    </w:p>
    <w:p w14:paraId="6381A6BE">
      <w:pPr>
        <w:jc w:val="both"/>
        <w:rPr>
          <w:rFonts w:hint="default" w:ascii="Arial Regular" w:hAnsi="Arial Regular" w:cs="Arial Regular"/>
        </w:rPr>
        <w:sectPr>
          <w:pgSz w:w="12240" w:h="15840"/>
          <w:pgMar w:top="1440" w:right="1440" w:bottom="1440" w:left="1440" w:header="851" w:footer="992" w:gutter="0"/>
          <w:cols w:space="425" w:num="1"/>
          <w:docGrid w:type="lines" w:linePitch="312" w:charSpace="0"/>
        </w:sectPr>
      </w:pPr>
    </w:p>
    <w:p w14:paraId="5A89FDC2">
      <w:pPr>
        <w:jc w:val="both"/>
        <w:rPr>
          <w:rFonts w:hint="default" w:ascii="Arial Regular" w:hAnsi="Arial Regular" w:cs="Arial Regular"/>
          <w:lang w:val="en-US"/>
        </w:rPr>
      </w:pPr>
      <w:r>
        <w:rPr>
          <w:rFonts w:hint="default" w:ascii="Arial Regular" w:hAnsi="Arial Regular" w:cs="Arial Regular"/>
          <w:lang w:val="en-US"/>
        </w:rPr>
        <w:drawing>
          <wp:inline distT="0" distB="0" distL="114300" distR="114300">
            <wp:extent cx="5763895" cy="4683760"/>
            <wp:effectExtent l="0" t="0" r="0" b="0"/>
            <wp:docPr id="14" name="图片 14" descr="Supplementary Fig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Supplementary Fig8"/>
                    <pic:cNvPicPr>
                      <a:picLocks noChangeAspect="1"/>
                    </pic:cNvPicPr>
                  </pic:nvPicPr>
                  <pic:blipFill>
                    <a:blip r:embed="rId14"/>
                    <a:srcRect b="34967"/>
                    <a:stretch>
                      <a:fillRect/>
                    </a:stretch>
                  </pic:blipFill>
                  <pic:spPr>
                    <a:xfrm>
                      <a:off x="0" y="0"/>
                      <a:ext cx="5763895" cy="4683760"/>
                    </a:xfrm>
                    <a:prstGeom prst="rect">
                      <a:avLst/>
                    </a:prstGeom>
                  </pic:spPr>
                </pic:pic>
              </a:graphicData>
            </a:graphic>
          </wp:inline>
        </w:drawing>
      </w:r>
    </w:p>
    <w:p w14:paraId="04708019">
      <w:pPr>
        <w:pStyle w:val="3"/>
        <w:keepNext/>
        <w:keepLines/>
        <w:pageBreakBefore w:val="0"/>
        <w:widowControl w:val="0"/>
        <w:kinsoku/>
        <w:wordWrap/>
        <w:overflowPunct/>
        <w:topLinePunct w:val="0"/>
        <w:autoSpaceDE/>
        <w:autoSpaceDN/>
        <w:bidi w:val="0"/>
        <w:adjustRightInd/>
        <w:snapToGrid/>
        <w:spacing w:before="0" w:beforeLines="0" w:after="157" w:afterLines="50" w:line="240" w:lineRule="auto"/>
        <w:textAlignment w:val="auto"/>
        <w:rPr>
          <w:rFonts w:hint="default" w:ascii="Arial Regular" w:hAnsi="Arial Regular" w:cs="Arial Regular"/>
          <w:b w:val="0"/>
          <w:bCs/>
          <w:sz w:val="20"/>
          <w:szCs w:val="20"/>
        </w:rPr>
      </w:pPr>
      <w:r>
        <w:rPr>
          <w:rFonts w:hint="default" w:ascii="Arial Regular" w:hAnsi="Arial Regular" w:cs="Arial Regular"/>
          <w:b/>
          <w:sz w:val="20"/>
          <w:szCs w:val="20"/>
        </w:rPr>
        <w:t xml:space="preserve">Supplementary </w:t>
      </w:r>
      <w:r>
        <w:rPr>
          <w:rFonts w:hint="default" w:ascii="Arial Regular" w:hAnsi="Arial Regular" w:cs="Arial Regular"/>
          <w:b/>
          <w:bCs w:val="0"/>
          <w:sz w:val="20"/>
          <w:szCs w:val="20"/>
        </w:rPr>
        <w:t xml:space="preserve">Fig. </w:t>
      </w:r>
      <w:r>
        <w:rPr>
          <w:rFonts w:hint="default" w:ascii="Arial Regular" w:hAnsi="Arial Regular" w:cs="Arial Regular"/>
          <w:b/>
          <w:bCs w:val="0"/>
          <w:sz w:val="20"/>
          <w:szCs w:val="20"/>
          <w:lang w:val="en-US" w:eastAsia="zh-CN"/>
        </w:rPr>
        <w:t>8</w:t>
      </w:r>
      <w:r>
        <w:rPr>
          <w:rFonts w:hint="default" w:ascii="Arial Regular" w:hAnsi="Arial Regular" w:cs="Arial Regular"/>
          <w:b/>
          <w:bCs w:val="0"/>
          <w:sz w:val="20"/>
          <w:szCs w:val="20"/>
        </w:rPr>
        <w:t>.</w:t>
      </w:r>
      <w:r>
        <w:rPr>
          <w:rFonts w:hint="default" w:ascii="Arial Regular" w:hAnsi="Arial Regular" w:cs="Arial Regular"/>
          <w:b/>
          <w:bCs w:val="0"/>
          <w:sz w:val="20"/>
          <w:szCs w:val="20"/>
          <w:lang w:val="en-US"/>
        </w:rPr>
        <w:t xml:space="preserve"> </w:t>
      </w:r>
      <w:r>
        <w:rPr>
          <w:rFonts w:hint="default" w:ascii="Arial Regular" w:hAnsi="Arial Regular" w:cs="Arial Regular"/>
          <w:b/>
          <w:bCs/>
          <w:i w:val="0"/>
          <w:iCs w:val="0"/>
          <w:sz w:val="20"/>
          <w:szCs w:val="20"/>
        </w:rPr>
        <w:t xml:space="preserve">Chlorine inactivation kinetics of </w:t>
      </w:r>
      <w:r>
        <w:rPr>
          <w:rFonts w:hint="default" w:ascii="Arial Regular" w:hAnsi="Arial Regular" w:cs="Arial Regular"/>
          <w:b/>
          <w:bCs/>
          <w:i/>
          <w:iCs/>
          <w:sz w:val="20"/>
          <w:szCs w:val="20"/>
        </w:rPr>
        <w:t>P. polonicum</w:t>
      </w:r>
      <w:r>
        <w:rPr>
          <w:rFonts w:hint="default" w:ascii="Arial Regular" w:hAnsi="Arial Regular" w:cs="Arial Regular"/>
          <w:b/>
          <w:bCs/>
          <w:sz w:val="20"/>
          <w:szCs w:val="20"/>
        </w:rPr>
        <w:t xml:space="preserve"> spores</w:t>
      </w:r>
      <w:r>
        <w:rPr>
          <w:rFonts w:hint="default" w:ascii="Arial Regular" w:hAnsi="Arial Regular" w:cs="Arial Regular"/>
          <w:b/>
          <w:bCs/>
          <w:sz w:val="20"/>
          <w:szCs w:val="20"/>
          <w:lang w:val="en-US"/>
        </w:rPr>
        <w:t xml:space="preserve"> </w:t>
      </w:r>
      <w:r>
        <w:rPr>
          <w:rFonts w:hint="default" w:ascii="Arial Regular" w:hAnsi="Arial Regular" w:cs="Arial Regular"/>
          <w:b/>
          <w:bCs/>
          <w:i w:val="0"/>
          <w:iCs w:val="0"/>
          <w:sz w:val="20"/>
          <w:szCs w:val="20"/>
        </w:rPr>
        <w:t>after complexation with metal ions</w:t>
      </w:r>
      <w:r>
        <w:rPr>
          <w:rFonts w:hint="default" w:ascii="Arial Regular" w:hAnsi="Arial Regular" w:cs="Arial Regular"/>
          <w:sz w:val="20"/>
          <w:szCs w:val="20"/>
        </w:rPr>
        <w:t xml:space="preserve">. </w:t>
      </w:r>
      <w:r>
        <w:rPr>
          <w:rFonts w:hint="default" w:ascii="Arial Regular" w:hAnsi="Arial Regular" w:cs="Arial Regular"/>
          <w:b w:val="0"/>
          <w:bCs/>
          <w:sz w:val="20"/>
          <w:szCs w:val="20"/>
          <w:lang w:val="en-US"/>
        </w:rPr>
        <w:t xml:space="preserve">(a) Without </w:t>
      </w:r>
      <w:r>
        <w:rPr>
          <w:rFonts w:hint="default" w:ascii="Arial Regular" w:hAnsi="Arial Regular" w:cs="Arial Regular"/>
          <w:b w:val="0"/>
          <w:bCs/>
          <w:i w:val="0"/>
          <w:sz w:val="20"/>
          <w:szCs w:val="20"/>
        </w:rPr>
        <w:t>centrifugation</w:t>
      </w:r>
      <w:r>
        <w:rPr>
          <w:rFonts w:hint="default" w:ascii="Arial Regular" w:hAnsi="Arial Regular" w:cs="Arial Regular"/>
          <w:b w:val="0"/>
          <w:bCs/>
          <w:i w:val="0"/>
          <w:sz w:val="20"/>
          <w:szCs w:val="20"/>
          <w:lang w:val="en-US"/>
        </w:rPr>
        <w:t xml:space="preserve"> and (b) After </w:t>
      </w:r>
      <w:r>
        <w:rPr>
          <w:rFonts w:hint="default" w:ascii="Arial Regular" w:hAnsi="Arial Regular" w:cs="Arial Regular"/>
          <w:b w:val="0"/>
          <w:bCs/>
          <w:i w:val="0"/>
          <w:sz w:val="20"/>
          <w:szCs w:val="20"/>
        </w:rPr>
        <w:t>centrifugation</w:t>
      </w:r>
      <w:r>
        <w:rPr>
          <w:rFonts w:hint="default" w:ascii="Arial Regular" w:hAnsi="Arial Regular" w:cs="Arial Regular"/>
          <w:b w:val="0"/>
          <w:bCs/>
          <w:i w:val="0"/>
          <w:sz w:val="20"/>
          <w:szCs w:val="20"/>
          <w:lang w:val="en-US"/>
        </w:rPr>
        <w:t xml:space="preserve">. </w:t>
      </w:r>
      <w:r>
        <w:rPr>
          <w:rFonts w:hint="default" w:ascii="Arial Regular" w:hAnsi="Arial Regular" w:cs="Arial Regular"/>
          <w:b w:val="0"/>
          <w:bCs/>
          <w:i w:val="0"/>
          <w:sz w:val="20"/>
          <w:szCs w:val="20"/>
        </w:rPr>
        <w:t>Experimental conditions: initial fungal spores concentration=(</w:t>
      </w:r>
      <w:r>
        <w:rPr>
          <w:rFonts w:hint="default" w:ascii="Arial Regular" w:hAnsi="Arial Regular" w:cs="Arial Regular"/>
          <w:b w:val="0"/>
          <w:bCs/>
          <w:i w:val="0"/>
          <w:sz w:val="20"/>
          <w:szCs w:val="20"/>
          <w:lang w:val="en-US" w:eastAsia="zh-CN"/>
        </w:rPr>
        <w:t>2</w:t>
      </w:r>
      <w:r>
        <w:rPr>
          <w:rFonts w:hint="default" w:ascii="Arial Regular" w:hAnsi="Arial Regular" w:cs="Arial Regular"/>
          <w:b w:val="0"/>
          <w:bCs/>
          <w:i w:val="0"/>
          <w:sz w:val="20"/>
          <w:szCs w:val="20"/>
        </w:rPr>
        <w:t>-</w:t>
      </w:r>
      <w:r>
        <w:rPr>
          <w:rFonts w:hint="default" w:ascii="Arial Regular" w:hAnsi="Arial Regular" w:cs="Arial Regular"/>
          <w:b w:val="0"/>
          <w:bCs/>
          <w:i w:val="0"/>
          <w:sz w:val="20"/>
          <w:szCs w:val="20"/>
          <w:lang w:val="en-US" w:eastAsia="zh-CN"/>
        </w:rPr>
        <w:t>4</w:t>
      </w:r>
      <w:r>
        <w:rPr>
          <w:rFonts w:hint="default" w:ascii="Arial Regular" w:hAnsi="Arial Regular" w:cs="Arial Regular"/>
          <w:b w:val="0"/>
          <w:bCs/>
          <w:i w:val="0"/>
          <w:sz w:val="20"/>
          <w:szCs w:val="20"/>
        </w:rPr>
        <w:t>)×10</w:t>
      </w:r>
      <w:r>
        <w:rPr>
          <w:rFonts w:hint="default" w:ascii="Arial Regular" w:hAnsi="Arial Regular" w:cs="Arial Regular"/>
          <w:b w:val="0"/>
          <w:bCs/>
          <w:i w:val="0"/>
          <w:sz w:val="20"/>
          <w:szCs w:val="20"/>
          <w:vertAlign w:val="superscript"/>
        </w:rPr>
        <w:t>5</w:t>
      </w:r>
      <w:r>
        <w:rPr>
          <w:rFonts w:hint="default" w:ascii="Arial Regular" w:hAnsi="Arial Regular" w:cs="Arial Regular"/>
          <w:b w:val="0"/>
          <w:bCs/>
          <w:i w:val="0"/>
          <w:sz w:val="20"/>
          <w:szCs w:val="20"/>
        </w:rPr>
        <w:t xml:space="preserve"> CFU/mL;</w:t>
      </w:r>
      <w:r>
        <w:rPr>
          <w:rFonts w:hint="default" w:ascii="Arial Regular" w:hAnsi="Arial Regular" w:cs="Arial Regular"/>
          <w:b w:val="0"/>
          <w:bCs/>
          <w:i w:val="0"/>
          <w:sz w:val="20"/>
          <w:szCs w:val="20"/>
          <w:lang w:val="en-US" w:eastAsia="zh-CN"/>
        </w:rPr>
        <w:t xml:space="preserve"> </w:t>
      </w:r>
      <w:r>
        <w:rPr>
          <w:rFonts w:hint="default" w:ascii="Arial Regular" w:hAnsi="Arial Regular" w:cs="Arial Regular"/>
          <w:b w:val="0"/>
          <w:bCs/>
          <w:i w:val="0"/>
          <w:sz w:val="20"/>
          <w:szCs w:val="20"/>
        </w:rPr>
        <w:t>initial bacteria concentration=(</w:t>
      </w:r>
      <w:r>
        <w:rPr>
          <w:rFonts w:hint="default" w:ascii="Arial Regular" w:hAnsi="Arial Regular" w:cs="Arial Regular"/>
          <w:b w:val="0"/>
          <w:bCs/>
          <w:i w:val="0"/>
          <w:sz w:val="20"/>
          <w:szCs w:val="20"/>
          <w:lang w:val="en-US" w:eastAsia="zh-CN"/>
        </w:rPr>
        <w:t>2</w:t>
      </w:r>
      <w:r>
        <w:rPr>
          <w:rFonts w:hint="default" w:ascii="Arial Regular" w:hAnsi="Arial Regular" w:cs="Arial Regular"/>
          <w:b w:val="0"/>
          <w:bCs/>
          <w:i w:val="0"/>
          <w:sz w:val="20"/>
          <w:szCs w:val="20"/>
        </w:rPr>
        <w:t>-</w:t>
      </w:r>
      <w:r>
        <w:rPr>
          <w:rFonts w:hint="default" w:ascii="Arial Regular" w:hAnsi="Arial Regular" w:cs="Arial Regular"/>
          <w:b w:val="0"/>
          <w:bCs/>
          <w:i w:val="0"/>
          <w:sz w:val="20"/>
          <w:szCs w:val="20"/>
          <w:lang w:val="en-US" w:eastAsia="zh-CN"/>
        </w:rPr>
        <w:t>4</w:t>
      </w:r>
      <w:r>
        <w:rPr>
          <w:rFonts w:hint="default" w:ascii="Arial Regular" w:hAnsi="Arial Regular" w:cs="Arial Regular"/>
          <w:b w:val="0"/>
          <w:bCs/>
          <w:i w:val="0"/>
          <w:sz w:val="20"/>
          <w:szCs w:val="20"/>
        </w:rPr>
        <w:t>)×10</w:t>
      </w:r>
      <w:r>
        <w:rPr>
          <w:rFonts w:hint="default" w:ascii="Arial Regular" w:hAnsi="Arial Regular" w:cs="Arial Regular"/>
          <w:b w:val="0"/>
          <w:bCs/>
          <w:i w:val="0"/>
          <w:sz w:val="20"/>
          <w:szCs w:val="20"/>
          <w:vertAlign w:val="superscript"/>
        </w:rPr>
        <w:t>7</w:t>
      </w:r>
      <w:r>
        <w:rPr>
          <w:rFonts w:hint="default" w:ascii="Arial Regular" w:hAnsi="Arial Regular" w:cs="Arial Regular"/>
          <w:b w:val="0"/>
          <w:bCs/>
          <w:i w:val="0"/>
          <w:sz w:val="20"/>
          <w:szCs w:val="20"/>
        </w:rPr>
        <w:t xml:space="preserve"> CFU/mL; [chlorine]</w:t>
      </w:r>
      <w:r>
        <w:rPr>
          <w:rFonts w:hint="default" w:ascii="Arial Regular" w:hAnsi="Arial Regular" w:cs="Arial Regular"/>
          <w:b w:val="0"/>
          <w:bCs/>
          <w:i w:val="0"/>
          <w:sz w:val="20"/>
          <w:szCs w:val="20"/>
          <w:vertAlign w:val="subscript"/>
        </w:rPr>
        <w:t>0</w:t>
      </w:r>
      <w:r>
        <w:rPr>
          <w:rFonts w:hint="default" w:ascii="Arial Regular" w:hAnsi="Arial Regular" w:cs="Arial Regular"/>
          <w:b w:val="0"/>
          <w:bCs/>
          <w:i w:val="0"/>
          <w:sz w:val="20"/>
          <w:szCs w:val="20"/>
        </w:rPr>
        <w:t>=</w:t>
      </w:r>
      <w:r>
        <w:rPr>
          <w:rFonts w:hint="default" w:ascii="Arial Regular" w:hAnsi="Arial Regular" w:cs="Arial Regular"/>
          <w:b w:val="0"/>
          <w:bCs/>
          <w:i w:val="0"/>
          <w:sz w:val="20"/>
          <w:szCs w:val="20"/>
          <w:lang w:val="en-US" w:eastAsia="zh-CN"/>
        </w:rPr>
        <w:t>2.0</w:t>
      </w:r>
      <w:r>
        <w:rPr>
          <w:rFonts w:hint="default" w:ascii="Arial Regular" w:hAnsi="Arial Regular" w:cs="Arial Regular"/>
          <w:b w:val="0"/>
          <w:bCs/>
          <w:i w:val="0"/>
          <w:sz w:val="20"/>
          <w:szCs w:val="20"/>
        </w:rPr>
        <w:t xml:space="preserve"> mg/L; [Me(II)]=10 μM</w:t>
      </w:r>
      <w:r>
        <w:rPr>
          <w:rFonts w:hint="default" w:ascii="Arial Regular" w:hAnsi="Arial Regular" w:cs="Arial Regular"/>
          <w:b w:val="0"/>
          <w:bCs/>
          <w:i w:val="0"/>
          <w:sz w:val="20"/>
          <w:szCs w:val="20"/>
          <w:lang w:val="en-US" w:eastAsia="zh-CN"/>
        </w:rPr>
        <w:t xml:space="preserve"> </w:t>
      </w:r>
      <w:r>
        <w:rPr>
          <w:rFonts w:hint="default" w:ascii="Arial Regular" w:hAnsi="Arial Regular" w:cs="Arial Regular"/>
          <w:b w:val="0"/>
          <w:bCs/>
          <w:i w:val="0"/>
          <w:sz w:val="20"/>
          <w:szCs w:val="20"/>
        </w:rPr>
        <w:t>([Co(II)]=0.589 mg/L, [Cu(II)]=0.635 mg/L, [Fe(II)]=0.558 mg/L, [Mn(II)]=0.549 mg/L); pH=7.2±0.2, T=2</w:t>
      </w:r>
      <w:r>
        <w:rPr>
          <w:rFonts w:hint="default" w:ascii="Arial Regular" w:hAnsi="Arial Regular" w:cs="Arial Regular"/>
          <w:b w:val="0"/>
          <w:bCs/>
          <w:i w:val="0"/>
          <w:sz w:val="20"/>
          <w:szCs w:val="20"/>
          <w:lang w:val="en-US" w:eastAsia="zh-CN"/>
        </w:rPr>
        <w:t>5</w:t>
      </w:r>
      <w:r>
        <w:rPr>
          <w:rFonts w:hint="default" w:ascii="Arial Regular" w:hAnsi="Arial Regular" w:cs="Arial Regular"/>
          <w:b w:val="0"/>
          <w:bCs/>
          <w:i w:val="0"/>
          <w:sz w:val="20"/>
          <w:szCs w:val="20"/>
        </w:rPr>
        <w:t>±2 ℃.</w:t>
      </w:r>
      <w:r>
        <w:rPr>
          <w:rFonts w:hint="default" w:ascii="Arial Regular" w:hAnsi="Arial Regular" w:cs="Arial Regular"/>
          <w:b w:val="0"/>
          <w:bCs/>
          <w:i w:val="0"/>
          <w:sz w:val="20"/>
          <w:szCs w:val="20"/>
          <w:lang w:val="en-US" w:eastAsia="zh-CN"/>
        </w:rPr>
        <w:t xml:space="preserve"> </w:t>
      </w:r>
      <w:r>
        <w:rPr>
          <w:rFonts w:hint="default" w:ascii="Arial Regular" w:hAnsi="Arial Regular" w:cs="Arial Regular"/>
          <w:b w:val="0"/>
          <w:bCs/>
          <w:sz w:val="20"/>
          <w:szCs w:val="20"/>
        </w:rPr>
        <w:t>Error bars represent the standard deviation (n = 3).</w:t>
      </w:r>
    </w:p>
    <w:p w14:paraId="07894054">
      <w:pPr>
        <w:jc w:val="both"/>
        <w:rPr>
          <w:rFonts w:hint="default" w:ascii="Arial Regular" w:hAnsi="Arial Regular" w:cs="Arial Regular"/>
          <w:lang w:val="en-US"/>
        </w:rPr>
        <w:sectPr>
          <w:pgSz w:w="12240" w:h="15840"/>
          <w:pgMar w:top="1440" w:right="1440" w:bottom="1440" w:left="1440" w:header="851" w:footer="992" w:gutter="0"/>
          <w:cols w:space="425" w:num="1"/>
          <w:docGrid w:type="lines" w:linePitch="312" w:charSpace="0"/>
        </w:sectPr>
      </w:pPr>
    </w:p>
    <w:p w14:paraId="0341D16C">
      <w:pPr>
        <w:jc w:val="center"/>
        <w:rPr>
          <w:rFonts w:hint="default" w:ascii="Arial Regular" w:hAnsi="Arial Regular" w:cs="Arial Regular" w:eastAsiaTheme="minorEastAsia"/>
          <w:b/>
          <w:bCs w:val="0"/>
          <w:sz w:val="20"/>
          <w:szCs w:val="20"/>
          <w:lang w:eastAsia="zh-CN"/>
        </w:rPr>
      </w:pPr>
      <w:r>
        <w:rPr>
          <w:rFonts w:hint="default" w:ascii="Arial Regular" w:hAnsi="Arial Regular" w:cs="Arial Regular" w:eastAsiaTheme="minorEastAsia"/>
          <w:b/>
          <w:bCs w:val="0"/>
          <w:sz w:val="20"/>
          <w:szCs w:val="20"/>
          <w:lang w:eastAsia="zh-CN"/>
        </w:rPr>
        <w:drawing>
          <wp:inline distT="0" distB="0" distL="114300" distR="114300">
            <wp:extent cx="7027545" cy="4714240"/>
            <wp:effectExtent l="0" t="0" r="8255" b="10160"/>
            <wp:docPr id="15" name="图片 15" descr="Supplementary Fig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Supplementary Fig9"/>
                    <pic:cNvPicPr>
                      <a:picLocks noChangeAspect="1"/>
                    </pic:cNvPicPr>
                  </pic:nvPicPr>
                  <pic:blipFill>
                    <a:blip r:embed="rId15"/>
                    <a:srcRect b="46333"/>
                    <a:stretch>
                      <a:fillRect/>
                    </a:stretch>
                  </pic:blipFill>
                  <pic:spPr>
                    <a:xfrm>
                      <a:off x="0" y="0"/>
                      <a:ext cx="7027545" cy="4714240"/>
                    </a:xfrm>
                    <a:prstGeom prst="rect">
                      <a:avLst/>
                    </a:prstGeom>
                  </pic:spPr>
                </pic:pic>
              </a:graphicData>
            </a:graphic>
          </wp:inline>
        </w:drawing>
      </w:r>
    </w:p>
    <w:p w14:paraId="07EA1E5E">
      <w:pPr>
        <w:pStyle w:val="3"/>
        <w:keepNext/>
        <w:keepLines/>
        <w:pageBreakBefore w:val="0"/>
        <w:widowControl w:val="0"/>
        <w:kinsoku/>
        <w:wordWrap/>
        <w:overflowPunct/>
        <w:topLinePunct w:val="0"/>
        <w:autoSpaceDE/>
        <w:autoSpaceDN/>
        <w:bidi w:val="0"/>
        <w:adjustRightInd/>
        <w:snapToGrid/>
        <w:spacing w:before="0" w:beforeLines="0" w:after="157" w:afterLines="50" w:line="240" w:lineRule="auto"/>
        <w:textAlignment w:val="auto"/>
        <w:rPr>
          <w:rFonts w:hint="default" w:ascii="Arial Regular" w:hAnsi="Arial Regular" w:cs="Arial Regular" w:eastAsiaTheme="minorEastAsia"/>
          <w:b w:val="0"/>
          <w:bCs w:val="0"/>
          <w:sz w:val="20"/>
          <w:szCs w:val="20"/>
          <w:lang w:val="en-US" w:eastAsia="zh-CN"/>
        </w:rPr>
      </w:pPr>
      <w:r>
        <w:rPr>
          <w:rFonts w:hint="default" w:ascii="Arial Regular" w:hAnsi="Arial Regular" w:cs="Arial Regular"/>
          <w:b/>
          <w:sz w:val="20"/>
          <w:szCs w:val="20"/>
        </w:rPr>
        <w:t xml:space="preserve">Supplementary </w:t>
      </w:r>
      <w:r>
        <w:rPr>
          <w:rFonts w:hint="default" w:ascii="Arial Regular" w:hAnsi="Arial Regular" w:cs="Arial Regular"/>
          <w:b/>
          <w:bCs w:val="0"/>
          <w:sz w:val="20"/>
          <w:szCs w:val="20"/>
        </w:rPr>
        <w:t xml:space="preserve">Fig. </w:t>
      </w:r>
      <w:r>
        <w:rPr>
          <w:rFonts w:hint="default" w:ascii="Arial Regular" w:hAnsi="Arial Regular" w:cs="Arial Regular"/>
          <w:b/>
          <w:bCs w:val="0"/>
          <w:sz w:val="20"/>
          <w:szCs w:val="20"/>
          <w:lang w:val="en-US"/>
        </w:rPr>
        <w:t>9</w:t>
      </w:r>
      <w:r>
        <w:rPr>
          <w:rFonts w:hint="default" w:ascii="Arial Regular" w:hAnsi="Arial Regular" w:cs="Arial Regular"/>
          <w:b/>
          <w:bCs w:val="0"/>
          <w:sz w:val="20"/>
          <w:szCs w:val="20"/>
        </w:rPr>
        <w:t xml:space="preserve">. Inactivation kinetics and resistance of metal-complexed </w:t>
      </w:r>
      <w:r>
        <w:rPr>
          <w:rFonts w:hint="default" w:ascii="Arial Regular" w:hAnsi="Arial Regular" w:cs="Arial Regular"/>
          <w:b/>
          <w:bCs w:val="0"/>
          <w:i/>
          <w:iCs/>
          <w:sz w:val="20"/>
          <w:szCs w:val="20"/>
        </w:rPr>
        <w:t>P. polonicum</w:t>
      </w:r>
      <w:r>
        <w:rPr>
          <w:rFonts w:hint="default" w:ascii="Arial Regular" w:hAnsi="Arial Regular" w:cs="Arial Regular"/>
          <w:b/>
          <w:bCs w:val="0"/>
          <w:sz w:val="20"/>
          <w:szCs w:val="20"/>
        </w:rPr>
        <w:t xml:space="preserve"> spores under different disinfection treatments.</w:t>
      </w:r>
      <w:r>
        <w:rPr>
          <w:rFonts w:hint="default" w:ascii="Arial Regular" w:hAnsi="Arial Regular" w:cs="Arial Regular"/>
          <w:b w:val="0"/>
          <w:bCs w:val="0"/>
          <w:sz w:val="20"/>
          <w:szCs w:val="20"/>
          <w:lang w:val="en-US" w:eastAsia="zh-CN"/>
        </w:rPr>
        <w:t xml:space="preserve"> </w:t>
      </w:r>
      <w:r>
        <w:rPr>
          <w:rFonts w:hint="default" w:ascii="Arial Regular" w:hAnsi="Arial Regular" w:cs="Arial Regular"/>
          <w:b w:val="0"/>
          <w:bCs w:val="0"/>
          <w:sz w:val="20"/>
          <w:szCs w:val="20"/>
        </w:rPr>
        <w:t>(a) Inactivation kinetics under Cl</w:t>
      </w:r>
      <w:r>
        <w:rPr>
          <w:rFonts w:hint="default" w:ascii="Arial Regular" w:hAnsi="Arial Regular" w:cs="Arial Regular"/>
          <w:b w:val="0"/>
          <w:bCs w:val="0"/>
          <w:sz w:val="20"/>
          <w:szCs w:val="20"/>
          <w:vertAlign w:val="subscript"/>
          <w:lang w:val="en-US" w:eastAsia="zh-CN"/>
        </w:rPr>
        <w:t>2</w:t>
      </w:r>
      <w:r>
        <w:rPr>
          <w:rFonts w:hint="default" w:ascii="Arial Regular" w:hAnsi="Arial Regular" w:cs="Arial Regular"/>
          <w:b w:val="0"/>
          <w:bCs w:val="0"/>
          <w:sz w:val="20"/>
          <w:szCs w:val="20"/>
        </w:rPr>
        <w:t>, NH</w:t>
      </w:r>
      <w:r>
        <w:rPr>
          <w:rFonts w:hint="default" w:ascii="Arial Regular" w:hAnsi="Arial Regular" w:cs="Arial Regular"/>
          <w:b w:val="0"/>
          <w:bCs w:val="0"/>
          <w:sz w:val="20"/>
          <w:szCs w:val="20"/>
          <w:vertAlign w:val="subscript"/>
          <w:lang w:val="en-US" w:eastAsia="zh-CN"/>
        </w:rPr>
        <w:t>2</w:t>
      </w:r>
      <w:r>
        <w:rPr>
          <w:rFonts w:hint="default" w:ascii="Arial Regular" w:hAnsi="Arial Regular" w:cs="Arial Regular"/>
          <w:b w:val="0"/>
          <w:bCs w:val="0"/>
          <w:sz w:val="20"/>
          <w:szCs w:val="20"/>
        </w:rPr>
        <w:t>Cl, ClO</w:t>
      </w:r>
      <w:r>
        <w:rPr>
          <w:rFonts w:hint="default" w:ascii="Arial Regular" w:hAnsi="Arial Regular" w:cs="Arial Regular"/>
          <w:b w:val="0"/>
          <w:bCs w:val="0"/>
          <w:sz w:val="20"/>
          <w:szCs w:val="20"/>
          <w:vertAlign w:val="subscript"/>
          <w:lang w:val="en-US" w:eastAsia="zh-CN"/>
        </w:rPr>
        <w:t>2</w:t>
      </w:r>
      <w:r>
        <w:rPr>
          <w:rFonts w:hint="default" w:ascii="Arial Regular" w:hAnsi="Arial Regular" w:cs="Arial Regular"/>
          <w:b w:val="0"/>
          <w:bCs w:val="0"/>
          <w:sz w:val="20"/>
          <w:szCs w:val="20"/>
        </w:rPr>
        <w:t>, and UV treatments</w:t>
      </w:r>
      <w:r>
        <w:rPr>
          <w:rFonts w:hint="default" w:ascii="Arial Regular" w:hAnsi="Arial Regular" w:cs="Arial Regular"/>
          <w:b w:val="0"/>
          <w:bCs w:val="0"/>
          <w:sz w:val="20"/>
          <w:szCs w:val="20"/>
          <w:lang w:val="en-US" w:eastAsia="zh-CN"/>
        </w:rPr>
        <w:t xml:space="preserve"> </w:t>
      </w:r>
      <w:r>
        <w:rPr>
          <w:rFonts w:hint="default" w:ascii="Arial Regular" w:hAnsi="Arial Regular" w:cs="Arial Regular"/>
          <w:b w:val="0"/>
          <w:bCs w:val="0"/>
          <w:sz w:val="20"/>
          <w:szCs w:val="20"/>
        </w:rPr>
        <w:t xml:space="preserve">(after centrifugation); (b) </w:t>
      </w:r>
      <w:r>
        <w:rPr>
          <w:rFonts w:hint="default" w:ascii="Arial Regular" w:hAnsi="Arial Regular" w:cs="Arial Regular"/>
          <w:b w:val="0"/>
          <w:bCs w:val="0"/>
          <w:sz w:val="20"/>
          <w:szCs w:val="20"/>
          <w:lang w:val="en-US" w:eastAsia="zh-CN"/>
        </w:rPr>
        <w:t>C</w:t>
      </w:r>
      <w:r>
        <w:rPr>
          <w:rFonts w:hint="default" w:ascii="Arial Regular" w:hAnsi="Arial Regular" w:cs="Arial Regular"/>
          <w:b w:val="0"/>
          <w:bCs w:val="0"/>
          <w:sz w:val="20"/>
          <w:szCs w:val="20"/>
        </w:rPr>
        <w:t>omparative assessment of microbial resistance across disinfection methods</w:t>
      </w:r>
      <w:r>
        <w:rPr>
          <w:rFonts w:hint="default" w:ascii="Arial Regular" w:hAnsi="Arial Regular" w:cs="Arial Regular"/>
          <w:b w:val="0"/>
          <w:bCs w:val="0"/>
          <w:sz w:val="20"/>
          <w:szCs w:val="20"/>
          <w:lang w:val="en-US" w:eastAsia="zh-CN"/>
        </w:rPr>
        <w:t xml:space="preserve"> </w:t>
      </w:r>
      <w:r>
        <w:rPr>
          <w:rFonts w:hint="default" w:ascii="Arial Regular" w:hAnsi="Arial Regular" w:cs="Arial Regular"/>
          <w:b w:val="0"/>
          <w:bCs w:val="0"/>
          <w:sz w:val="20"/>
          <w:szCs w:val="20"/>
        </w:rPr>
        <w:t>(after centrifugation).</w:t>
      </w:r>
      <w:r>
        <w:rPr>
          <w:rFonts w:hint="default" w:ascii="Arial Regular" w:hAnsi="Arial Regular" w:cs="Arial Regular"/>
          <w:b w:val="0"/>
          <w:bCs w:val="0"/>
          <w:sz w:val="20"/>
          <w:szCs w:val="20"/>
          <w:lang w:val="en-US" w:eastAsia="zh-CN"/>
        </w:rPr>
        <w:t xml:space="preserve"> </w:t>
      </w:r>
      <w:r>
        <w:rPr>
          <w:rFonts w:hint="default" w:ascii="Arial Regular" w:hAnsi="Arial Regular" w:cs="Arial Regular"/>
          <w:b w:val="0"/>
          <w:bCs w:val="0"/>
          <w:sz w:val="20"/>
          <w:szCs w:val="20"/>
        </w:rPr>
        <w:t>Experimental conditions: initial fungal spores concentration=(2-4)×10</w:t>
      </w:r>
      <w:r>
        <w:rPr>
          <w:rFonts w:hint="default" w:ascii="Arial Regular" w:hAnsi="Arial Regular" w:cs="Arial Regular"/>
          <w:b w:val="0"/>
          <w:bCs w:val="0"/>
          <w:sz w:val="20"/>
          <w:szCs w:val="20"/>
          <w:vertAlign w:val="superscript"/>
        </w:rPr>
        <w:t>5</w:t>
      </w:r>
      <w:r>
        <w:rPr>
          <w:rFonts w:hint="default" w:ascii="Arial Regular" w:hAnsi="Arial Regular" w:cs="Arial Regular"/>
          <w:b w:val="0"/>
          <w:bCs w:val="0"/>
          <w:sz w:val="20"/>
          <w:szCs w:val="20"/>
        </w:rPr>
        <w:t xml:space="preserve"> CFU/mL; [Cl</w:t>
      </w:r>
      <w:r>
        <w:rPr>
          <w:rFonts w:hint="default" w:ascii="Arial Regular" w:hAnsi="Arial Regular" w:cs="Arial Regular"/>
          <w:b w:val="0"/>
          <w:bCs w:val="0"/>
          <w:sz w:val="20"/>
          <w:szCs w:val="20"/>
          <w:vertAlign w:val="subscript"/>
        </w:rPr>
        <w:t>2</w:t>
      </w:r>
      <w:r>
        <w:rPr>
          <w:rFonts w:hint="default" w:ascii="Arial Regular" w:hAnsi="Arial Regular" w:cs="Arial Regular"/>
          <w:b w:val="0"/>
          <w:bCs w:val="0"/>
          <w:sz w:val="20"/>
          <w:szCs w:val="20"/>
        </w:rPr>
        <w:t>]</w:t>
      </w:r>
      <w:r>
        <w:rPr>
          <w:rFonts w:hint="default" w:ascii="Arial Regular" w:hAnsi="Arial Regular" w:cs="Arial Regular"/>
          <w:b w:val="0"/>
          <w:bCs w:val="0"/>
          <w:sz w:val="20"/>
          <w:szCs w:val="20"/>
          <w:vertAlign w:val="subscript"/>
        </w:rPr>
        <w:t>0</w:t>
      </w:r>
      <w:r>
        <w:rPr>
          <w:rFonts w:hint="default" w:ascii="Arial Regular" w:hAnsi="Arial Regular" w:cs="Arial Regular"/>
          <w:b w:val="0"/>
          <w:bCs w:val="0"/>
          <w:sz w:val="20"/>
          <w:szCs w:val="20"/>
        </w:rPr>
        <w:t>=[NH</w:t>
      </w:r>
      <w:r>
        <w:rPr>
          <w:rFonts w:hint="default" w:ascii="Arial Regular" w:hAnsi="Arial Regular" w:cs="Arial Regular"/>
          <w:b w:val="0"/>
          <w:bCs w:val="0"/>
          <w:sz w:val="20"/>
          <w:szCs w:val="20"/>
          <w:vertAlign w:val="subscript"/>
        </w:rPr>
        <w:t>2</w:t>
      </w:r>
      <w:r>
        <w:rPr>
          <w:rFonts w:hint="default" w:ascii="Arial Regular" w:hAnsi="Arial Regular" w:cs="Arial Regular"/>
          <w:b w:val="0"/>
          <w:bCs w:val="0"/>
          <w:sz w:val="20"/>
          <w:szCs w:val="20"/>
        </w:rPr>
        <w:t>Cl]</w:t>
      </w:r>
      <w:r>
        <w:rPr>
          <w:rFonts w:hint="default" w:ascii="Arial Regular" w:hAnsi="Arial Regular" w:cs="Arial Regular"/>
          <w:b w:val="0"/>
          <w:bCs w:val="0"/>
          <w:sz w:val="20"/>
          <w:szCs w:val="20"/>
          <w:vertAlign w:val="subscript"/>
        </w:rPr>
        <w:t>0</w:t>
      </w:r>
      <w:r>
        <w:rPr>
          <w:rFonts w:hint="default" w:ascii="Arial Regular" w:hAnsi="Arial Regular" w:cs="Arial Regular"/>
          <w:b w:val="0"/>
          <w:bCs w:val="0"/>
          <w:sz w:val="20"/>
          <w:szCs w:val="20"/>
        </w:rPr>
        <w:t>=[ClO</w:t>
      </w:r>
      <w:r>
        <w:rPr>
          <w:rFonts w:hint="default" w:ascii="Arial Regular" w:hAnsi="Arial Regular" w:cs="Arial Regular"/>
          <w:b w:val="0"/>
          <w:bCs w:val="0"/>
          <w:sz w:val="20"/>
          <w:szCs w:val="20"/>
          <w:vertAlign w:val="subscript"/>
        </w:rPr>
        <w:t>2</w:t>
      </w:r>
      <w:r>
        <w:rPr>
          <w:rFonts w:hint="default" w:ascii="Arial Regular" w:hAnsi="Arial Regular" w:cs="Arial Regular"/>
          <w:b w:val="0"/>
          <w:bCs w:val="0"/>
          <w:sz w:val="20"/>
          <w:szCs w:val="20"/>
        </w:rPr>
        <w:t>]</w:t>
      </w:r>
      <w:r>
        <w:rPr>
          <w:rFonts w:hint="default" w:ascii="Arial Regular" w:hAnsi="Arial Regular" w:cs="Arial Regular"/>
          <w:b w:val="0"/>
          <w:bCs w:val="0"/>
          <w:sz w:val="20"/>
          <w:szCs w:val="20"/>
          <w:vertAlign w:val="subscript"/>
        </w:rPr>
        <w:t>0</w:t>
      </w:r>
      <w:r>
        <w:rPr>
          <w:rFonts w:hint="default" w:ascii="Arial Regular" w:hAnsi="Arial Regular" w:cs="Arial Regular"/>
          <w:b w:val="0"/>
          <w:bCs w:val="0"/>
          <w:sz w:val="20"/>
          <w:szCs w:val="20"/>
        </w:rPr>
        <w:t>=2.0 mg/L; irradiation intensity of the LPUV was 0.1132 mW/cm</w:t>
      </w:r>
      <w:r>
        <w:rPr>
          <w:rFonts w:hint="default" w:ascii="Arial Regular" w:hAnsi="Arial Regular" w:cs="Arial Regular"/>
          <w:b w:val="0"/>
          <w:bCs w:val="0"/>
          <w:sz w:val="20"/>
          <w:szCs w:val="20"/>
          <w:vertAlign w:val="superscript"/>
        </w:rPr>
        <w:t>2</w:t>
      </w:r>
      <w:r>
        <w:rPr>
          <w:rFonts w:hint="default" w:ascii="Arial Regular" w:hAnsi="Arial Regular" w:cs="Arial Regular"/>
          <w:b w:val="0"/>
          <w:bCs w:val="0"/>
          <w:sz w:val="20"/>
          <w:szCs w:val="20"/>
        </w:rPr>
        <w:t>; [Me(II)]=10 μM ([Co(II)]=0.589 mg/L, [Cu(II)]=0.635 mg/L, [Fe(II)]=0.558 mg/L, [Mn(II)]=0.549 mg/L); pH=7.2±0.2, T=25±2 ℃.</w:t>
      </w:r>
    </w:p>
    <w:p w14:paraId="6A8BF437">
      <w:pPr>
        <w:widowControl/>
        <w:jc w:val="both"/>
        <w:rPr>
          <w:rFonts w:hint="default" w:ascii="Arial Regular" w:hAnsi="Arial Regular" w:cs="Arial Regular"/>
          <w:b/>
          <w:bCs w:val="0"/>
          <w:sz w:val="20"/>
          <w:szCs w:val="20"/>
        </w:rPr>
        <w:sectPr>
          <w:pgSz w:w="15840" w:h="12240" w:orient="landscape"/>
          <w:pgMar w:top="1440" w:right="1440" w:bottom="1440" w:left="1440" w:header="851" w:footer="992" w:gutter="0"/>
          <w:cols w:space="425" w:num="1"/>
          <w:docGrid w:type="lines" w:linePitch="312" w:charSpace="0"/>
        </w:sectPr>
      </w:pPr>
    </w:p>
    <w:p w14:paraId="3A4246A5">
      <w:pPr>
        <w:widowControl/>
        <w:jc w:val="center"/>
        <w:rPr>
          <w:rFonts w:hint="default" w:ascii="Arial Regular" w:hAnsi="Arial Regular" w:cs="Arial Regular"/>
          <w:b/>
          <w:bCs w:val="0"/>
          <w:sz w:val="20"/>
          <w:szCs w:val="20"/>
        </w:rPr>
      </w:pPr>
      <w:r>
        <w:rPr>
          <w:rFonts w:hint="default" w:ascii="Arial Regular" w:hAnsi="Arial Regular" w:cs="Arial Regular"/>
        </w:rPr>
        <w:drawing>
          <wp:inline distT="0" distB="0" distL="114300" distR="114300">
            <wp:extent cx="8479155" cy="4356100"/>
            <wp:effectExtent l="0" t="0" r="4445" b="12700"/>
            <wp:docPr id="2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
                    <pic:cNvPicPr>
                      <a:picLocks noChangeAspect="1"/>
                    </pic:cNvPicPr>
                  </pic:nvPicPr>
                  <pic:blipFill>
                    <a:blip r:embed="rId16"/>
                    <a:stretch>
                      <a:fillRect/>
                    </a:stretch>
                  </pic:blipFill>
                  <pic:spPr>
                    <a:xfrm>
                      <a:off x="0" y="0"/>
                      <a:ext cx="8479155" cy="4356100"/>
                    </a:xfrm>
                    <a:prstGeom prst="rect">
                      <a:avLst/>
                    </a:prstGeom>
                    <a:noFill/>
                    <a:ln>
                      <a:noFill/>
                    </a:ln>
                  </pic:spPr>
                </pic:pic>
              </a:graphicData>
            </a:graphic>
          </wp:inline>
        </w:drawing>
      </w:r>
    </w:p>
    <w:p w14:paraId="292450F1">
      <w:pPr>
        <w:pStyle w:val="3"/>
        <w:keepNext/>
        <w:keepLines/>
        <w:pageBreakBefore w:val="0"/>
        <w:widowControl w:val="0"/>
        <w:kinsoku/>
        <w:wordWrap/>
        <w:overflowPunct/>
        <w:topLinePunct w:val="0"/>
        <w:autoSpaceDE/>
        <w:autoSpaceDN/>
        <w:bidi w:val="0"/>
        <w:adjustRightInd/>
        <w:snapToGrid/>
        <w:spacing w:before="0" w:beforeLines="0" w:after="157" w:afterLines="50" w:line="240" w:lineRule="auto"/>
        <w:textAlignment w:val="auto"/>
        <w:rPr>
          <w:rFonts w:hint="default" w:ascii="Arial Regular" w:hAnsi="Arial Regular" w:cs="Arial Regular" w:eastAsiaTheme="minorEastAsia"/>
          <w:b w:val="0"/>
          <w:bCs w:val="0"/>
          <w:sz w:val="20"/>
          <w:szCs w:val="20"/>
          <w:lang w:val="en-US" w:eastAsia="zh-CN"/>
        </w:rPr>
      </w:pPr>
      <w:r>
        <w:rPr>
          <w:rFonts w:hint="default" w:ascii="Arial Regular" w:hAnsi="Arial Regular" w:cs="Arial Regular"/>
          <w:b/>
          <w:bCs w:val="0"/>
          <w:sz w:val="20"/>
          <w:szCs w:val="20"/>
        </w:rPr>
        <w:t xml:space="preserve">Supplementary Fig. </w:t>
      </w:r>
      <w:r>
        <w:rPr>
          <w:rFonts w:hint="default" w:ascii="Arial Regular" w:hAnsi="Arial Regular" w:cs="Arial Regular"/>
          <w:b/>
          <w:bCs w:val="0"/>
          <w:sz w:val="20"/>
          <w:szCs w:val="20"/>
          <w:lang w:val="en-US"/>
        </w:rPr>
        <w:t>10</w:t>
      </w:r>
      <w:r>
        <w:rPr>
          <w:rFonts w:hint="default" w:ascii="Arial Regular" w:hAnsi="Arial Regular" w:cs="Arial Regular"/>
          <w:b/>
          <w:bCs w:val="0"/>
          <w:sz w:val="20"/>
          <w:szCs w:val="20"/>
        </w:rPr>
        <w:t>. Decay profiles of disinfectant residuals in the presence of metal-ion–complexed fungal spores.</w:t>
      </w:r>
      <w:r>
        <w:rPr>
          <w:rFonts w:hint="default" w:ascii="Arial Regular" w:hAnsi="Arial Regular" w:cs="Arial Regular"/>
          <w:bCs/>
          <w:sz w:val="20"/>
          <w:szCs w:val="20"/>
          <w:lang w:val="en-US" w:eastAsia="zh-CN"/>
        </w:rPr>
        <w:t xml:space="preserve"> </w:t>
      </w:r>
      <w:r>
        <w:rPr>
          <w:rFonts w:hint="default" w:ascii="Arial Regular" w:hAnsi="Arial Regular" w:cs="Arial Regular"/>
          <w:b w:val="0"/>
          <w:bCs w:val="0"/>
          <w:sz w:val="20"/>
          <w:szCs w:val="20"/>
        </w:rPr>
        <w:t xml:space="preserve">(a) Chlorine, (b) </w:t>
      </w:r>
      <w:r>
        <w:rPr>
          <w:rFonts w:hint="default" w:ascii="Arial Regular" w:hAnsi="Arial Regular" w:cs="Arial Regular"/>
          <w:b w:val="0"/>
          <w:bCs w:val="0"/>
          <w:sz w:val="20"/>
          <w:szCs w:val="20"/>
          <w:lang w:val="en-US" w:eastAsia="zh-CN"/>
        </w:rPr>
        <w:t>M</w:t>
      </w:r>
      <w:r>
        <w:rPr>
          <w:rFonts w:hint="default" w:ascii="Arial Regular" w:hAnsi="Arial Regular" w:cs="Arial Regular"/>
          <w:b w:val="0"/>
          <w:bCs w:val="0"/>
          <w:sz w:val="20"/>
          <w:szCs w:val="20"/>
        </w:rPr>
        <w:t xml:space="preserve">onochloramine, and (c) </w:t>
      </w:r>
      <w:r>
        <w:rPr>
          <w:rFonts w:hint="default" w:ascii="Arial Regular" w:hAnsi="Arial Regular" w:cs="Arial Regular"/>
          <w:b w:val="0"/>
          <w:bCs w:val="0"/>
          <w:sz w:val="20"/>
          <w:szCs w:val="20"/>
          <w:lang w:val="en-US" w:eastAsia="zh-CN"/>
        </w:rPr>
        <w:t>C</w:t>
      </w:r>
      <w:r>
        <w:rPr>
          <w:rFonts w:hint="default" w:ascii="Arial Regular" w:hAnsi="Arial Regular" w:cs="Arial Regular"/>
          <w:b w:val="0"/>
          <w:bCs w:val="0"/>
          <w:sz w:val="20"/>
          <w:szCs w:val="20"/>
        </w:rPr>
        <w:t>hlorine dioxide decay</w:t>
      </w:r>
      <w:r>
        <w:rPr>
          <w:rFonts w:hint="default" w:ascii="Arial Regular" w:hAnsi="Arial Regular" w:cs="Arial Regular"/>
          <w:b w:val="0"/>
          <w:bCs w:val="0"/>
          <w:sz w:val="20"/>
          <w:szCs w:val="20"/>
          <w:lang w:val="en-US" w:eastAsia="zh-CN"/>
        </w:rPr>
        <w:t xml:space="preserve"> </w:t>
      </w:r>
      <w:r>
        <w:rPr>
          <w:rFonts w:hint="default" w:ascii="Arial Regular" w:hAnsi="Arial Regular" w:cs="Arial Regular"/>
          <w:b w:val="0"/>
          <w:bCs w:val="0"/>
          <w:sz w:val="20"/>
          <w:szCs w:val="20"/>
        </w:rPr>
        <w:t>(after centrifugation).</w:t>
      </w:r>
      <w:r>
        <w:rPr>
          <w:rFonts w:hint="default" w:ascii="Arial Regular" w:hAnsi="Arial Regular" w:cs="Arial Regular"/>
          <w:b w:val="0"/>
          <w:bCs w:val="0"/>
          <w:i w:val="0"/>
          <w:sz w:val="20"/>
          <w:szCs w:val="20"/>
          <w:lang w:val="en-US" w:eastAsia="zh-CN"/>
        </w:rPr>
        <w:t xml:space="preserve"> </w:t>
      </w:r>
      <w:r>
        <w:rPr>
          <w:rFonts w:hint="default" w:ascii="Arial Regular" w:hAnsi="Arial Regular" w:cs="Arial Regular"/>
          <w:b w:val="0"/>
          <w:bCs w:val="0"/>
          <w:i w:val="0"/>
          <w:sz w:val="20"/>
          <w:szCs w:val="20"/>
        </w:rPr>
        <w:t>Experimental conditions: initial fungal spores concentration=(2-4)×10</w:t>
      </w:r>
      <w:r>
        <w:rPr>
          <w:rFonts w:hint="default" w:ascii="Arial Regular" w:hAnsi="Arial Regular" w:cs="Arial Regular"/>
          <w:b w:val="0"/>
          <w:bCs w:val="0"/>
          <w:i w:val="0"/>
          <w:sz w:val="20"/>
          <w:szCs w:val="20"/>
          <w:vertAlign w:val="superscript"/>
        </w:rPr>
        <w:t>5</w:t>
      </w:r>
      <w:r>
        <w:rPr>
          <w:rFonts w:hint="default" w:ascii="Arial Regular" w:hAnsi="Arial Regular" w:cs="Arial Regular"/>
          <w:b w:val="0"/>
          <w:bCs w:val="0"/>
          <w:i w:val="0"/>
          <w:sz w:val="20"/>
          <w:szCs w:val="20"/>
        </w:rPr>
        <w:t xml:space="preserve"> CFU/mL; [Cl</w:t>
      </w:r>
      <w:r>
        <w:rPr>
          <w:rFonts w:hint="default" w:ascii="Arial Regular" w:hAnsi="Arial Regular" w:cs="Arial Regular"/>
          <w:b w:val="0"/>
          <w:bCs w:val="0"/>
          <w:i w:val="0"/>
          <w:sz w:val="20"/>
          <w:szCs w:val="20"/>
          <w:vertAlign w:val="subscript"/>
        </w:rPr>
        <w:t>2</w:t>
      </w:r>
      <w:r>
        <w:rPr>
          <w:rFonts w:hint="default" w:ascii="Arial Regular" w:hAnsi="Arial Regular" w:cs="Arial Regular"/>
          <w:b w:val="0"/>
          <w:bCs w:val="0"/>
          <w:i w:val="0"/>
          <w:sz w:val="20"/>
          <w:szCs w:val="20"/>
        </w:rPr>
        <w:t>]</w:t>
      </w:r>
      <w:r>
        <w:rPr>
          <w:rFonts w:hint="default" w:ascii="Arial Regular" w:hAnsi="Arial Regular" w:cs="Arial Regular"/>
          <w:b w:val="0"/>
          <w:bCs w:val="0"/>
          <w:i w:val="0"/>
          <w:sz w:val="20"/>
          <w:szCs w:val="20"/>
          <w:vertAlign w:val="subscript"/>
        </w:rPr>
        <w:t>0</w:t>
      </w:r>
      <w:r>
        <w:rPr>
          <w:rFonts w:hint="default" w:ascii="Arial Regular" w:hAnsi="Arial Regular" w:cs="Arial Regular"/>
          <w:b w:val="0"/>
          <w:bCs w:val="0"/>
          <w:i w:val="0"/>
          <w:sz w:val="20"/>
          <w:szCs w:val="20"/>
        </w:rPr>
        <w:t>=[NH</w:t>
      </w:r>
      <w:r>
        <w:rPr>
          <w:rFonts w:hint="default" w:ascii="Arial Regular" w:hAnsi="Arial Regular" w:cs="Arial Regular"/>
          <w:b w:val="0"/>
          <w:bCs w:val="0"/>
          <w:i w:val="0"/>
          <w:sz w:val="20"/>
          <w:szCs w:val="20"/>
          <w:vertAlign w:val="subscript"/>
        </w:rPr>
        <w:t>2</w:t>
      </w:r>
      <w:r>
        <w:rPr>
          <w:rFonts w:hint="default" w:ascii="Arial Regular" w:hAnsi="Arial Regular" w:cs="Arial Regular"/>
          <w:b w:val="0"/>
          <w:bCs w:val="0"/>
          <w:i w:val="0"/>
          <w:sz w:val="20"/>
          <w:szCs w:val="20"/>
        </w:rPr>
        <w:t>Cl]</w:t>
      </w:r>
      <w:r>
        <w:rPr>
          <w:rFonts w:hint="default" w:ascii="Arial Regular" w:hAnsi="Arial Regular" w:cs="Arial Regular"/>
          <w:b w:val="0"/>
          <w:bCs w:val="0"/>
          <w:i w:val="0"/>
          <w:sz w:val="20"/>
          <w:szCs w:val="20"/>
          <w:vertAlign w:val="subscript"/>
        </w:rPr>
        <w:t>0</w:t>
      </w:r>
      <w:r>
        <w:rPr>
          <w:rFonts w:hint="default" w:ascii="Arial Regular" w:hAnsi="Arial Regular" w:cs="Arial Regular"/>
          <w:b w:val="0"/>
          <w:bCs w:val="0"/>
          <w:i w:val="0"/>
          <w:sz w:val="20"/>
          <w:szCs w:val="20"/>
        </w:rPr>
        <w:t>=[ClO</w:t>
      </w:r>
      <w:r>
        <w:rPr>
          <w:rFonts w:hint="default" w:ascii="Arial Regular" w:hAnsi="Arial Regular" w:cs="Arial Regular"/>
          <w:b w:val="0"/>
          <w:bCs w:val="0"/>
          <w:i w:val="0"/>
          <w:sz w:val="20"/>
          <w:szCs w:val="20"/>
          <w:vertAlign w:val="subscript"/>
        </w:rPr>
        <w:t>2</w:t>
      </w:r>
      <w:r>
        <w:rPr>
          <w:rFonts w:hint="default" w:ascii="Arial Regular" w:hAnsi="Arial Regular" w:cs="Arial Regular"/>
          <w:b w:val="0"/>
          <w:bCs w:val="0"/>
          <w:i w:val="0"/>
          <w:sz w:val="20"/>
          <w:szCs w:val="20"/>
        </w:rPr>
        <w:t>]</w:t>
      </w:r>
      <w:r>
        <w:rPr>
          <w:rFonts w:hint="default" w:ascii="Arial Regular" w:hAnsi="Arial Regular" w:cs="Arial Regular"/>
          <w:b w:val="0"/>
          <w:bCs w:val="0"/>
          <w:i w:val="0"/>
          <w:sz w:val="20"/>
          <w:szCs w:val="20"/>
          <w:vertAlign w:val="subscript"/>
        </w:rPr>
        <w:t>0</w:t>
      </w:r>
      <w:r>
        <w:rPr>
          <w:rFonts w:hint="default" w:ascii="Arial Regular" w:hAnsi="Arial Regular" w:cs="Arial Regular"/>
          <w:b w:val="0"/>
          <w:bCs w:val="0"/>
          <w:i w:val="0"/>
          <w:sz w:val="20"/>
          <w:szCs w:val="20"/>
        </w:rPr>
        <w:t xml:space="preserve">=2.0 mg/L (for </w:t>
      </w:r>
      <w:r>
        <w:rPr>
          <w:rFonts w:hint="default" w:ascii="Arial Regular" w:hAnsi="Arial Regular" w:cs="Arial Regular"/>
          <w:b w:val="0"/>
          <w:bCs w:val="0"/>
          <w:i w:val="0"/>
          <w:iCs/>
          <w:sz w:val="20"/>
          <w:szCs w:val="20"/>
        </w:rPr>
        <w:t>P.polonicum</w:t>
      </w:r>
      <w:r>
        <w:rPr>
          <w:rFonts w:hint="default" w:ascii="Arial Regular" w:hAnsi="Arial Regular" w:cs="Arial Regular"/>
          <w:b w:val="0"/>
          <w:bCs w:val="0"/>
          <w:i w:val="0"/>
          <w:sz w:val="20"/>
          <w:szCs w:val="20"/>
        </w:rPr>
        <w:t xml:space="preserve">), 3.0 mg/L (for </w:t>
      </w:r>
      <w:r>
        <w:rPr>
          <w:rFonts w:hint="default" w:ascii="Arial Regular" w:hAnsi="Arial Regular" w:cs="Arial Regular"/>
          <w:b w:val="0"/>
          <w:bCs w:val="0"/>
          <w:i w:val="0"/>
          <w:iCs/>
          <w:sz w:val="20"/>
          <w:szCs w:val="20"/>
        </w:rPr>
        <w:t>A.niger</w:t>
      </w:r>
      <w:r>
        <w:rPr>
          <w:rFonts w:hint="default" w:ascii="Arial Regular" w:hAnsi="Arial Regular" w:cs="Arial Regular"/>
          <w:b w:val="0"/>
          <w:bCs w:val="0"/>
          <w:i w:val="0"/>
          <w:sz w:val="20"/>
          <w:szCs w:val="20"/>
        </w:rPr>
        <w:t>); [Me(II)]=10 μM ([Co(II)]=0.589 mg/L, [Cu(II)]=0.635 mg/L, [Fe(II)]=0.558 mg/L, [Mn(II)]=0.549 mg/L); pH=7.2±0.2, T=25±2 ℃.</w:t>
      </w:r>
    </w:p>
    <w:p w14:paraId="2BF62632">
      <w:pPr>
        <w:widowControl/>
        <w:jc w:val="both"/>
        <w:rPr>
          <w:rFonts w:hint="default" w:ascii="Arial Regular" w:hAnsi="Arial Regular" w:cs="Arial Regular"/>
          <w:b/>
          <w:bCs w:val="0"/>
          <w:sz w:val="20"/>
          <w:szCs w:val="20"/>
        </w:rPr>
        <w:sectPr>
          <w:pgSz w:w="15840" w:h="12240" w:orient="landscape"/>
          <w:pgMar w:top="1440" w:right="1440" w:bottom="1440" w:left="1440" w:header="851" w:footer="992" w:gutter="0"/>
          <w:cols w:space="425" w:num="1"/>
          <w:docGrid w:type="lines" w:linePitch="312" w:charSpace="0"/>
        </w:sectPr>
      </w:pPr>
    </w:p>
    <w:p w14:paraId="657093F2">
      <w:pPr>
        <w:widowControl/>
        <w:jc w:val="center"/>
        <w:rPr>
          <w:rFonts w:hint="default" w:ascii="Arial Regular" w:hAnsi="Arial Regular" w:cs="Arial Regular"/>
          <w:b/>
          <w:bCs w:val="0"/>
          <w:sz w:val="20"/>
          <w:szCs w:val="20"/>
        </w:rPr>
      </w:pPr>
      <w:r>
        <w:rPr>
          <w:rFonts w:hint="default" w:ascii="Arial Regular" w:hAnsi="Arial Regular" w:cs="Arial Regular"/>
        </w:rPr>
        <w:drawing>
          <wp:inline distT="0" distB="0" distL="114300" distR="114300">
            <wp:extent cx="4901565" cy="2644775"/>
            <wp:effectExtent l="0" t="0" r="635" b="22225"/>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7"/>
                    <a:srcRect b="3976"/>
                    <a:stretch>
                      <a:fillRect/>
                    </a:stretch>
                  </pic:blipFill>
                  <pic:spPr>
                    <a:xfrm>
                      <a:off x="0" y="0"/>
                      <a:ext cx="4901565" cy="2644775"/>
                    </a:xfrm>
                    <a:prstGeom prst="rect">
                      <a:avLst/>
                    </a:prstGeom>
                    <a:noFill/>
                    <a:ln>
                      <a:noFill/>
                    </a:ln>
                  </pic:spPr>
                </pic:pic>
              </a:graphicData>
            </a:graphic>
          </wp:inline>
        </w:drawing>
      </w:r>
    </w:p>
    <w:p w14:paraId="448F8438">
      <w:pPr>
        <w:pStyle w:val="3"/>
        <w:keepNext/>
        <w:keepLines/>
        <w:pageBreakBefore w:val="0"/>
        <w:widowControl w:val="0"/>
        <w:kinsoku/>
        <w:wordWrap/>
        <w:overflowPunct/>
        <w:topLinePunct w:val="0"/>
        <w:autoSpaceDE/>
        <w:autoSpaceDN/>
        <w:bidi w:val="0"/>
        <w:adjustRightInd/>
        <w:snapToGrid/>
        <w:spacing w:before="0" w:beforeLines="0" w:after="157" w:afterLines="50" w:line="240" w:lineRule="auto"/>
        <w:textAlignment w:val="auto"/>
        <w:rPr>
          <w:rFonts w:hint="default" w:ascii="Arial Regular" w:hAnsi="Arial Regular" w:cs="Arial Regular" w:eastAsiaTheme="minorEastAsia"/>
          <w:bCs/>
          <w:sz w:val="20"/>
          <w:szCs w:val="20"/>
          <w:lang w:val="en-US" w:eastAsia="zh-CN"/>
        </w:rPr>
      </w:pPr>
      <w:r>
        <w:rPr>
          <w:rFonts w:hint="default" w:ascii="Arial Regular" w:hAnsi="Arial Regular" w:cs="Arial Regular"/>
          <w:b/>
          <w:bCs w:val="0"/>
          <w:sz w:val="20"/>
          <w:szCs w:val="20"/>
        </w:rPr>
        <w:t xml:space="preserve">Supplementary Fig. </w:t>
      </w:r>
      <w:r>
        <w:rPr>
          <w:rFonts w:hint="default" w:ascii="Arial Regular" w:hAnsi="Arial Regular" w:cs="Arial Regular"/>
          <w:b/>
          <w:bCs w:val="0"/>
          <w:sz w:val="20"/>
          <w:szCs w:val="20"/>
          <w:lang w:val="en-US" w:eastAsia="zh-CN"/>
        </w:rPr>
        <w:t>11</w:t>
      </w:r>
      <w:r>
        <w:rPr>
          <w:rFonts w:hint="default" w:ascii="Arial Regular" w:hAnsi="Arial Regular" w:cs="Arial Regular"/>
          <w:b/>
          <w:bCs w:val="0"/>
          <w:sz w:val="20"/>
          <w:szCs w:val="20"/>
        </w:rPr>
        <w:t xml:space="preserve">. Inactivation of metal-ion–complexed </w:t>
      </w:r>
      <w:r>
        <w:rPr>
          <w:rFonts w:hint="default" w:ascii="Arial Regular" w:hAnsi="Arial Regular" w:cs="Arial Regular"/>
          <w:b/>
          <w:bCs w:val="0"/>
          <w:i/>
          <w:iCs/>
          <w:sz w:val="20"/>
          <w:szCs w:val="20"/>
        </w:rPr>
        <w:t>A. niger</w:t>
      </w:r>
      <w:r>
        <w:rPr>
          <w:rFonts w:hint="default" w:ascii="Arial Regular" w:hAnsi="Arial Regular" w:cs="Arial Regular"/>
          <w:b/>
          <w:bCs w:val="0"/>
          <w:sz w:val="20"/>
          <w:szCs w:val="20"/>
        </w:rPr>
        <w:t xml:space="preserve"> spores in actual water samples.</w:t>
      </w:r>
      <w:r>
        <w:rPr>
          <w:rFonts w:hint="default" w:ascii="Arial Regular" w:hAnsi="Arial Regular" w:cs="Arial Regular"/>
          <w:bCs/>
          <w:sz w:val="20"/>
          <w:szCs w:val="20"/>
          <w:lang w:val="en-US" w:eastAsia="zh-CN"/>
        </w:rPr>
        <w:t xml:space="preserve"> </w:t>
      </w:r>
      <w:r>
        <w:rPr>
          <w:rFonts w:hint="default" w:ascii="Arial Regular" w:hAnsi="Arial Regular" w:cs="Arial Regular"/>
          <w:b w:val="0"/>
          <w:bCs w:val="0"/>
          <w:sz w:val="20"/>
          <w:szCs w:val="20"/>
        </w:rPr>
        <w:t xml:space="preserve">(a) </w:t>
      </w:r>
      <w:r>
        <w:rPr>
          <w:rFonts w:hint="default" w:ascii="Arial Regular" w:hAnsi="Arial Regular" w:cs="Arial Regular"/>
          <w:b w:val="0"/>
          <w:bCs w:val="0"/>
          <w:sz w:val="20"/>
          <w:szCs w:val="20"/>
          <w:lang w:val="en-US" w:eastAsia="zh-CN"/>
        </w:rPr>
        <w:t>S</w:t>
      </w:r>
      <w:r>
        <w:rPr>
          <w:rFonts w:hint="default" w:ascii="Arial Regular" w:hAnsi="Arial Regular" w:cs="Arial Regular"/>
          <w:b w:val="0"/>
          <w:bCs w:val="0"/>
          <w:sz w:val="20"/>
          <w:szCs w:val="20"/>
        </w:rPr>
        <w:t xml:space="preserve">urface water and (b) </w:t>
      </w:r>
      <w:r>
        <w:rPr>
          <w:rFonts w:hint="default" w:ascii="Arial Regular" w:hAnsi="Arial Regular" w:cs="Arial Regular"/>
          <w:b w:val="0"/>
          <w:bCs w:val="0"/>
          <w:sz w:val="20"/>
          <w:szCs w:val="20"/>
          <w:lang w:val="en-US" w:eastAsia="zh-CN"/>
        </w:rPr>
        <w:t>G</w:t>
      </w:r>
      <w:r>
        <w:rPr>
          <w:rFonts w:hint="default" w:ascii="Arial Regular" w:hAnsi="Arial Regular" w:cs="Arial Regular"/>
          <w:b w:val="0"/>
          <w:bCs w:val="0"/>
          <w:sz w:val="20"/>
          <w:szCs w:val="20"/>
        </w:rPr>
        <w:t>roundwater (without centrifugation). Experimental conditions: initial fungal spores concentration=(2-4)×10</w:t>
      </w:r>
      <w:r>
        <w:rPr>
          <w:rFonts w:hint="default" w:ascii="Arial Regular" w:hAnsi="Arial Regular" w:cs="Arial Regular"/>
          <w:b w:val="0"/>
          <w:bCs w:val="0"/>
          <w:sz w:val="20"/>
          <w:szCs w:val="20"/>
          <w:vertAlign w:val="superscript"/>
        </w:rPr>
        <w:t>5</w:t>
      </w:r>
      <w:r>
        <w:rPr>
          <w:rFonts w:hint="default" w:ascii="Arial Regular" w:hAnsi="Arial Regular" w:cs="Arial Regular"/>
          <w:b w:val="0"/>
          <w:bCs w:val="0"/>
          <w:sz w:val="20"/>
          <w:szCs w:val="20"/>
        </w:rPr>
        <w:t xml:space="preserve"> CFU/mL; [Cl</w:t>
      </w:r>
      <w:r>
        <w:rPr>
          <w:rFonts w:hint="default" w:ascii="Arial Regular" w:hAnsi="Arial Regular" w:cs="Arial Regular"/>
          <w:b w:val="0"/>
          <w:bCs w:val="0"/>
          <w:sz w:val="20"/>
          <w:szCs w:val="20"/>
          <w:vertAlign w:val="subscript"/>
        </w:rPr>
        <w:t>2</w:t>
      </w:r>
      <w:r>
        <w:rPr>
          <w:rFonts w:hint="default" w:ascii="Arial Regular" w:hAnsi="Arial Regular" w:cs="Arial Regular"/>
          <w:b w:val="0"/>
          <w:bCs w:val="0"/>
          <w:sz w:val="20"/>
          <w:szCs w:val="20"/>
        </w:rPr>
        <w:t>]</w:t>
      </w:r>
      <w:r>
        <w:rPr>
          <w:rFonts w:hint="default" w:ascii="Arial Regular" w:hAnsi="Arial Regular" w:cs="Arial Regular"/>
          <w:b w:val="0"/>
          <w:bCs w:val="0"/>
          <w:sz w:val="20"/>
          <w:szCs w:val="20"/>
          <w:vertAlign w:val="subscript"/>
        </w:rPr>
        <w:t>0</w:t>
      </w:r>
      <w:r>
        <w:rPr>
          <w:rFonts w:hint="default" w:ascii="Arial Regular" w:hAnsi="Arial Regular" w:cs="Arial Regular"/>
          <w:b w:val="0"/>
          <w:bCs w:val="0"/>
          <w:sz w:val="20"/>
          <w:szCs w:val="20"/>
        </w:rPr>
        <w:t>=3.0 mg/L; [Me(II)]=10 μM ([Co(II)]=0.589 mg/L, [Cu(II)]=0.635 mg/L, [Fe(II)]=0.558 mg/L, [Mn(II)]=0.549 mg/L);T=25±2 ℃.</w:t>
      </w:r>
    </w:p>
    <w:p w14:paraId="6067C660">
      <w:pPr>
        <w:rPr>
          <w:rFonts w:hint="default" w:ascii="Arial Regular" w:hAnsi="Arial Regular" w:cs="Arial Regular"/>
          <w:b/>
          <w:bCs w:val="0"/>
          <w:sz w:val="20"/>
          <w:szCs w:val="20"/>
        </w:rPr>
      </w:pPr>
      <w:r>
        <w:rPr>
          <w:rFonts w:hint="default" w:ascii="Arial Regular" w:hAnsi="Arial Regular" w:cs="Arial Regular"/>
          <w:b/>
          <w:bCs w:val="0"/>
          <w:sz w:val="20"/>
          <w:szCs w:val="20"/>
        </w:rPr>
        <w:br w:type="page"/>
      </w:r>
    </w:p>
    <w:p w14:paraId="7C75C4B7">
      <w:pPr>
        <w:widowControl/>
        <w:jc w:val="center"/>
        <w:rPr>
          <w:rFonts w:hint="default" w:ascii="Arial Regular" w:hAnsi="Arial Regular" w:cs="Arial Regular"/>
          <w:b/>
          <w:bCs w:val="0"/>
          <w:sz w:val="20"/>
          <w:szCs w:val="20"/>
        </w:rPr>
      </w:pPr>
      <w:r>
        <w:rPr>
          <w:rFonts w:hint="default" w:ascii="Arial Regular" w:hAnsi="Arial Regular" w:cs="Arial Regular"/>
        </w:rPr>
        <w:drawing>
          <wp:inline distT="0" distB="0" distL="114300" distR="114300">
            <wp:extent cx="5798820" cy="5886450"/>
            <wp:effectExtent l="0" t="0" r="17780" b="6350"/>
            <wp:docPr id="10" name="图片 10" descr="S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S9"/>
                    <pic:cNvPicPr>
                      <a:picLocks noChangeAspect="1"/>
                    </pic:cNvPicPr>
                  </pic:nvPicPr>
                  <pic:blipFill>
                    <a:blip r:embed="rId18"/>
                    <a:stretch>
                      <a:fillRect/>
                    </a:stretch>
                  </pic:blipFill>
                  <pic:spPr>
                    <a:xfrm>
                      <a:off x="0" y="0"/>
                      <a:ext cx="5798820" cy="5886450"/>
                    </a:xfrm>
                    <a:prstGeom prst="rect">
                      <a:avLst/>
                    </a:prstGeom>
                  </pic:spPr>
                </pic:pic>
              </a:graphicData>
            </a:graphic>
          </wp:inline>
        </w:drawing>
      </w:r>
    </w:p>
    <w:p w14:paraId="2C013053">
      <w:pPr>
        <w:pStyle w:val="3"/>
        <w:keepNext/>
        <w:keepLines/>
        <w:pageBreakBefore w:val="0"/>
        <w:widowControl w:val="0"/>
        <w:kinsoku/>
        <w:wordWrap/>
        <w:overflowPunct/>
        <w:topLinePunct w:val="0"/>
        <w:autoSpaceDE/>
        <w:autoSpaceDN/>
        <w:bidi w:val="0"/>
        <w:adjustRightInd/>
        <w:snapToGrid/>
        <w:spacing w:before="0" w:beforeLines="0" w:after="157" w:afterLines="50" w:line="240" w:lineRule="auto"/>
        <w:textAlignment w:val="auto"/>
        <w:rPr>
          <w:rFonts w:hint="default" w:ascii="Arial Regular" w:hAnsi="Arial Regular" w:cs="Arial Regular" w:eastAsiaTheme="minorEastAsia"/>
          <w:bCs/>
          <w:sz w:val="20"/>
          <w:szCs w:val="20"/>
          <w:lang w:val="en-US" w:eastAsia="zh-CN"/>
        </w:rPr>
      </w:pPr>
      <w:r>
        <w:rPr>
          <w:rFonts w:hint="default" w:ascii="Arial Regular" w:hAnsi="Arial Regular" w:cs="Arial Regular"/>
          <w:b/>
          <w:bCs w:val="0"/>
          <w:sz w:val="20"/>
          <w:szCs w:val="20"/>
        </w:rPr>
        <w:t xml:space="preserve">Supplementary Fig. 10. Inactivation of </w:t>
      </w:r>
      <w:r>
        <w:rPr>
          <w:rFonts w:hint="default" w:ascii="Arial Regular" w:hAnsi="Arial Regular" w:cs="Arial Regular"/>
          <w:b/>
          <w:bCs w:val="0"/>
          <w:i/>
          <w:iCs/>
          <w:sz w:val="20"/>
          <w:szCs w:val="20"/>
        </w:rPr>
        <w:t>A. niger</w:t>
      </w:r>
      <w:r>
        <w:rPr>
          <w:rFonts w:hint="default" w:ascii="Arial Regular" w:hAnsi="Arial Regular" w:cs="Arial Regular"/>
          <w:b/>
          <w:bCs w:val="0"/>
          <w:sz w:val="20"/>
          <w:szCs w:val="20"/>
        </w:rPr>
        <w:t xml:space="preserve"> spores under varying initial metal ion concentrations.</w:t>
      </w:r>
      <w:r>
        <w:rPr>
          <w:rFonts w:hint="default" w:ascii="Arial Regular" w:hAnsi="Arial Regular" w:cs="Arial Regular"/>
          <w:bCs/>
          <w:sz w:val="20"/>
          <w:szCs w:val="20"/>
          <w:lang w:val="en-US" w:eastAsia="zh-CN"/>
        </w:rPr>
        <w:t xml:space="preserve"> </w:t>
      </w:r>
      <w:r>
        <w:rPr>
          <w:rFonts w:hint="default" w:ascii="Arial Regular" w:hAnsi="Arial Regular" w:cs="Arial Regular"/>
          <w:b w:val="0"/>
          <w:bCs w:val="0"/>
          <w:sz w:val="20"/>
          <w:szCs w:val="20"/>
        </w:rPr>
        <w:t>(a) Co(II), (b) Cu(II), (c) Fe(II), and (d) Mn(II). Experimental conditions: initial fungal spores concentration=(2-4)×10</w:t>
      </w:r>
      <w:r>
        <w:rPr>
          <w:rFonts w:hint="default" w:ascii="Arial Regular" w:hAnsi="Arial Regular" w:cs="Arial Regular"/>
          <w:b w:val="0"/>
          <w:bCs w:val="0"/>
          <w:sz w:val="20"/>
          <w:szCs w:val="20"/>
          <w:vertAlign w:val="superscript"/>
        </w:rPr>
        <w:t>5</w:t>
      </w:r>
      <w:r>
        <w:rPr>
          <w:rFonts w:hint="default" w:ascii="Arial Regular" w:hAnsi="Arial Regular" w:cs="Arial Regular"/>
          <w:b w:val="0"/>
          <w:bCs w:val="0"/>
          <w:sz w:val="20"/>
          <w:szCs w:val="20"/>
        </w:rPr>
        <w:t xml:space="preserve"> CFU/mL; [Cl</w:t>
      </w:r>
      <w:r>
        <w:rPr>
          <w:rFonts w:hint="default" w:ascii="Arial Regular" w:hAnsi="Arial Regular" w:cs="Arial Regular"/>
          <w:b w:val="0"/>
          <w:bCs w:val="0"/>
          <w:sz w:val="20"/>
          <w:szCs w:val="20"/>
          <w:vertAlign w:val="subscript"/>
        </w:rPr>
        <w:t>2</w:t>
      </w:r>
      <w:r>
        <w:rPr>
          <w:rFonts w:hint="default" w:ascii="Arial Regular" w:hAnsi="Arial Regular" w:cs="Arial Regular"/>
          <w:b w:val="0"/>
          <w:bCs w:val="0"/>
          <w:sz w:val="20"/>
          <w:szCs w:val="20"/>
        </w:rPr>
        <w:t>]</w:t>
      </w:r>
      <w:r>
        <w:rPr>
          <w:rFonts w:hint="default" w:ascii="Arial Regular" w:hAnsi="Arial Regular" w:cs="Arial Regular"/>
          <w:b w:val="0"/>
          <w:bCs w:val="0"/>
          <w:sz w:val="20"/>
          <w:szCs w:val="20"/>
          <w:vertAlign w:val="subscript"/>
        </w:rPr>
        <w:t>0</w:t>
      </w:r>
      <w:r>
        <w:rPr>
          <w:rFonts w:hint="default" w:ascii="Arial Regular" w:hAnsi="Arial Regular" w:cs="Arial Regular"/>
          <w:b w:val="0"/>
          <w:bCs w:val="0"/>
          <w:sz w:val="20"/>
          <w:szCs w:val="20"/>
        </w:rPr>
        <w:t>=3.0 mg/L; [Me(II)]=10, 40, 80, 100 μM; pH=7.0±0.2, T=25±2 ℃</w:t>
      </w:r>
      <w:r>
        <w:rPr>
          <w:rFonts w:hint="default" w:ascii="Arial Regular" w:hAnsi="Arial Regular" w:cs="Arial Regular"/>
          <w:b w:val="0"/>
          <w:bCs w:val="0"/>
          <w:sz w:val="20"/>
          <w:szCs w:val="20"/>
          <w:lang w:val="en-US" w:eastAsia="zh-CN"/>
        </w:rPr>
        <w:t>.</w:t>
      </w:r>
    </w:p>
    <w:p w14:paraId="75AA7931">
      <w:pPr>
        <w:rPr>
          <w:rFonts w:hint="default" w:ascii="Arial Regular" w:hAnsi="Arial Regular" w:cs="Arial Regular"/>
          <w:b/>
          <w:bCs w:val="0"/>
          <w:sz w:val="20"/>
          <w:szCs w:val="20"/>
        </w:rPr>
      </w:pPr>
      <w:r>
        <w:rPr>
          <w:rFonts w:hint="default" w:ascii="Arial Regular" w:hAnsi="Arial Regular" w:cs="Arial Regular"/>
          <w:b/>
          <w:bCs w:val="0"/>
          <w:sz w:val="20"/>
          <w:szCs w:val="20"/>
        </w:rPr>
        <w:br w:type="page"/>
      </w:r>
    </w:p>
    <w:p w14:paraId="0D10F9D2">
      <w:pPr>
        <w:widowControl/>
        <w:jc w:val="center"/>
        <w:rPr>
          <w:rFonts w:hint="default" w:ascii="Arial Regular" w:hAnsi="Arial Regular" w:cs="Arial Regular"/>
        </w:rPr>
      </w:pPr>
      <w:r>
        <w:rPr>
          <w:rFonts w:hint="default" w:ascii="Arial Regular" w:hAnsi="Arial Regular" w:cs="Arial Regular"/>
        </w:rPr>
        <w:drawing>
          <wp:inline distT="0" distB="0" distL="114300" distR="114300">
            <wp:extent cx="5798820" cy="5886450"/>
            <wp:effectExtent l="0" t="0" r="17780" b="6350"/>
            <wp:docPr id="11" name="图片 11" desc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S10"/>
                    <pic:cNvPicPr>
                      <a:picLocks noChangeAspect="1"/>
                    </pic:cNvPicPr>
                  </pic:nvPicPr>
                  <pic:blipFill>
                    <a:blip r:embed="rId19"/>
                    <a:stretch>
                      <a:fillRect/>
                    </a:stretch>
                  </pic:blipFill>
                  <pic:spPr>
                    <a:xfrm>
                      <a:off x="0" y="0"/>
                      <a:ext cx="5798820" cy="5886450"/>
                    </a:xfrm>
                    <a:prstGeom prst="rect">
                      <a:avLst/>
                    </a:prstGeom>
                  </pic:spPr>
                </pic:pic>
              </a:graphicData>
            </a:graphic>
          </wp:inline>
        </w:drawing>
      </w:r>
    </w:p>
    <w:p w14:paraId="0F354532">
      <w:pPr>
        <w:pStyle w:val="3"/>
        <w:keepNext/>
        <w:keepLines/>
        <w:pageBreakBefore w:val="0"/>
        <w:widowControl w:val="0"/>
        <w:kinsoku/>
        <w:wordWrap/>
        <w:overflowPunct/>
        <w:topLinePunct w:val="0"/>
        <w:autoSpaceDE/>
        <w:autoSpaceDN/>
        <w:bidi w:val="0"/>
        <w:adjustRightInd/>
        <w:snapToGrid/>
        <w:spacing w:before="0" w:beforeLines="0" w:after="157" w:afterLines="50" w:line="240" w:lineRule="auto"/>
        <w:textAlignment w:val="auto"/>
        <w:rPr>
          <w:rFonts w:hint="default" w:ascii="Arial Regular" w:hAnsi="Arial Regular" w:cs="Arial Regular" w:eastAsiaTheme="minorEastAsia"/>
          <w:bCs/>
          <w:sz w:val="20"/>
          <w:szCs w:val="20"/>
          <w:lang w:val="en-US" w:eastAsia="zh-CN"/>
        </w:rPr>
      </w:pPr>
      <w:r>
        <w:rPr>
          <w:rFonts w:hint="default" w:ascii="Arial Regular" w:hAnsi="Arial Regular" w:cs="Arial Regular"/>
          <w:b/>
          <w:bCs w:val="0"/>
          <w:sz w:val="20"/>
          <w:szCs w:val="20"/>
        </w:rPr>
        <w:t xml:space="preserve">Supplementary Fig. 11. Inactivation of </w:t>
      </w:r>
      <w:r>
        <w:rPr>
          <w:rFonts w:hint="default" w:ascii="Arial Regular" w:hAnsi="Arial Regular" w:cs="Arial Regular"/>
          <w:b/>
          <w:bCs w:val="0"/>
          <w:i/>
          <w:iCs/>
          <w:sz w:val="20"/>
          <w:szCs w:val="20"/>
        </w:rPr>
        <w:t>P. polonicum</w:t>
      </w:r>
      <w:r>
        <w:rPr>
          <w:rFonts w:hint="default" w:ascii="Arial Regular" w:hAnsi="Arial Regular" w:cs="Arial Regular"/>
          <w:b/>
          <w:bCs w:val="0"/>
          <w:sz w:val="20"/>
          <w:szCs w:val="20"/>
        </w:rPr>
        <w:t xml:space="preserve"> spores under varying initial</w:t>
      </w:r>
      <w:r>
        <w:rPr>
          <w:rFonts w:hint="default" w:ascii="Arial Regular" w:hAnsi="Arial Regular" w:cs="Arial Regular"/>
          <w:b/>
          <w:bCs w:val="0"/>
          <w:sz w:val="20"/>
          <w:szCs w:val="20"/>
          <w:lang w:val="en-US" w:eastAsia="zh-CN"/>
        </w:rPr>
        <w:t xml:space="preserve"> </w:t>
      </w:r>
      <w:r>
        <w:rPr>
          <w:rFonts w:hint="default" w:ascii="Arial Regular" w:hAnsi="Arial Regular" w:cs="Arial Regular"/>
          <w:b/>
          <w:bCs w:val="0"/>
          <w:sz w:val="20"/>
          <w:szCs w:val="20"/>
        </w:rPr>
        <w:t>metal ion concentrations.</w:t>
      </w:r>
      <w:r>
        <w:rPr>
          <w:rFonts w:hint="default" w:ascii="Arial Regular" w:hAnsi="Arial Regular" w:cs="Arial Regular"/>
          <w:bCs/>
          <w:sz w:val="20"/>
          <w:szCs w:val="20"/>
          <w:lang w:val="en-US" w:eastAsia="zh-CN"/>
        </w:rPr>
        <w:t xml:space="preserve"> </w:t>
      </w:r>
      <w:r>
        <w:rPr>
          <w:rFonts w:hint="default" w:ascii="Arial Regular" w:hAnsi="Arial Regular" w:cs="Arial Regular"/>
          <w:b w:val="0"/>
          <w:bCs w:val="0"/>
          <w:sz w:val="20"/>
          <w:szCs w:val="20"/>
        </w:rPr>
        <w:t>(a) Co(II), (b) Cu(II), (c) Fe(II), and (d) Mn(II). Experimental conditions: initial fungal spores concentration=(2-4)×10</w:t>
      </w:r>
      <w:r>
        <w:rPr>
          <w:rFonts w:hint="default" w:ascii="Arial Regular" w:hAnsi="Arial Regular" w:cs="Arial Regular"/>
          <w:b w:val="0"/>
          <w:bCs w:val="0"/>
          <w:sz w:val="20"/>
          <w:szCs w:val="20"/>
          <w:vertAlign w:val="superscript"/>
        </w:rPr>
        <w:t>5</w:t>
      </w:r>
      <w:r>
        <w:rPr>
          <w:rFonts w:hint="default" w:ascii="Arial Regular" w:hAnsi="Arial Regular" w:cs="Arial Regular"/>
          <w:b w:val="0"/>
          <w:bCs w:val="0"/>
          <w:sz w:val="20"/>
          <w:szCs w:val="20"/>
        </w:rPr>
        <w:t xml:space="preserve"> CFU/mL; [Cl</w:t>
      </w:r>
      <w:r>
        <w:rPr>
          <w:rFonts w:hint="default" w:ascii="Arial Regular" w:hAnsi="Arial Regular" w:cs="Arial Regular"/>
          <w:b w:val="0"/>
          <w:bCs w:val="0"/>
          <w:sz w:val="20"/>
          <w:szCs w:val="20"/>
          <w:vertAlign w:val="subscript"/>
        </w:rPr>
        <w:t>2</w:t>
      </w:r>
      <w:r>
        <w:rPr>
          <w:rFonts w:hint="default" w:ascii="Arial Regular" w:hAnsi="Arial Regular" w:cs="Arial Regular"/>
          <w:b w:val="0"/>
          <w:bCs w:val="0"/>
          <w:sz w:val="20"/>
          <w:szCs w:val="20"/>
        </w:rPr>
        <w:t>]</w:t>
      </w:r>
      <w:r>
        <w:rPr>
          <w:rFonts w:hint="default" w:ascii="Arial Regular" w:hAnsi="Arial Regular" w:cs="Arial Regular"/>
          <w:b w:val="0"/>
          <w:bCs w:val="0"/>
          <w:sz w:val="20"/>
          <w:szCs w:val="20"/>
          <w:vertAlign w:val="subscript"/>
        </w:rPr>
        <w:t>0</w:t>
      </w:r>
      <w:r>
        <w:rPr>
          <w:rFonts w:hint="default" w:ascii="Arial Regular" w:hAnsi="Arial Regular" w:cs="Arial Regular"/>
          <w:b w:val="0"/>
          <w:bCs w:val="0"/>
          <w:sz w:val="20"/>
          <w:szCs w:val="20"/>
        </w:rPr>
        <w:t>=</w:t>
      </w:r>
      <w:r>
        <w:rPr>
          <w:rFonts w:hint="default" w:ascii="Arial Regular" w:hAnsi="Arial Regular" w:cs="Arial Regular"/>
          <w:b w:val="0"/>
          <w:bCs w:val="0"/>
          <w:sz w:val="20"/>
          <w:szCs w:val="20"/>
          <w:lang w:val="en-US" w:eastAsia="zh-CN"/>
        </w:rPr>
        <w:t>2</w:t>
      </w:r>
      <w:r>
        <w:rPr>
          <w:rFonts w:hint="default" w:ascii="Arial Regular" w:hAnsi="Arial Regular" w:cs="Arial Regular"/>
          <w:b w:val="0"/>
          <w:bCs w:val="0"/>
          <w:sz w:val="20"/>
          <w:szCs w:val="20"/>
        </w:rPr>
        <w:t>.0 mg/L; [Me(II)]=10, 40, 80, 100 μM; pH=7.0±0.2, T=25±2 ℃.</w:t>
      </w:r>
    </w:p>
    <w:p w14:paraId="370A74E8">
      <w:pPr>
        <w:rPr>
          <w:rFonts w:hint="default" w:ascii="Arial Regular" w:hAnsi="Arial Regular" w:cs="Arial Regular"/>
          <w:b/>
          <w:bCs w:val="0"/>
          <w:sz w:val="20"/>
          <w:szCs w:val="20"/>
        </w:rPr>
        <w:sectPr>
          <w:pgSz w:w="12240" w:h="15840"/>
          <w:pgMar w:top="1440" w:right="1440" w:bottom="1440" w:left="1440" w:header="851" w:footer="992" w:gutter="0"/>
          <w:cols w:space="425" w:num="1"/>
          <w:docGrid w:type="lines" w:linePitch="312" w:charSpace="0"/>
        </w:sectPr>
      </w:pPr>
    </w:p>
    <w:p w14:paraId="3243229E">
      <w:pPr>
        <w:jc w:val="center"/>
        <w:rPr>
          <w:rFonts w:hint="default" w:ascii="Arial Regular" w:hAnsi="Arial Regular" w:cs="Arial Regular"/>
          <w:b/>
          <w:bCs w:val="0"/>
          <w:sz w:val="20"/>
          <w:szCs w:val="20"/>
        </w:rPr>
      </w:pPr>
      <w:r>
        <w:rPr>
          <w:rFonts w:hint="default" w:ascii="Arial Regular" w:hAnsi="Arial Regular" w:cs="Arial Regular"/>
        </w:rPr>
        <w:drawing>
          <wp:inline distT="0" distB="0" distL="114300" distR="114300">
            <wp:extent cx="5198110" cy="4932045"/>
            <wp:effectExtent l="0" t="0" r="8890" b="20955"/>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20"/>
                    <a:srcRect r="1916"/>
                    <a:stretch>
                      <a:fillRect/>
                    </a:stretch>
                  </pic:blipFill>
                  <pic:spPr>
                    <a:xfrm>
                      <a:off x="0" y="0"/>
                      <a:ext cx="5198110" cy="4932045"/>
                    </a:xfrm>
                    <a:prstGeom prst="rect">
                      <a:avLst/>
                    </a:prstGeom>
                    <a:noFill/>
                    <a:ln>
                      <a:noFill/>
                    </a:ln>
                  </pic:spPr>
                </pic:pic>
              </a:graphicData>
            </a:graphic>
          </wp:inline>
        </w:drawing>
      </w:r>
    </w:p>
    <w:p w14:paraId="11C1317A">
      <w:pPr>
        <w:pStyle w:val="3"/>
        <w:keepNext/>
        <w:keepLines/>
        <w:pageBreakBefore w:val="0"/>
        <w:widowControl w:val="0"/>
        <w:kinsoku/>
        <w:wordWrap/>
        <w:overflowPunct/>
        <w:topLinePunct w:val="0"/>
        <w:autoSpaceDE/>
        <w:autoSpaceDN/>
        <w:bidi w:val="0"/>
        <w:adjustRightInd/>
        <w:snapToGrid/>
        <w:spacing w:before="0" w:beforeLines="0" w:after="157" w:afterLines="50" w:line="240" w:lineRule="auto"/>
        <w:textAlignment w:val="auto"/>
        <w:rPr>
          <w:rFonts w:hint="default" w:ascii="Arial Regular" w:hAnsi="Arial Regular" w:cs="Arial Regular" w:eastAsiaTheme="minorEastAsia"/>
          <w:bCs/>
          <w:sz w:val="20"/>
          <w:szCs w:val="20"/>
          <w:lang w:val="en-US" w:eastAsia="zh-CN"/>
        </w:rPr>
      </w:pPr>
      <w:r>
        <w:rPr>
          <w:rFonts w:hint="default" w:ascii="Arial Regular" w:hAnsi="Arial Regular" w:cs="Arial Regular"/>
          <w:b/>
          <w:bCs w:val="0"/>
          <w:sz w:val="20"/>
          <w:szCs w:val="20"/>
        </w:rPr>
        <w:t xml:space="preserve">Supplementary Fig. 12. Analysis of metal ion complexation capacity and chlorine resistance of </w:t>
      </w:r>
      <w:r>
        <w:rPr>
          <w:rFonts w:hint="default" w:ascii="Arial Regular" w:hAnsi="Arial Regular" w:cs="Arial Regular"/>
          <w:b/>
          <w:bCs w:val="0"/>
          <w:i/>
          <w:iCs/>
          <w:sz w:val="20"/>
          <w:szCs w:val="20"/>
        </w:rPr>
        <w:t>P. polonicum</w:t>
      </w:r>
      <w:r>
        <w:rPr>
          <w:rFonts w:hint="default" w:ascii="Arial Regular" w:hAnsi="Arial Regular" w:cs="Arial Regular"/>
          <w:b/>
          <w:bCs w:val="0"/>
          <w:sz w:val="20"/>
          <w:szCs w:val="20"/>
        </w:rPr>
        <w:t xml:space="preserve"> spores.</w:t>
      </w:r>
      <w:r>
        <w:rPr>
          <w:rFonts w:hint="default" w:ascii="Arial Regular" w:hAnsi="Arial Regular" w:cs="Arial Regular"/>
          <w:b w:val="0"/>
          <w:bCs w:val="0"/>
          <w:sz w:val="20"/>
          <w:szCs w:val="20"/>
          <w:lang w:val="en-US" w:eastAsia="zh-CN"/>
        </w:rPr>
        <w:t xml:space="preserve"> </w:t>
      </w:r>
      <w:r>
        <w:rPr>
          <w:rFonts w:hint="default" w:ascii="Arial Regular" w:hAnsi="Arial Regular" w:cs="Arial Regular"/>
          <w:b w:val="0"/>
          <w:bCs w:val="0"/>
          <w:sz w:val="20"/>
          <w:szCs w:val="20"/>
        </w:rPr>
        <w:t xml:space="preserve">(a) Analysis of metal ion complexation capacity and chlorine resistance; (b) </w:t>
      </w:r>
      <w:r>
        <w:rPr>
          <w:rFonts w:hint="default" w:ascii="Arial Regular" w:hAnsi="Arial Regular" w:cs="Arial Regular"/>
          <w:b w:val="0"/>
          <w:bCs w:val="0"/>
          <w:sz w:val="20"/>
          <w:szCs w:val="20"/>
          <w:lang w:val="en-US" w:eastAsia="zh-CN"/>
        </w:rPr>
        <w:t>Comparative analysis of the complexation levels of four metal ions and their effects on chlorine inactivation rate and shoulder length</w:t>
      </w:r>
      <w:r>
        <w:rPr>
          <w:rFonts w:hint="default" w:ascii="Arial Regular" w:hAnsi="Arial Regular" w:cs="Arial Regular"/>
          <w:b w:val="0"/>
          <w:bCs w:val="0"/>
          <w:sz w:val="20"/>
          <w:szCs w:val="20"/>
        </w:rPr>
        <w:t>.</w:t>
      </w:r>
      <w:r>
        <w:rPr>
          <w:rFonts w:hint="default" w:ascii="Arial Regular" w:hAnsi="Arial Regular" w:cs="Arial Regular"/>
          <w:b w:val="0"/>
          <w:bCs w:val="0"/>
          <w:sz w:val="20"/>
          <w:szCs w:val="20"/>
          <w:lang w:val="en-US" w:eastAsia="zh-CN"/>
        </w:rPr>
        <w:t xml:space="preserve"> </w:t>
      </w:r>
      <w:r>
        <w:rPr>
          <w:rFonts w:hint="default" w:ascii="Arial Regular" w:hAnsi="Arial Regular" w:cs="Arial Regular"/>
          <w:b w:val="0"/>
          <w:bCs w:val="0"/>
          <w:sz w:val="20"/>
          <w:szCs w:val="20"/>
        </w:rPr>
        <w:t>Experimental conditions: initial fungal spores concentration=(2-4)×10</w:t>
      </w:r>
      <w:r>
        <w:rPr>
          <w:rFonts w:hint="default" w:ascii="Arial Regular" w:hAnsi="Arial Regular" w:cs="Arial Regular"/>
          <w:b w:val="0"/>
          <w:bCs w:val="0"/>
          <w:sz w:val="20"/>
          <w:szCs w:val="20"/>
          <w:vertAlign w:val="superscript"/>
        </w:rPr>
        <w:t>5</w:t>
      </w:r>
      <w:r>
        <w:rPr>
          <w:rFonts w:hint="default" w:ascii="Arial Regular" w:hAnsi="Arial Regular" w:cs="Arial Regular"/>
          <w:b w:val="0"/>
          <w:bCs w:val="0"/>
          <w:sz w:val="20"/>
          <w:szCs w:val="20"/>
        </w:rPr>
        <w:t xml:space="preserve"> CFU/mL; [Cl</w:t>
      </w:r>
      <w:r>
        <w:rPr>
          <w:rFonts w:hint="default" w:ascii="Arial Regular" w:hAnsi="Arial Regular" w:cs="Arial Regular"/>
          <w:b w:val="0"/>
          <w:bCs w:val="0"/>
          <w:sz w:val="20"/>
          <w:szCs w:val="20"/>
          <w:vertAlign w:val="subscript"/>
        </w:rPr>
        <w:t>2</w:t>
      </w:r>
      <w:r>
        <w:rPr>
          <w:rFonts w:hint="default" w:ascii="Arial Regular" w:hAnsi="Arial Regular" w:cs="Arial Regular"/>
          <w:b w:val="0"/>
          <w:bCs w:val="0"/>
          <w:sz w:val="20"/>
          <w:szCs w:val="20"/>
        </w:rPr>
        <w:t>]</w:t>
      </w:r>
      <w:r>
        <w:rPr>
          <w:rFonts w:hint="default" w:ascii="Arial Regular" w:hAnsi="Arial Regular" w:cs="Arial Regular"/>
          <w:b w:val="0"/>
          <w:bCs w:val="0"/>
          <w:sz w:val="20"/>
          <w:szCs w:val="20"/>
          <w:vertAlign w:val="subscript"/>
        </w:rPr>
        <w:t>0</w:t>
      </w:r>
      <w:r>
        <w:rPr>
          <w:rFonts w:hint="default" w:ascii="Arial Regular" w:hAnsi="Arial Regular" w:cs="Arial Regular"/>
          <w:b w:val="0"/>
          <w:bCs w:val="0"/>
          <w:sz w:val="20"/>
          <w:szCs w:val="20"/>
        </w:rPr>
        <w:t>=2.0 mg/L; [Me(II)]=10, 40, 80, 100 μM; pH=7.0±0.2, T=25±2 ℃</w:t>
      </w:r>
      <w:r>
        <w:rPr>
          <w:rFonts w:hint="default" w:ascii="Arial Regular" w:hAnsi="Arial Regular" w:cs="Arial Regular"/>
          <w:b w:val="0"/>
          <w:bCs w:val="0"/>
          <w:sz w:val="20"/>
          <w:szCs w:val="20"/>
          <w:lang w:val="en-US" w:eastAsia="zh-CN"/>
        </w:rPr>
        <w:t>.</w:t>
      </w:r>
    </w:p>
    <w:p w14:paraId="221AE289">
      <w:pPr>
        <w:rPr>
          <w:rFonts w:hint="default" w:ascii="Arial Regular" w:hAnsi="Arial Regular" w:cs="Arial Regular"/>
          <w:b/>
          <w:bCs w:val="0"/>
          <w:sz w:val="20"/>
          <w:szCs w:val="20"/>
        </w:rPr>
      </w:pPr>
      <w:r>
        <w:rPr>
          <w:rFonts w:hint="default" w:ascii="Arial Regular" w:hAnsi="Arial Regular" w:cs="Arial Regular"/>
          <w:b/>
          <w:bCs w:val="0"/>
          <w:sz w:val="20"/>
          <w:szCs w:val="20"/>
        </w:rPr>
        <w:br w:type="page"/>
      </w:r>
    </w:p>
    <w:p w14:paraId="3A730116">
      <w:pPr>
        <w:widowControl/>
        <w:jc w:val="center"/>
        <w:rPr>
          <w:rFonts w:hint="default" w:ascii="Arial Regular" w:hAnsi="Arial Regular" w:cs="Arial Regular" w:eastAsiaTheme="minorEastAsia"/>
          <w:lang w:eastAsia="zh-CN"/>
        </w:rPr>
      </w:pPr>
      <w:r>
        <w:rPr>
          <w:rFonts w:hint="default" w:ascii="Arial Regular" w:hAnsi="Arial Regular" w:cs="Arial Regular" w:eastAsiaTheme="minorEastAsia"/>
          <w:lang w:eastAsia="zh-CN"/>
        </w:rPr>
        <w:drawing>
          <wp:inline distT="0" distB="0" distL="114300" distR="114300">
            <wp:extent cx="8008620" cy="5328285"/>
            <wp:effectExtent l="0" t="0" r="17780" b="5715"/>
            <wp:docPr id="8" name="图片 8" descr="2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2_01"/>
                    <pic:cNvPicPr>
                      <a:picLocks noChangeAspect="1"/>
                    </pic:cNvPicPr>
                  </pic:nvPicPr>
                  <pic:blipFill>
                    <a:blip r:embed="rId21"/>
                    <a:stretch>
                      <a:fillRect/>
                    </a:stretch>
                  </pic:blipFill>
                  <pic:spPr>
                    <a:xfrm>
                      <a:off x="0" y="0"/>
                      <a:ext cx="8008620" cy="5328285"/>
                    </a:xfrm>
                    <a:prstGeom prst="rect">
                      <a:avLst/>
                    </a:prstGeom>
                  </pic:spPr>
                </pic:pic>
              </a:graphicData>
            </a:graphic>
          </wp:inline>
        </w:drawing>
      </w:r>
    </w:p>
    <w:p w14:paraId="62A77353">
      <w:pPr>
        <w:pStyle w:val="3"/>
        <w:keepNext/>
        <w:keepLines/>
        <w:pageBreakBefore w:val="0"/>
        <w:widowControl w:val="0"/>
        <w:kinsoku/>
        <w:wordWrap/>
        <w:overflowPunct/>
        <w:topLinePunct w:val="0"/>
        <w:autoSpaceDE/>
        <w:autoSpaceDN/>
        <w:bidi w:val="0"/>
        <w:adjustRightInd/>
        <w:snapToGrid/>
        <w:spacing w:before="0" w:beforeLines="0" w:after="157" w:afterLines="50" w:line="240" w:lineRule="auto"/>
        <w:textAlignment w:val="auto"/>
        <w:rPr>
          <w:rFonts w:hint="default" w:ascii="Arial Regular" w:hAnsi="Arial Regular" w:cs="Arial Regular" w:eastAsiaTheme="minorEastAsia"/>
          <w:bCs/>
          <w:sz w:val="20"/>
          <w:szCs w:val="20"/>
          <w:lang w:val="en-US" w:eastAsia="zh-CN"/>
        </w:rPr>
      </w:pPr>
      <w:r>
        <w:rPr>
          <w:rFonts w:hint="default" w:ascii="Arial Regular" w:hAnsi="Arial Regular" w:cs="Arial Regular"/>
          <w:b/>
          <w:bCs w:val="0"/>
          <w:sz w:val="20"/>
          <w:szCs w:val="20"/>
        </w:rPr>
        <w:t xml:space="preserve">Supplementary </w:t>
      </w:r>
      <w:r>
        <w:rPr>
          <w:rFonts w:hint="default" w:ascii="Arial Regular" w:hAnsi="Arial Regular" w:cs="Arial Regular"/>
          <w:b/>
          <w:bCs w:val="0"/>
          <w:sz w:val="20"/>
          <w:szCs w:val="20"/>
          <w:highlight w:val="none"/>
        </w:rPr>
        <w:t>Fig. 13.</w:t>
      </w:r>
      <w:r>
        <w:rPr>
          <w:rFonts w:hint="default" w:ascii="Arial Regular" w:hAnsi="Arial Regular" w:cs="Arial Regular"/>
          <w:b/>
          <w:bCs w:val="0"/>
          <w:sz w:val="20"/>
          <w:szCs w:val="20"/>
        </w:rPr>
        <w:t xml:space="preserve"> Two-dimensional scatter plots of SG/PI staining for </w:t>
      </w:r>
      <w:r>
        <w:rPr>
          <w:rFonts w:hint="default" w:ascii="Arial Regular" w:hAnsi="Arial Regular" w:cs="Arial Regular"/>
          <w:b/>
          <w:bCs w:val="0"/>
          <w:i/>
          <w:iCs/>
          <w:sz w:val="20"/>
          <w:szCs w:val="20"/>
        </w:rPr>
        <w:t>A.niger</w:t>
      </w:r>
      <w:r>
        <w:rPr>
          <w:rFonts w:hint="default" w:ascii="Arial Regular" w:hAnsi="Arial Regular" w:cs="Arial Regular"/>
          <w:b/>
          <w:bCs w:val="0"/>
          <w:sz w:val="20"/>
          <w:szCs w:val="20"/>
        </w:rPr>
        <w:t xml:space="preserve"> spores at different chlorine exposure times.</w:t>
      </w:r>
      <w:r>
        <w:rPr>
          <w:rFonts w:hint="default" w:ascii="Arial Regular" w:hAnsi="Arial Regular" w:cs="Arial Regular"/>
          <w:bCs/>
          <w:sz w:val="20"/>
          <w:szCs w:val="20"/>
          <w:lang w:val="en-US" w:eastAsia="zh-CN"/>
        </w:rPr>
        <w:t xml:space="preserve"> </w:t>
      </w:r>
      <w:r>
        <w:rPr>
          <w:rFonts w:hint="default" w:ascii="Arial Regular" w:hAnsi="Arial Regular" w:cs="Arial Regular"/>
          <w:b w:val="0"/>
          <w:bCs w:val="0"/>
          <w:sz w:val="20"/>
          <w:szCs w:val="20"/>
        </w:rPr>
        <w:t>Experimental conditions: initial fungal spores concentration=(2-4)×10</w:t>
      </w:r>
      <w:r>
        <w:rPr>
          <w:rFonts w:hint="default" w:ascii="Arial Regular" w:hAnsi="Arial Regular" w:cs="Arial Regular"/>
          <w:b w:val="0"/>
          <w:bCs w:val="0"/>
          <w:sz w:val="20"/>
          <w:szCs w:val="20"/>
          <w:vertAlign w:val="superscript"/>
        </w:rPr>
        <w:t>5</w:t>
      </w:r>
      <w:r>
        <w:rPr>
          <w:rFonts w:hint="default" w:ascii="Arial Regular" w:hAnsi="Arial Regular" w:cs="Arial Regular"/>
          <w:b w:val="0"/>
          <w:bCs w:val="0"/>
          <w:sz w:val="20"/>
          <w:szCs w:val="20"/>
        </w:rPr>
        <w:t xml:space="preserve"> CFU/mL; [Cl</w:t>
      </w:r>
      <w:r>
        <w:rPr>
          <w:rFonts w:hint="default" w:ascii="Arial Regular" w:hAnsi="Arial Regular" w:cs="Arial Regular"/>
          <w:b w:val="0"/>
          <w:bCs w:val="0"/>
          <w:sz w:val="20"/>
          <w:szCs w:val="20"/>
          <w:vertAlign w:val="subscript"/>
        </w:rPr>
        <w:t>2</w:t>
      </w:r>
      <w:r>
        <w:rPr>
          <w:rFonts w:hint="default" w:ascii="Arial Regular" w:hAnsi="Arial Regular" w:cs="Arial Regular"/>
          <w:b w:val="0"/>
          <w:bCs w:val="0"/>
          <w:sz w:val="20"/>
          <w:szCs w:val="20"/>
        </w:rPr>
        <w:t>]</w:t>
      </w:r>
      <w:r>
        <w:rPr>
          <w:rFonts w:hint="default" w:ascii="Arial Regular" w:hAnsi="Arial Regular" w:cs="Arial Regular"/>
          <w:b w:val="0"/>
          <w:bCs w:val="0"/>
          <w:sz w:val="20"/>
          <w:szCs w:val="20"/>
          <w:vertAlign w:val="subscript"/>
        </w:rPr>
        <w:t>0</w:t>
      </w:r>
      <w:r>
        <w:rPr>
          <w:rFonts w:hint="default" w:ascii="Arial Regular" w:hAnsi="Arial Regular" w:cs="Arial Regular"/>
          <w:b w:val="0"/>
          <w:bCs w:val="0"/>
          <w:sz w:val="20"/>
          <w:szCs w:val="20"/>
        </w:rPr>
        <w:t>=3.0 mg/L; [Me(II)]=10 μM; pH=7.0±0.2, T=25±2 ℃.</w:t>
      </w:r>
    </w:p>
    <w:p w14:paraId="72A981FC">
      <w:pPr>
        <w:rPr>
          <w:rFonts w:hint="default" w:ascii="Arial Regular" w:hAnsi="Arial Regular" w:cs="Arial Regular"/>
          <w:b/>
          <w:bCs w:val="0"/>
          <w:sz w:val="20"/>
          <w:szCs w:val="20"/>
        </w:rPr>
      </w:pPr>
      <w:r>
        <w:rPr>
          <w:rFonts w:hint="default" w:ascii="Arial Regular" w:hAnsi="Arial Regular" w:cs="Arial Regular"/>
          <w:b/>
          <w:bCs w:val="0"/>
          <w:sz w:val="20"/>
          <w:szCs w:val="20"/>
        </w:rPr>
        <w:br w:type="page"/>
      </w:r>
    </w:p>
    <w:p w14:paraId="6647216F">
      <w:pPr>
        <w:widowControl/>
        <w:jc w:val="center"/>
        <w:rPr>
          <w:rFonts w:hint="default" w:ascii="Arial Regular" w:hAnsi="Arial Regular" w:cs="Arial Regular" w:eastAsiaTheme="minorEastAsia"/>
          <w:b/>
          <w:bCs w:val="0"/>
          <w:sz w:val="20"/>
          <w:szCs w:val="20"/>
          <w:lang w:eastAsia="zh-CN"/>
        </w:rPr>
      </w:pPr>
      <w:r>
        <w:rPr>
          <w:rFonts w:hint="default" w:ascii="Arial Regular" w:hAnsi="Arial Regular" w:cs="Arial Regular" w:eastAsiaTheme="minorEastAsia"/>
          <w:b/>
          <w:bCs w:val="0"/>
          <w:sz w:val="20"/>
          <w:szCs w:val="20"/>
          <w:lang w:eastAsia="zh-CN"/>
        </w:rPr>
        <w:drawing>
          <wp:inline distT="0" distB="0" distL="114300" distR="114300">
            <wp:extent cx="5760720" cy="5328285"/>
            <wp:effectExtent l="0" t="0" r="5080" b="5715"/>
            <wp:docPr id="5" name="图片 5" descr="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_01"/>
                    <pic:cNvPicPr>
                      <a:picLocks noChangeAspect="1"/>
                    </pic:cNvPicPr>
                  </pic:nvPicPr>
                  <pic:blipFill>
                    <a:blip r:embed="rId22"/>
                    <a:srcRect b="2715"/>
                    <a:stretch>
                      <a:fillRect/>
                    </a:stretch>
                  </pic:blipFill>
                  <pic:spPr>
                    <a:xfrm>
                      <a:off x="0" y="0"/>
                      <a:ext cx="5760720" cy="5328285"/>
                    </a:xfrm>
                    <a:prstGeom prst="rect">
                      <a:avLst/>
                    </a:prstGeom>
                  </pic:spPr>
                </pic:pic>
              </a:graphicData>
            </a:graphic>
          </wp:inline>
        </w:drawing>
      </w:r>
    </w:p>
    <w:p w14:paraId="4AF0BC94">
      <w:pPr>
        <w:pStyle w:val="3"/>
        <w:keepNext/>
        <w:keepLines/>
        <w:pageBreakBefore w:val="0"/>
        <w:widowControl w:val="0"/>
        <w:kinsoku/>
        <w:wordWrap/>
        <w:overflowPunct/>
        <w:topLinePunct w:val="0"/>
        <w:autoSpaceDE/>
        <w:autoSpaceDN/>
        <w:bidi w:val="0"/>
        <w:adjustRightInd/>
        <w:snapToGrid/>
        <w:spacing w:before="0" w:beforeLines="0" w:after="157" w:afterLines="50" w:line="240" w:lineRule="auto"/>
        <w:textAlignment w:val="auto"/>
        <w:rPr>
          <w:rFonts w:hint="default" w:ascii="Arial Regular" w:hAnsi="Arial Regular" w:cs="Arial Regular" w:eastAsiaTheme="minorEastAsia"/>
          <w:bCs/>
          <w:sz w:val="20"/>
          <w:szCs w:val="20"/>
          <w:lang w:val="en-US" w:eastAsia="zh-CN"/>
        </w:rPr>
      </w:pPr>
      <w:r>
        <w:rPr>
          <w:rFonts w:hint="default" w:ascii="Arial Regular" w:hAnsi="Arial Regular" w:cs="Arial Regular"/>
          <w:b/>
          <w:bCs w:val="0"/>
          <w:sz w:val="20"/>
          <w:szCs w:val="20"/>
        </w:rPr>
        <w:t xml:space="preserve">Supplementary </w:t>
      </w:r>
      <w:r>
        <w:rPr>
          <w:rFonts w:hint="default" w:ascii="Arial Regular" w:hAnsi="Arial Regular" w:cs="Arial Regular"/>
          <w:b/>
          <w:bCs w:val="0"/>
          <w:sz w:val="20"/>
          <w:szCs w:val="20"/>
          <w:highlight w:val="none"/>
        </w:rPr>
        <w:t>Fig. 14. Two-dimens</w:t>
      </w:r>
      <w:r>
        <w:rPr>
          <w:rFonts w:hint="default" w:ascii="Arial Regular" w:hAnsi="Arial Regular" w:cs="Arial Regular"/>
          <w:b/>
          <w:bCs w:val="0"/>
          <w:sz w:val="20"/>
          <w:szCs w:val="20"/>
        </w:rPr>
        <w:t xml:space="preserve">ional scatter plots of SG/PI staining for </w:t>
      </w:r>
      <w:r>
        <w:rPr>
          <w:rFonts w:hint="default" w:ascii="Arial Regular" w:hAnsi="Arial Regular" w:cs="Arial Regular"/>
          <w:b/>
          <w:bCs w:val="0"/>
          <w:i/>
          <w:iCs/>
          <w:sz w:val="20"/>
          <w:szCs w:val="20"/>
        </w:rPr>
        <w:t>E.coli</w:t>
      </w:r>
      <w:r>
        <w:rPr>
          <w:rFonts w:hint="default" w:ascii="Arial Regular" w:hAnsi="Arial Regular" w:cs="Arial Regular"/>
          <w:b/>
          <w:bCs w:val="0"/>
          <w:sz w:val="20"/>
          <w:szCs w:val="20"/>
        </w:rPr>
        <w:t xml:space="preserve"> at different chlorine exposure times.</w:t>
      </w:r>
      <w:r>
        <w:rPr>
          <w:rFonts w:hint="default" w:ascii="Arial Regular" w:hAnsi="Arial Regular" w:cs="Arial Regular"/>
          <w:bCs/>
          <w:sz w:val="20"/>
          <w:szCs w:val="20"/>
          <w:lang w:val="en-US" w:eastAsia="zh-CN"/>
        </w:rPr>
        <w:t xml:space="preserve"> </w:t>
      </w:r>
      <w:r>
        <w:rPr>
          <w:rFonts w:hint="default" w:ascii="Arial Regular" w:hAnsi="Arial Regular" w:cs="Arial Regular"/>
          <w:b w:val="0"/>
          <w:bCs w:val="0"/>
          <w:sz w:val="20"/>
          <w:szCs w:val="20"/>
        </w:rPr>
        <w:t>Experimental conditions: initial bacteria concentration=(2-4)×10</w:t>
      </w:r>
      <w:r>
        <w:rPr>
          <w:rFonts w:hint="default" w:ascii="Arial Regular" w:hAnsi="Arial Regular" w:cs="Arial Regular"/>
          <w:b w:val="0"/>
          <w:bCs w:val="0"/>
          <w:sz w:val="20"/>
          <w:szCs w:val="20"/>
          <w:vertAlign w:val="superscript"/>
        </w:rPr>
        <w:t>7</w:t>
      </w:r>
      <w:r>
        <w:rPr>
          <w:rFonts w:hint="default" w:ascii="Arial Regular" w:hAnsi="Arial Regular" w:cs="Arial Regular"/>
          <w:b w:val="0"/>
          <w:bCs w:val="0"/>
          <w:sz w:val="20"/>
          <w:szCs w:val="20"/>
        </w:rPr>
        <w:t xml:space="preserve"> CFU/mL; [Cl</w:t>
      </w:r>
      <w:r>
        <w:rPr>
          <w:rFonts w:hint="default" w:ascii="Arial Regular" w:hAnsi="Arial Regular" w:cs="Arial Regular"/>
          <w:b w:val="0"/>
          <w:bCs w:val="0"/>
          <w:sz w:val="20"/>
          <w:szCs w:val="20"/>
          <w:vertAlign w:val="subscript"/>
        </w:rPr>
        <w:t>2</w:t>
      </w:r>
      <w:r>
        <w:rPr>
          <w:rFonts w:hint="default" w:ascii="Arial Regular" w:hAnsi="Arial Regular" w:cs="Arial Regular"/>
          <w:b w:val="0"/>
          <w:bCs w:val="0"/>
          <w:sz w:val="20"/>
          <w:szCs w:val="20"/>
        </w:rPr>
        <w:t>]</w:t>
      </w:r>
      <w:r>
        <w:rPr>
          <w:rFonts w:hint="default" w:ascii="Arial Regular" w:hAnsi="Arial Regular" w:cs="Arial Regular"/>
          <w:b w:val="0"/>
          <w:bCs w:val="0"/>
          <w:sz w:val="20"/>
          <w:szCs w:val="20"/>
          <w:vertAlign w:val="subscript"/>
        </w:rPr>
        <w:t>0</w:t>
      </w:r>
      <w:r>
        <w:rPr>
          <w:rFonts w:hint="default" w:ascii="Arial Regular" w:hAnsi="Arial Regular" w:cs="Arial Regular"/>
          <w:b w:val="0"/>
          <w:bCs w:val="0"/>
          <w:sz w:val="20"/>
          <w:szCs w:val="20"/>
        </w:rPr>
        <w:t>=2.0 mg/L; [Me(II)]=10 μM; pH=7.0±0.2, T=25±2 ℃.</w:t>
      </w:r>
    </w:p>
    <w:p w14:paraId="04A8737B">
      <w:pPr>
        <w:rPr>
          <w:rFonts w:hint="default" w:ascii="Arial Regular" w:hAnsi="Arial Regular" w:cs="Arial Regular"/>
          <w:b/>
          <w:bCs w:val="0"/>
          <w:sz w:val="20"/>
          <w:szCs w:val="20"/>
        </w:rPr>
      </w:pPr>
      <w:r>
        <w:rPr>
          <w:rFonts w:hint="default" w:ascii="Arial Regular" w:hAnsi="Arial Regular" w:cs="Arial Regular"/>
          <w:b/>
          <w:bCs w:val="0"/>
          <w:sz w:val="20"/>
          <w:szCs w:val="20"/>
        </w:rPr>
        <w:br w:type="page"/>
      </w:r>
    </w:p>
    <w:p w14:paraId="2048CEA9">
      <w:pPr>
        <w:widowControl/>
        <w:jc w:val="center"/>
        <w:rPr>
          <w:rFonts w:hint="default" w:ascii="Arial Regular" w:hAnsi="Arial Regular" w:cs="Arial Regular" w:eastAsiaTheme="minorEastAsia"/>
          <w:lang w:eastAsia="zh-CN"/>
        </w:rPr>
      </w:pPr>
      <w:r>
        <w:rPr>
          <w:rFonts w:hint="default" w:ascii="Arial Regular" w:hAnsi="Arial Regular" w:cs="Arial Regular" w:eastAsiaTheme="minorEastAsia"/>
          <w:lang w:eastAsia="zh-CN"/>
        </w:rPr>
        <w:drawing>
          <wp:inline distT="0" distB="0" distL="114300" distR="114300">
            <wp:extent cx="7077710" cy="3324860"/>
            <wp:effectExtent l="0" t="0" r="8890" b="12700"/>
            <wp:docPr id="9" name="图片 9" descr="黑曲霉-R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黑曲霉-ROS"/>
                    <pic:cNvPicPr>
                      <a:picLocks noChangeAspect="1"/>
                    </pic:cNvPicPr>
                  </pic:nvPicPr>
                  <pic:blipFill>
                    <a:blip r:embed="rId23"/>
                    <a:stretch>
                      <a:fillRect/>
                    </a:stretch>
                  </pic:blipFill>
                  <pic:spPr>
                    <a:xfrm>
                      <a:off x="0" y="0"/>
                      <a:ext cx="7077710" cy="3324860"/>
                    </a:xfrm>
                    <a:prstGeom prst="rect">
                      <a:avLst/>
                    </a:prstGeom>
                  </pic:spPr>
                </pic:pic>
              </a:graphicData>
            </a:graphic>
          </wp:inline>
        </w:drawing>
      </w:r>
    </w:p>
    <w:p w14:paraId="2480A598">
      <w:pPr>
        <w:pStyle w:val="3"/>
        <w:keepNext/>
        <w:keepLines/>
        <w:pageBreakBefore w:val="0"/>
        <w:widowControl w:val="0"/>
        <w:kinsoku/>
        <w:wordWrap/>
        <w:overflowPunct/>
        <w:topLinePunct w:val="0"/>
        <w:autoSpaceDE/>
        <w:autoSpaceDN/>
        <w:bidi w:val="0"/>
        <w:adjustRightInd/>
        <w:snapToGrid/>
        <w:spacing w:before="0" w:beforeLines="0" w:after="157" w:afterLines="50" w:line="240" w:lineRule="auto"/>
        <w:textAlignment w:val="auto"/>
        <w:rPr>
          <w:rFonts w:hint="default" w:ascii="Arial Regular" w:hAnsi="Arial Regular" w:cs="Arial Regular"/>
          <w:bCs/>
          <w:sz w:val="20"/>
          <w:szCs w:val="20"/>
        </w:rPr>
      </w:pPr>
      <w:r>
        <w:rPr>
          <w:rFonts w:hint="default" w:ascii="Arial Regular" w:hAnsi="Arial Regular" w:cs="Arial Regular"/>
          <w:b/>
          <w:bCs w:val="0"/>
          <w:sz w:val="20"/>
          <w:szCs w:val="20"/>
        </w:rPr>
        <w:t xml:space="preserve">Supplementary Fig. 15. Impact of metal ion complexation on the proportion of high ROS level </w:t>
      </w:r>
      <w:r>
        <w:rPr>
          <w:rFonts w:hint="default" w:ascii="Arial Regular" w:hAnsi="Arial Regular" w:cs="Arial Regular"/>
          <w:b/>
          <w:bCs w:val="0"/>
          <w:i/>
          <w:iCs/>
          <w:sz w:val="20"/>
          <w:szCs w:val="20"/>
        </w:rPr>
        <w:t>A.niger</w:t>
      </w:r>
      <w:r>
        <w:rPr>
          <w:rFonts w:hint="default" w:ascii="Arial Regular" w:hAnsi="Arial Regular" w:cs="Arial Regular"/>
          <w:b/>
          <w:bCs w:val="0"/>
          <w:sz w:val="20"/>
          <w:szCs w:val="20"/>
        </w:rPr>
        <w:t xml:space="preserve"> spores after chlorine disinfection.</w:t>
      </w:r>
      <w:r>
        <w:rPr>
          <w:rFonts w:hint="default" w:ascii="Arial Regular" w:hAnsi="Arial Regular" w:cs="Arial Regular"/>
          <w:bCs/>
          <w:sz w:val="20"/>
          <w:szCs w:val="20"/>
          <w:lang w:val="en-US" w:eastAsia="zh-CN"/>
        </w:rPr>
        <w:t xml:space="preserve"> </w:t>
      </w:r>
      <w:r>
        <w:rPr>
          <w:rFonts w:hint="default" w:ascii="Arial Regular" w:hAnsi="Arial Regular" w:cs="Arial Regular"/>
          <w:b w:val="0"/>
          <w:bCs w:val="0"/>
          <w:sz w:val="20"/>
          <w:szCs w:val="20"/>
        </w:rPr>
        <w:t>Experimental conditions: initial fungal spores concentration=(2-4)×10</w:t>
      </w:r>
      <w:r>
        <w:rPr>
          <w:rFonts w:hint="default" w:ascii="Arial Regular" w:hAnsi="Arial Regular" w:cs="Arial Regular"/>
          <w:b w:val="0"/>
          <w:bCs w:val="0"/>
          <w:sz w:val="20"/>
          <w:szCs w:val="20"/>
          <w:vertAlign w:val="superscript"/>
        </w:rPr>
        <w:t>5</w:t>
      </w:r>
      <w:r>
        <w:rPr>
          <w:rFonts w:hint="default" w:ascii="Arial Regular" w:hAnsi="Arial Regular" w:cs="Arial Regular"/>
          <w:b w:val="0"/>
          <w:bCs w:val="0"/>
          <w:sz w:val="20"/>
          <w:szCs w:val="20"/>
        </w:rPr>
        <w:t xml:space="preserve"> CFU/mL; [Cl</w:t>
      </w:r>
      <w:r>
        <w:rPr>
          <w:rFonts w:hint="default" w:ascii="Arial Regular" w:hAnsi="Arial Regular" w:cs="Arial Regular"/>
          <w:b w:val="0"/>
          <w:bCs w:val="0"/>
          <w:sz w:val="20"/>
          <w:szCs w:val="20"/>
          <w:vertAlign w:val="subscript"/>
        </w:rPr>
        <w:t>2</w:t>
      </w:r>
      <w:r>
        <w:rPr>
          <w:rFonts w:hint="default" w:ascii="Arial Regular" w:hAnsi="Arial Regular" w:cs="Arial Regular"/>
          <w:b w:val="0"/>
          <w:bCs w:val="0"/>
          <w:sz w:val="20"/>
          <w:szCs w:val="20"/>
        </w:rPr>
        <w:t>]</w:t>
      </w:r>
      <w:r>
        <w:rPr>
          <w:rFonts w:hint="default" w:ascii="Arial Regular" w:hAnsi="Arial Regular" w:cs="Arial Regular"/>
          <w:b w:val="0"/>
          <w:bCs w:val="0"/>
          <w:sz w:val="20"/>
          <w:szCs w:val="20"/>
          <w:vertAlign w:val="subscript"/>
        </w:rPr>
        <w:t>0</w:t>
      </w:r>
      <w:r>
        <w:rPr>
          <w:rFonts w:hint="default" w:ascii="Arial Regular" w:hAnsi="Arial Regular" w:cs="Arial Regular"/>
          <w:b w:val="0"/>
          <w:bCs w:val="0"/>
          <w:sz w:val="20"/>
          <w:szCs w:val="20"/>
        </w:rPr>
        <w:t>=2.0 mg/L; [Me(II)]=10 μM; pH=7.0±0.2, T=25±2 ℃</w:t>
      </w:r>
      <w:r>
        <w:rPr>
          <w:rFonts w:hint="default" w:ascii="Arial Regular" w:hAnsi="Arial Regular" w:cs="Arial Regular"/>
          <w:b w:val="0"/>
          <w:bCs w:val="0"/>
          <w:sz w:val="20"/>
          <w:szCs w:val="20"/>
          <w:lang w:val="en-US" w:eastAsia="zh-CN"/>
        </w:rPr>
        <w:t>.</w:t>
      </w:r>
    </w:p>
    <w:p w14:paraId="45B1FD40">
      <w:pPr>
        <w:rPr>
          <w:rFonts w:hint="default" w:ascii="Arial Regular" w:hAnsi="Arial Regular" w:cs="Arial Regular"/>
          <w:b/>
          <w:bCs w:val="0"/>
          <w:sz w:val="20"/>
          <w:szCs w:val="20"/>
        </w:rPr>
      </w:pPr>
      <w:r>
        <w:rPr>
          <w:rFonts w:hint="default" w:ascii="Arial Regular" w:hAnsi="Arial Regular" w:cs="Arial Regular"/>
          <w:b/>
          <w:bCs w:val="0"/>
          <w:sz w:val="20"/>
          <w:szCs w:val="20"/>
        </w:rPr>
        <w:br w:type="page"/>
      </w:r>
    </w:p>
    <w:p w14:paraId="0347FBDB">
      <w:pPr>
        <w:widowControl/>
        <w:jc w:val="center"/>
        <w:rPr>
          <w:rFonts w:hint="default" w:ascii="Arial Regular" w:hAnsi="Arial Regular" w:cs="Arial Regular"/>
        </w:rPr>
      </w:pPr>
      <w:r>
        <w:rPr>
          <w:rFonts w:hint="default" w:ascii="Arial Regular" w:hAnsi="Arial Regular" w:cs="Arial Regular"/>
        </w:rPr>
        <w:drawing>
          <wp:inline distT="0" distB="0" distL="114300" distR="114300">
            <wp:extent cx="5100955" cy="2758440"/>
            <wp:effectExtent l="0" t="0" r="4445" b="10160"/>
            <wp:docPr id="2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4"/>
                    <pic:cNvPicPr>
                      <a:picLocks noChangeAspect="1"/>
                    </pic:cNvPicPr>
                  </pic:nvPicPr>
                  <pic:blipFill>
                    <a:blip r:embed="rId24"/>
                    <a:srcRect l="2146" r="9908"/>
                    <a:stretch>
                      <a:fillRect/>
                    </a:stretch>
                  </pic:blipFill>
                  <pic:spPr>
                    <a:xfrm>
                      <a:off x="0" y="0"/>
                      <a:ext cx="5100955" cy="2758440"/>
                    </a:xfrm>
                    <a:prstGeom prst="rect">
                      <a:avLst/>
                    </a:prstGeom>
                    <a:noFill/>
                    <a:ln>
                      <a:noFill/>
                    </a:ln>
                  </pic:spPr>
                </pic:pic>
              </a:graphicData>
            </a:graphic>
          </wp:inline>
        </w:drawing>
      </w:r>
    </w:p>
    <w:p w14:paraId="471C3E01">
      <w:pPr>
        <w:pStyle w:val="3"/>
        <w:keepNext/>
        <w:keepLines/>
        <w:pageBreakBefore w:val="0"/>
        <w:widowControl w:val="0"/>
        <w:kinsoku/>
        <w:wordWrap/>
        <w:overflowPunct/>
        <w:topLinePunct w:val="0"/>
        <w:autoSpaceDE/>
        <w:autoSpaceDN/>
        <w:bidi w:val="0"/>
        <w:adjustRightInd/>
        <w:snapToGrid/>
        <w:spacing w:before="0" w:beforeLines="0" w:after="157" w:afterLines="50" w:line="240" w:lineRule="auto"/>
        <w:textAlignment w:val="auto"/>
        <w:rPr>
          <w:rFonts w:hint="default" w:ascii="Arial Regular" w:hAnsi="Arial Regular" w:cs="Arial Regular" w:eastAsiaTheme="minorEastAsia"/>
          <w:bCs/>
          <w:sz w:val="20"/>
          <w:szCs w:val="20"/>
          <w:lang w:val="en-US" w:eastAsia="zh-CN"/>
        </w:rPr>
      </w:pPr>
      <w:r>
        <w:rPr>
          <w:rFonts w:hint="default" w:ascii="Arial Regular" w:hAnsi="Arial Regular" w:cs="Arial Regular"/>
          <w:b/>
          <w:bCs w:val="0"/>
          <w:sz w:val="20"/>
          <w:szCs w:val="20"/>
        </w:rPr>
        <w:t xml:space="preserve">Supplementary Fig. 16. MA plots of differentially expressed proteins in </w:t>
      </w:r>
      <w:r>
        <w:rPr>
          <w:rFonts w:hint="default" w:ascii="Arial Regular" w:hAnsi="Arial Regular" w:cs="Arial Regular"/>
          <w:b/>
          <w:bCs w:val="0"/>
          <w:i/>
          <w:iCs/>
          <w:sz w:val="20"/>
          <w:szCs w:val="20"/>
        </w:rPr>
        <w:t>A.niger</w:t>
      </w:r>
      <w:r>
        <w:rPr>
          <w:rFonts w:hint="default" w:ascii="Arial Regular" w:hAnsi="Arial Regular" w:cs="Arial Regular"/>
          <w:b/>
          <w:bCs w:val="0"/>
          <w:sz w:val="20"/>
          <w:szCs w:val="20"/>
        </w:rPr>
        <w:t xml:space="preserve"> spores before and after metal ion complexation under chloramine treatment.</w:t>
      </w:r>
      <w:r>
        <w:rPr>
          <w:rFonts w:hint="default" w:ascii="Arial Regular" w:hAnsi="Arial Regular" w:cs="Arial Regular"/>
          <w:b/>
          <w:bCs w:val="0"/>
          <w:sz w:val="20"/>
          <w:szCs w:val="20"/>
          <w:lang w:val="en-US" w:eastAsia="zh-CN"/>
        </w:rPr>
        <w:t xml:space="preserve"> </w:t>
      </w:r>
      <w:r>
        <w:rPr>
          <w:rFonts w:hint="default" w:ascii="Arial Regular" w:hAnsi="Arial Regular" w:cs="Arial Regular"/>
          <w:b w:val="0"/>
          <w:bCs w:val="0"/>
          <w:sz w:val="20"/>
          <w:szCs w:val="20"/>
        </w:rPr>
        <w:t>Experimental conditions: initial fungal spores concentration=(2-4)×10</w:t>
      </w:r>
      <w:r>
        <w:rPr>
          <w:rFonts w:hint="default" w:ascii="Arial Regular" w:hAnsi="Arial Regular" w:cs="Arial Regular"/>
          <w:b w:val="0"/>
          <w:bCs w:val="0"/>
          <w:sz w:val="20"/>
          <w:szCs w:val="20"/>
          <w:vertAlign w:val="superscript"/>
        </w:rPr>
        <w:t>5</w:t>
      </w:r>
      <w:r>
        <w:rPr>
          <w:rFonts w:hint="default" w:ascii="Arial Regular" w:hAnsi="Arial Regular" w:cs="Arial Regular"/>
          <w:b w:val="0"/>
          <w:bCs w:val="0"/>
          <w:sz w:val="20"/>
          <w:szCs w:val="20"/>
        </w:rPr>
        <w:t xml:space="preserve"> CFU/mL; [NH</w:t>
      </w:r>
      <w:r>
        <w:rPr>
          <w:rFonts w:hint="default" w:ascii="Arial Regular" w:hAnsi="Arial Regular" w:cs="Arial Regular"/>
          <w:b w:val="0"/>
          <w:bCs w:val="0"/>
          <w:sz w:val="20"/>
          <w:szCs w:val="20"/>
          <w:vertAlign w:val="subscript"/>
        </w:rPr>
        <w:t>2</w:t>
      </w:r>
      <w:r>
        <w:rPr>
          <w:rFonts w:hint="default" w:ascii="Arial Regular" w:hAnsi="Arial Regular" w:cs="Arial Regular"/>
          <w:b w:val="0"/>
          <w:bCs w:val="0"/>
          <w:sz w:val="20"/>
          <w:szCs w:val="20"/>
        </w:rPr>
        <w:t>Cl]</w:t>
      </w:r>
      <w:r>
        <w:rPr>
          <w:rFonts w:hint="default" w:ascii="Arial Regular" w:hAnsi="Arial Regular" w:cs="Arial Regular"/>
          <w:b w:val="0"/>
          <w:bCs w:val="0"/>
          <w:sz w:val="20"/>
          <w:szCs w:val="20"/>
          <w:vertAlign w:val="subscript"/>
        </w:rPr>
        <w:t>0</w:t>
      </w:r>
      <w:r>
        <w:rPr>
          <w:rFonts w:hint="default" w:ascii="Arial Regular" w:hAnsi="Arial Regular" w:cs="Arial Regular"/>
          <w:b w:val="0"/>
          <w:bCs w:val="0"/>
          <w:sz w:val="20"/>
          <w:szCs w:val="20"/>
        </w:rPr>
        <w:t>=3.0 mg/L; [Me(II)]=10 μM; pH=7.0±0.2, T=25±2 ℃</w:t>
      </w:r>
      <w:r>
        <w:rPr>
          <w:rFonts w:hint="default" w:ascii="Arial Regular" w:hAnsi="Arial Regular" w:cs="Arial Regular"/>
          <w:b w:val="0"/>
          <w:bCs w:val="0"/>
          <w:sz w:val="20"/>
          <w:szCs w:val="20"/>
          <w:lang w:val="en-US" w:eastAsia="zh-CN"/>
        </w:rPr>
        <w:t>.</w:t>
      </w:r>
    </w:p>
    <w:p w14:paraId="3992D408">
      <w:pPr>
        <w:rPr>
          <w:rFonts w:hint="default" w:ascii="Arial Regular" w:hAnsi="Arial Regular" w:cs="Arial Regular"/>
          <w:b/>
          <w:bCs w:val="0"/>
          <w:sz w:val="20"/>
          <w:szCs w:val="20"/>
        </w:rPr>
        <w:sectPr>
          <w:pgSz w:w="15840" w:h="12240" w:orient="landscape"/>
          <w:pgMar w:top="1440" w:right="1440" w:bottom="1440" w:left="1440" w:header="851" w:footer="992" w:gutter="0"/>
          <w:cols w:space="425" w:num="1"/>
          <w:docGrid w:type="lines" w:linePitch="312" w:charSpace="0"/>
        </w:sectPr>
      </w:pPr>
    </w:p>
    <w:p w14:paraId="509B79C0">
      <w:pPr>
        <w:widowControl/>
        <w:jc w:val="both"/>
        <w:rPr>
          <w:rFonts w:hint="default" w:ascii="Arial Regular" w:hAnsi="Arial Regular" w:cs="Arial Regular"/>
        </w:rPr>
      </w:pPr>
      <w:r>
        <w:rPr>
          <w:rFonts w:hint="default" w:ascii="Arial Regular" w:hAnsi="Arial Regular" w:cs="Arial Regular"/>
        </w:rPr>
        <w:drawing>
          <wp:inline distT="0" distB="0" distL="114300" distR="114300">
            <wp:extent cx="4209415" cy="3239770"/>
            <wp:effectExtent l="0" t="0" r="6985" b="11430"/>
            <wp:docPr id="2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5"/>
                    <pic:cNvPicPr>
                      <a:picLocks noChangeAspect="1"/>
                    </pic:cNvPicPr>
                  </pic:nvPicPr>
                  <pic:blipFill>
                    <a:blip r:embed="rId25"/>
                    <a:srcRect r="22043"/>
                    <a:stretch>
                      <a:fillRect/>
                    </a:stretch>
                  </pic:blipFill>
                  <pic:spPr>
                    <a:xfrm>
                      <a:off x="0" y="0"/>
                      <a:ext cx="4209415" cy="3239770"/>
                    </a:xfrm>
                    <a:prstGeom prst="rect">
                      <a:avLst/>
                    </a:prstGeom>
                    <a:noFill/>
                    <a:ln>
                      <a:noFill/>
                    </a:ln>
                  </pic:spPr>
                </pic:pic>
              </a:graphicData>
            </a:graphic>
          </wp:inline>
        </w:drawing>
      </w:r>
      <w:r>
        <w:rPr>
          <w:rFonts w:hint="default" w:ascii="Arial Regular" w:hAnsi="Arial Regular" w:cs="Arial Regular"/>
        </w:rPr>
        <w:drawing>
          <wp:inline distT="0" distB="0" distL="114300" distR="114300">
            <wp:extent cx="4215130" cy="3239770"/>
            <wp:effectExtent l="0" t="0" r="1270" b="11430"/>
            <wp:docPr id="2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6"/>
                    <pic:cNvPicPr>
                      <a:picLocks noChangeAspect="1"/>
                    </pic:cNvPicPr>
                  </pic:nvPicPr>
                  <pic:blipFill>
                    <a:blip r:embed="rId26"/>
                    <a:srcRect r="21920"/>
                    <a:stretch>
                      <a:fillRect/>
                    </a:stretch>
                  </pic:blipFill>
                  <pic:spPr>
                    <a:xfrm>
                      <a:off x="0" y="0"/>
                      <a:ext cx="4215130" cy="3239770"/>
                    </a:xfrm>
                    <a:prstGeom prst="rect">
                      <a:avLst/>
                    </a:prstGeom>
                    <a:noFill/>
                    <a:ln>
                      <a:noFill/>
                    </a:ln>
                  </pic:spPr>
                </pic:pic>
              </a:graphicData>
            </a:graphic>
          </wp:inline>
        </w:drawing>
      </w:r>
    </w:p>
    <w:p w14:paraId="7FBEDA0F">
      <w:pPr>
        <w:pStyle w:val="3"/>
        <w:keepNext/>
        <w:keepLines/>
        <w:pageBreakBefore w:val="0"/>
        <w:widowControl w:val="0"/>
        <w:kinsoku/>
        <w:wordWrap/>
        <w:overflowPunct/>
        <w:topLinePunct w:val="0"/>
        <w:autoSpaceDE/>
        <w:autoSpaceDN/>
        <w:bidi w:val="0"/>
        <w:adjustRightInd/>
        <w:snapToGrid/>
        <w:spacing w:before="0" w:beforeLines="0" w:after="157" w:afterLines="50" w:line="240" w:lineRule="auto"/>
        <w:textAlignment w:val="auto"/>
        <w:rPr>
          <w:rFonts w:hint="default" w:ascii="Arial Regular" w:hAnsi="Arial Regular" w:cs="Arial Regular" w:eastAsiaTheme="minorEastAsia"/>
          <w:bCs/>
          <w:sz w:val="20"/>
          <w:szCs w:val="20"/>
          <w:lang w:val="en-US" w:eastAsia="zh-CN"/>
        </w:rPr>
      </w:pPr>
      <w:r>
        <w:rPr>
          <w:rFonts w:hint="default" w:ascii="Arial Regular" w:hAnsi="Arial Regular" w:cs="Arial Regular"/>
          <w:b/>
          <w:bCs w:val="0"/>
          <w:sz w:val="20"/>
          <w:szCs w:val="20"/>
        </w:rPr>
        <w:t xml:space="preserve">Supplementary Fig. 17. KEGG pathway analysis of </w:t>
      </w:r>
      <w:r>
        <w:rPr>
          <w:rFonts w:hint="default" w:ascii="Arial Regular" w:hAnsi="Arial Regular" w:cs="Arial Regular"/>
          <w:b/>
          <w:bCs w:val="0"/>
          <w:i/>
          <w:iCs/>
          <w:sz w:val="20"/>
          <w:szCs w:val="20"/>
        </w:rPr>
        <w:t>A.niger</w:t>
      </w:r>
      <w:r>
        <w:rPr>
          <w:rFonts w:hint="default" w:ascii="Arial Regular" w:hAnsi="Arial Regular" w:cs="Arial Regular"/>
          <w:b/>
          <w:bCs w:val="0"/>
          <w:sz w:val="20"/>
          <w:szCs w:val="20"/>
        </w:rPr>
        <w:t xml:space="preserve"> spores under chlorine treatment before and after metal ion complexation.</w:t>
      </w:r>
      <w:r>
        <w:rPr>
          <w:rFonts w:hint="default" w:ascii="Arial Regular" w:hAnsi="Arial Regular" w:cs="Arial Regular"/>
          <w:bCs/>
          <w:sz w:val="20"/>
          <w:szCs w:val="20"/>
          <w:lang w:val="en-US" w:eastAsia="zh-CN"/>
        </w:rPr>
        <w:t xml:space="preserve"> </w:t>
      </w:r>
      <w:r>
        <w:rPr>
          <w:rFonts w:hint="default" w:ascii="Arial Regular" w:hAnsi="Arial Regular" w:cs="Arial Regular"/>
          <w:b w:val="0"/>
          <w:bCs w:val="0"/>
          <w:sz w:val="20"/>
          <w:szCs w:val="20"/>
        </w:rPr>
        <w:t>Experimental conditions: initial fungal spores concentration=(2-4)×10</w:t>
      </w:r>
      <w:r>
        <w:rPr>
          <w:rFonts w:hint="default" w:ascii="Arial Regular" w:hAnsi="Arial Regular" w:cs="Arial Regular"/>
          <w:b w:val="0"/>
          <w:bCs w:val="0"/>
          <w:sz w:val="20"/>
          <w:szCs w:val="20"/>
          <w:vertAlign w:val="superscript"/>
        </w:rPr>
        <w:t>5</w:t>
      </w:r>
      <w:r>
        <w:rPr>
          <w:rFonts w:hint="default" w:ascii="Arial Regular" w:hAnsi="Arial Regular" w:cs="Arial Regular"/>
          <w:b w:val="0"/>
          <w:bCs w:val="0"/>
          <w:sz w:val="20"/>
          <w:szCs w:val="20"/>
        </w:rPr>
        <w:t xml:space="preserve"> CFU/mL; [Cl</w:t>
      </w:r>
      <w:r>
        <w:rPr>
          <w:rFonts w:hint="default" w:ascii="Arial Regular" w:hAnsi="Arial Regular" w:cs="Arial Regular"/>
          <w:b w:val="0"/>
          <w:bCs w:val="0"/>
          <w:sz w:val="20"/>
          <w:szCs w:val="20"/>
          <w:vertAlign w:val="subscript"/>
        </w:rPr>
        <w:t>2</w:t>
      </w:r>
      <w:r>
        <w:rPr>
          <w:rFonts w:hint="default" w:ascii="Arial Regular" w:hAnsi="Arial Regular" w:cs="Arial Regular"/>
          <w:b w:val="0"/>
          <w:bCs w:val="0"/>
          <w:sz w:val="20"/>
          <w:szCs w:val="20"/>
        </w:rPr>
        <w:t>]</w:t>
      </w:r>
      <w:r>
        <w:rPr>
          <w:rFonts w:hint="default" w:ascii="Arial Regular" w:hAnsi="Arial Regular" w:cs="Arial Regular"/>
          <w:b w:val="0"/>
          <w:bCs w:val="0"/>
          <w:sz w:val="20"/>
          <w:szCs w:val="20"/>
          <w:vertAlign w:val="subscript"/>
        </w:rPr>
        <w:t>0</w:t>
      </w:r>
      <w:r>
        <w:rPr>
          <w:rFonts w:hint="default" w:ascii="Arial Regular" w:hAnsi="Arial Regular" w:cs="Arial Regular"/>
          <w:b w:val="0"/>
          <w:bCs w:val="0"/>
          <w:sz w:val="20"/>
          <w:szCs w:val="20"/>
        </w:rPr>
        <w:t>=3.0 mg/L; [Me(II)]=10 μM; pH=7.0±0.2, T=25±2 ℃</w:t>
      </w:r>
      <w:r>
        <w:rPr>
          <w:rFonts w:hint="default" w:ascii="Arial Regular" w:hAnsi="Arial Regular" w:cs="Arial Regular"/>
          <w:b w:val="0"/>
          <w:bCs w:val="0"/>
          <w:sz w:val="20"/>
          <w:szCs w:val="20"/>
          <w:lang w:val="en-US" w:eastAsia="zh-CN"/>
        </w:rPr>
        <w:t>.</w:t>
      </w:r>
    </w:p>
    <w:p w14:paraId="18C83058">
      <w:pPr>
        <w:widowControl/>
        <w:jc w:val="both"/>
        <w:rPr>
          <w:rFonts w:hint="default" w:ascii="Arial Regular" w:hAnsi="Arial Regular" w:cs="Arial Regular"/>
          <w:b/>
          <w:bCs w:val="0"/>
          <w:sz w:val="20"/>
          <w:szCs w:val="20"/>
        </w:rPr>
        <w:sectPr>
          <w:pgSz w:w="15840" w:h="12240" w:orient="landscape"/>
          <w:pgMar w:top="1440" w:right="1270" w:bottom="1440" w:left="1270" w:header="851" w:footer="992" w:gutter="0"/>
          <w:cols w:space="425" w:num="1"/>
          <w:docGrid w:type="lines" w:linePitch="312" w:charSpace="0"/>
        </w:sectPr>
      </w:pPr>
    </w:p>
    <w:p w14:paraId="4F0564F9">
      <w:pPr>
        <w:widowControl/>
        <w:jc w:val="both"/>
        <w:rPr>
          <w:rFonts w:hint="default" w:ascii="Arial Regular" w:hAnsi="Arial Regular" w:cs="Arial Regular"/>
          <w:b/>
          <w:bCs w:val="0"/>
          <w:sz w:val="20"/>
          <w:szCs w:val="20"/>
        </w:rPr>
      </w:pPr>
      <w:r>
        <w:rPr>
          <w:rFonts w:hint="default" w:ascii="Arial Regular" w:hAnsi="Arial Regular" w:cs="Arial Regular"/>
          <w:lang w:eastAsia="zh-CN"/>
        </w:rPr>
        <w:drawing>
          <wp:inline distT="0" distB="0" distL="114300" distR="114300">
            <wp:extent cx="4028440" cy="3168015"/>
            <wp:effectExtent l="0" t="0" r="10160" b="0"/>
            <wp:docPr id="33" name="图片 33" descr="KEGG_cont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KEGG_control"/>
                    <pic:cNvPicPr>
                      <a:picLocks noChangeAspect="1"/>
                    </pic:cNvPicPr>
                  </pic:nvPicPr>
                  <pic:blipFill>
                    <a:blip r:embed="rId27"/>
                    <a:srcRect l="13978" t="10953" r="5218" b="12290"/>
                    <a:stretch>
                      <a:fillRect/>
                    </a:stretch>
                  </pic:blipFill>
                  <pic:spPr>
                    <a:xfrm>
                      <a:off x="0" y="0"/>
                      <a:ext cx="4028440" cy="3168015"/>
                    </a:xfrm>
                    <a:prstGeom prst="rect">
                      <a:avLst/>
                    </a:prstGeom>
                  </pic:spPr>
                </pic:pic>
              </a:graphicData>
            </a:graphic>
          </wp:inline>
        </w:drawing>
      </w:r>
      <w:r>
        <w:rPr>
          <w:rFonts w:hint="default" w:ascii="Arial Regular" w:hAnsi="Arial Regular" w:cs="Arial Regular"/>
          <w:lang w:eastAsia="zh-CN"/>
        </w:rPr>
        <w:drawing>
          <wp:inline distT="0" distB="0" distL="114300" distR="114300">
            <wp:extent cx="4288155" cy="3168015"/>
            <wp:effectExtent l="0" t="0" r="4445" b="6985"/>
            <wp:docPr id="35" name="图片 35" descr="KEGG_Cu(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KEGG_Cu(II)"/>
                    <pic:cNvPicPr>
                      <a:picLocks noChangeAspect="1"/>
                    </pic:cNvPicPr>
                  </pic:nvPicPr>
                  <pic:blipFill>
                    <a:blip r:embed="rId28"/>
                    <a:srcRect l="10774" t="12179" r="5676" b="13307"/>
                    <a:stretch>
                      <a:fillRect/>
                    </a:stretch>
                  </pic:blipFill>
                  <pic:spPr>
                    <a:xfrm>
                      <a:off x="0" y="0"/>
                      <a:ext cx="4288155" cy="3168015"/>
                    </a:xfrm>
                    <a:prstGeom prst="rect">
                      <a:avLst/>
                    </a:prstGeom>
                  </pic:spPr>
                </pic:pic>
              </a:graphicData>
            </a:graphic>
          </wp:inline>
        </w:drawing>
      </w:r>
    </w:p>
    <w:p w14:paraId="3669E108">
      <w:pPr>
        <w:pStyle w:val="3"/>
        <w:keepNext/>
        <w:keepLines/>
        <w:pageBreakBefore w:val="0"/>
        <w:widowControl w:val="0"/>
        <w:kinsoku/>
        <w:wordWrap/>
        <w:overflowPunct/>
        <w:topLinePunct w:val="0"/>
        <w:autoSpaceDE/>
        <w:autoSpaceDN/>
        <w:bidi w:val="0"/>
        <w:adjustRightInd/>
        <w:snapToGrid/>
        <w:spacing w:before="0" w:beforeLines="0" w:after="157" w:afterLines="50" w:line="240" w:lineRule="auto"/>
        <w:textAlignment w:val="auto"/>
        <w:rPr>
          <w:rFonts w:hint="default" w:ascii="Arial Regular" w:hAnsi="Arial Regular" w:cs="Arial Regular" w:eastAsiaTheme="minorEastAsia"/>
          <w:bCs/>
          <w:sz w:val="20"/>
          <w:szCs w:val="20"/>
          <w:lang w:val="en-US" w:eastAsia="zh-CN"/>
        </w:rPr>
      </w:pPr>
      <w:r>
        <w:rPr>
          <w:rFonts w:hint="default" w:ascii="Arial Regular" w:hAnsi="Arial Regular" w:cs="Arial Regular"/>
          <w:b/>
          <w:bCs w:val="0"/>
          <w:sz w:val="20"/>
          <w:szCs w:val="20"/>
        </w:rPr>
        <w:t xml:space="preserve">Supplementary Fig. 18. KEGG enrichment analysis of </w:t>
      </w:r>
      <w:r>
        <w:rPr>
          <w:rFonts w:hint="default" w:ascii="Arial Regular" w:hAnsi="Arial Regular" w:cs="Arial Regular"/>
          <w:b/>
          <w:bCs w:val="0"/>
          <w:i/>
          <w:iCs/>
          <w:sz w:val="20"/>
          <w:szCs w:val="20"/>
        </w:rPr>
        <w:t>A.niger</w:t>
      </w:r>
      <w:r>
        <w:rPr>
          <w:rFonts w:hint="default" w:ascii="Arial Regular" w:hAnsi="Arial Regular" w:cs="Arial Regular"/>
          <w:b/>
          <w:bCs w:val="0"/>
          <w:sz w:val="20"/>
          <w:szCs w:val="20"/>
        </w:rPr>
        <w:t xml:space="preserve"> spores under chlorine treatment before and after metal ion complexation.</w:t>
      </w:r>
      <w:r>
        <w:rPr>
          <w:rFonts w:hint="default" w:ascii="Arial Regular" w:hAnsi="Arial Regular" w:cs="Arial Regular"/>
          <w:b/>
          <w:bCs w:val="0"/>
          <w:sz w:val="20"/>
          <w:szCs w:val="20"/>
          <w:lang w:val="en-US" w:eastAsia="zh-CN"/>
        </w:rPr>
        <w:t xml:space="preserve"> </w:t>
      </w:r>
      <w:r>
        <w:rPr>
          <w:rFonts w:hint="default" w:ascii="Arial Regular" w:hAnsi="Arial Regular" w:cs="Arial Regular"/>
          <w:b w:val="0"/>
          <w:bCs w:val="0"/>
          <w:sz w:val="20"/>
          <w:szCs w:val="20"/>
        </w:rPr>
        <w:t>Experimental conditions: initial fungal spores concentration=(2-4)×10</w:t>
      </w:r>
      <w:r>
        <w:rPr>
          <w:rFonts w:hint="default" w:ascii="Arial Regular" w:hAnsi="Arial Regular" w:cs="Arial Regular"/>
          <w:b w:val="0"/>
          <w:bCs w:val="0"/>
          <w:sz w:val="20"/>
          <w:szCs w:val="20"/>
          <w:vertAlign w:val="superscript"/>
        </w:rPr>
        <w:t>5</w:t>
      </w:r>
      <w:r>
        <w:rPr>
          <w:rFonts w:hint="default" w:ascii="Arial Regular" w:hAnsi="Arial Regular" w:cs="Arial Regular"/>
          <w:b w:val="0"/>
          <w:bCs w:val="0"/>
          <w:sz w:val="20"/>
          <w:szCs w:val="20"/>
        </w:rPr>
        <w:t xml:space="preserve"> CFU/mL; [Cl</w:t>
      </w:r>
      <w:r>
        <w:rPr>
          <w:rFonts w:hint="default" w:ascii="Arial Regular" w:hAnsi="Arial Regular" w:cs="Arial Regular"/>
          <w:b w:val="0"/>
          <w:bCs w:val="0"/>
          <w:sz w:val="20"/>
          <w:szCs w:val="20"/>
          <w:vertAlign w:val="subscript"/>
        </w:rPr>
        <w:t>2</w:t>
      </w:r>
      <w:r>
        <w:rPr>
          <w:rFonts w:hint="default" w:ascii="Arial Regular" w:hAnsi="Arial Regular" w:cs="Arial Regular"/>
          <w:b w:val="0"/>
          <w:bCs w:val="0"/>
          <w:sz w:val="20"/>
          <w:szCs w:val="20"/>
        </w:rPr>
        <w:t>]</w:t>
      </w:r>
      <w:r>
        <w:rPr>
          <w:rFonts w:hint="default" w:ascii="Arial Regular" w:hAnsi="Arial Regular" w:cs="Arial Regular"/>
          <w:b w:val="0"/>
          <w:bCs w:val="0"/>
          <w:sz w:val="20"/>
          <w:szCs w:val="20"/>
          <w:vertAlign w:val="subscript"/>
        </w:rPr>
        <w:t>0</w:t>
      </w:r>
      <w:r>
        <w:rPr>
          <w:rFonts w:hint="default" w:ascii="Arial Regular" w:hAnsi="Arial Regular" w:cs="Arial Regular"/>
          <w:b w:val="0"/>
          <w:bCs w:val="0"/>
          <w:sz w:val="20"/>
          <w:szCs w:val="20"/>
        </w:rPr>
        <w:t>=3.0 mg/L; [Me(II)]=10 μM; pH=7.0±0.2, T=25±2 ℃</w:t>
      </w:r>
      <w:r>
        <w:rPr>
          <w:rFonts w:hint="default" w:ascii="Arial Regular" w:hAnsi="Arial Regular" w:cs="Arial Regular"/>
          <w:b w:val="0"/>
          <w:bCs w:val="0"/>
          <w:sz w:val="20"/>
          <w:szCs w:val="20"/>
          <w:lang w:val="en-US" w:eastAsia="zh-CN"/>
        </w:rPr>
        <w:t>.</w:t>
      </w:r>
    </w:p>
    <w:p w14:paraId="5ED2A6A5">
      <w:pPr>
        <w:widowControl/>
        <w:jc w:val="both"/>
        <w:rPr>
          <w:rFonts w:hint="default" w:ascii="Arial Regular" w:hAnsi="Arial Regular" w:cs="Arial Regular"/>
          <w:b/>
          <w:bCs w:val="0"/>
          <w:sz w:val="20"/>
          <w:szCs w:val="20"/>
        </w:rPr>
        <w:sectPr>
          <w:pgSz w:w="15840" w:h="12240" w:orient="landscape"/>
          <w:pgMar w:top="1440" w:right="1440" w:bottom="1440" w:left="1270" w:header="851" w:footer="992" w:gutter="0"/>
          <w:cols w:space="425" w:num="1"/>
          <w:docGrid w:type="lines" w:linePitch="312" w:charSpace="0"/>
        </w:sectPr>
      </w:pPr>
    </w:p>
    <w:p w14:paraId="340BE833">
      <w:pPr>
        <w:widowControl/>
        <w:jc w:val="center"/>
        <w:rPr>
          <w:rFonts w:hint="default" w:ascii="Arial Regular" w:hAnsi="Arial Regular" w:cs="Arial Regular"/>
        </w:rPr>
      </w:pPr>
      <w:r>
        <w:rPr>
          <w:rFonts w:hint="default" w:ascii="Arial Regular" w:hAnsi="Arial Regular" w:cs="Arial Regular"/>
        </w:rPr>
        <w:drawing>
          <wp:inline distT="0" distB="0" distL="114300" distR="114300">
            <wp:extent cx="2770505" cy="2555875"/>
            <wp:effectExtent l="0" t="0" r="23495" b="952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29"/>
                    <a:srcRect r="19376"/>
                    <a:stretch>
                      <a:fillRect/>
                    </a:stretch>
                  </pic:blipFill>
                  <pic:spPr>
                    <a:xfrm>
                      <a:off x="0" y="0"/>
                      <a:ext cx="2770505" cy="2555875"/>
                    </a:xfrm>
                    <a:prstGeom prst="rect">
                      <a:avLst/>
                    </a:prstGeom>
                    <a:noFill/>
                    <a:ln>
                      <a:noFill/>
                    </a:ln>
                  </pic:spPr>
                </pic:pic>
              </a:graphicData>
            </a:graphic>
          </wp:inline>
        </w:drawing>
      </w:r>
      <w:r>
        <w:rPr>
          <w:rFonts w:hint="default" w:ascii="Arial Regular" w:hAnsi="Arial Regular" w:cs="Arial Regular"/>
        </w:rPr>
        <w:drawing>
          <wp:inline distT="0" distB="0" distL="114300" distR="114300">
            <wp:extent cx="3437255" cy="2555875"/>
            <wp:effectExtent l="0" t="0" r="17145" b="9525"/>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30"/>
                    <a:stretch>
                      <a:fillRect/>
                    </a:stretch>
                  </pic:blipFill>
                  <pic:spPr>
                    <a:xfrm>
                      <a:off x="0" y="0"/>
                      <a:ext cx="3437255" cy="2555875"/>
                    </a:xfrm>
                    <a:prstGeom prst="rect">
                      <a:avLst/>
                    </a:prstGeom>
                    <a:noFill/>
                    <a:ln>
                      <a:noFill/>
                    </a:ln>
                  </pic:spPr>
                </pic:pic>
              </a:graphicData>
            </a:graphic>
          </wp:inline>
        </w:drawing>
      </w:r>
    </w:p>
    <w:p w14:paraId="04CF0198">
      <w:pPr>
        <w:widowControl/>
        <w:jc w:val="center"/>
        <w:rPr>
          <w:rFonts w:hint="default" w:ascii="Arial Regular" w:hAnsi="Arial Regular" w:cs="Arial Regular"/>
          <w:b/>
          <w:bCs w:val="0"/>
          <w:sz w:val="20"/>
          <w:szCs w:val="20"/>
        </w:rPr>
      </w:pPr>
      <w:r>
        <w:rPr>
          <w:rFonts w:hint="default" w:ascii="Arial Regular" w:hAnsi="Arial Regular" w:cs="Arial Regular"/>
        </w:rPr>
        <w:drawing>
          <wp:inline distT="0" distB="0" distL="114300" distR="114300">
            <wp:extent cx="2759710" cy="2555875"/>
            <wp:effectExtent l="0" t="0" r="8890" b="9525"/>
            <wp:docPr id="3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
                    <pic:cNvPicPr>
                      <a:picLocks noChangeAspect="1"/>
                    </pic:cNvPicPr>
                  </pic:nvPicPr>
                  <pic:blipFill>
                    <a:blip r:embed="rId31"/>
                    <a:srcRect r="19712"/>
                    <a:stretch>
                      <a:fillRect/>
                    </a:stretch>
                  </pic:blipFill>
                  <pic:spPr>
                    <a:xfrm>
                      <a:off x="0" y="0"/>
                      <a:ext cx="2759710" cy="2555875"/>
                    </a:xfrm>
                    <a:prstGeom prst="rect">
                      <a:avLst/>
                    </a:prstGeom>
                    <a:noFill/>
                    <a:ln>
                      <a:noFill/>
                    </a:ln>
                  </pic:spPr>
                </pic:pic>
              </a:graphicData>
            </a:graphic>
          </wp:inline>
        </w:drawing>
      </w:r>
      <w:r>
        <w:rPr>
          <w:rFonts w:hint="default" w:ascii="Arial Regular" w:hAnsi="Arial Regular" w:cs="Arial Regular"/>
        </w:rPr>
        <w:drawing>
          <wp:inline distT="0" distB="0" distL="114300" distR="114300">
            <wp:extent cx="3437890" cy="2555875"/>
            <wp:effectExtent l="0" t="0" r="16510" b="9525"/>
            <wp:docPr id="3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4"/>
                    <pic:cNvPicPr>
                      <a:picLocks noChangeAspect="1"/>
                    </pic:cNvPicPr>
                  </pic:nvPicPr>
                  <pic:blipFill>
                    <a:blip r:embed="rId32"/>
                    <a:stretch>
                      <a:fillRect/>
                    </a:stretch>
                  </pic:blipFill>
                  <pic:spPr>
                    <a:xfrm>
                      <a:off x="0" y="0"/>
                      <a:ext cx="3437890" cy="2555875"/>
                    </a:xfrm>
                    <a:prstGeom prst="rect">
                      <a:avLst/>
                    </a:prstGeom>
                    <a:noFill/>
                    <a:ln>
                      <a:noFill/>
                    </a:ln>
                  </pic:spPr>
                </pic:pic>
              </a:graphicData>
            </a:graphic>
          </wp:inline>
        </w:drawing>
      </w:r>
    </w:p>
    <w:p w14:paraId="3FBF1943">
      <w:pPr>
        <w:pStyle w:val="3"/>
        <w:keepNext/>
        <w:keepLines/>
        <w:pageBreakBefore w:val="0"/>
        <w:widowControl w:val="0"/>
        <w:kinsoku/>
        <w:wordWrap/>
        <w:overflowPunct/>
        <w:topLinePunct w:val="0"/>
        <w:autoSpaceDE/>
        <w:autoSpaceDN/>
        <w:bidi w:val="0"/>
        <w:adjustRightInd/>
        <w:snapToGrid/>
        <w:spacing w:before="0" w:beforeLines="0" w:after="157" w:afterLines="50" w:line="240" w:lineRule="auto"/>
        <w:textAlignment w:val="auto"/>
        <w:rPr>
          <w:rFonts w:hint="default" w:ascii="Arial Regular" w:hAnsi="Arial Regular" w:cs="Arial Regular"/>
          <w:b/>
          <w:bCs w:val="0"/>
          <w:sz w:val="20"/>
          <w:szCs w:val="20"/>
        </w:rPr>
        <w:sectPr>
          <w:pgSz w:w="15840" w:h="12240" w:orient="landscape"/>
          <w:pgMar w:top="1440" w:right="1440" w:bottom="1440" w:left="1440" w:header="851" w:footer="992" w:gutter="0"/>
          <w:cols w:space="425" w:num="1"/>
          <w:docGrid w:type="lines" w:linePitch="312" w:charSpace="0"/>
        </w:sectPr>
      </w:pPr>
      <w:r>
        <w:rPr>
          <w:rFonts w:hint="default" w:ascii="Arial Regular" w:hAnsi="Arial Regular" w:cs="Arial Regular"/>
          <w:b/>
          <w:bCs w:val="0"/>
          <w:sz w:val="20"/>
          <w:szCs w:val="20"/>
        </w:rPr>
        <w:t xml:space="preserve">Supplementary Fig. 19. FTIR spectral characterization of </w:t>
      </w:r>
      <w:r>
        <w:rPr>
          <w:rFonts w:hint="default" w:ascii="Arial Regular" w:hAnsi="Arial Regular" w:cs="Arial Regular"/>
          <w:b/>
          <w:bCs w:val="0"/>
          <w:i/>
          <w:iCs/>
          <w:sz w:val="20"/>
          <w:szCs w:val="20"/>
        </w:rPr>
        <w:t>A. niger</w:t>
      </w:r>
      <w:r>
        <w:rPr>
          <w:rFonts w:hint="default" w:ascii="Arial Regular" w:hAnsi="Arial Regular" w:cs="Arial Regular"/>
          <w:b/>
          <w:bCs w:val="0"/>
          <w:sz w:val="20"/>
          <w:szCs w:val="20"/>
        </w:rPr>
        <w:t xml:space="preserve"> spores complexed with different metal ions at varying concentrations.</w:t>
      </w:r>
      <w:r>
        <w:rPr>
          <w:rFonts w:hint="default" w:ascii="Arial Regular" w:hAnsi="Arial Regular" w:cs="Arial Regular"/>
          <w:b/>
          <w:bCs w:val="0"/>
          <w:sz w:val="20"/>
          <w:szCs w:val="20"/>
          <w:lang w:val="en-US" w:eastAsia="zh-CN"/>
        </w:rPr>
        <w:t xml:space="preserve"> </w:t>
      </w:r>
      <w:r>
        <w:rPr>
          <w:rFonts w:hint="default" w:ascii="Arial Regular" w:hAnsi="Arial Regular" w:cs="Arial Regular"/>
          <w:b w:val="0"/>
          <w:bCs w:val="0"/>
          <w:sz w:val="20"/>
          <w:szCs w:val="20"/>
        </w:rPr>
        <w:t>(a)Co(II), (b)Cu(II), (c)Fe(II), and (d)Mn(II) at different metal ion concentrations.</w:t>
      </w:r>
      <w:r>
        <w:rPr>
          <w:rFonts w:hint="default" w:ascii="Arial Regular" w:hAnsi="Arial Regular" w:cs="Arial Regular"/>
          <w:b w:val="0"/>
          <w:bCs w:val="0"/>
          <w:sz w:val="20"/>
          <w:szCs w:val="20"/>
          <w:lang w:val="en-US" w:eastAsia="zh-CN"/>
        </w:rPr>
        <w:t xml:space="preserve"> </w:t>
      </w:r>
      <w:r>
        <w:rPr>
          <w:rFonts w:hint="default" w:ascii="Arial Regular" w:hAnsi="Arial Regular" w:cs="Arial Regular"/>
          <w:b w:val="0"/>
          <w:bCs w:val="0"/>
          <w:sz w:val="20"/>
          <w:szCs w:val="20"/>
        </w:rPr>
        <w:t>Experimental conditions: initial fungal spores concentration=(2-4)×10</w:t>
      </w:r>
      <w:r>
        <w:rPr>
          <w:rFonts w:hint="default" w:ascii="Arial Regular" w:hAnsi="Arial Regular" w:cs="Arial Regular"/>
          <w:b w:val="0"/>
          <w:bCs w:val="0"/>
          <w:sz w:val="20"/>
          <w:szCs w:val="20"/>
          <w:vertAlign w:val="superscript"/>
        </w:rPr>
        <w:t>5</w:t>
      </w:r>
      <w:r>
        <w:rPr>
          <w:rFonts w:hint="default" w:ascii="Arial Regular" w:hAnsi="Arial Regular" w:cs="Arial Regular"/>
          <w:b w:val="0"/>
          <w:bCs w:val="0"/>
          <w:sz w:val="20"/>
          <w:szCs w:val="20"/>
        </w:rPr>
        <w:t xml:space="preserve"> CFU/mL;</w:t>
      </w:r>
      <w:r>
        <w:rPr>
          <w:rFonts w:hint="default" w:ascii="Arial Regular" w:hAnsi="Arial Regular" w:cs="Arial Regular"/>
          <w:b w:val="0"/>
          <w:bCs w:val="0"/>
          <w:sz w:val="20"/>
          <w:szCs w:val="20"/>
          <w:lang w:val="en-US" w:eastAsia="zh-CN"/>
        </w:rPr>
        <w:t xml:space="preserve"> </w:t>
      </w:r>
      <w:r>
        <w:rPr>
          <w:rFonts w:hint="default" w:ascii="Arial Regular" w:hAnsi="Arial Regular" w:cs="Arial Regular"/>
          <w:b w:val="0"/>
          <w:bCs w:val="0"/>
          <w:sz w:val="20"/>
          <w:szCs w:val="20"/>
        </w:rPr>
        <w:t>pH=7.0±0.2, T=25±2 ℃</w:t>
      </w:r>
      <w:r>
        <w:rPr>
          <w:rFonts w:hint="default" w:ascii="Arial Regular" w:hAnsi="Arial Regular" w:cs="Arial Regular"/>
          <w:b w:val="0"/>
          <w:bCs w:val="0"/>
          <w:sz w:val="20"/>
          <w:szCs w:val="20"/>
          <w:lang w:val="en-US" w:eastAsia="zh-CN"/>
        </w:rPr>
        <w:t>.</w:t>
      </w:r>
    </w:p>
    <w:p w14:paraId="5ADD17E3">
      <w:pPr>
        <w:widowControl/>
        <w:jc w:val="both"/>
        <w:rPr>
          <w:rFonts w:hint="default" w:ascii="Arial Regular" w:hAnsi="Arial Regular" w:cs="Arial Regular"/>
        </w:rPr>
      </w:pPr>
      <w:r>
        <w:rPr>
          <w:rFonts w:hint="default" w:ascii="Arial Regular" w:hAnsi="Arial Regular" w:cs="Arial Regular"/>
        </w:rPr>
        <w:drawing>
          <wp:inline distT="0" distB="0" distL="114300" distR="114300">
            <wp:extent cx="2875915" cy="2303780"/>
            <wp:effectExtent l="0" t="0" r="19685" b="7620"/>
            <wp:docPr id="3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5"/>
                    <pic:cNvPicPr>
                      <a:picLocks noChangeAspect="1"/>
                    </pic:cNvPicPr>
                  </pic:nvPicPr>
                  <pic:blipFill>
                    <a:blip r:embed="rId33"/>
                    <a:stretch>
                      <a:fillRect/>
                    </a:stretch>
                  </pic:blipFill>
                  <pic:spPr>
                    <a:xfrm>
                      <a:off x="0" y="0"/>
                      <a:ext cx="2875915" cy="2303780"/>
                    </a:xfrm>
                    <a:prstGeom prst="rect">
                      <a:avLst/>
                    </a:prstGeom>
                    <a:noFill/>
                    <a:ln>
                      <a:noFill/>
                    </a:ln>
                  </pic:spPr>
                </pic:pic>
              </a:graphicData>
            </a:graphic>
          </wp:inline>
        </w:drawing>
      </w:r>
      <w:r>
        <w:rPr>
          <w:rFonts w:hint="default" w:ascii="Arial Regular" w:hAnsi="Arial Regular" w:cs="Arial Regular"/>
        </w:rPr>
        <w:drawing>
          <wp:inline distT="0" distB="0" distL="114300" distR="114300">
            <wp:extent cx="2898775" cy="2303780"/>
            <wp:effectExtent l="0" t="0" r="22225" b="7620"/>
            <wp:docPr id="3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6"/>
                    <pic:cNvPicPr>
                      <a:picLocks noChangeAspect="1"/>
                    </pic:cNvPicPr>
                  </pic:nvPicPr>
                  <pic:blipFill>
                    <a:blip r:embed="rId34"/>
                    <a:stretch>
                      <a:fillRect/>
                    </a:stretch>
                  </pic:blipFill>
                  <pic:spPr>
                    <a:xfrm>
                      <a:off x="0" y="0"/>
                      <a:ext cx="2898775" cy="2303780"/>
                    </a:xfrm>
                    <a:prstGeom prst="rect">
                      <a:avLst/>
                    </a:prstGeom>
                    <a:noFill/>
                    <a:ln>
                      <a:noFill/>
                    </a:ln>
                  </pic:spPr>
                </pic:pic>
              </a:graphicData>
            </a:graphic>
          </wp:inline>
        </w:drawing>
      </w:r>
    </w:p>
    <w:p w14:paraId="7E9242F0">
      <w:pPr>
        <w:widowControl/>
        <w:jc w:val="both"/>
        <w:rPr>
          <w:rFonts w:hint="default" w:ascii="Arial Regular" w:hAnsi="Arial Regular" w:cs="Arial Regular"/>
        </w:rPr>
      </w:pPr>
      <w:r>
        <w:rPr>
          <w:rFonts w:hint="default" w:ascii="Arial Regular" w:hAnsi="Arial Regular" w:cs="Arial Regular"/>
        </w:rPr>
        <w:drawing>
          <wp:inline distT="0" distB="0" distL="114300" distR="114300">
            <wp:extent cx="2842260" cy="2303780"/>
            <wp:effectExtent l="0" t="0" r="2540" b="7620"/>
            <wp:docPr id="3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7"/>
                    <pic:cNvPicPr>
                      <a:picLocks noChangeAspect="1"/>
                    </pic:cNvPicPr>
                  </pic:nvPicPr>
                  <pic:blipFill>
                    <a:blip r:embed="rId35"/>
                    <a:stretch>
                      <a:fillRect/>
                    </a:stretch>
                  </pic:blipFill>
                  <pic:spPr>
                    <a:xfrm>
                      <a:off x="0" y="0"/>
                      <a:ext cx="2842260" cy="2303780"/>
                    </a:xfrm>
                    <a:prstGeom prst="rect">
                      <a:avLst/>
                    </a:prstGeom>
                    <a:noFill/>
                    <a:ln>
                      <a:noFill/>
                    </a:ln>
                  </pic:spPr>
                </pic:pic>
              </a:graphicData>
            </a:graphic>
          </wp:inline>
        </w:drawing>
      </w:r>
      <w:r>
        <w:rPr>
          <w:rFonts w:hint="default" w:ascii="Arial Regular" w:hAnsi="Arial Regular" w:cs="Arial Regular"/>
        </w:rPr>
        <w:drawing>
          <wp:inline distT="0" distB="0" distL="114300" distR="114300">
            <wp:extent cx="2834640" cy="2303780"/>
            <wp:effectExtent l="0" t="0" r="10160" b="7620"/>
            <wp:docPr id="3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8"/>
                    <pic:cNvPicPr>
                      <a:picLocks noChangeAspect="1"/>
                    </pic:cNvPicPr>
                  </pic:nvPicPr>
                  <pic:blipFill>
                    <a:blip r:embed="rId36"/>
                    <a:stretch>
                      <a:fillRect/>
                    </a:stretch>
                  </pic:blipFill>
                  <pic:spPr>
                    <a:xfrm>
                      <a:off x="0" y="0"/>
                      <a:ext cx="2834640" cy="2303780"/>
                    </a:xfrm>
                    <a:prstGeom prst="rect">
                      <a:avLst/>
                    </a:prstGeom>
                    <a:noFill/>
                    <a:ln>
                      <a:noFill/>
                    </a:ln>
                  </pic:spPr>
                </pic:pic>
              </a:graphicData>
            </a:graphic>
          </wp:inline>
        </w:drawing>
      </w:r>
    </w:p>
    <w:p w14:paraId="1E7EE9D5">
      <w:pPr>
        <w:widowControl/>
        <w:jc w:val="both"/>
        <w:rPr>
          <w:rFonts w:hint="default" w:ascii="Arial Regular" w:hAnsi="Arial Regular" w:cs="Arial Regular"/>
        </w:rPr>
      </w:pPr>
      <w:r>
        <w:rPr>
          <w:rFonts w:hint="default" w:ascii="Arial Regular" w:hAnsi="Arial Regular" w:cs="Arial Regular"/>
        </w:rPr>
        <w:drawing>
          <wp:inline distT="0" distB="0" distL="114300" distR="114300">
            <wp:extent cx="2823210" cy="2303780"/>
            <wp:effectExtent l="0" t="0" r="21590" b="7620"/>
            <wp:docPr id="3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9"/>
                    <pic:cNvPicPr>
                      <a:picLocks noChangeAspect="1"/>
                    </pic:cNvPicPr>
                  </pic:nvPicPr>
                  <pic:blipFill>
                    <a:blip r:embed="rId37"/>
                    <a:stretch>
                      <a:fillRect/>
                    </a:stretch>
                  </pic:blipFill>
                  <pic:spPr>
                    <a:xfrm>
                      <a:off x="0" y="0"/>
                      <a:ext cx="2823210" cy="2303780"/>
                    </a:xfrm>
                    <a:prstGeom prst="rect">
                      <a:avLst/>
                    </a:prstGeom>
                    <a:noFill/>
                    <a:ln>
                      <a:noFill/>
                    </a:ln>
                  </pic:spPr>
                </pic:pic>
              </a:graphicData>
            </a:graphic>
          </wp:inline>
        </w:drawing>
      </w:r>
      <w:r>
        <w:rPr>
          <w:rFonts w:hint="default" w:ascii="Arial Regular" w:hAnsi="Arial Regular" w:cs="Arial Regular"/>
        </w:rPr>
        <w:drawing>
          <wp:inline distT="0" distB="0" distL="114300" distR="114300">
            <wp:extent cx="2854960" cy="2303780"/>
            <wp:effectExtent l="0" t="0" r="15240" b="7620"/>
            <wp:docPr id="3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0"/>
                    <pic:cNvPicPr>
                      <a:picLocks noChangeAspect="1"/>
                    </pic:cNvPicPr>
                  </pic:nvPicPr>
                  <pic:blipFill>
                    <a:blip r:embed="rId38"/>
                    <a:stretch>
                      <a:fillRect/>
                    </a:stretch>
                  </pic:blipFill>
                  <pic:spPr>
                    <a:xfrm>
                      <a:off x="0" y="0"/>
                      <a:ext cx="2854960" cy="2303780"/>
                    </a:xfrm>
                    <a:prstGeom prst="rect">
                      <a:avLst/>
                    </a:prstGeom>
                    <a:noFill/>
                    <a:ln>
                      <a:noFill/>
                    </a:ln>
                  </pic:spPr>
                </pic:pic>
              </a:graphicData>
            </a:graphic>
          </wp:inline>
        </w:drawing>
      </w:r>
    </w:p>
    <w:p w14:paraId="52BC3154">
      <w:pPr>
        <w:pStyle w:val="3"/>
        <w:keepNext/>
        <w:keepLines/>
        <w:pageBreakBefore w:val="0"/>
        <w:widowControl w:val="0"/>
        <w:kinsoku/>
        <w:wordWrap/>
        <w:overflowPunct/>
        <w:topLinePunct w:val="0"/>
        <w:autoSpaceDE/>
        <w:autoSpaceDN/>
        <w:bidi w:val="0"/>
        <w:adjustRightInd/>
        <w:snapToGrid/>
        <w:spacing w:before="0" w:beforeLines="0" w:after="157" w:afterLines="50" w:line="240" w:lineRule="auto"/>
        <w:textAlignment w:val="auto"/>
        <w:rPr>
          <w:rFonts w:hint="default" w:ascii="Arial Regular" w:hAnsi="Arial Regular" w:cs="Arial Regular" w:eastAsiaTheme="minorEastAsia"/>
          <w:bCs/>
          <w:sz w:val="20"/>
          <w:szCs w:val="20"/>
          <w:lang w:val="en-US" w:eastAsia="zh-CN"/>
        </w:rPr>
      </w:pPr>
      <w:r>
        <w:rPr>
          <w:rFonts w:hint="default" w:ascii="Arial Regular" w:hAnsi="Arial Regular" w:cs="Arial Regular"/>
          <w:b/>
          <w:bCs w:val="0"/>
          <w:sz w:val="20"/>
          <w:szCs w:val="20"/>
        </w:rPr>
        <w:t xml:space="preserve">Supplementary Fig. 20. Two-dimensional synchronous and asynchronous correlation spectroscopy of </w:t>
      </w:r>
      <w:r>
        <w:rPr>
          <w:rFonts w:hint="default" w:ascii="Arial Regular" w:hAnsi="Arial Regular" w:cs="Arial Regular"/>
          <w:b/>
          <w:bCs w:val="0"/>
          <w:i/>
          <w:iCs/>
          <w:sz w:val="20"/>
          <w:szCs w:val="20"/>
        </w:rPr>
        <w:t>A. niger</w:t>
      </w:r>
      <w:r>
        <w:rPr>
          <w:rFonts w:hint="default" w:ascii="Arial Regular" w:hAnsi="Arial Regular" w:cs="Arial Regular"/>
          <w:b/>
          <w:bCs w:val="0"/>
          <w:sz w:val="20"/>
          <w:szCs w:val="20"/>
        </w:rPr>
        <w:t xml:space="preserve"> spores under metal ion complexation.</w:t>
      </w:r>
      <w:r>
        <w:rPr>
          <w:rFonts w:hint="default" w:ascii="Arial Regular" w:hAnsi="Arial Regular" w:cs="Arial Regular"/>
          <w:bCs/>
          <w:sz w:val="20"/>
          <w:szCs w:val="20"/>
          <w:lang w:val="en-US" w:eastAsia="zh-CN"/>
        </w:rPr>
        <w:t xml:space="preserve"> </w:t>
      </w:r>
      <w:r>
        <w:rPr>
          <w:rFonts w:hint="default" w:ascii="Arial Regular" w:hAnsi="Arial Regular" w:cs="Arial Regular"/>
          <w:b w:val="0"/>
          <w:bCs w:val="0"/>
          <w:sz w:val="20"/>
          <w:szCs w:val="20"/>
        </w:rPr>
        <w:t>(a) Co(II), (b) Fe(II), and (c) Mn(II).</w:t>
      </w:r>
      <w:r>
        <w:rPr>
          <w:rFonts w:hint="default" w:ascii="Arial Regular" w:hAnsi="Arial Regular" w:cs="Arial Regular"/>
          <w:b w:val="0"/>
          <w:bCs w:val="0"/>
          <w:sz w:val="20"/>
          <w:szCs w:val="20"/>
          <w:lang w:val="en-US" w:eastAsia="zh-CN"/>
        </w:rPr>
        <w:t xml:space="preserve"> </w:t>
      </w:r>
      <w:r>
        <w:rPr>
          <w:rFonts w:hint="default" w:ascii="Arial Regular" w:hAnsi="Arial Regular" w:cs="Arial Regular"/>
          <w:b w:val="0"/>
          <w:bCs w:val="0"/>
          <w:sz w:val="20"/>
          <w:szCs w:val="20"/>
        </w:rPr>
        <w:t>Experimental conditions: initial fungal spores concentration=(2-4)×10</w:t>
      </w:r>
      <w:r>
        <w:rPr>
          <w:rFonts w:hint="default" w:ascii="Arial Regular" w:hAnsi="Arial Regular" w:cs="Arial Regular"/>
          <w:b w:val="0"/>
          <w:bCs w:val="0"/>
          <w:sz w:val="20"/>
          <w:szCs w:val="20"/>
          <w:vertAlign w:val="superscript"/>
        </w:rPr>
        <w:t>5</w:t>
      </w:r>
      <w:r>
        <w:rPr>
          <w:rFonts w:hint="default" w:ascii="Arial Regular" w:hAnsi="Arial Regular" w:cs="Arial Regular"/>
          <w:b w:val="0"/>
          <w:bCs w:val="0"/>
          <w:sz w:val="20"/>
          <w:szCs w:val="20"/>
        </w:rPr>
        <w:t xml:space="preserve"> CFU/mL;</w:t>
      </w:r>
      <w:r>
        <w:rPr>
          <w:rFonts w:hint="default" w:ascii="Arial Regular" w:hAnsi="Arial Regular" w:cs="Arial Regular"/>
          <w:b w:val="0"/>
          <w:bCs w:val="0"/>
          <w:sz w:val="20"/>
          <w:szCs w:val="20"/>
          <w:lang w:val="en-US" w:eastAsia="zh-CN"/>
        </w:rPr>
        <w:t xml:space="preserve"> </w:t>
      </w:r>
      <w:r>
        <w:rPr>
          <w:rFonts w:hint="default" w:ascii="Arial Regular" w:hAnsi="Arial Regular" w:cs="Arial Regular"/>
          <w:b w:val="0"/>
          <w:bCs w:val="0"/>
          <w:sz w:val="20"/>
          <w:szCs w:val="20"/>
        </w:rPr>
        <w:t>pH=7.0±0.2, T=25±2 ℃</w:t>
      </w:r>
      <w:r>
        <w:rPr>
          <w:rFonts w:hint="default" w:ascii="Arial Regular" w:hAnsi="Arial Regular" w:cs="Arial Regular"/>
          <w:b w:val="0"/>
          <w:bCs w:val="0"/>
          <w:sz w:val="20"/>
          <w:szCs w:val="20"/>
          <w:lang w:val="en-US" w:eastAsia="zh-CN"/>
        </w:rPr>
        <w:t>.</w:t>
      </w:r>
    </w:p>
    <w:p w14:paraId="5FCCC795">
      <w:pPr>
        <w:widowControl/>
        <w:jc w:val="left"/>
        <w:rPr>
          <w:rFonts w:hint="default" w:ascii="Arial Regular" w:hAnsi="Arial Regular" w:cs="Arial Regular"/>
          <w:bCs/>
          <w:sz w:val="20"/>
          <w:szCs w:val="20"/>
        </w:rPr>
        <w:sectPr>
          <w:pgSz w:w="12240" w:h="15840"/>
          <w:pgMar w:top="1440" w:right="1440" w:bottom="1440" w:left="1440" w:header="851" w:footer="992" w:gutter="0"/>
          <w:cols w:space="425" w:num="1"/>
          <w:docGrid w:type="lines" w:linePitch="312" w:charSpace="0"/>
        </w:sectPr>
      </w:pPr>
    </w:p>
    <w:p w14:paraId="30E7C15C">
      <w:pPr>
        <w:pStyle w:val="2"/>
        <w:keepNext/>
        <w:keepLines/>
        <w:pageBreakBefore w:val="0"/>
        <w:widowControl w:val="0"/>
        <w:kinsoku/>
        <w:wordWrap/>
        <w:overflowPunct/>
        <w:topLinePunct w:val="0"/>
        <w:autoSpaceDE/>
        <w:autoSpaceDN/>
        <w:bidi w:val="0"/>
        <w:adjustRightInd/>
        <w:snapToGrid/>
        <w:spacing w:before="157" w:beforeLines="50" w:after="0" w:line="360" w:lineRule="auto"/>
        <w:textAlignment w:val="auto"/>
        <w:rPr>
          <w:rFonts w:hint="default" w:ascii="Arial Regular" w:hAnsi="Arial Regular" w:cs="Arial Regular"/>
          <w:b/>
          <w:bCs/>
          <w:sz w:val="26"/>
          <w:szCs w:val="26"/>
        </w:rPr>
      </w:pPr>
      <w:r>
        <w:rPr>
          <w:rFonts w:hint="default" w:ascii="Arial Regular" w:hAnsi="Arial Regular" w:cs="Arial Regular"/>
          <w:b/>
          <w:bCs/>
          <w:sz w:val="26"/>
          <w:szCs w:val="26"/>
        </w:rPr>
        <w:t>Tables:</w:t>
      </w:r>
    </w:p>
    <w:p w14:paraId="39531F75">
      <w:pPr>
        <w:pStyle w:val="3"/>
        <w:keepNext/>
        <w:keepLines/>
        <w:pageBreakBefore w:val="0"/>
        <w:widowControl w:val="0"/>
        <w:kinsoku/>
        <w:wordWrap/>
        <w:overflowPunct/>
        <w:topLinePunct w:val="0"/>
        <w:autoSpaceDE/>
        <w:autoSpaceDN/>
        <w:bidi w:val="0"/>
        <w:adjustRightInd/>
        <w:snapToGrid/>
        <w:spacing w:before="0" w:beforeLines="0" w:after="157" w:afterLines="50" w:line="240" w:lineRule="auto"/>
        <w:textAlignment w:val="auto"/>
        <w:rPr>
          <w:rFonts w:hint="default" w:ascii="Arial Regular" w:hAnsi="Arial Regular" w:cs="Arial Regular"/>
          <w:b/>
          <w:bCs/>
          <w:sz w:val="20"/>
          <w:szCs w:val="20"/>
        </w:rPr>
      </w:pPr>
      <w:r>
        <w:rPr>
          <w:rFonts w:hint="default" w:ascii="Arial Regular" w:hAnsi="Arial Regular" w:cs="Arial Regular"/>
          <w:b/>
          <w:bCs w:val="0"/>
          <w:sz w:val="20"/>
          <w:szCs w:val="20"/>
        </w:rPr>
        <w:t xml:space="preserve">Supplementary </w:t>
      </w:r>
      <w:r>
        <w:rPr>
          <w:rFonts w:hint="default" w:ascii="Arial Regular" w:hAnsi="Arial Regular" w:cs="Arial Regular"/>
          <w:b/>
          <w:sz w:val="20"/>
          <w:szCs w:val="20"/>
        </w:rPr>
        <w:t xml:space="preserve">Table 1. </w:t>
      </w:r>
      <w:r>
        <w:rPr>
          <w:rFonts w:hint="default" w:ascii="Arial Regular" w:hAnsi="Arial Regular" w:cs="Arial Regular"/>
          <w:b/>
          <w:bCs/>
          <w:sz w:val="20"/>
          <w:szCs w:val="20"/>
        </w:rPr>
        <w:t>Physicochemical properties of four metal ions.</w:t>
      </w:r>
    </w:p>
    <w:tbl>
      <w:tblPr>
        <w:tblStyle w:val="10"/>
        <w:tblW w:w="7952" w:type="dxa"/>
        <w:jc w:val="center"/>
        <w:tblLayout w:type="fixed"/>
        <w:tblCellMar>
          <w:top w:w="0" w:type="dxa"/>
          <w:left w:w="0" w:type="dxa"/>
          <w:bottom w:w="0" w:type="dxa"/>
          <w:right w:w="0" w:type="dxa"/>
        </w:tblCellMar>
      </w:tblPr>
      <w:tblGrid>
        <w:gridCol w:w="3416"/>
        <w:gridCol w:w="1134"/>
        <w:gridCol w:w="1134"/>
        <w:gridCol w:w="1134"/>
        <w:gridCol w:w="1134"/>
      </w:tblGrid>
      <w:tr w14:paraId="20712EC7">
        <w:trPr>
          <w:trHeight w:val="113" w:hRule="atLeast"/>
          <w:jc w:val="center"/>
        </w:trPr>
        <w:tc>
          <w:tcPr>
            <w:tcW w:w="3416" w:type="dxa"/>
            <w:tcBorders>
              <w:top w:val="single" w:color="000000" w:sz="12" w:space="0"/>
              <w:left w:val="single" w:color="FFFFFF" w:sz="8" w:space="0"/>
              <w:bottom w:val="single" w:color="000000" w:sz="4" w:space="0"/>
              <w:right w:val="single" w:color="FFFFFF" w:sz="8" w:space="0"/>
            </w:tcBorders>
            <w:shd w:val="clear" w:color="auto" w:fill="auto"/>
            <w:tcMar>
              <w:top w:w="72" w:type="dxa"/>
              <w:left w:w="144" w:type="dxa"/>
              <w:bottom w:w="72" w:type="dxa"/>
              <w:right w:w="144" w:type="dxa"/>
            </w:tcMar>
            <w:vAlign w:val="center"/>
          </w:tcPr>
          <w:p w14:paraId="30D1BEBE">
            <w:pPr>
              <w:pStyle w:val="42"/>
              <w:jc w:val="center"/>
              <w:rPr>
                <w:rFonts w:hint="default" w:ascii="Arial Regular" w:hAnsi="Arial Regular" w:cs="Arial Regular"/>
                <w:sz w:val="20"/>
                <w:szCs w:val="20"/>
              </w:rPr>
            </w:pPr>
            <w:r>
              <w:rPr>
                <w:rFonts w:hint="default" w:ascii="Arial Regular" w:hAnsi="Arial Regular" w:cs="Arial Regular"/>
                <w:sz w:val="20"/>
                <w:szCs w:val="20"/>
              </w:rPr>
              <w:t>Metal ion properties</w:t>
            </w:r>
          </w:p>
        </w:tc>
        <w:tc>
          <w:tcPr>
            <w:tcW w:w="1134" w:type="dxa"/>
            <w:tcBorders>
              <w:top w:val="single" w:color="000000" w:sz="12" w:space="0"/>
              <w:left w:val="single" w:color="FFFFFF" w:sz="8" w:space="0"/>
              <w:bottom w:val="single" w:color="000000" w:sz="4" w:space="0"/>
              <w:right w:val="single" w:color="FFFFFF" w:sz="8" w:space="0"/>
            </w:tcBorders>
            <w:shd w:val="clear" w:color="auto" w:fill="auto"/>
            <w:tcMar>
              <w:top w:w="72" w:type="dxa"/>
              <w:left w:w="144" w:type="dxa"/>
              <w:bottom w:w="72" w:type="dxa"/>
              <w:right w:w="144" w:type="dxa"/>
            </w:tcMar>
            <w:vAlign w:val="center"/>
          </w:tcPr>
          <w:p w14:paraId="07C36F7C">
            <w:pPr>
              <w:pStyle w:val="42"/>
              <w:jc w:val="center"/>
              <w:rPr>
                <w:rFonts w:hint="default" w:ascii="Arial Regular" w:hAnsi="Arial Regular" w:cs="Arial Regular"/>
                <w:sz w:val="20"/>
                <w:szCs w:val="20"/>
              </w:rPr>
            </w:pPr>
            <w:r>
              <w:rPr>
                <w:rFonts w:hint="default" w:ascii="Arial Regular" w:hAnsi="Arial Regular" w:cs="Arial Regular"/>
                <w:sz w:val="20"/>
                <w:szCs w:val="20"/>
              </w:rPr>
              <w:t>Co(II)</w:t>
            </w:r>
          </w:p>
        </w:tc>
        <w:tc>
          <w:tcPr>
            <w:tcW w:w="1134" w:type="dxa"/>
            <w:tcBorders>
              <w:top w:val="single" w:color="000000" w:sz="12" w:space="0"/>
              <w:left w:val="single" w:color="FFFFFF" w:sz="8" w:space="0"/>
              <w:bottom w:val="single" w:color="000000" w:sz="4" w:space="0"/>
              <w:right w:val="single" w:color="FFFFFF" w:sz="8" w:space="0"/>
            </w:tcBorders>
            <w:shd w:val="clear" w:color="auto" w:fill="auto"/>
            <w:tcMar>
              <w:top w:w="72" w:type="dxa"/>
              <w:left w:w="144" w:type="dxa"/>
              <w:bottom w:w="72" w:type="dxa"/>
              <w:right w:w="144" w:type="dxa"/>
            </w:tcMar>
            <w:vAlign w:val="center"/>
          </w:tcPr>
          <w:p w14:paraId="04A4353F">
            <w:pPr>
              <w:pStyle w:val="42"/>
              <w:jc w:val="center"/>
              <w:rPr>
                <w:rFonts w:hint="default" w:ascii="Arial Regular" w:hAnsi="Arial Regular" w:cs="Arial Regular"/>
                <w:sz w:val="20"/>
                <w:szCs w:val="20"/>
              </w:rPr>
            </w:pPr>
            <w:r>
              <w:rPr>
                <w:rFonts w:hint="default" w:ascii="Arial Regular" w:hAnsi="Arial Regular" w:cs="Arial Regular"/>
                <w:sz w:val="20"/>
                <w:szCs w:val="20"/>
              </w:rPr>
              <w:t>Cu(II)</w:t>
            </w:r>
          </w:p>
        </w:tc>
        <w:tc>
          <w:tcPr>
            <w:tcW w:w="1134" w:type="dxa"/>
            <w:tcBorders>
              <w:top w:val="single" w:color="000000" w:sz="12" w:space="0"/>
              <w:left w:val="single" w:color="FFFFFF" w:sz="8" w:space="0"/>
              <w:bottom w:val="single" w:color="000000" w:sz="4" w:space="0"/>
              <w:right w:val="single" w:color="FFFFFF" w:sz="8" w:space="0"/>
            </w:tcBorders>
            <w:shd w:val="clear" w:color="auto" w:fill="auto"/>
            <w:tcMar>
              <w:top w:w="72" w:type="dxa"/>
              <w:left w:w="144" w:type="dxa"/>
              <w:bottom w:w="72" w:type="dxa"/>
              <w:right w:w="144" w:type="dxa"/>
            </w:tcMar>
            <w:vAlign w:val="center"/>
          </w:tcPr>
          <w:p w14:paraId="71B3CA9B">
            <w:pPr>
              <w:pStyle w:val="42"/>
              <w:jc w:val="center"/>
              <w:rPr>
                <w:rFonts w:hint="default" w:ascii="Arial Regular" w:hAnsi="Arial Regular" w:cs="Arial Regular"/>
                <w:sz w:val="20"/>
                <w:szCs w:val="20"/>
              </w:rPr>
            </w:pPr>
            <w:r>
              <w:rPr>
                <w:rFonts w:hint="default" w:ascii="Arial Regular" w:hAnsi="Arial Regular" w:cs="Arial Regular"/>
                <w:sz w:val="20"/>
                <w:szCs w:val="20"/>
              </w:rPr>
              <w:t>Fe(II)</w:t>
            </w:r>
          </w:p>
        </w:tc>
        <w:tc>
          <w:tcPr>
            <w:tcW w:w="1134" w:type="dxa"/>
            <w:tcBorders>
              <w:top w:val="single" w:color="000000" w:sz="12" w:space="0"/>
              <w:left w:val="single" w:color="FFFFFF" w:sz="8" w:space="0"/>
              <w:bottom w:val="single" w:color="000000" w:sz="4" w:space="0"/>
              <w:right w:val="single" w:color="FFFFFF" w:sz="8" w:space="0"/>
            </w:tcBorders>
            <w:shd w:val="clear" w:color="auto" w:fill="auto"/>
            <w:tcMar>
              <w:top w:w="72" w:type="dxa"/>
              <w:left w:w="144" w:type="dxa"/>
              <w:bottom w:w="72" w:type="dxa"/>
              <w:right w:w="144" w:type="dxa"/>
            </w:tcMar>
            <w:vAlign w:val="center"/>
          </w:tcPr>
          <w:p w14:paraId="3833FC86">
            <w:pPr>
              <w:pStyle w:val="42"/>
              <w:jc w:val="center"/>
              <w:rPr>
                <w:rFonts w:hint="default" w:ascii="Arial Regular" w:hAnsi="Arial Regular" w:cs="Arial Regular"/>
                <w:sz w:val="20"/>
                <w:szCs w:val="20"/>
              </w:rPr>
            </w:pPr>
            <w:r>
              <w:rPr>
                <w:rFonts w:hint="default" w:ascii="Arial Regular" w:hAnsi="Arial Regular" w:cs="Arial Regular"/>
                <w:sz w:val="20"/>
                <w:szCs w:val="20"/>
              </w:rPr>
              <w:t>Mn(II)</w:t>
            </w:r>
          </w:p>
        </w:tc>
      </w:tr>
      <w:tr w14:paraId="08B13512">
        <w:trPr>
          <w:trHeight w:val="113" w:hRule="atLeast"/>
          <w:jc w:val="center"/>
        </w:trPr>
        <w:tc>
          <w:tcPr>
            <w:tcW w:w="3416" w:type="dxa"/>
            <w:tcBorders>
              <w:top w:val="single" w:color="000000" w:sz="4" w:space="0"/>
              <w:left w:val="single" w:color="FFFFFF" w:sz="8" w:space="0"/>
              <w:bottom w:val="single" w:color="FFFFFF" w:sz="8" w:space="0"/>
              <w:right w:val="single" w:color="FFFFFF" w:sz="8" w:space="0"/>
            </w:tcBorders>
            <w:shd w:val="clear" w:color="auto" w:fill="auto"/>
            <w:tcMar>
              <w:top w:w="72" w:type="dxa"/>
              <w:left w:w="144" w:type="dxa"/>
              <w:bottom w:w="72" w:type="dxa"/>
              <w:right w:w="144" w:type="dxa"/>
            </w:tcMar>
            <w:vAlign w:val="center"/>
          </w:tcPr>
          <w:p w14:paraId="7ADDCCC7">
            <w:pPr>
              <w:pStyle w:val="42"/>
              <w:jc w:val="center"/>
              <w:rPr>
                <w:rFonts w:hint="default" w:ascii="Arial Regular" w:hAnsi="Arial Regular" w:cs="Arial Regular"/>
                <w:sz w:val="20"/>
                <w:szCs w:val="20"/>
              </w:rPr>
            </w:pPr>
            <w:r>
              <w:rPr>
                <w:rFonts w:hint="default" w:ascii="Arial Regular" w:hAnsi="Arial Regular" w:cs="Arial Regular"/>
                <w:sz w:val="20"/>
                <w:szCs w:val="20"/>
              </w:rPr>
              <w:t>Molar mass (g/mol)</w:t>
            </w:r>
          </w:p>
        </w:tc>
        <w:tc>
          <w:tcPr>
            <w:tcW w:w="1134" w:type="dxa"/>
            <w:tcBorders>
              <w:top w:val="single" w:color="000000" w:sz="4" w:space="0"/>
              <w:left w:val="single" w:color="FFFFFF" w:sz="8" w:space="0"/>
              <w:bottom w:val="single" w:color="FFFFFF" w:sz="8" w:space="0"/>
              <w:right w:val="single" w:color="FFFFFF" w:sz="8" w:space="0"/>
            </w:tcBorders>
            <w:shd w:val="clear" w:color="auto" w:fill="auto"/>
            <w:tcMar>
              <w:top w:w="72" w:type="dxa"/>
              <w:left w:w="144" w:type="dxa"/>
              <w:bottom w:w="72" w:type="dxa"/>
              <w:right w:w="144" w:type="dxa"/>
            </w:tcMar>
            <w:vAlign w:val="center"/>
          </w:tcPr>
          <w:p w14:paraId="50FB5EB0">
            <w:pPr>
              <w:pStyle w:val="42"/>
              <w:jc w:val="center"/>
              <w:rPr>
                <w:rFonts w:hint="default" w:ascii="Arial Regular" w:hAnsi="Arial Regular" w:cs="Arial Regular"/>
                <w:sz w:val="20"/>
                <w:szCs w:val="20"/>
              </w:rPr>
            </w:pPr>
            <w:r>
              <w:rPr>
                <w:rFonts w:hint="default" w:ascii="Arial Regular" w:hAnsi="Arial Regular" w:cs="Arial Regular"/>
                <w:sz w:val="20"/>
                <w:szCs w:val="20"/>
              </w:rPr>
              <w:t>58.93</w:t>
            </w:r>
          </w:p>
        </w:tc>
        <w:tc>
          <w:tcPr>
            <w:tcW w:w="1134" w:type="dxa"/>
            <w:tcBorders>
              <w:top w:val="single" w:color="000000" w:sz="4" w:space="0"/>
              <w:left w:val="single" w:color="FFFFFF" w:sz="8" w:space="0"/>
              <w:bottom w:val="single" w:color="FFFFFF" w:sz="8" w:space="0"/>
              <w:right w:val="single" w:color="FFFFFF" w:sz="8" w:space="0"/>
            </w:tcBorders>
            <w:shd w:val="clear" w:color="auto" w:fill="auto"/>
            <w:tcMar>
              <w:top w:w="72" w:type="dxa"/>
              <w:left w:w="144" w:type="dxa"/>
              <w:bottom w:w="72" w:type="dxa"/>
              <w:right w:w="144" w:type="dxa"/>
            </w:tcMar>
            <w:vAlign w:val="center"/>
          </w:tcPr>
          <w:p w14:paraId="428187BC">
            <w:pPr>
              <w:pStyle w:val="42"/>
              <w:jc w:val="center"/>
              <w:rPr>
                <w:rFonts w:hint="default" w:ascii="Arial Regular" w:hAnsi="Arial Regular" w:cs="Arial Regular"/>
                <w:sz w:val="20"/>
                <w:szCs w:val="20"/>
              </w:rPr>
            </w:pPr>
            <w:r>
              <w:rPr>
                <w:rFonts w:hint="default" w:ascii="Arial Regular" w:hAnsi="Arial Regular" w:cs="Arial Regular"/>
                <w:sz w:val="20"/>
                <w:szCs w:val="20"/>
              </w:rPr>
              <w:t>63.55</w:t>
            </w:r>
          </w:p>
        </w:tc>
        <w:tc>
          <w:tcPr>
            <w:tcW w:w="1134" w:type="dxa"/>
            <w:tcBorders>
              <w:top w:val="single" w:color="000000" w:sz="4" w:space="0"/>
              <w:left w:val="single" w:color="FFFFFF" w:sz="8" w:space="0"/>
              <w:bottom w:val="single" w:color="FFFFFF" w:sz="8" w:space="0"/>
              <w:right w:val="single" w:color="FFFFFF" w:sz="8" w:space="0"/>
            </w:tcBorders>
            <w:shd w:val="clear" w:color="auto" w:fill="auto"/>
            <w:tcMar>
              <w:top w:w="72" w:type="dxa"/>
              <w:left w:w="144" w:type="dxa"/>
              <w:bottom w:w="72" w:type="dxa"/>
              <w:right w:w="144" w:type="dxa"/>
            </w:tcMar>
            <w:vAlign w:val="center"/>
          </w:tcPr>
          <w:p w14:paraId="36BCE9DC">
            <w:pPr>
              <w:pStyle w:val="42"/>
              <w:jc w:val="center"/>
              <w:rPr>
                <w:rFonts w:hint="default" w:ascii="Arial Regular" w:hAnsi="Arial Regular" w:cs="Arial Regular"/>
                <w:sz w:val="20"/>
                <w:szCs w:val="20"/>
              </w:rPr>
            </w:pPr>
            <w:r>
              <w:rPr>
                <w:rFonts w:hint="default" w:ascii="Arial Regular" w:hAnsi="Arial Regular" w:cs="Arial Regular"/>
                <w:sz w:val="20"/>
                <w:szCs w:val="20"/>
              </w:rPr>
              <w:t>55.84</w:t>
            </w:r>
          </w:p>
        </w:tc>
        <w:tc>
          <w:tcPr>
            <w:tcW w:w="1134" w:type="dxa"/>
            <w:tcBorders>
              <w:top w:val="single" w:color="000000" w:sz="4" w:space="0"/>
              <w:left w:val="single" w:color="FFFFFF" w:sz="8" w:space="0"/>
              <w:bottom w:val="single" w:color="FFFFFF" w:sz="8" w:space="0"/>
              <w:right w:val="single" w:color="FFFFFF" w:sz="8" w:space="0"/>
            </w:tcBorders>
            <w:shd w:val="clear" w:color="auto" w:fill="auto"/>
            <w:tcMar>
              <w:top w:w="72" w:type="dxa"/>
              <w:left w:w="144" w:type="dxa"/>
              <w:bottom w:w="72" w:type="dxa"/>
              <w:right w:w="144" w:type="dxa"/>
            </w:tcMar>
            <w:vAlign w:val="center"/>
          </w:tcPr>
          <w:p w14:paraId="25DEDEF5">
            <w:pPr>
              <w:pStyle w:val="42"/>
              <w:jc w:val="center"/>
              <w:rPr>
                <w:rFonts w:hint="default" w:ascii="Arial Regular" w:hAnsi="Arial Regular" w:cs="Arial Regular"/>
                <w:sz w:val="20"/>
                <w:szCs w:val="20"/>
              </w:rPr>
            </w:pPr>
            <w:r>
              <w:rPr>
                <w:rFonts w:hint="default" w:ascii="Arial Regular" w:hAnsi="Arial Regular" w:cs="Arial Regular"/>
                <w:sz w:val="20"/>
                <w:szCs w:val="20"/>
              </w:rPr>
              <w:t>54.94</w:t>
            </w:r>
          </w:p>
        </w:tc>
      </w:tr>
      <w:tr w14:paraId="70EC3D64">
        <w:trPr>
          <w:trHeight w:val="113" w:hRule="atLeast"/>
          <w:jc w:val="center"/>
        </w:trPr>
        <w:tc>
          <w:tcPr>
            <w:tcW w:w="3416" w:type="dxa"/>
            <w:tcBorders>
              <w:top w:val="single" w:color="FFFFFF" w:sz="8" w:space="0"/>
              <w:left w:val="single" w:color="FFFFFF" w:sz="8" w:space="0"/>
              <w:bottom w:val="single" w:color="FFFFFF" w:sz="8" w:space="0"/>
              <w:right w:val="single" w:color="FFFFFF" w:sz="8" w:space="0"/>
            </w:tcBorders>
            <w:shd w:val="clear" w:color="auto" w:fill="auto"/>
            <w:tcMar>
              <w:top w:w="72" w:type="dxa"/>
              <w:left w:w="144" w:type="dxa"/>
              <w:bottom w:w="72" w:type="dxa"/>
              <w:right w:w="144" w:type="dxa"/>
            </w:tcMar>
            <w:vAlign w:val="center"/>
          </w:tcPr>
          <w:p w14:paraId="5A992BB0">
            <w:pPr>
              <w:pStyle w:val="42"/>
              <w:jc w:val="center"/>
              <w:rPr>
                <w:rFonts w:hint="default" w:ascii="Arial Regular" w:hAnsi="Arial Regular" w:cs="Arial Regular"/>
                <w:sz w:val="20"/>
                <w:szCs w:val="20"/>
              </w:rPr>
            </w:pPr>
            <w:r>
              <w:rPr>
                <w:rFonts w:hint="default" w:ascii="Arial Regular" w:hAnsi="Arial Regular" w:cs="Arial Regular"/>
                <w:sz w:val="20"/>
                <w:szCs w:val="20"/>
              </w:rPr>
              <w:t>Electronegativity (Pauling)</w:t>
            </w:r>
          </w:p>
        </w:tc>
        <w:tc>
          <w:tcPr>
            <w:tcW w:w="1134" w:type="dxa"/>
            <w:tcBorders>
              <w:top w:val="single" w:color="FFFFFF" w:sz="8" w:space="0"/>
              <w:left w:val="single" w:color="FFFFFF" w:sz="8" w:space="0"/>
              <w:bottom w:val="single" w:color="FFFFFF" w:sz="8" w:space="0"/>
              <w:right w:val="single" w:color="FFFFFF" w:sz="8" w:space="0"/>
            </w:tcBorders>
            <w:shd w:val="clear" w:color="auto" w:fill="auto"/>
            <w:tcMar>
              <w:top w:w="72" w:type="dxa"/>
              <w:left w:w="144" w:type="dxa"/>
              <w:bottom w:w="72" w:type="dxa"/>
              <w:right w:w="144" w:type="dxa"/>
            </w:tcMar>
            <w:vAlign w:val="center"/>
          </w:tcPr>
          <w:p w14:paraId="30895B3D">
            <w:pPr>
              <w:pStyle w:val="42"/>
              <w:jc w:val="center"/>
              <w:rPr>
                <w:rFonts w:hint="default" w:ascii="Arial Regular" w:hAnsi="Arial Regular" w:cs="Arial Regular"/>
                <w:sz w:val="20"/>
                <w:szCs w:val="20"/>
              </w:rPr>
            </w:pPr>
            <w:r>
              <w:rPr>
                <w:rFonts w:hint="default" w:ascii="Arial Regular" w:hAnsi="Arial Regular" w:cs="Arial Regular"/>
                <w:sz w:val="20"/>
                <w:szCs w:val="20"/>
              </w:rPr>
              <w:t>1.88</w:t>
            </w:r>
          </w:p>
        </w:tc>
        <w:tc>
          <w:tcPr>
            <w:tcW w:w="1134" w:type="dxa"/>
            <w:tcBorders>
              <w:top w:val="single" w:color="FFFFFF" w:sz="8" w:space="0"/>
              <w:left w:val="single" w:color="FFFFFF" w:sz="8" w:space="0"/>
              <w:bottom w:val="single" w:color="FFFFFF" w:sz="8" w:space="0"/>
              <w:right w:val="single" w:color="FFFFFF" w:sz="8" w:space="0"/>
            </w:tcBorders>
            <w:shd w:val="clear" w:color="auto" w:fill="auto"/>
            <w:tcMar>
              <w:top w:w="72" w:type="dxa"/>
              <w:left w:w="144" w:type="dxa"/>
              <w:bottom w:w="72" w:type="dxa"/>
              <w:right w:w="144" w:type="dxa"/>
            </w:tcMar>
            <w:vAlign w:val="center"/>
          </w:tcPr>
          <w:p w14:paraId="46A07B62">
            <w:pPr>
              <w:pStyle w:val="42"/>
              <w:jc w:val="center"/>
              <w:rPr>
                <w:rFonts w:hint="default" w:ascii="Arial Regular" w:hAnsi="Arial Regular" w:cs="Arial Regular"/>
                <w:sz w:val="20"/>
                <w:szCs w:val="20"/>
              </w:rPr>
            </w:pPr>
            <w:r>
              <w:rPr>
                <w:rFonts w:hint="default" w:ascii="Arial Regular" w:hAnsi="Arial Regular" w:cs="Arial Regular"/>
                <w:sz w:val="20"/>
                <w:szCs w:val="20"/>
              </w:rPr>
              <w:t>1.90</w:t>
            </w:r>
          </w:p>
        </w:tc>
        <w:tc>
          <w:tcPr>
            <w:tcW w:w="1134" w:type="dxa"/>
            <w:tcBorders>
              <w:top w:val="single" w:color="FFFFFF" w:sz="8" w:space="0"/>
              <w:left w:val="single" w:color="FFFFFF" w:sz="8" w:space="0"/>
              <w:bottom w:val="single" w:color="FFFFFF" w:sz="8" w:space="0"/>
              <w:right w:val="single" w:color="FFFFFF" w:sz="8" w:space="0"/>
            </w:tcBorders>
            <w:shd w:val="clear" w:color="auto" w:fill="auto"/>
            <w:tcMar>
              <w:top w:w="72" w:type="dxa"/>
              <w:left w:w="144" w:type="dxa"/>
              <w:bottom w:w="72" w:type="dxa"/>
              <w:right w:w="144" w:type="dxa"/>
            </w:tcMar>
            <w:vAlign w:val="center"/>
          </w:tcPr>
          <w:p w14:paraId="6FAF35D3">
            <w:pPr>
              <w:pStyle w:val="42"/>
              <w:jc w:val="center"/>
              <w:rPr>
                <w:rFonts w:hint="default" w:ascii="Arial Regular" w:hAnsi="Arial Regular" w:cs="Arial Regular"/>
                <w:sz w:val="20"/>
                <w:szCs w:val="20"/>
              </w:rPr>
            </w:pPr>
            <w:r>
              <w:rPr>
                <w:rFonts w:hint="default" w:ascii="Arial Regular" w:hAnsi="Arial Regular" w:cs="Arial Regular"/>
                <w:sz w:val="20"/>
                <w:szCs w:val="20"/>
              </w:rPr>
              <w:t>1.83</w:t>
            </w:r>
          </w:p>
        </w:tc>
        <w:tc>
          <w:tcPr>
            <w:tcW w:w="1134" w:type="dxa"/>
            <w:tcBorders>
              <w:top w:val="single" w:color="FFFFFF" w:sz="8" w:space="0"/>
              <w:left w:val="single" w:color="FFFFFF" w:sz="8" w:space="0"/>
              <w:bottom w:val="single" w:color="FFFFFF" w:sz="8" w:space="0"/>
              <w:right w:val="single" w:color="FFFFFF" w:sz="8" w:space="0"/>
            </w:tcBorders>
            <w:shd w:val="clear" w:color="auto" w:fill="auto"/>
            <w:tcMar>
              <w:top w:w="72" w:type="dxa"/>
              <w:left w:w="144" w:type="dxa"/>
              <w:bottom w:w="72" w:type="dxa"/>
              <w:right w:w="144" w:type="dxa"/>
            </w:tcMar>
            <w:vAlign w:val="center"/>
          </w:tcPr>
          <w:p w14:paraId="580B2875">
            <w:pPr>
              <w:pStyle w:val="42"/>
              <w:jc w:val="center"/>
              <w:rPr>
                <w:rFonts w:hint="default" w:ascii="Arial Regular" w:hAnsi="Arial Regular" w:cs="Arial Regular"/>
                <w:sz w:val="20"/>
                <w:szCs w:val="20"/>
              </w:rPr>
            </w:pPr>
            <w:r>
              <w:rPr>
                <w:rFonts w:hint="default" w:ascii="Arial Regular" w:hAnsi="Arial Regular" w:cs="Arial Regular"/>
                <w:sz w:val="20"/>
                <w:szCs w:val="20"/>
              </w:rPr>
              <w:t>1.55</w:t>
            </w:r>
          </w:p>
        </w:tc>
      </w:tr>
      <w:tr w14:paraId="5EBE4656">
        <w:trPr>
          <w:trHeight w:val="113" w:hRule="atLeast"/>
          <w:jc w:val="center"/>
        </w:trPr>
        <w:tc>
          <w:tcPr>
            <w:tcW w:w="3416" w:type="dxa"/>
            <w:tcBorders>
              <w:top w:val="single" w:color="FFFFFF" w:sz="8" w:space="0"/>
              <w:left w:val="single" w:color="FFFFFF" w:sz="8" w:space="0"/>
              <w:bottom w:val="single" w:color="FFFFFF" w:sz="8" w:space="0"/>
              <w:right w:val="single" w:color="FFFFFF" w:sz="8" w:space="0"/>
            </w:tcBorders>
            <w:shd w:val="clear" w:color="auto" w:fill="auto"/>
            <w:tcMar>
              <w:top w:w="72" w:type="dxa"/>
              <w:left w:w="144" w:type="dxa"/>
              <w:bottom w:w="72" w:type="dxa"/>
              <w:right w:w="144" w:type="dxa"/>
            </w:tcMar>
            <w:vAlign w:val="center"/>
          </w:tcPr>
          <w:p w14:paraId="7A98810A">
            <w:pPr>
              <w:pStyle w:val="42"/>
              <w:jc w:val="center"/>
              <w:rPr>
                <w:rFonts w:hint="default" w:ascii="Arial Regular" w:hAnsi="Arial Regular" w:cs="Arial Regular"/>
                <w:sz w:val="20"/>
                <w:szCs w:val="20"/>
              </w:rPr>
            </w:pPr>
            <w:r>
              <w:rPr>
                <w:rFonts w:hint="default" w:ascii="Arial Regular" w:hAnsi="Arial Regular" w:cs="Arial Regular"/>
                <w:sz w:val="20"/>
                <w:szCs w:val="20"/>
              </w:rPr>
              <w:t>Electron orbital configuration</w:t>
            </w:r>
          </w:p>
        </w:tc>
        <w:tc>
          <w:tcPr>
            <w:tcW w:w="1134" w:type="dxa"/>
            <w:tcBorders>
              <w:top w:val="single" w:color="FFFFFF" w:sz="8" w:space="0"/>
              <w:left w:val="single" w:color="FFFFFF" w:sz="8" w:space="0"/>
              <w:bottom w:val="single" w:color="FFFFFF" w:sz="8" w:space="0"/>
              <w:right w:val="single" w:color="FFFFFF" w:sz="8" w:space="0"/>
            </w:tcBorders>
            <w:shd w:val="clear" w:color="auto" w:fill="auto"/>
            <w:tcMar>
              <w:top w:w="72" w:type="dxa"/>
              <w:left w:w="144" w:type="dxa"/>
              <w:bottom w:w="72" w:type="dxa"/>
              <w:right w:w="144" w:type="dxa"/>
            </w:tcMar>
            <w:vAlign w:val="center"/>
          </w:tcPr>
          <w:p w14:paraId="069DA2F9">
            <w:pPr>
              <w:pStyle w:val="42"/>
              <w:jc w:val="center"/>
              <w:rPr>
                <w:rFonts w:hint="default" w:ascii="Arial Regular" w:hAnsi="Arial Regular" w:cs="Arial Regular"/>
                <w:sz w:val="20"/>
                <w:szCs w:val="20"/>
              </w:rPr>
            </w:pPr>
            <w:r>
              <w:rPr>
                <w:rFonts w:hint="default" w:ascii="Arial Regular" w:hAnsi="Arial Regular" w:cs="Arial Regular"/>
                <w:sz w:val="20"/>
                <w:szCs w:val="20"/>
              </w:rPr>
              <w:t>[Ar] 3d</w:t>
            </w:r>
            <w:r>
              <w:rPr>
                <w:rFonts w:hint="default" w:ascii="Arial Regular" w:hAnsi="Arial Regular" w:cs="Arial Regular"/>
                <w:sz w:val="20"/>
                <w:szCs w:val="20"/>
                <w:vertAlign w:val="superscript"/>
              </w:rPr>
              <w:t>7</w:t>
            </w:r>
          </w:p>
        </w:tc>
        <w:tc>
          <w:tcPr>
            <w:tcW w:w="1134" w:type="dxa"/>
            <w:tcBorders>
              <w:top w:val="single" w:color="FFFFFF" w:sz="8" w:space="0"/>
              <w:left w:val="single" w:color="FFFFFF" w:sz="8" w:space="0"/>
              <w:bottom w:val="single" w:color="FFFFFF" w:sz="8" w:space="0"/>
              <w:right w:val="single" w:color="FFFFFF" w:sz="8" w:space="0"/>
            </w:tcBorders>
            <w:shd w:val="clear" w:color="auto" w:fill="auto"/>
            <w:tcMar>
              <w:top w:w="72" w:type="dxa"/>
              <w:left w:w="144" w:type="dxa"/>
              <w:bottom w:w="72" w:type="dxa"/>
              <w:right w:w="144" w:type="dxa"/>
            </w:tcMar>
            <w:vAlign w:val="center"/>
          </w:tcPr>
          <w:p w14:paraId="63EFD65B">
            <w:pPr>
              <w:pStyle w:val="42"/>
              <w:jc w:val="center"/>
              <w:rPr>
                <w:rFonts w:hint="default" w:ascii="Arial Regular" w:hAnsi="Arial Regular" w:cs="Arial Regular"/>
                <w:sz w:val="20"/>
                <w:szCs w:val="20"/>
              </w:rPr>
            </w:pPr>
            <w:r>
              <w:rPr>
                <w:rFonts w:hint="default" w:ascii="Arial Regular" w:hAnsi="Arial Regular" w:cs="Arial Regular"/>
                <w:sz w:val="20"/>
                <w:szCs w:val="20"/>
              </w:rPr>
              <w:t>[Ar] 3d</w:t>
            </w:r>
            <w:r>
              <w:rPr>
                <w:rFonts w:hint="default" w:ascii="Arial Regular" w:hAnsi="Arial Regular" w:cs="Arial Regular"/>
                <w:sz w:val="20"/>
                <w:szCs w:val="20"/>
                <w:vertAlign w:val="superscript"/>
              </w:rPr>
              <w:t>9</w:t>
            </w:r>
          </w:p>
        </w:tc>
        <w:tc>
          <w:tcPr>
            <w:tcW w:w="1134" w:type="dxa"/>
            <w:tcBorders>
              <w:top w:val="single" w:color="FFFFFF" w:sz="8" w:space="0"/>
              <w:left w:val="single" w:color="FFFFFF" w:sz="8" w:space="0"/>
              <w:bottom w:val="single" w:color="FFFFFF" w:sz="8" w:space="0"/>
              <w:right w:val="single" w:color="FFFFFF" w:sz="8" w:space="0"/>
            </w:tcBorders>
            <w:shd w:val="clear" w:color="auto" w:fill="auto"/>
            <w:tcMar>
              <w:top w:w="72" w:type="dxa"/>
              <w:left w:w="144" w:type="dxa"/>
              <w:bottom w:w="72" w:type="dxa"/>
              <w:right w:w="144" w:type="dxa"/>
            </w:tcMar>
            <w:vAlign w:val="center"/>
          </w:tcPr>
          <w:p w14:paraId="7D50A269">
            <w:pPr>
              <w:pStyle w:val="42"/>
              <w:jc w:val="center"/>
              <w:rPr>
                <w:rFonts w:hint="default" w:ascii="Arial Regular" w:hAnsi="Arial Regular" w:cs="Arial Regular"/>
                <w:sz w:val="20"/>
                <w:szCs w:val="20"/>
              </w:rPr>
            </w:pPr>
            <w:r>
              <w:rPr>
                <w:rFonts w:hint="default" w:ascii="Arial Regular" w:hAnsi="Arial Regular" w:cs="Arial Regular"/>
                <w:sz w:val="20"/>
                <w:szCs w:val="20"/>
              </w:rPr>
              <w:t>[Ar] 3d</w:t>
            </w:r>
            <w:r>
              <w:rPr>
                <w:rFonts w:hint="default" w:ascii="Arial Regular" w:hAnsi="Arial Regular" w:cs="Arial Regular"/>
                <w:sz w:val="20"/>
                <w:szCs w:val="20"/>
                <w:vertAlign w:val="superscript"/>
              </w:rPr>
              <w:t>6</w:t>
            </w:r>
          </w:p>
        </w:tc>
        <w:tc>
          <w:tcPr>
            <w:tcW w:w="1134" w:type="dxa"/>
            <w:tcBorders>
              <w:top w:val="single" w:color="FFFFFF" w:sz="8" w:space="0"/>
              <w:left w:val="single" w:color="FFFFFF" w:sz="8" w:space="0"/>
              <w:bottom w:val="single" w:color="FFFFFF" w:sz="8" w:space="0"/>
              <w:right w:val="single" w:color="FFFFFF" w:sz="8" w:space="0"/>
            </w:tcBorders>
            <w:shd w:val="clear" w:color="auto" w:fill="auto"/>
            <w:tcMar>
              <w:top w:w="72" w:type="dxa"/>
              <w:left w:w="144" w:type="dxa"/>
              <w:bottom w:w="72" w:type="dxa"/>
              <w:right w:w="144" w:type="dxa"/>
            </w:tcMar>
            <w:vAlign w:val="center"/>
          </w:tcPr>
          <w:p w14:paraId="4F28B32A">
            <w:pPr>
              <w:pStyle w:val="42"/>
              <w:jc w:val="center"/>
              <w:rPr>
                <w:rFonts w:hint="default" w:ascii="Arial Regular" w:hAnsi="Arial Regular" w:cs="Arial Regular"/>
                <w:sz w:val="20"/>
                <w:szCs w:val="20"/>
              </w:rPr>
            </w:pPr>
            <w:r>
              <w:rPr>
                <w:rFonts w:hint="default" w:ascii="Arial Regular" w:hAnsi="Arial Regular" w:cs="Arial Regular"/>
                <w:sz w:val="20"/>
                <w:szCs w:val="20"/>
              </w:rPr>
              <w:t>[Ar] 3d</w:t>
            </w:r>
            <w:r>
              <w:rPr>
                <w:rFonts w:hint="default" w:ascii="Arial Regular" w:hAnsi="Arial Regular" w:cs="Arial Regular"/>
                <w:sz w:val="20"/>
                <w:szCs w:val="20"/>
                <w:vertAlign w:val="superscript"/>
              </w:rPr>
              <w:t>5</w:t>
            </w:r>
          </w:p>
        </w:tc>
      </w:tr>
      <w:tr w14:paraId="44F593BF">
        <w:trPr>
          <w:trHeight w:val="113" w:hRule="atLeast"/>
          <w:jc w:val="center"/>
        </w:trPr>
        <w:tc>
          <w:tcPr>
            <w:tcW w:w="3416" w:type="dxa"/>
            <w:tcBorders>
              <w:top w:val="single" w:color="FFFFFF" w:sz="8" w:space="0"/>
              <w:left w:val="single" w:color="FFFFFF" w:sz="8" w:space="0"/>
              <w:bottom w:val="single" w:color="FFFFFF" w:sz="8" w:space="0"/>
              <w:right w:val="single" w:color="FFFFFF" w:sz="8" w:space="0"/>
            </w:tcBorders>
            <w:shd w:val="clear" w:color="auto" w:fill="auto"/>
            <w:tcMar>
              <w:top w:w="72" w:type="dxa"/>
              <w:left w:w="144" w:type="dxa"/>
              <w:bottom w:w="72" w:type="dxa"/>
              <w:right w:w="144" w:type="dxa"/>
            </w:tcMar>
            <w:vAlign w:val="center"/>
          </w:tcPr>
          <w:p w14:paraId="26719BBE">
            <w:pPr>
              <w:pStyle w:val="42"/>
              <w:jc w:val="center"/>
              <w:rPr>
                <w:rFonts w:hint="default" w:ascii="Arial Regular" w:hAnsi="Arial Regular" w:cs="Arial Regular"/>
                <w:sz w:val="20"/>
                <w:szCs w:val="20"/>
              </w:rPr>
            </w:pPr>
            <w:r>
              <w:rPr>
                <w:rFonts w:hint="default" w:ascii="Arial Regular" w:hAnsi="Arial Regular" w:cs="Arial Regular"/>
                <w:sz w:val="20"/>
                <w:szCs w:val="20"/>
              </w:rPr>
              <w:t>Ionic radius (nm)</w:t>
            </w:r>
          </w:p>
        </w:tc>
        <w:tc>
          <w:tcPr>
            <w:tcW w:w="1134" w:type="dxa"/>
            <w:tcBorders>
              <w:top w:val="single" w:color="FFFFFF" w:sz="8" w:space="0"/>
              <w:left w:val="single" w:color="FFFFFF" w:sz="8" w:space="0"/>
              <w:bottom w:val="single" w:color="FFFFFF" w:sz="8" w:space="0"/>
              <w:right w:val="single" w:color="FFFFFF" w:sz="8" w:space="0"/>
            </w:tcBorders>
            <w:shd w:val="clear" w:color="auto" w:fill="auto"/>
            <w:tcMar>
              <w:top w:w="72" w:type="dxa"/>
              <w:left w:w="144" w:type="dxa"/>
              <w:bottom w:w="72" w:type="dxa"/>
              <w:right w:w="144" w:type="dxa"/>
            </w:tcMar>
            <w:vAlign w:val="center"/>
          </w:tcPr>
          <w:p w14:paraId="452CE081">
            <w:pPr>
              <w:pStyle w:val="42"/>
              <w:jc w:val="center"/>
              <w:rPr>
                <w:rFonts w:hint="default" w:ascii="Arial Regular" w:hAnsi="Arial Regular" w:cs="Arial Regular"/>
                <w:sz w:val="20"/>
                <w:szCs w:val="20"/>
              </w:rPr>
            </w:pPr>
            <w:r>
              <w:rPr>
                <w:rFonts w:hint="default" w:ascii="Arial Regular" w:hAnsi="Arial Regular" w:cs="Arial Regular"/>
                <w:sz w:val="20"/>
                <w:szCs w:val="20"/>
              </w:rPr>
              <w:t>0.074</w:t>
            </w:r>
          </w:p>
        </w:tc>
        <w:tc>
          <w:tcPr>
            <w:tcW w:w="1134" w:type="dxa"/>
            <w:tcBorders>
              <w:top w:val="single" w:color="FFFFFF" w:sz="8" w:space="0"/>
              <w:left w:val="single" w:color="FFFFFF" w:sz="8" w:space="0"/>
              <w:bottom w:val="single" w:color="FFFFFF" w:sz="8" w:space="0"/>
              <w:right w:val="single" w:color="FFFFFF" w:sz="8" w:space="0"/>
            </w:tcBorders>
            <w:shd w:val="clear" w:color="auto" w:fill="auto"/>
            <w:tcMar>
              <w:top w:w="72" w:type="dxa"/>
              <w:left w:w="144" w:type="dxa"/>
              <w:bottom w:w="72" w:type="dxa"/>
              <w:right w:w="144" w:type="dxa"/>
            </w:tcMar>
            <w:vAlign w:val="center"/>
          </w:tcPr>
          <w:p w14:paraId="39A15C68">
            <w:pPr>
              <w:pStyle w:val="42"/>
              <w:jc w:val="center"/>
              <w:rPr>
                <w:rFonts w:hint="default" w:ascii="Arial Regular" w:hAnsi="Arial Regular" w:cs="Arial Regular"/>
                <w:sz w:val="20"/>
                <w:szCs w:val="20"/>
              </w:rPr>
            </w:pPr>
            <w:r>
              <w:rPr>
                <w:rFonts w:hint="default" w:ascii="Arial Regular" w:hAnsi="Arial Regular" w:cs="Arial Regular"/>
                <w:sz w:val="20"/>
                <w:szCs w:val="20"/>
              </w:rPr>
              <w:t>0.072</w:t>
            </w:r>
          </w:p>
        </w:tc>
        <w:tc>
          <w:tcPr>
            <w:tcW w:w="1134" w:type="dxa"/>
            <w:tcBorders>
              <w:top w:val="single" w:color="FFFFFF" w:sz="8" w:space="0"/>
              <w:left w:val="single" w:color="FFFFFF" w:sz="8" w:space="0"/>
              <w:bottom w:val="single" w:color="FFFFFF" w:sz="8" w:space="0"/>
              <w:right w:val="single" w:color="FFFFFF" w:sz="8" w:space="0"/>
            </w:tcBorders>
            <w:shd w:val="clear" w:color="auto" w:fill="auto"/>
            <w:tcMar>
              <w:top w:w="72" w:type="dxa"/>
              <w:left w:w="144" w:type="dxa"/>
              <w:bottom w:w="72" w:type="dxa"/>
              <w:right w:w="144" w:type="dxa"/>
            </w:tcMar>
            <w:vAlign w:val="center"/>
          </w:tcPr>
          <w:p w14:paraId="043E631C">
            <w:pPr>
              <w:pStyle w:val="42"/>
              <w:jc w:val="center"/>
              <w:rPr>
                <w:rFonts w:hint="default" w:ascii="Arial Regular" w:hAnsi="Arial Regular" w:cs="Arial Regular"/>
                <w:sz w:val="20"/>
                <w:szCs w:val="20"/>
              </w:rPr>
            </w:pPr>
            <w:r>
              <w:rPr>
                <w:rFonts w:hint="default" w:ascii="Arial Regular" w:hAnsi="Arial Regular" w:cs="Arial Regular"/>
                <w:sz w:val="20"/>
                <w:szCs w:val="20"/>
              </w:rPr>
              <w:t>0.078</w:t>
            </w:r>
          </w:p>
        </w:tc>
        <w:tc>
          <w:tcPr>
            <w:tcW w:w="1134" w:type="dxa"/>
            <w:tcBorders>
              <w:top w:val="single" w:color="FFFFFF" w:sz="8" w:space="0"/>
              <w:left w:val="single" w:color="FFFFFF" w:sz="8" w:space="0"/>
              <w:bottom w:val="single" w:color="FFFFFF" w:sz="8" w:space="0"/>
              <w:right w:val="single" w:color="FFFFFF" w:sz="8" w:space="0"/>
            </w:tcBorders>
            <w:shd w:val="clear" w:color="auto" w:fill="auto"/>
            <w:tcMar>
              <w:top w:w="72" w:type="dxa"/>
              <w:left w:w="144" w:type="dxa"/>
              <w:bottom w:w="72" w:type="dxa"/>
              <w:right w:w="144" w:type="dxa"/>
            </w:tcMar>
            <w:vAlign w:val="center"/>
          </w:tcPr>
          <w:p w14:paraId="13000786">
            <w:pPr>
              <w:pStyle w:val="42"/>
              <w:jc w:val="center"/>
              <w:rPr>
                <w:rFonts w:hint="default" w:ascii="Arial Regular" w:hAnsi="Arial Regular" w:cs="Arial Regular"/>
                <w:sz w:val="20"/>
                <w:szCs w:val="20"/>
              </w:rPr>
            </w:pPr>
            <w:r>
              <w:rPr>
                <w:rFonts w:hint="default" w:ascii="Arial Regular" w:hAnsi="Arial Regular" w:cs="Arial Regular"/>
                <w:sz w:val="20"/>
                <w:szCs w:val="20"/>
              </w:rPr>
              <w:t>0.083</w:t>
            </w:r>
          </w:p>
        </w:tc>
      </w:tr>
      <w:tr w14:paraId="53DAED7C">
        <w:trPr>
          <w:trHeight w:val="113" w:hRule="atLeast"/>
          <w:jc w:val="center"/>
        </w:trPr>
        <w:tc>
          <w:tcPr>
            <w:tcW w:w="3416" w:type="dxa"/>
            <w:tcBorders>
              <w:top w:val="single" w:color="FFFFFF" w:sz="8" w:space="0"/>
              <w:left w:val="single" w:color="FFFFFF" w:sz="8" w:space="0"/>
              <w:bottom w:val="single" w:color="FFFFFF" w:sz="8" w:space="0"/>
              <w:right w:val="single" w:color="FFFFFF" w:sz="8" w:space="0"/>
            </w:tcBorders>
            <w:shd w:val="clear" w:color="auto" w:fill="auto"/>
            <w:tcMar>
              <w:top w:w="72" w:type="dxa"/>
              <w:left w:w="144" w:type="dxa"/>
              <w:bottom w:w="72" w:type="dxa"/>
              <w:right w:w="144" w:type="dxa"/>
            </w:tcMar>
            <w:vAlign w:val="center"/>
          </w:tcPr>
          <w:p w14:paraId="77D439E9">
            <w:pPr>
              <w:pStyle w:val="42"/>
              <w:jc w:val="center"/>
              <w:rPr>
                <w:rFonts w:hint="default" w:ascii="Arial Regular" w:hAnsi="Arial Regular" w:cs="Arial Regular"/>
                <w:sz w:val="20"/>
                <w:szCs w:val="20"/>
              </w:rPr>
            </w:pPr>
            <w:r>
              <w:rPr>
                <w:rFonts w:hint="default" w:ascii="Arial Regular" w:hAnsi="Arial Regular" w:cs="Arial Regular"/>
                <w:sz w:val="20"/>
                <w:szCs w:val="20"/>
              </w:rPr>
              <w:t>Hydrated ionic radii (nm)</w:t>
            </w:r>
          </w:p>
        </w:tc>
        <w:tc>
          <w:tcPr>
            <w:tcW w:w="1134" w:type="dxa"/>
            <w:tcBorders>
              <w:top w:val="single" w:color="FFFFFF" w:sz="8" w:space="0"/>
              <w:left w:val="single" w:color="FFFFFF" w:sz="8" w:space="0"/>
              <w:bottom w:val="single" w:color="FFFFFF" w:sz="8" w:space="0"/>
              <w:right w:val="single" w:color="FFFFFF" w:sz="8" w:space="0"/>
            </w:tcBorders>
            <w:shd w:val="clear" w:color="auto" w:fill="auto"/>
            <w:tcMar>
              <w:top w:w="72" w:type="dxa"/>
              <w:left w:w="144" w:type="dxa"/>
              <w:bottom w:w="72" w:type="dxa"/>
              <w:right w:w="144" w:type="dxa"/>
            </w:tcMar>
            <w:vAlign w:val="center"/>
          </w:tcPr>
          <w:p w14:paraId="61758152">
            <w:pPr>
              <w:pStyle w:val="42"/>
              <w:jc w:val="center"/>
              <w:rPr>
                <w:rFonts w:hint="default" w:ascii="Arial Regular" w:hAnsi="Arial Regular" w:cs="Arial Regular"/>
                <w:sz w:val="20"/>
                <w:szCs w:val="20"/>
              </w:rPr>
            </w:pPr>
            <w:r>
              <w:rPr>
                <w:rFonts w:hint="default" w:ascii="Arial Regular" w:hAnsi="Arial Regular" w:cs="Arial Regular"/>
                <w:sz w:val="20"/>
                <w:szCs w:val="20"/>
              </w:rPr>
              <w:t>0.65</w:t>
            </w:r>
          </w:p>
        </w:tc>
        <w:tc>
          <w:tcPr>
            <w:tcW w:w="1134" w:type="dxa"/>
            <w:tcBorders>
              <w:top w:val="single" w:color="FFFFFF" w:sz="8" w:space="0"/>
              <w:left w:val="single" w:color="FFFFFF" w:sz="8" w:space="0"/>
              <w:bottom w:val="single" w:color="FFFFFF" w:sz="8" w:space="0"/>
              <w:right w:val="single" w:color="FFFFFF" w:sz="8" w:space="0"/>
            </w:tcBorders>
            <w:shd w:val="clear" w:color="auto" w:fill="auto"/>
            <w:tcMar>
              <w:top w:w="72" w:type="dxa"/>
              <w:left w:w="144" w:type="dxa"/>
              <w:bottom w:w="72" w:type="dxa"/>
              <w:right w:w="144" w:type="dxa"/>
            </w:tcMar>
            <w:vAlign w:val="center"/>
          </w:tcPr>
          <w:p w14:paraId="044B10AD">
            <w:pPr>
              <w:pStyle w:val="42"/>
              <w:jc w:val="center"/>
              <w:rPr>
                <w:rFonts w:hint="default" w:ascii="Arial Regular" w:hAnsi="Arial Regular" w:cs="Arial Regular"/>
                <w:sz w:val="20"/>
                <w:szCs w:val="20"/>
              </w:rPr>
            </w:pPr>
            <w:r>
              <w:rPr>
                <w:rFonts w:hint="default" w:ascii="Arial Regular" w:hAnsi="Arial Regular" w:cs="Arial Regular"/>
                <w:sz w:val="20"/>
                <w:szCs w:val="20"/>
              </w:rPr>
              <w:t>0.419</w:t>
            </w:r>
          </w:p>
        </w:tc>
        <w:tc>
          <w:tcPr>
            <w:tcW w:w="1134" w:type="dxa"/>
            <w:tcBorders>
              <w:top w:val="single" w:color="FFFFFF" w:sz="8" w:space="0"/>
              <w:left w:val="single" w:color="FFFFFF" w:sz="8" w:space="0"/>
              <w:bottom w:val="single" w:color="FFFFFF" w:sz="8" w:space="0"/>
              <w:right w:val="single" w:color="FFFFFF" w:sz="8" w:space="0"/>
            </w:tcBorders>
            <w:shd w:val="clear" w:color="auto" w:fill="auto"/>
            <w:tcMar>
              <w:top w:w="72" w:type="dxa"/>
              <w:left w:w="144" w:type="dxa"/>
              <w:bottom w:w="72" w:type="dxa"/>
              <w:right w:w="144" w:type="dxa"/>
            </w:tcMar>
            <w:vAlign w:val="center"/>
          </w:tcPr>
          <w:p w14:paraId="396512FE">
            <w:pPr>
              <w:pStyle w:val="42"/>
              <w:jc w:val="center"/>
              <w:rPr>
                <w:rFonts w:hint="default" w:ascii="Arial Regular" w:hAnsi="Arial Regular" w:cs="Arial Regular"/>
                <w:sz w:val="20"/>
                <w:szCs w:val="20"/>
              </w:rPr>
            </w:pPr>
            <w:r>
              <w:rPr>
                <w:rFonts w:hint="default" w:ascii="Arial Regular" w:hAnsi="Arial Regular" w:cs="Arial Regular"/>
                <w:sz w:val="20"/>
                <w:szCs w:val="20"/>
              </w:rPr>
              <w:t>0.428</w:t>
            </w:r>
          </w:p>
        </w:tc>
        <w:tc>
          <w:tcPr>
            <w:tcW w:w="1134" w:type="dxa"/>
            <w:tcBorders>
              <w:top w:val="single" w:color="FFFFFF" w:sz="8" w:space="0"/>
              <w:left w:val="single" w:color="FFFFFF" w:sz="8" w:space="0"/>
              <w:bottom w:val="single" w:color="FFFFFF" w:sz="8" w:space="0"/>
              <w:right w:val="single" w:color="FFFFFF" w:sz="8" w:space="0"/>
            </w:tcBorders>
            <w:shd w:val="clear" w:color="auto" w:fill="auto"/>
            <w:tcMar>
              <w:top w:w="72" w:type="dxa"/>
              <w:left w:w="144" w:type="dxa"/>
              <w:bottom w:w="72" w:type="dxa"/>
              <w:right w:w="144" w:type="dxa"/>
            </w:tcMar>
            <w:vAlign w:val="center"/>
          </w:tcPr>
          <w:p w14:paraId="356B36E0">
            <w:pPr>
              <w:pStyle w:val="42"/>
              <w:jc w:val="center"/>
              <w:rPr>
                <w:rFonts w:hint="default" w:ascii="Arial Regular" w:hAnsi="Arial Regular" w:cs="Arial Regular"/>
                <w:sz w:val="20"/>
                <w:szCs w:val="20"/>
              </w:rPr>
            </w:pPr>
            <w:r>
              <w:rPr>
                <w:rFonts w:hint="default" w:ascii="Arial Regular" w:hAnsi="Arial Regular" w:cs="Arial Regular"/>
                <w:sz w:val="20"/>
                <w:szCs w:val="20"/>
              </w:rPr>
              <w:t>0.67</w:t>
            </w:r>
          </w:p>
        </w:tc>
      </w:tr>
      <w:tr w14:paraId="4AE3FA5D">
        <w:trPr>
          <w:trHeight w:val="113" w:hRule="atLeast"/>
          <w:jc w:val="center"/>
        </w:trPr>
        <w:tc>
          <w:tcPr>
            <w:tcW w:w="3416" w:type="dxa"/>
            <w:tcBorders>
              <w:top w:val="single" w:color="FFFFFF" w:sz="8" w:space="0"/>
              <w:left w:val="single" w:color="FFFFFF" w:sz="8" w:space="0"/>
              <w:bottom w:val="single" w:color="FFFFFF" w:sz="8" w:space="0"/>
              <w:right w:val="single" w:color="FFFFFF" w:sz="8" w:space="0"/>
            </w:tcBorders>
            <w:shd w:val="clear" w:color="auto" w:fill="auto"/>
            <w:tcMar>
              <w:top w:w="72" w:type="dxa"/>
              <w:left w:w="144" w:type="dxa"/>
              <w:bottom w:w="72" w:type="dxa"/>
              <w:right w:w="144" w:type="dxa"/>
            </w:tcMar>
            <w:vAlign w:val="center"/>
          </w:tcPr>
          <w:p w14:paraId="18939D3B">
            <w:pPr>
              <w:pStyle w:val="42"/>
              <w:jc w:val="center"/>
              <w:rPr>
                <w:rFonts w:hint="default" w:ascii="Arial Regular" w:hAnsi="Arial Regular" w:cs="Arial Regular"/>
                <w:sz w:val="20"/>
                <w:szCs w:val="20"/>
              </w:rPr>
            </w:pPr>
            <w:r>
              <w:rPr>
                <w:rFonts w:hint="default" w:ascii="Arial Regular" w:hAnsi="Arial Regular" w:cs="Arial Regular"/>
                <w:sz w:val="20"/>
                <w:szCs w:val="20"/>
              </w:rPr>
              <w:t>Van der Waals Atomic Radius (pm)</w:t>
            </w:r>
          </w:p>
        </w:tc>
        <w:tc>
          <w:tcPr>
            <w:tcW w:w="1134" w:type="dxa"/>
            <w:tcBorders>
              <w:top w:val="single" w:color="FFFFFF" w:sz="8" w:space="0"/>
              <w:left w:val="single" w:color="FFFFFF" w:sz="8" w:space="0"/>
              <w:bottom w:val="single" w:color="FFFFFF" w:sz="8" w:space="0"/>
              <w:right w:val="single" w:color="FFFFFF" w:sz="8" w:space="0"/>
            </w:tcBorders>
            <w:shd w:val="clear" w:color="auto" w:fill="auto"/>
            <w:tcMar>
              <w:top w:w="72" w:type="dxa"/>
              <w:left w:w="144" w:type="dxa"/>
              <w:bottom w:w="72" w:type="dxa"/>
              <w:right w:w="144" w:type="dxa"/>
            </w:tcMar>
            <w:vAlign w:val="center"/>
          </w:tcPr>
          <w:p w14:paraId="049CEAD4">
            <w:pPr>
              <w:pStyle w:val="42"/>
              <w:jc w:val="center"/>
              <w:rPr>
                <w:rFonts w:hint="default" w:ascii="Arial Regular" w:hAnsi="Arial Regular" w:cs="Arial Regular"/>
                <w:sz w:val="20"/>
                <w:szCs w:val="20"/>
              </w:rPr>
            </w:pPr>
            <w:r>
              <w:rPr>
                <w:rFonts w:hint="default" w:ascii="Arial Regular" w:hAnsi="Arial Regular" w:cs="Arial Regular"/>
                <w:sz w:val="20"/>
                <w:szCs w:val="20"/>
              </w:rPr>
              <w:t>192</w:t>
            </w:r>
          </w:p>
        </w:tc>
        <w:tc>
          <w:tcPr>
            <w:tcW w:w="1134" w:type="dxa"/>
            <w:tcBorders>
              <w:top w:val="single" w:color="FFFFFF" w:sz="8" w:space="0"/>
              <w:left w:val="single" w:color="FFFFFF" w:sz="8" w:space="0"/>
              <w:bottom w:val="single" w:color="FFFFFF" w:sz="8" w:space="0"/>
              <w:right w:val="single" w:color="FFFFFF" w:sz="8" w:space="0"/>
            </w:tcBorders>
            <w:shd w:val="clear" w:color="auto" w:fill="auto"/>
            <w:tcMar>
              <w:top w:w="72" w:type="dxa"/>
              <w:left w:w="144" w:type="dxa"/>
              <w:bottom w:w="72" w:type="dxa"/>
              <w:right w:w="144" w:type="dxa"/>
            </w:tcMar>
            <w:vAlign w:val="center"/>
          </w:tcPr>
          <w:p w14:paraId="04F2E384">
            <w:pPr>
              <w:pStyle w:val="42"/>
              <w:jc w:val="center"/>
              <w:rPr>
                <w:rFonts w:hint="default" w:ascii="Arial Regular" w:hAnsi="Arial Regular" w:cs="Arial Regular"/>
                <w:sz w:val="20"/>
                <w:szCs w:val="20"/>
              </w:rPr>
            </w:pPr>
            <w:r>
              <w:rPr>
                <w:rFonts w:hint="default" w:ascii="Arial Regular" w:hAnsi="Arial Regular" w:cs="Arial Regular"/>
                <w:sz w:val="20"/>
                <w:szCs w:val="20"/>
              </w:rPr>
              <w:t>140</w:t>
            </w:r>
          </w:p>
        </w:tc>
        <w:tc>
          <w:tcPr>
            <w:tcW w:w="1134" w:type="dxa"/>
            <w:tcBorders>
              <w:top w:val="single" w:color="FFFFFF" w:sz="8" w:space="0"/>
              <w:left w:val="single" w:color="FFFFFF" w:sz="8" w:space="0"/>
              <w:bottom w:val="single" w:color="FFFFFF" w:sz="8" w:space="0"/>
              <w:right w:val="single" w:color="FFFFFF" w:sz="8" w:space="0"/>
            </w:tcBorders>
            <w:shd w:val="clear" w:color="auto" w:fill="auto"/>
            <w:tcMar>
              <w:top w:w="72" w:type="dxa"/>
              <w:left w:w="144" w:type="dxa"/>
              <w:bottom w:w="72" w:type="dxa"/>
              <w:right w:w="144" w:type="dxa"/>
            </w:tcMar>
            <w:vAlign w:val="center"/>
          </w:tcPr>
          <w:p w14:paraId="34072406">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1134" w:type="dxa"/>
            <w:tcBorders>
              <w:top w:val="single" w:color="FFFFFF" w:sz="8" w:space="0"/>
              <w:left w:val="single" w:color="FFFFFF" w:sz="8" w:space="0"/>
              <w:bottom w:val="single" w:color="FFFFFF" w:sz="8" w:space="0"/>
              <w:right w:val="single" w:color="FFFFFF" w:sz="8" w:space="0"/>
            </w:tcBorders>
            <w:shd w:val="clear" w:color="auto" w:fill="auto"/>
            <w:tcMar>
              <w:top w:w="72" w:type="dxa"/>
              <w:left w:w="144" w:type="dxa"/>
              <w:bottom w:w="72" w:type="dxa"/>
              <w:right w:w="144" w:type="dxa"/>
            </w:tcMar>
            <w:vAlign w:val="center"/>
          </w:tcPr>
          <w:p w14:paraId="7FAA56F3">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r>
      <w:tr w14:paraId="04F9A1D8">
        <w:trPr>
          <w:trHeight w:val="113" w:hRule="atLeast"/>
          <w:jc w:val="center"/>
        </w:trPr>
        <w:tc>
          <w:tcPr>
            <w:tcW w:w="3416" w:type="dxa"/>
            <w:tcBorders>
              <w:top w:val="single" w:color="FFFFFF" w:sz="8" w:space="0"/>
              <w:left w:val="single" w:color="FFFFFF" w:sz="8" w:space="0"/>
              <w:bottom w:val="single" w:color="FFFFFF" w:sz="8" w:space="0"/>
              <w:right w:val="single" w:color="FFFFFF" w:sz="8" w:space="0"/>
            </w:tcBorders>
            <w:shd w:val="clear" w:color="auto" w:fill="auto"/>
            <w:tcMar>
              <w:top w:w="72" w:type="dxa"/>
              <w:left w:w="144" w:type="dxa"/>
              <w:bottom w:w="72" w:type="dxa"/>
              <w:right w:w="144" w:type="dxa"/>
            </w:tcMar>
            <w:vAlign w:val="center"/>
          </w:tcPr>
          <w:p w14:paraId="5D100E17">
            <w:pPr>
              <w:pStyle w:val="42"/>
              <w:jc w:val="center"/>
              <w:rPr>
                <w:rFonts w:hint="default" w:ascii="Arial Regular" w:hAnsi="Arial Regular" w:cs="Arial Regular"/>
                <w:sz w:val="20"/>
                <w:szCs w:val="20"/>
              </w:rPr>
            </w:pPr>
            <w:r>
              <w:rPr>
                <w:rFonts w:hint="default" w:ascii="Arial Regular" w:hAnsi="Arial Regular" w:cs="Arial Regular"/>
                <w:sz w:val="20"/>
                <w:szCs w:val="20"/>
              </w:rPr>
              <w:t>Covalent Radius (pm)</w:t>
            </w:r>
          </w:p>
        </w:tc>
        <w:tc>
          <w:tcPr>
            <w:tcW w:w="1134" w:type="dxa"/>
            <w:tcBorders>
              <w:top w:val="single" w:color="FFFFFF" w:sz="8" w:space="0"/>
              <w:left w:val="single" w:color="FFFFFF" w:sz="8" w:space="0"/>
              <w:bottom w:val="single" w:color="FFFFFF" w:sz="8" w:space="0"/>
              <w:right w:val="single" w:color="FFFFFF" w:sz="8" w:space="0"/>
            </w:tcBorders>
            <w:shd w:val="clear" w:color="auto" w:fill="auto"/>
            <w:tcMar>
              <w:top w:w="72" w:type="dxa"/>
              <w:left w:w="144" w:type="dxa"/>
              <w:bottom w:w="72" w:type="dxa"/>
              <w:right w:w="144" w:type="dxa"/>
            </w:tcMar>
            <w:vAlign w:val="center"/>
          </w:tcPr>
          <w:p w14:paraId="516DD068">
            <w:pPr>
              <w:pStyle w:val="42"/>
              <w:jc w:val="center"/>
              <w:rPr>
                <w:rFonts w:hint="default" w:ascii="Arial Regular" w:hAnsi="Arial Regular" w:cs="Arial Regular"/>
                <w:sz w:val="20"/>
                <w:szCs w:val="20"/>
              </w:rPr>
            </w:pPr>
            <w:r>
              <w:rPr>
                <w:rFonts w:hint="default" w:ascii="Arial Regular" w:hAnsi="Arial Regular" w:cs="Arial Regular"/>
                <w:sz w:val="20"/>
                <w:szCs w:val="20"/>
              </w:rPr>
              <w:t>126</w:t>
            </w:r>
          </w:p>
        </w:tc>
        <w:tc>
          <w:tcPr>
            <w:tcW w:w="1134" w:type="dxa"/>
            <w:tcBorders>
              <w:top w:val="single" w:color="FFFFFF" w:sz="8" w:space="0"/>
              <w:left w:val="single" w:color="FFFFFF" w:sz="8" w:space="0"/>
              <w:bottom w:val="single" w:color="FFFFFF" w:sz="8" w:space="0"/>
              <w:right w:val="single" w:color="FFFFFF" w:sz="8" w:space="0"/>
            </w:tcBorders>
            <w:shd w:val="clear" w:color="auto" w:fill="auto"/>
            <w:tcMar>
              <w:top w:w="72" w:type="dxa"/>
              <w:left w:w="144" w:type="dxa"/>
              <w:bottom w:w="72" w:type="dxa"/>
              <w:right w:w="144" w:type="dxa"/>
            </w:tcMar>
            <w:vAlign w:val="center"/>
          </w:tcPr>
          <w:p w14:paraId="3D343ADC">
            <w:pPr>
              <w:pStyle w:val="42"/>
              <w:jc w:val="center"/>
              <w:rPr>
                <w:rFonts w:hint="default" w:ascii="Arial Regular" w:hAnsi="Arial Regular" w:cs="Arial Regular"/>
                <w:sz w:val="20"/>
                <w:szCs w:val="20"/>
              </w:rPr>
            </w:pPr>
            <w:r>
              <w:rPr>
                <w:rFonts w:hint="default" w:ascii="Arial Regular" w:hAnsi="Arial Regular" w:cs="Arial Regular"/>
                <w:sz w:val="20"/>
                <w:szCs w:val="20"/>
              </w:rPr>
              <w:t>132</w:t>
            </w:r>
          </w:p>
        </w:tc>
        <w:tc>
          <w:tcPr>
            <w:tcW w:w="1134" w:type="dxa"/>
            <w:tcBorders>
              <w:top w:val="single" w:color="FFFFFF" w:sz="8" w:space="0"/>
              <w:left w:val="single" w:color="FFFFFF" w:sz="8" w:space="0"/>
              <w:bottom w:val="single" w:color="FFFFFF" w:sz="8" w:space="0"/>
              <w:right w:val="single" w:color="FFFFFF" w:sz="8" w:space="0"/>
            </w:tcBorders>
            <w:shd w:val="clear" w:color="auto" w:fill="auto"/>
            <w:tcMar>
              <w:top w:w="72" w:type="dxa"/>
              <w:left w:w="144" w:type="dxa"/>
              <w:bottom w:w="72" w:type="dxa"/>
              <w:right w:w="144" w:type="dxa"/>
            </w:tcMar>
            <w:vAlign w:val="center"/>
          </w:tcPr>
          <w:p w14:paraId="77CECCBD">
            <w:pPr>
              <w:pStyle w:val="42"/>
              <w:jc w:val="center"/>
              <w:rPr>
                <w:rFonts w:hint="default" w:ascii="Arial Regular" w:hAnsi="Arial Regular" w:cs="Arial Regular"/>
                <w:sz w:val="20"/>
                <w:szCs w:val="20"/>
              </w:rPr>
            </w:pPr>
            <w:r>
              <w:rPr>
                <w:rFonts w:hint="default" w:ascii="Arial Regular" w:hAnsi="Arial Regular" w:cs="Arial Regular"/>
                <w:sz w:val="20"/>
                <w:szCs w:val="20"/>
              </w:rPr>
              <w:t>132</w:t>
            </w:r>
          </w:p>
        </w:tc>
        <w:tc>
          <w:tcPr>
            <w:tcW w:w="1134" w:type="dxa"/>
            <w:tcBorders>
              <w:top w:val="single" w:color="FFFFFF" w:sz="8" w:space="0"/>
              <w:left w:val="single" w:color="FFFFFF" w:sz="8" w:space="0"/>
              <w:bottom w:val="single" w:color="FFFFFF" w:sz="8" w:space="0"/>
              <w:right w:val="single" w:color="FFFFFF" w:sz="8" w:space="0"/>
            </w:tcBorders>
            <w:shd w:val="clear" w:color="auto" w:fill="auto"/>
            <w:tcMar>
              <w:top w:w="72" w:type="dxa"/>
              <w:left w:w="144" w:type="dxa"/>
              <w:bottom w:w="72" w:type="dxa"/>
              <w:right w:w="144" w:type="dxa"/>
            </w:tcMar>
            <w:vAlign w:val="center"/>
          </w:tcPr>
          <w:p w14:paraId="22240ADD">
            <w:pPr>
              <w:pStyle w:val="42"/>
              <w:jc w:val="center"/>
              <w:rPr>
                <w:rFonts w:hint="default" w:ascii="Arial Regular" w:hAnsi="Arial Regular" w:cs="Arial Regular"/>
                <w:sz w:val="20"/>
                <w:szCs w:val="20"/>
              </w:rPr>
            </w:pPr>
            <w:r>
              <w:rPr>
                <w:rFonts w:hint="default" w:ascii="Arial Regular" w:hAnsi="Arial Regular" w:cs="Arial Regular"/>
                <w:sz w:val="20"/>
                <w:szCs w:val="20"/>
              </w:rPr>
              <w:t>139</w:t>
            </w:r>
          </w:p>
        </w:tc>
      </w:tr>
      <w:tr w14:paraId="578A8213">
        <w:trPr>
          <w:trHeight w:val="113" w:hRule="atLeast"/>
          <w:jc w:val="center"/>
        </w:trPr>
        <w:tc>
          <w:tcPr>
            <w:tcW w:w="3416" w:type="dxa"/>
            <w:tcBorders>
              <w:top w:val="single" w:color="FFFFFF" w:sz="8" w:space="0"/>
              <w:left w:val="single" w:color="FFFFFF" w:sz="8" w:space="0"/>
              <w:bottom w:val="single" w:color="FFFFFF" w:sz="8" w:space="0"/>
              <w:right w:val="single" w:color="FFFFFF" w:sz="8" w:space="0"/>
            </w:tcBorders>
            <w:shd w:val="clear" w:color="auto" w:fill="auto"/>
            <w:tcMar>
              <w:top w:w="72" w:type="dxa"/>
              <w:left w:w="144" w:type="dxa"/>
              <w:bottom w:w="72" w:type="dxa"/>
              <w:right w:w="144" w:type="dxa"/>
            </w:tcMar>
            <w:vAlign w:val="center"/>
          </w:tcPr>
          <w:p w14:paraId="5DE4BE52">
            <w:pPr>
              <w:pStyle w:val="42"/>
              <w:jc w:val="center"/>
              <w:rPr>
                <w:rFonts w:hint="default" w:ascii="Arial Regular" w:hAnsi="Arial Regular" w:cs="Arial Regular"/>
                <w:sz w:val="20"/>
                <w:szCs w:val="20"/>
              </w:rPr>
            </w:pPr>
            <w:r>
              <w:rPr>
                <w:rFonts w:hint="default" w:ascii="Arial Regular" w:hAnsi="Arial Regular" w:cs="Arial Regular"/>
                <w:sz w:val="20"/>
                <w:szCs w:val="20"/>
              </w:rPr>
              <w:t>Electron Affinity (kJ/mol)</w:t>
            </w:r>
          </w:p>
        </w:tc>
        <w:tc>
          <w:tcPr>
            <w:tcW w:w="1134" w:type="dxa"/>
            <w:tcBorders>
              <w:top w:val="single" w:color="FFFFFF" w:sz="8" w:space="0"/>
              <w:left w:val="single" w:color="FFFFFF" w:sz="8" w:space="0"/>
              <w:bottom w:val="single" w:color="FFFFFF" w:sz="8" w:space="0"/>
              <w:right w:val="single" w:color="FFFFFF" w:sz="8" w:space="0"/>
            </w:tcBorders>
            <w:shd w:val="clear" w:color="auto" w:fill="auto"/>
            <w:tcMar>
              <w:top w:w="72" w:type="dxa"/>
              <w:left w:w="144" w:type="dxa"/>
              <w:bottom w:w="72" w:type="dxa"/>
              <w:right w:w="144" w:type="dxa"/>
            </w:tcMar>
            <w:vAlign w:val="center"/>
          </w:tcPr>
          <w:p w14:paraId="3E160BF6">
            <w:pPr>
              <w:pStyle w:val="42"/>
              <w:jc w:val="center"/>
              <w:rPr>
                <w:rFonts w:hint="default" w:ascii="Arial Regular" w:hAnsi="Arial Regular" w:cs="Arial Regular"/>
                <w:sz w:val="20"/>
                <w:szCs w:val="20"/>
              </w:rPr>
            </w:pPr>
            <w:r>
              <w:rPr>
                <w:rFonts w:hint="default" w:ascii="Arial Regular" w:hAnsi="Arial Regular" w:cs="Arial Regular"/>
                <w:sz w:val="20"/>
                <w:szCs w:val="20"/>
              </w:rPr>
              <w:t>63.7</w:t>
            </w:r>
          </w:p>
        </w:tc>
        <w:tc>
          <w:tcPr>
            <w:tcW w:w="1134" w:type="dxa"/>
            <w:tcBorders>
              <w:top w:val="single" w:color="FFFFFF" w:sz="8" w:space="0"/>
              <w:left w:val="single" w:color="FFFFFF" w:sz="8" w:space="0"/>
              <w:bottom w:val="single" w:color="FFFFFF" w:sz="8" w:space="0"/>
              <w:right w:val="single" w:color="FFFFFF" w:sz="8" w:space="0"/>
            </w:tcBorders>
            <w:shd w:val="clear" w:color="auto" w:fill="auto"/>
            <w:tcMar>
              <w:top w:w="72" w:type="dxa"/>
              <w:left w:w="144" w:type="dxa"/>
              <w:bottom w:w="72" w:type="dxa"/>
              <w:right w:w="144" w:type="dxa"/>
            </w:tcMar>
            <w:vAlign w:val="center"/>
          </w:tcPr>
          <w:p w14:paraId="4933CC7B">
            <w:pPr>
              <w:pStyle w:val="42"/>
              <w:jc w:val="center"/>
              <w:rPr>
                <w:rFonts w:hint="default" w:ascii="Arial Regular" w:hAnsi="Arial Regular" w:cs="Arial Regular"/>
                <w:sz w:val="20"/>
                <w:szCs w:val="20"/>
              </w:rPr>
            </w:pPr>
            <w:r>
              <w:rPr>
                <w:rFonts w:hint="default" w:ascii="Arial Regular" w:hAnsi="Arial Regular" w:cs="Arial Regular"/>
                <w:sz w:val="20"/>
                <w:szCs w:val="20"/>
              </w:rPr>
              <w:t>118.4</w:t>
            </w:r>
          </w:p>
        </w:tc>
        <w:tc>
          <w:tcPr>
            <w:tcW w:w="1134" w:type="dxa"/>
            <w:tcBorders>
              <w:top w:val="single" w:color="FFFFFF" w:sz="8" w:space="0"/>
              <w:left w:val="single" w:color="FFFFFF" w:sz="8" w:space="0"/>
              <w:bottom w:val="single" w:color="FFFFFF" w:sz="8" w:space="0"/>
              <w:right w:val="single" w:color="FFFFFF" w:sz="8" w:space="0"/>
            </w:tcBorders>
            <w:shd w:val="clear" w:color="auto" w:fill="auto"/>
            <w:tcMar>
              <w:top w:w="72" w:type="dxa"/>
              <w:left w:w="144" w:type="dxa"/>
              <w:bottom w:w="72" w:type="dxa"/>
              <w:right w:w="144" w:type="dxa"/>
            </w:tcMar>
            <w:vAlign w:val="center"/>
          </w:tcPr>
          <w:p w14:paraId="7F9237FB">
            <w:pPr>
              <w:pStyle w:val="42"/>
              <w:jc w:val="center"/>
              <w:rPr>
                <w:rFonts w:hint="default" w:ascii="Arial Regular" w:hAnsi="Arial Regular" w:cs="Arial Regular"/>
                <w:sz w:val="20"/>
                <w:szCs w:val="20"/>
              </w:rPr>
            </w:pPr>
            <w:r>
              <w:rPr>
                <w:rFonts w:hint="default" w:ascii="Arial Regular" w:hAnsi="Arial Regular" w:cs="Arial Regular"/>
                <w:sz w:val="20"/>
                <w:szCs w:val="20"/>
              </w:rPr>
              <w:t>15.7</w:t>
            </w:r>
          </w:p>
        </w:tc>
        <w:tc>
          <w:tcPr>
            <w:tcW w:w="1134" w:type="dxa"/>
            <w:tcBorders>
              <w:top w:val="single" w:color="FFFFFF" w:sz="8" w:space="0"/>
              <w:left w:val="single" w:color="FFFFFF" w:sz="8" w:space="0"/>
              <w:bottom w:val="single" w:color="FFFFFF" w:sz="8" w:space="0"/>
              <w:right w:val="single" w:color="FFFFFF" w:sz="8" w:space="0"/>
            </w:tcBorders>
            <w:shd w:val="clear" w:color="auto" w:fill="auto"/>
            <w:tcMar>
              <w:top w:w="72" w:type="dxa"/>
              <w:left w:w="144" w:type="dxa"/>
              <w:bottom w:w="72" w:type="dxa"/>
              <w:right w:w="144" w:type="dxa"/>
            </w:tcMar>
            <w:vAlign w:val="center"/>
          </w:tcPr>
          <w:p w14:paraId="00E90CCE">
            <w:pPr>
              <w:pStyle w:val="42"/>
              <w:jc w:val="center"/>
              <w:rPr>
                <w:rFonts w:hint="default" w:ascii="Arial Regular" w:hAnsi="Arial Regular" w:cs="Arial Regular"/>
                <w:sz w:val="20"/>
                <w:szCs w:val="20"/>
              </w:rPr>
            </w:pPr>
            <w:r>
              <w:rPr>
                <w:rFonts w:hint="default" w:ascii="Arial Regular" w:hAnsi="Arial Regular" w:cs="Arial Regular"/>
                <w:sz w:val="20"/>
                <w:szCs w:val="20"/>
              </w:rPr>
              <w:t>0</w:t>
            </w:r>
          </w:p>
        </w:tc>
      </w:tr>
      <w:tr w14:paraId="4CD1B4C2">
        <w:trPr>
          <w:trHeight w:val="113" w:hRule="atLeast"/>
          <w:jc w:val="center"/>
        </w:trPr>
        <w:tc>
          <w:tcPr>
            <w:tcW w:w="3416" w:type="dxa"/>
            <w:tcBorders>
              <w:top w:val="single" w:color="FFFFFF" w:sz="8" w:space="0"/>
              <w:left w:val="single" w:color="FFFFFF" w:sz="8" w:space="0"/>
              <w:bottom w:val="single" w:color="FFFFFF" w:sz="8" w:space="0"/>
              <w:right w:val="single" w:color="FFFFFF" w:sz="8" w:space="0"/>
            </w:tcBorders>
            <w:shd w:val="clear" w:color="auto" w:fill="auto"/>
            <w:tcMar>
              <w:top w:w="72" w:type="dxa"/>
              <w:left w:w="144" w:type="dxa"/>
              <w:bottom w:w="72" w:type="dxa"/>
              <w:right w:w="144" w:type="dxa"/>
            </w:tcMar>
            <w:vAlign w:val="center"/>
          </w:tcPr>
          <w:p w14:paraId="0968B20E">
            <w:pPr>
              <w:pStyle w:val="42"/>
              <w:jc w:val="center"/>
              <w:rPr>
                <w:rFonts w:hint="default" w:ascii="Arial Regular" w:hAnsi="Arial Regular" w:cs="Arial Regular"/>
                <w:sz w:val="20"/>
                <w:szCs w:val="20"/>
              </w:rPr>
            </w:pPr>
            <w:r>
              <w:rPr>
                <w:rFonts w:hint="default" w:ascii="Arial Regular" w:hAnsi="Arial Regular" w:cs="Arial Regular"/>
                <w:sz w:val="20"/>
                <w:szCs w:val="20"/>
              </w:rPr>
              <w:t>Ionization (eV)</w:t>
            </w:r>
          </w:p>
        </w:tc>
        <w:tc>
          <w:tcPr>
            <w:tcW w:w="1134" w:type="dxa"/>
            <w:tcBorders>
              <w:top w:val="single" w:color="FFFFFF" w:sz="8" w:space="0"/>
              <w:left w:val="single" w:color="FFFFFF" w:sz="8" w:space="0"/>
              <w:bottom w:val="single" w:color="FFFFFF" w:sz="8" w:space="0"/>
              <w:right w:val="single" w:color="FFFFFF" w:sz="8" w:space="0"/>
            </w:tcBorders>
            <w:shd w:val="clear" w:color="auto" w:fill="auto"/>
            <w:tcMar>
              <w:top w:w="72" w:type="dxa"/>
              <w:left w:w="144" w:type="dxa"/>
              <w:bottom w:w="72" w:type="dxa"/>
              <w:right w:w="144" w:type="dxa"/>
            </w:tcMar>
            <w:vAlign w:val="center"/>
          </w:tcPr>
          <w:p w14:paraId="3E98FD95">
            <w:pPr>
              <w:pStyle w:val="42"/>
              <w:jc w:val="center"/>
              <w:rPr>
                <w:rFonts w:hint="default" w:ascii="Arial Regular" w:hAnsi="Arial Regular" w:cs="Arial Regular"/>
                <w:sz w:val="20"/>
                <w:szCs w:val="20"/>
              </w:rPr>
            </w:pPr>
            <w:r>
              <w:rPr>
                <w:rFonts w:hint="default" w:ascii="Arial Regular" w:hAnsi="Arial Regular" w:cs="Arial Regular"/>
                <w:sz w:val="20"/>
                <w:szCs w:val="20"/>
              </w:rPr>
              <w:t>7.881</w:t>
            </w:r>
          </w:p>
        </w:tc>
        <w:tc>
          <w:tcPr>
            <w:tcW w:w="1134" w:type="dxa"/>
            <w:tcBorders>
              <w:top w:val="single" w:color="FFFFFF" w:sz="8" w:space="0"/>
              <w:left w:val="single" w:color="FFFFFF" w:sz="8" w:space="0"/>
              <w:bottom w:val="single" w:color="FFFFFF" w:sz="8" w:space="0"/>
              <w:right w:val="single" w:color="FFFFFF" w:sz="8" w:space="0"/>
            </w:tcBorders>
            <w:shd w:val="clear" w:color="auto" w:fill="auto"/>
            <w:tcMar>
              <w:top w:w="72" w:type="dxa"/>
              <w:left w:w="144" w:type="dxa"/>
              <w:bottom w:w="72" w:type="dxa"/>
              <w:right w:w="144" w:type="dxa"/>
            </w:tcMar>
            <w:vAlign w:val="center"/>
          </w:tcPr>
          <w:p w14:paraId="26511913">
            <w:pPr>
              <w:pStyle w:val="42"/>
              <w:jc w:val="center"/>
              <w:rPr>
                <w:rFonts w:hint="default" w:ascii="Arial Regular" w:hAnsi="Arial Regular" w:cs="Arial Regular"/>
                <w:sz w:val="20"/>
                <w:szCs w:val="20"/>
              </w:rPr>
            </w:pPr>
            <w:r>
              <w:rPr>
                <w:rFonts w:hint="default" w:ascii="Arial Regular" w:hAnsi="Arial Regular" w:cs="Arial Regular"/>
                <w:sz w:val="20"/>
                <w:szCs w:val="20"/>
              </w:rPr>
              <w:t>7.7264</w:t>
            </w:r>
          </w:p>
        </w:tc>
        <w:tc>
          <w:tcPr>
            <w:tcW w:w="1134" w:type="dxa"/>
            <w:tcBorders>
              <w:top w:val="single" w:color="FFFFFF" w:sz="8" w:space="0"/>
              <w:left w:val="single" w:color="FFFFFF" w:sz="8" w:space="0"/>
              <w:bottom w:val="single" w:color="FFFFFF" w:sz="8" w:space="0"/>
              <w:right w:val="single" w:color="FFFFFF" w:sz="8" w:space="0"/>
            </w:tcBorders>
            <w:shd w:val="clear" w:color="auto" w:fill="auto"/>
            <w:tcMar>
              <w:top w:w="72" w:type="dxa"/>
              <w:left w:w="144" w:type="dxa"/>
              <w:bottom w:w="72" w:type="dxa"/>
              <w:right w:w="144" w:type="dxa"/>
            </w:tcMar>
            <w:vAlign w:val="center"/>
          </w:tcPr>
          <w:p w14:paraId="0C3FAEF6">
            <w:pPr>
              <w:pStyle w:val="42"/>
              <w:jc w:val="center"/>
              <w:rPr>
                <w:rFonts w:hint="default" w:ascii="Arial Regular" w:hAnsi="Arial Regular" w:cs="Arial Regular"/>
                <w:sz w:val="20"/>
                <w:szCs w:val="20"/>
              </w:rPr>
            </w:pPr>
            <w:r>
              <w:rPr>
                <w:rFonts w:hint="default" w:ascii="Arial Regular" w:hAnsi="Arial Regular" w:cs="Arial Regular"/>
                <w:sz w:val="20"/>
                <w:szCs w:val="20"/>
              </w:rPr>
              <w:t>7.9024</w:t>
            </w:r>
          </w:p>
        </w:tc>
        <w:tc>
          <w:tcPr>
            <w:tcW w:w="1134" w:type="dxa"/>
            <w:tcBorders>
              <w:top w:val="single" w:color="FFFFFF" w:sz="8" w:space="0"/>
              <w:left w:val="single" w:color="FFFFFF" w:sz="8" w:space="0"/>
              <w:bottom w:val="single" w:color="FFFFFF" w:sz="8" w:space="0"/>
              <w:right w:val="single" w:color="FFFFFF" w:sz="8" w:space="0"/>
            </w:tcBorders>
            <w:shd w:val="clear" w:color="auto" w:fill="auto"/>
            <w:tcMar>
              <w:top w:w="72" w:type="dxa"/>
              <w:left w:w="144" w:type="dxa"/>
              <w:bottom w:w="72" w:type="dxa"/>
              <w:right w:w="144" w:type="dxa"/>
            </w:tcMar>
            <w:vAlign w:val="center"/>
          </w:tcPr>
          <w:p w14:paraId="0E6FE4EF">
            <w:pPr>
              <w:pStyle w:val="42"/>
              <w:jc w:val="center"/>
              <w:rPr>
                <w:rFonts w:hint="default" w:ascii="Arial Regular" w:hAnsi="Arial Regular" w:cs="Arial Regular"/>
                <w:sz w:val="20"/>
                <w:szCs w:val="20"/>
              </w:rPr>
            </w:pPr>
            <w:r>
              <w:rPr>
                <w:rFonts w:hint="default" w:ascii="Arial Regular" w:hAnsi="Arial Regular" w:cs="Arial Regular"/>
                <w:sz w:val="20"/>
                <w:szCs w:val="20"/>
              </w:rPr>
              <w:t>7.434</w:t>
            </w:r>
          </w:p>
        </w:tc>
      </w:tr>
      <w:tr w14:paraId="744BF626">
        <w:trPr>
          <w:trHeight w:val="113" w:hRule="atLeast"/>
          <w:jc w:val="center"/>
        </w:trPr>
        <w:tc>
          <w:tcPr>
            <w:tcW w:w="3416" w:type="dxa"/>
            <w:tcBorders>
              <w:top w:val="single" w:color="FFFFFF" w:sz="8" w:space="0"/>
              <w:left w:val="single" w:color="FFFFFF" w:sz="8" w:space="0"/>
              <w:bottom w:val="single" w:color="FFFFFF" w:sz="8" w:space="0"/>
              <w:right w:val="single" w:color="FFFFFF" w:sz="8" w:space="0"/>
            </w:tcBorders>
            <w:shd w:val="clear" w:color="auto" w:fill="auto"/>
            <w:tcMar>
              <w:top w:w="72" w:type="dxa"/>
              <w:left w:w="144" w:type="dxa"/>
              <w:bottom w:w="72" w:type="dxa"/>
              <w:right w:w="144" w:type="dxa"/>
            </w:tcMar>
            <w:vAlign w:val="center"/>
          </w:tcPr>
          <w:p w14:paraId="2C79A670">
            <w:pPr>
              <w:pStyle w:val="42"/>
              <w:jc w:val="center"/>
              <w:rPr>
                <w:rFonts w:hint="default" w:ascii="Arial Regular" w:hAnsi="Arial Regular" w:cs="Arial Regular"/>
                <w:sz w:val="20"/>
                <w:szCs w:val="20"/>
              </w:rPr>
            </w:pPr>
            <w:r>
              <w:rPr>
                <w:rFonts w:hint="default" w:ascii="Arial Regular" w:hAnsi="Arial Regular" w:cs="Arial Regular"/>
                <w:sz w:val="20"/>
                <w:szCs w:val="20"/>
              </w:rPr>
              <w:t>Softness (Å)</w:t>
            </w:r>
          </w:p>
        </w:tc>
        <w:tc>
          <w:tcPr>
            <w:tcW w:w="1134" w:type="dxa"/>
            <w:tcBorders>
              <w:top w:val="single" w:color="FFFFFF" w:sz="8" w:space="0"/>
              <w:left w:val="single" w:color="FFFFFF" w:sz="8" w:space="0"/>
              <w:bottom w:val="single" w:color="FFFFFF" w:sz="8" w:space="0"/>
              <w:right w:val="single" w:color="FFFFFF" w:sz="8" w:space="0"/>
            </w:tcBorders>
            <w:shd w:val="clear" w:color="auto" w:fill="auto"/>
            <w:tcMar>
              <w:top w:w="72" w:type="dxa"/>
              <w:left w:w="144" w:type="dxa"/>
              <w:bottom w:w="72" w:type="dxa"/>
              <w:right w:w="144" w:type="dxa"/>
            </w:tcMar>
            <w:vAlign w:val="center"/>
          </w:tcPr>
          <w:p w14:paraId="54FEFD83">
            <w:pPr>
              <w:pStyle w:val="42"/>
              <w:jc w:val="center"/>
              <w:rPr>
                <w:rFonts w:hint="default" w:ascii="Arial Regular" w:hAnsi="Arial Regular" w:cs="Arial Regular"/>
                <w:sz w:val="20"/>
                <w:szCs w:val="20"/>
              </w:rPr>
            </w:pPr>
            <w:r>
              <w:rPr>
                <w:rFonts w:hint="default" w:ascii="Arial Regular" w:hAnsi="Arial Regular" w:cs="Arial Regular"/>
                <w:sz w:val="20"/>
                <w:szCs w:val="20"/>
              </w:rPr>
              <w:t>2.96</w:t>
            </w:r>
          </w:p>
        </w:tc>
        <w:tc>
          <w:tcPr>
            <w:tcW w:w="1134" w:type="dxa"/>
            <w:tcBorders>
              <w:top w:val="single" w:color="FFFFFF" w:sz="8" w:space="0"/>
              <w:left w:val="single" w:color="FFFFFF" w:sz="8" w:space="0"/>
              <w:bottom w:val="single" w:color="FFFFFF" w:sz="8" w:space="0"/>
              <w:right w:val="single" w:color="FFFFFF" w:sz="8" w:space="0"/>
            </w:tcBorders>
            <w:shd w:val="clear" w:color="auto" w:fill="auto"/>
            <w:tcMar>
              <w:top w:w="72" w:type="dxa"/>
              <w:left w:w="144" w:type="dxa"/>
              <w:bottom w:w="72" w:type="dxa"/>
              <w:right w:w="144" w:type="dxa"/>
            </w:tcMar>
            <w:vAlign w:val="center"/>
          </w:tcPr>
          <w:p w14:paraId="152550F6">
            <w:pPr>
              <w:pStyle w:val="42"/>
              <w:jc w:val="center"/>
              <w:rPr>
                <w:rFonts w:hint="default" w:ascii="Arial Regular" w:hAnsi="Arial Regular" w:cs="Arial Regular"/>
                <w:sz w:val="20"/>
                <w:szCs w:val="20"/>
              </w:rPr>
            </w:pPr>
            <w:r>
              <w:rPr>
                <w:rFonts w:hint="default" w:ascii="Arial Regular" w:hAnsi="Arial Regular" w:cs="Arial Regular"/>
                <w:sz w:val="20"/>
                <w:szCs w:val="20"/>
              </w:rPr>
              <w:t>2.89</w:t>
            </w:r>
          </w:p>
        </w:tc>
        <w:tc>
          <w:tcPr>
            <w:tcW w:w="1134" w:type="dxa"/>
            <w:tcBorders>
              <w:top w:val="single" w:color="FFFFFF" w:sz="8" w:space="0"/>
              <w:left w:val="single" w:color="FFFFFF" w:sz="8" w:space="0"/>
              <w:bottom w:val="single" w:color="FFFFFF" w:sz="8" w:space="0"/>
              <w:right w:val="single" w:color="FFFFFF" w:sz="8" w:space="0"/>
            </w:tcBorders>
            <w:shd w:val="clear" w:color="auto" w:fill="auto"/>
            <w:tcMar>
              <w:top w:w="72" w:type="dxa"/>
              <w:left w:w="144" w:type="dxa"/>
              <w:bottom w:w="72" w:type="dxa"/>
              <w:right w:w="144" w:type="dxa"/>
            </w:tcMar>
            <w:vAlign w:val="center"/>
          </w:tcPr>
          <w:p w14:paraId="21E0511E">
            <w:pPr>
              <w:pStyle w:val="42"/>
              <w:jc w:val="center"/>
              <w:rPr>
                <w:rFonts w:hint="default" w:ascii="Arial Regular" w:hAnsi="Arial Regular" w:cs="Arial Regular"/>
                <w:sz w:val="20"/>
                <w:szCs w:val="20"/>
              </w:rPr>
            </w:pPr>
            <w:r>
              <w:rPr>
                <w:rFonts w:hint="default" w:ascii="Arial Regular" w:hAnsi="Arial Regular" w:cs="Arial Regular"/>
                <w:sz w:val="20"/>
                <w:szCs w:val="20"/>
              </w:rPr>
              <w:t>3.09</w:t>
            </w:r>
          </w:p>
        </w:tc>
        <w:tc>
          <w:tcPr>
            <w:tcW w:w="1134" w:type="dxa"/>
            <w:tcBorders>
              <w:top w:val="single" w:color="FFFFFF" w:sz="8" w:space="0"/>
              <w:left w:val="single" w:color="FFFFFF" w:sz="8" w:space="0"/>
              <w:bottom w:val="single" w:color="FFFFFF" w:sz="8" w:space="0"/>
              <w:right w:val="single" w:color="FFFFFF" w:sz="8" w:space="0"/>
            </w:tcBorders>
            <w:shd w:val="clear" w:color="auto" w:fill="auto"/>
            <w:tcMar>
              <w:top w:w="72" w:type="dxa"/>
              <w:left w:w="144" w:type="dxa"/>
              <w:bottom w:w="72" w:type="dxa"/>
              <w:right w:w="144" w:type="dxa"/>
            </w:tcMar>
            <w:vAlign w:val="center"/>
          </w:tcPr>
          <w:p w14:paraId="66D00ABA">
            <w:pPr>
              <w:pStyle w:val="42"/>
              <w:jc w:val="center"/>
              <w:rPr>
                <w:rFonts w:hint="default" w:ascii="Arial Regular" w:hAnsi="Arial Regular" w:cs="Arial Regular"/>
                <w:sz w:val="20"/>
                <w:szCs w:val="20"/>
              </w:rPr>
            </w:pPr>
            <w:r>
              <w:rPr>
                <w:rFonts w:hint="default" w:ascii="Arial Regular" w:hAnsi="Arial Regular" w:cs="Arial Regular"/>
                <w:sz w:val="20"/>
                <w:szCs w:val="20"/>
              </w:rPr>
              <w:t>3.03</w:t>
            </w:r>
          </w:p>
        </w:tc>
      </w:tr>
      <w:tr w14:paraId="5ED6AFD1">
        <w:trPr>
          <w:trHeight w:val="113" w:hRule="atLeast"/>
          <w:jc w:val="center"/>
        </w:trPr>
        <w:tc>
          <w:tcPr>
            <w:tcW w:w="3416" w:type="dxa"/>
            <w:tcBorders>
              <w:top w:val="single" w:color="FFFFFF" w:sz="8" w:space="0"/>
              <w:left w:val="single" w:color="FFFFFF" w:sz="8" w:space="0"/>
              <w:bottom w:val="single" w:color="000000" w:sz="12" w:space="0"/>
              <w:right w:val="single" w:color="FFFFFF" w:sz="8" w:space="0"/>
            </w:tcBorders>
            <w:shd w:val="clear" w:color="auto" w:fill="auto"/>
            <w:tcMar>
              <w:top w:w="72" w:type="dxa"/>
              <w:left w:w="144" w:type="dxa"/>
              <w:bottom w:w="72" w:type="dxa"/>
              <w:right w:w="144" w:type="dxa"/>
            </w:tcMar>
            <w:vAlign w:val="center"/>
          </w:tcPr>
          <w:p w14:paraId="676CB70D">
            <w:pPr>
              <w:pStyle w:val="42"/>
              <w:jc w:val="center"/>
              <w:rPr>
                <w:rFonts w:hint="default" w:ascii="Arial Regular" w:hAnsi="Arial Regular" w:cs="Arial Regular"/>
                <w:sz w:val="20"/>
                <w:szCs w:val="20"/>
              </w:rPr>
            </w:pPr>
            <w:r>
              <w:rPr>
                <w:rFonts w:hint="default" w:ascii="Arial Regular" w:hAnsi="Arial Regular" w:cs="Arial Regular"/>
                <w:sz w:val="20"/>
                <w:szCs w:val="20"/>
              </w:rPr>
              <w:t>log K</w:t>
            </w:r>
            <w:r>
              <w:rPr>
                <w:rFonts w:hint="default" w:ascii="Arial Regular" w:hAnsi="Arial Regular" w:cs="Arial Regular"/>
                <w:sz w:val="20"/>
                <w:szCs w:val="20"/>
                <w:vertAlign w:val="subscript"/>
              </w:rPr>
              <w:t>MeOH</w:t>
            </w:r>
          </w:p>
        </w:tc>
        <w:tc>
          <w:tcPr>
            <w:tcW w:w="1134" w:type="dxa"/>
            <w:tcBorders>
              <w:top w:val="single" w:color="FFFFFF" w:sz="8" w:space="0"/>
              <w:left w:val="single" w:color="FFFFFF" w:sz="8" w:space="0"/>
              <w:bottom w:val="single" w:color="000000" w:sz="12" w:space="0"/>
              <w:right w:val="single" w:color="FFFFFF" w:sz="8" w:space="0"/>
            </w:tcBorders>
            <w:shd w:val="clear" w:color="auto" w:fill="auto"/>
            <w:tcMar>
              <w:top w:w="72" w:type="dxa"/>
              <w:left w:w="144" w:type="dxa"/>
              <w:bottom w:w="72" w:type="dxa"/>
              <w:right w:w="144" w:type="dxa"/>
            </w:tcMar>
            <w:vAlign w:val="center"/>
          </w:tcPr>
          <w:p w14:paraId="418A7D4D">
            <w:pPr>
              <w:pStyle w:val="42"/>
              <w:jc w:val="center"/>
              <w:rPr>
                <w:rFonts w:hint="default" w:ascii="Arial Regular" w:hAnsi="Arial Regular" w:cs="Arial Regular"/>
                <w:sz w:val="20"/>
                <w:szCs w:val="20"/>
              </w:rPr>
            </w:pPr>
            <w:r>
              <w:rPr>
                <w:rFonts w:hint="default" w:ascii="Arial Regular" w:hAnsi="Arial Regular" w:cs="Arial Regular"/>
                <w:sz w:val="20"/>
                <w:szCs w:val="20"/>
              </w:rPr>
              <w:t>-9.697</w:t>
            </w:r>
          </w:p>
        </w:tc>
        <w:tc>
          <w:tcPr>
            <w:tcW w:w="1134" w:type="dxa"/>
            <w:tcBorders>
              <w:top w:val="single" w:color="FFFFFF" w:sz="8" w:space="0"/>
              <w:left w:val="single" w:color="FFFFFF" w:sz="8" w:space="0"/>
              <w:bottom w:val="single" w:color="000000" w:sz="12" w:space="0"/>
              <w:right w:val="single" w:color="FFFFFF" w:sz="8" w:space="0"/>
            </w:tcBorders>
            <w:shd w:val="clear" w:color="auto" w:fill="auto"/>
            <w:tcMar>
              <w:top w:w="72" w:type="dxa"/>
              <w:left w:w="144" w:type="dxa"/>
              <w:bottom w:w="72" w:type="dxa"/>
              <w:right w:w="144" w:type="dxa"/>
            </w:tcMar>
            <w:vAlign w:val="center"/>
          </w:tcPr>
          <w:p w14:paraId="732166A9">
            <w:pPr>
              <w:pStyle w:val="42"/>
              <w:jc w:val="center"/>
              <w:rPr>
                <w:rFonts w:hint="default" w:ascii="Arial Regular" w:hAnsi="Arial Regular" w:cs="Arial Regular"/>
                <w:sz w:val="20"/>
                <w:szCs w:val="20"/>
              </w:rPr>
            </w:pPr>
            <w:r>
              <w:rPr>
                <w:rFonts w:hint="default" w:ascii="Arial Regular" w:hAnsi="Arial Regular" w:cs="Arial Regular"/>
                <w:sz w:val="20"/>
                <w:szCs w:val="20"/>
              </w:rPr>
              <w:t>-7.497</w:t>
            </w:r>
          </w:p>
        </w:tc>
        <w:tc>
          <w:tcPr>
            <w:tcW w:w="1134" w:type="dxa"/>
            <w:tcBorders>
              <w:top w:val="single" w:color="FFFFFF" w:sz="8" w:space="0"/>
              <w:left w:val="single" w:color="FFFFFF" w:sz="8" w:space="0"/>
              <w:bottom w:val="single" w:color="000000" w:sz="12" w:space="0"/>
              <w:right w:val="single" w:color="FFFFFF" w:sz="8" w:space="0"/>
            </w:tcBorders>
            <w:shd w:val="clear" w:color="auto" w:fill="auto"/>
            <w:tcMar>
              <w:top w:w="72" w:type="dxa"/>
              <w:left w:w="144" w:type="dxa"/>
              <w:bottom w:w="72" w:type="dxa"/>
              <w:right w:w="144" w:type="dxa"/>
            </w:tcMar>
            <w:vAlign w:val="center"/>
          </w:tcPr>
          <w:p w14:paraId="4A0C44C7">
            <w:pPr>
              <w:pStyle w:val="42"/>
              <w:jc w:val="center"/>
              <w:rPr>
                <w:rFonts w:hint="default" w:ascii="Arial Regular" w:hAnsi="Arial Regular" w:cs="Arial Regular"/>
                <w:sz w:val="20"/>
                <w:szCs w:val="20"/>
              </w:rPr>
            </w:pPr>
            <w:r>
              <w:rPr>
                <w:rFonts w:hint="default" w:ascii="Arial Regular" w:hAnsi="Arial Regular" w:cs="Arial Regular"/>
                <w:sz w:val="20"/>
                <w:szCs w:val="20"/>
              </w:rPr>
              <w:t>-9.397</w:t>
            </w:r>
          </w:p>
        </w:tc>
        <w:tc>
          <w:tcPr>
            <w:tcW w:w="1134" w:type="dxa"/>
            <w:tcBorders>
              <w:top w:val="single" w:color="FFFFFF" w:sz="8" w:space="0"/>
              <w:left w:val="single" w:color="FFFFFF" w:sz="8" w:space="0"/>
              <w:bottom w:val="single" w:color="000000" w:sz="12" w:space="0"/>
              <w:right w:val="single" w:color="FFFFFF" w:sz="8" w:space="0"/>
            </w:tcBorders>
            <w:shd w:val="clear" w:color="auto" w:fill="auto"/>
            <w:tcMar>
              <w:top w:w="72" w:type="dxa"/>
              <w:left w:w="144" w:type="dxa"/>
              <w:bottom w:w="72" w:type="dxa"/>
              <w:right w:w="144" w:type="dxa"/>
            </w:tcMar>
            <w:vAlign w:val="center"/>
          </w:tcPr>
          <w:p w14:paraId="5F4A9DC0">
            <w:pPr>
              <w:pStyle w:val="42"/>
              <w:jc w:val="center"/>
              <w:rPr>
                <w:rFonts w:hint="default" w:ascii="Arial Regular" w:hAnsi="Arial Regular" w:cs="Arial Regular"/>
                <w:sz w:val="20"/>
                <w:szCs w:val="20"/>
              </w:rPr>
            </w:pPr>
            <w:r>
              <w:rPr>
                <w:rFonts w:hint="default" w:ascii="Arial Regular" w:hAnsi="Arial Regular" w:cs="Arial Regular"/>
                <w:sz w:val="20"/>
                <w:szCs w:val="20"/>
              </w:rPr>
              <w:t>-10.597</w:t>
            </w:r>
          </w:p>
        </w:tc>
      </w:tr>
    </w:tbl>
    <w:p w14:paraId="152554BE">
      <w:pPr>
        <w:rPr>
          <w:rFonts w:hint="default" w:ascii="Arial Regular" w:hAnsi="Arial Regular" w:cs="Arial Regular"/>
          <w:b/>
          <w:bCs/>
          <w:sz w:val="20"/>
          <w:szCs w:val="20"/>
        </w:rPr>
      </w:pPr>
      <w:r>
        <w:rPr>
          <w:rFonts w:hint="default" w:ascii="Arial Regular" w:hAnsi="Arial Regular" w:cs="Arial Regular"/>
          <w:b/>
          <w:bCs/>
          <w:sz w:val="20"/>
          <w:szCs w:val="20"/>
        </w:rPr>
        <w:br w:type="page"/>
      </w:r>
    </w:p>
    <w:p w14:paraId="400D3263">
      <w:pPr>
        <w:pStyle w:val="3"/>
        <w:keepNext/>
        <w:keepLines/>
        <w:pageBreakBefore w:val="0"/>
        <w:widowControl w:val="0"/>
        <w:kinsoku/>
        <w:wordWrap/>
        <w:overflowPunct/>
        <w:topLinePunct w:val="0"/>
        <w:autoSpaceDE/>
        <w:autoSpaceDN/>
        <w:bidi w:val="0"/>
        <w:adjustRightInd/>
        <w:snapToGrid/>
        <w:spacing w:before="0" w:beforeLines="0" w:after="157" w:afterLines="50" w:line="240" w:lineRule="auto"/>
        <w:textAlignment w:val="auto"/>
        <w:rPr>
          <w:rFonts w:hint="default" w:ascii="Arial Regular" w:hAnsi="Arial Regular" w:cs="Arial Regular"/>
          <w:b/>
          <w:bCs/>
          <w:sz w:val="20"/>
          <w:szCs w:val="20"/>
        </w:rPr>
      </w:pPr>
      <w:r>
        <w:rPr>
          <w:rFonts w:hint="default" w:ascii="Arial Regular" w:hAnsi="Arial Regular" w:cs="Arial Regular"/>
          <w:b/>
          <w:bCs w:val="0"/>
          <w:sz w:val="20"/>
          <w:szCs w:val="20"/>
        </w:rPr>
        <w:t xml:space="preserve">Supplementary </w:t>
      </w:r>
      <w:r>
        <w:rPr>
          <w:rFonts w:hint="default" w:ascii="Arial Regular" w:hAnsi="Arial Regular" w:cs="Arial Regular"/>
          <w:b/>
          <w:bCs/>
          <w:sz w:val="20"/>
          <w:szCs w:val="20"/>
        </w:rPr>
        <w:t xml:space="preserve">Table </w:t>
      </w:r>
      <w:r>
        <w:rPr>
          <w:rFonts w:hint="default" w:ascii="Arial Regular" w:hAnsi="Arial Regular" w:cs="Arial Regular"/>
          <w:b/>
          <w:bCs/>
          <w:sz w:val="20"/>
          <w:szCs w:val="20"/>
          <w:lang w:val="en-US" w:eastAsia="zh-CN"/>
        </w:rPr>
        <w:t>2</w:t>
      </w:r>
      <w:r>
        <w:rPr>
          <w:rFonts w:hint="default" w:ascii="Arial Regular" w:hAnsi="Arial Regular" w:cs="Arial Regular"/>
          <w:b/>
          <w:bCs/>
          <w:sz w:val="20"/>
          <w:szCs w:val="20"/>
        </w:rPr>
        <w:t xml:space="preserve">. Inactivation kinetic parameters of </w:t>
      </w:r>
      <w:r>
        <w:rPr>
          <w:rFonts w:hint="default" w:ascii="Arial Regular" w:hAnsi="Arial Regular" w:cs="Arial Regular"/>
          <w:b/>
          <w:bCs/>
          <w:sz w:val="20"/>
          <w:szCs w:val="20"/>
          <w:lang w:val="en-US" w:eastAsia="zh-CN"/>
        </w:rPr>
        <w:t>fungal</w:t>
      </w:r>
      <w:r>
        <w:rPr>
          <w:rFonts w:hint="default" w:ascii="Arial Regular" w:hAnsi="Arial Regular" w:cs="Arial Regular"/>
          <w:b/>
          <w:bCs/>
          <w:sz w:val="20"/>
          <w:szCs w:val="20"/>
        </w:rPr>
        <w:t xml:space="preserve"> spores under different disinfectants before and after metal ion complexation.</w:t>
      </w:r>
    </w:p>
    <w:tbl>
      <w:tblPr>
        <w:tblStyle w:val="10"/>
        <w:tblW w:w="0" w:type="auto"/>
        <w:jc w:val="center"/>
        <w:tblLayout w:type="autofit"/>
        <w:tblCellMar>
          <w:top w:w="0" w:type="dxa"/>
          <w:left w:w="108" w:type="dxa"/>
          <w:bottom w:w="0" w:type="dxa"/>
          <w:right w:w="108" w:type="dxa"/>
        </w:tblCellMar>
      </w:tblPr>
      <w:tblGrid>
        <w:gridCol w:w="1939"/>
        <w:gridCol w:w="1420"/>
        <w:gridCol w:w="1564"/>
        <w:gridCol w:w="606"/>
        <w:gridCol w:w="1420"/>
        <w:gridCol w:w="1564"/>
        <w:gridCol w:w="606"/>
      </w:tblGrid>
      <w:tr w14:paraId="6B9D370B">
        <w:trPr>
          <w:trHeight w:val="340" w:hRule="atLeast"/>
          <w:jc w:val="center"/>
        </w:trPr>
        <w:tc>
          <w:tcPr>
            <w:tcW w:w="0" w:type="auto"/>
            <w:tcBorders>
              <w:top w:val="single" w:color="auto" w:sz="12" w:space="0"/>
            </w:tcBorders>
            <w:shd w:val="clear" w:color="auto" w:fill="E7E6E6" w:themeFill="background2"/>
            <w:vAlign w:val="center"/>
          </w:tcPr>
          <w:p w14:paraId="14B93086">
            <w:pPr>
              <w:pStyle w:val="42"/>
              <w:jc w:val="center"/>
              <w:rPr>
                <w:rFonts w:hint="default" w:ascii="Arial Regular" w:hAnsi="Arial Regular" w:cs="Arial Regular"/>
                <w:sz w:val="20"/>
                <w:szCs w:val="20"/>
              </w:rPr>
            </w:pPr>
            <w:r>
              <w:rPr>
                <w:rFonts w:hint="default" w:ascii="Arial Regular" w:hAnsi="Arial Regular" w:cs="Arial Regular"/>
                <w:sz w:val="20"/>
                <w:szCs w:val="20"/>
              </w:rPr>
              <w:t>Disinfection system</w:t>
            </w:r>
          </w:p>
        </w:tc>
        <w:tc>
          <w:tcPr>
            <w:tcW w:w="0" w:type="auto"/>
            <w:gridSpan w:val="3"/>
            <w:tcBorders>
              <w:top w:val="single" w:color="auto" w:sz="12" w:space="0"/>
            </w:tcBorders>
            <w:shd w:val="clear" w:color="auto" w:fill="E7E6E6" w:themeFill="background2"/>
            <w:vAlign w:val="center"/>
          </w:tcPr>
          <w:p w14:paraId="7DB941AC">
            <w:pPr>
              <w:pStyle w:val="42"/>
              <w:jc w:val="center"/>
              <w:rPr>
                <w:rFonts w:hint="default" w:ascii="Arial Regular" w:hAnsi="Arial Regular" w:cs="Arial Regular"/>
                <w:sz w:val="20"/>
                <w:szCs w:val="20"/>
              </w:rPr>
            </w:pPr>
            <w:r>
              <w:rPr>
                <w:rFonts w:hint="default" w:ascii="Arial Regular" w:hAnsi="Arial Regular" w:cs="Arial Regular"/>
                <w:i/>
                <w:iCs/>
                <w:sz w:val="20"/>
                <w:szCs w:val="20"/>
                <w:lang w:bidi="ar"/>
              </w:rPr>
              <w:t>P.polonicum</w:t>
            </w:r>
          </w:p>
        </w:tc>
        <w:tc>
          <w:tcPr>
            <w:tcW w:w="0" w:type="auto"/>
            <w:gridSpan w:val="3"/>
            <w:tcBorders>
              <w:top w:val="single" w:color="auto" w:sz="12" w:space="0"/>
              <w:bottom w:val="single" w:color="auto" w:sz="8" w:space="0"/>
            </w:tcBorders>
            <w:shd w:val="clear" w:color="auto" w:fill="E7E6E6" w:themeFill="background2"/>
            <w:vAlign w:val="center"/>
          </w:tcPr>
          <w:p w14:paraId="75BA6490">
            <w:pPr>
              <w:pStyle w:val="42"/>
              <w:jc w:val="center"/>
              <w:rPr>
                <w:rFonts w:hint="default" w:ascii="Arial Regular" w:hAnsi="Arial Regular" w:cs="Arial Regular"/>
                <w:sz w:val="20"/>
                <w:szCs w:val="20"/>
              </w:rPr>
            </w:pPr>
            <w:r>
              <w:rPr>
                <w:rFonts w:hint="default" w:ascii="Arial Regular" w:hAnsi="Arial Regular" w:cs="Arial Regular"/>
                <w:i/>
                <w:iCs/>
                <w:sz w:val="20"/>
                <w:szCs w:val="20"/>
                <w:lang w:bidi="ar"/>
              </w:rPr>
              <w:t>A.niger</w:t>
            </w:r>
          </w:p>
        </w:tc>
      </w:tr>
      <w:tr w14:paraId="079826CB">
        <w:trPr>
          <w:jc w:val="center"/>
        </w:trPr>
        <w:tc>
          <w:tcPr>
            <w:tcW w:w="0" w:type="auto"/>
            <w:gridSpan w:val="7"/>
            <w:tcBorders>
              <w:top w:val="single" w:color="auto" w:sz="8" w:space="0"/>
            </w:tcBorders>
            <w:vAlign w:val="center"/>
          </w:tcPr>
          <w:p w14:paraId="700F5669">
            <w:pPr>
              <w:pStyle w:val="42"/>
              <w:jc w:val="center"/>
              <w:rPr>
                <w:rFonts w:hint="default" w:ascii="Arial Regular" w:hAnsi="Arial Regular" w:cs="Arial Regular"/>
                <w:sz w:val="20"/>
                <w:szCs w:val="20"/>
              </w:rPr>
            </w:pPr>
            <w:r>
              <w:rPr>
                <w:rFonts w:hint="default" w:ascii="Arial Regular" w:hAnsi="Arial Regular" w:cs="Arial Regular"/>
                <w:b/>
                <w:bCs/>
                <w:sz w:val="20"/>
                <w:szCs w:val="20"/>
              </w:rPr>
              <w:t>Chlorine</w:t>
            </w:r>
          </w:p>
        </w:tc>
      </w:tr>
      <w:tr w14:paraId="2CE49C9A">
        <w:trPr>
          <w:jc w:val="center"/>
        </w:trPr>
        <w:tc>
          <w:tcPr>
            <w:tcW w:w="0" w:type="auto"/>
            <w:shd w:val="clear" w:color="auto" w:fill="E7E6E6" w:themeFill="background2"/>
            <w:vAlign w:val="center"/>
          </w:tcPr>
          <w:p w14:paraId="0ACA21E3">
            <w:pPr>
              <w:pStyle w:val="42"/>
              <w:jc w:val="center"/>
              <w:rPr>
                <w:rFonts w:hint="default" w:ascii="Arial Regular" w:hAnsi="Arial Regular" w:cs="Arial Regular"/>
                <w:sz w:val="20"/>
                <w:szCs w:val="20"/>
              </w:rPr>
            </w:pPr>
          </w:p>
        </w:tc>
        <w:tc>
          <w:tcPr>
            <w:tcW w:w="0" w:type="auto"/>
            <w:shd w:val="clear" w:color="auto" w:fill="E7E6E6" w:themeFill="background2"/>
            <w:vAlign w:val="center"/>
          </w:tcPr>
          <w:p w14:paraId="040ECDA5">
            <w:pPr>
              <w:pStyle w:val="42"/>
              <w:jc w:val="center"/>
              <w:rPr>
                <w:rFonts w:hint="default" w:ascii="Arial Regular" w:hAnsi="Arial Regular" w:cs="Arial Regular"/>
                <w:i/>
                <w:sz w:val="20"/>
                <w:szCs w:val="20"/>
              </w:rPr>
            </w:pPr>
            <w:r>
              <w:rPr>
                <w:rFonts w:hint="default" w:ascii="Arial Regular" w:hAnsi="Arial Regular" w:cs="Arial Regular"/>
                <w:i/>
                <w:sz w:val="20"/>
                <w:szCs w:val="20"/>
              </w:rPr>
              <w:t>k</w:t>
            </w:r>
            <w:r>
              <w:rPr>
                <w:rFonts w:hint="default" w:ascii="Arial Regular" w:hAnsi="Arial Regular" w:cs="Arial Regular"/>
                <w:sz w:val="20"/>
                <w:szCs w:val="20"/>
              </w:rPr>
              <w:t>(L/(mg•min))</w:t>
            </w:r>
          </w:p>
        </w:tc>
        <w:tc>
          <w:tcPr>
            <w:tcW w:w="0" w:type="auto"/>
            <w:shd w:val="clear" w:color="auto" w:fill="E7E6E6" w:themeFill="background2"/>
            <w:vAlign w:val="center"/>
          </w:tcPr>
          <w:p w14:paraId="1DE2A230">
            <w:pPr>
              <w:pStyle w:val="42"/>
              <w:jc w:val="center"/>
              <w:rPr>
                <w:rFonts w:hint="default" w:ascii="Arial Regular" w:hAnsi="Arial Regular" w:cs="Arial Regular"/>
                <w:sz w:val="20"/>
                <w:szCs w:val="20"/>
              </w:rPr>
            </w:pPr>
            <w:r>
              <w:rPr>
                <w:rFonts w:hint="default" w:ascii="Arial Regular" w:hAnsi="Arial Regular" w:cs="Arial Regular"/>
                <w:i/>
                <w:sz w:val="20"/>
                <w:szCs w:val="20"/>
              </w:rPr>
              <w:t>SL</w:t>
            </w:r>
            <w:r>
              <w:rPr>
                <w:rFonts w:hint="default" w:ascii="Arial Regular" w:hAnsi="Arial Regular" w:cs="Arial Regular"/>
                <w:sz w:val="20"/>
                <w:szCs w:val="20"/>
              </w:rPr>
              <w:t>((mg•min)/L)</w:t>
            </w:r>
          </w:p>
        </w:tc>
        <w:tc>
          <w:tcPr>
            <w:tcW w:w="0" w:type="auto"/>
            <w:shd w:val="clear" w:color="auto" w:fill="E7E6E6" w:themeFill="background2"/>
            <w:vAlign w:val="center"/>
          </w:tcPr>
          <w:p w14:paraId="32A71D89">
            <w:pPr>
              <w:pStyle w:val="42"/>
              <w:jc w:val="center"/>
              <w:rPr>
                <w:rFonts w:hint="default" w:ascii="Arial Regular" w:hAnsi="Arial Regular" w:cs="Arial Regular"/>
                <w:sz w:val="20"/>
                <w:szCs w:val="20"/>
              </w:rPr>
            </w:pPr>
            <w:r>
              <w:rPr>
                <w:rFonts w:hint="default" w:ascii="Arial Regular" w:hAnsi="Arial Regular" w:cs="Arial Regular"/>
                <w:sz w:val="20"/>
                <w:szCs w:val="20"/>
              </w:rPr>
              <w:t>R</w:t>
            </w:r>
            <w:r>
              <w:rPr>
                <w:rFonts w:hint="default" w:ascii="Arial Regular" w:hAnsi="Arial Regular" w:cs="Arial Regular"/>
                <w:sz w:val="20"/>
                <w:szCs w:val="20"/>
                <w:vertAlign w:val="superscript"/>
              </w:rPr>
              <w:t>2</w:t>
            </w:r>
          </w:p>
        </w:tc>
        <w:tc>
          <w:tcPr>
            <w:tcW w:w="0" w:type="auto"/>
            <w:shd w:val="clear" w:color="auto" w:fill="E7E6E6" w:themeFill="background2"/>
            <w:vAlign w:val="center"/>
          </w:tcPr>
          <w:p w14:paraId="356A6BDA">
            <w:pPr>
              <w:pStyle w:val="42"/>
              <w:jc w:val="center"/>
              <w:rPr>
                <w:rFonts w:hint="default" w:ascii="Arial Regular" w:hAnsi="Arial Regular" w:cs="Arial Regular"/>
                <w:sz w:val="20"/>
                <w:szCs w:val="20"/>
              </w:rPr>
            </w:pPr>
            <w:r>
              <w:rPr>
                <w:rFonts w:hint="default" w:ascii="Arial Regular" w:hAnsi="Arial Regular" w:cs="Arial Regular"/>
                <w:i/>
                <w:sz w:val="20"/>
                <w:szCs w:val="20"/>
              </w:rPr>
              <w:t>k</w:t>
            </w:r>
            <w:r>
              <w:rPr>
                <w:rFonts w:hint="default" w:ascii="Arial Regular" w:hAnsi="Arial Regular" w:cs="Arial Regular"/>
                <w:sz w:val="20"/>
                <w:szCs w:val="20"/>
              </w:rPr>
              <w:t>(L/(mg•min))</w:t>
            </w:r>
          </w:p>
        </w:tc>
        <w:tc>
          <w:tcPr>
            <w:tcW w:w="0" w:type="auto"/>
            <w:shd w:val="clear" w:color="auto" w:fill="E7E6E6" w:themeFill="background2"/>
            <w:vAlign w:val="center"/>
          </w:tcPr>
          <w:p w14:paraId="3934CE03">
            <w:pPr>
              <w:pStyle w:val="42"/>
              <w:jc w:val="center"/>
              <w:rPr>
                <w:rFonts w:hint="default" w:ascii="Arial Regular" w:hAnsi="Arial Regular" w:cs="Arial Regular"/>
                <w:sz w:val="20"/>
                <w:szCs w:val="20"/>
              </w:rPr>
            </w:pPr>
            <w:r>
              <w:rPr>
                <w:rFonts w:hint="default" w:ascii="Arial Regular" w:hAnsi="Arial Regular" w:cs="Arial Regular"/>
                <w:i/>
                <w:sz w:val="20"/>
                <w:szCs w:val="20"/>
              </w:rPr>
              <w:t>SL</w:t>
            </w:r>
            <w:r>
              <w:rPr>
                <w:rFonts w:hint="default" w:ascii="Arial Regular" w:hAnsi="Arial Regular" w:cs="Arial Regular"/>
                <w:sz w:val="20"/>
                <w:szCs w:val="20"/>
              </w:rPr>
              <w:t>((mg•min)/L)</w:t>
            </w:r>
          </w:p>
        </w:tc>
        <w:tc>
          <w:tcPr>
            <w:tcW w:w="0" w:type="auto"/>
            <w:shd w:val="clear" w:color="auto" w:fill="E7E6E6" w:themeFill="background2"/>
            <w:vAlign w:val="center"/>
          </w:tcPr>
          <w:p w14:paraId="4D7FAAAA">
            <w:pPr>
              <w:pStyle w:val="42"/>
              <w:jc w:val="center"/>
              <w:rPr>
                <w:rFonts w:hint="default" w:ascii="Arial Regular" w:hAnsi="Arial Regular" w:cs="Arial Regular"/>
                <w:sz w:val="20"/>
                <w:szCs w:val="20"/>
              </w:rPr>
            </w:pPr>
            <w:r>
              <w:rPr>
                <w:rFonts w:hint="default" w:ascii="Arial Regular" w:hAnsi="Arial Regular" w:cs="Arial Regular"/>
                <w:sz w:val="20"/>
                <w:szCs w:val="20"/>
              </w:rPr>
              <w:t>R</w:t>
            </w:r>
            <w:r>
              <w:rPr>
                <w:rFonts w:hint="default" w:ascii="Arial Regular" w:hAnsi="Arial Regular" w:cs="Arial Regular"/>
                <w:sz w:val="20"/>
                <w:szCs w:val="20"/>
                <w:vertAlign w:val="superscript"/>
              </w:rPr>
              <w:t>2</w:t>
            </w:r>
          </w:p>
        </w:tc>
      </w:tr>
      <w:tr w14:paraId="4BA0E66F">
        <w:trPr>
          <w:jc w:val="center"/>
        </w:trPr>
        <w:tc>
          <w:tcPr>
            <w:tcW w:w="0" w:type="auto"/>
            <w:shd w:val="clear" w:color="auto" w:fill="auto"/>
            <w:vAlign w:val="center"/>
          </w:tcPr>
          <w:p w14:paraId="6454F048">
            <w:pPr>
              <w:pStyle w:val="42"/>
              <w:jc w:val="center"/>
              <w:rPr>
                <w:rFonts w:hint="default" w:ascii="Arial Regular" w:hAnsi="Arial Regular" w:cs="Arial Regular"/>
                <w:sz w:val="20"/>
                <w:szCs w:val="20"/>
              </w:rPr>
            </w:pPr>
            <w:r>
              <w:rPr>
                <w:rFonts w:hint="default" w:ascii="Arial Regular" w:hAnsi="Arial Regular" w:cs="Arial Regular"/>
                <w:sz w:val="20"/>
                <w:szCs w:val="20"/>
              </w:rPr>
              <w:t>Control</w:t>
            </w:r>
          </w:p>
        </w:tc>
        <w:tc>
          <w:tcPr>
            <w:tcW w:w="0" w:type="auto"/>
            <w:shd w:val="clear" w:color="auto" w:fill="auto"/>
          </w:tcPr>
          <w:p w14:paraId="650AA440">
            <w:pPr>
              <w:pStyle w:val="42"/>
              <w:jc w:val="center"/>
              <w:rPr>
                <w:rFonts w:hint="default" w:ascii="Arial Regular" w:hAnsi="Arial Regular" w:cs="Arial Regular"/>
                <w:sz w:val="20"/>
                <w:szCs w:val="20"/>
              </w:rPr>
            </w:pPr>
            <w:r>
              <w:rPr>
                <w:rFonts w:hint="default" w:ascii="Arial Regular" w:hAnsi="Arial Regular" w:cs="Arial Regular"/>
                <w:sz w:val="20"/>
                <w:szCs w:val="20"/>
              </w:rPr>
              <w:t>0.261±0.03</w:t>
            </w:r>
            <w:r>
              <w:rPr>
                <w:rFonts w:hint="default" w:ascii="Arial Regular" w:hAnsi="Arial Regular" w:cs="Arial Regular"/>
                <w:sz w:val="20"/>
                <w:szCs w:val="20"/>
                <w:vertAlign w:val="superscript"/>
              </w:rPr>
              <w:t>a</w:t>
            </w:r>
          </w:p>
        </w:tc>
        <w:tc>
          <w:tcPr>
            <w:tcW w:w="0" w:type="auto"/>
            <w:shd w:val="clear" w:color="auto" w:fill="auto"/>
          </w:tcPr>
          <w:p w14:paraId="09AD4601">
            <w:pPr>
              <w:pStyle w:val="42"/>
              <w:jc w:val="center"/>
              <w:rPr>
                <w:rFonts w:hint="default" w:ascii="Arial Regular" w:hAnsi="Arial Regular" w:cs="Arial Regular"/>
                <w:sz w:val="20"/>
                <w:szCs w:val="20"/>
              </w:rPr>
            </w:pPr>
            <w:r>
              <w:rPr>
                <w:rFonts w:hint="default" w:ascii="Arial Regular" w:hAnsi="Arial Regular" w:cs="Arial Regular"/>
                <w:sz w:val="20"/>
                <w:szCs w:val="20"/>
              </w:rPr>
              <w:t>0.51±0.84</w:t>
            </w:r>
            <w:r>
              <w:rPr>
                <w:rFonts w:hint="default" w:ascii="Arial Regular" w:hAnsi="Arial Regular" w:cs="Arial Regular"/>
                <w:sz w:val="20"/>
                <w:szCs w:val="20"/>
                <w:vertAlign w:val="superscript"/>
              </w:rPr>
              <w:t>b</w:t>
            </w:r>
          </w:p>
        </w:tc>
        <w:tc>
          <w:tcPr>
            <w:tcW w:w="0" w:type="auto"/>
            <w:shd w:val="clear" w:color="auto" w:fill="auto"/>
          </w:tcPr>
          <w:p w14:paraId="1F4CCA16">
            <w:pPr>
              <w:pStyle w:val="42"/>
              <w:jc w:val="center"/>
              <w:rPr>
                <w:rFonts w:hint="default" w:ascii="Arial Regular" w:hAnsi="Arial Regular" w:cs="Arial Regular"/>
                <w:sz w:val="20"/>
                <w:szCs w:val="20"/>
              </w:rPr>
            </w:pPr>
            <w:r>
              <w:rPr>
                <w:rFonts w:hint="default" w:ascii="Arial Regular" w:hAnsi="Arial Regular" w:cs="Arial Regular"/>
                <w:sz w:val="20"/>
                <w:szCs w:val="20"/>
              </w:rPr>
              <w:t>0.98</w:t>
            </w:r>
          </w:p>
        </w:tc>
        <w:tc>
          <w:tcPr>
            <w:tcW w:w="0" w:type="auto"/>
            <w:shd w:val="clear" w:color="auto" w:fill="auto"/>
            <w:vAlign w:val="center"/>
          </w:tcPr>
          <w:p w14:paraId="26918E3D">
            <w:pPr>
              <w:pStyle w:val="42"/>
              <w:jc w:val="center"/>
              <w:rPr>
                <w:rFonts w:hint="default" w:ascii="Arial Regular" w:hAnsi="Arial Regular" w:cs="Arial Regular"/>
                <w:sz w:val="20"/>
                <w:szCs w:val="20"/>
              </w:rPr>
            </w:pPr>
            <w:r>
              <w:rPr>
                <w:rFonts w:hint="default" w:ascii="Arial Regular" w:hAnsi="Arial Regular" w:cs="Arial Regular"/>
                <w:sz w:val="20"/>
                <w:szCs w:val="20"/>
              </w:rPr>
              <w:t>0.191±0.02</w:t>
            </w:r>
            <w:r>
              <w:rPr>
                <w:rFonts w:hint="default" w:ascii="Arial Regular" w:hAnsi="Arial Regular" w:cs="Arial Regular"/>
                <w:sz w:val="20"/>
                <w:szCs w:val="20"/>
                <w:vertAlign w:val="superscript"/>
              </w:rPr>
              <w:t>a</w:t>
            </w:r>
          </w:p>
        </w:tc>
        <w:tc>
          <w:tcPr>
            <w:tcW w:w="0" w:type="auto"/>
            <w:shd w:val="clear" w:color="auto" w:fill="auto"/>
            <w:vAlign w:val="center"/>
          </w:tcPr>
          <w:p w14:paraId="0A04F7C4">
            <w:pPr>
              <w:pStyle w:val="42"/>
              <w:jc w:val="center"/>
              <w:rPr>
                <w:rFonts w:hint="default" w:ascii="Arial Regular" w:hAnsi="Arial Regular" w:cs="Arial Regular"/>
                <w:sz w:val="20"/>
                <w:szCs w:val="20"/>
              </w:rPr>
            </w:pPr>
            <w:r>
              <w:rPr>
                <w:rFonts w:hint="default" w:ascii="Arial Regular" w:hAnsi="Arial Regular" w:cs="Arial Regular"/>
                <w:sz w:val="20"/>
                <w:szCs w:val="20"/>
              </w:rPr>
              <w:t>2.90±0.14</w:t>
            </w:r>
            <w:r>
              <w:rPr>
                <w:rFonts w:hint="default" w:ascii="Arial Regular" w:hAnsi="Arial Regular" w:cs="Arial Regular"/>
                <w:sz w:val="20"/>
                <w:szCs w:val="20"/>
                <w:vertAlign w:val="superscript"/>
              </w:rPr>
              <w:t>cd</w:t>
            </w:r>
          </w:p>
        </w:tc>
        <w:tc>
          <w:tcPr>
            <w:tcW w:w="0" w:type="auto"/>
            <w:shd w:val="clear" w:color="auto" w:fill="auto"/>
            <w:vAlign w:val="center"/>
          </w:tcPr>
          <w:p w14:paraId="76BB3020">
            <w:pPr>
              <w:pStyle w:val="42"/>
              <w:jc w:val="center"/>
              <w:rPr>
                <w:rFonts w:hint="default" w:ascii="Arial Regular" w:hAnsi="Arial Regular" w:cs="Arial Regular"/>
                <w:sz w:val="20"/>
                <w:szCs w:val="20"/>
              </w:rPr>
            </w:pPr>
            <w:r>
              <w:rPr>
                <w:rFonts w:hint="default" w:ascii="Arial Regular" w:hAnsi="Arial Regular" w:cs="Arial Regular"/>
                <w:sz w:val="20"/>
                <w:szCs w:val="20"/>
              </w:rPr>
              <w:t>0.99</w:t>
            </w:r>
          </w:p>
        </w:tc>
      </w:tr>
      <w:tr w14:paraId="58D64B02">
        <w:trPr>
          <w:jc w:val="center"/>
        </w:trPr>
        <w:tc>
          <w:tcPr>
            <w:tcW w:w="0" w:type="auto"/>
            <w:shd w:val="clear" w:color="auto" w:fill="auto"/>
            <w:vAlign w:val="center"/>
          </w:tcPr>
          <w:p w14:paraId="04180162">
            <w:pPr>
              <w:pStyle w:val="42"/>
              <w:jc w:val="center"/>
              <w:rPr>
                <w:rFonts w:hint="default" w:ascii="Arial Regular" w:hAnsi="Arial Regular" w:cs="Arial Regular"/>
                <w:sz w:val="20"/>
                <w:szCs w:val="20"/>
              </w:rPr>
            </w:pPr>
            <w:r>
              <w:rPr>
                <w:rFonts w:hint="default" w:ascii="Arial Regular" w:hAnsi="Arial Regular" w:cs="Arial Regular"/>
                <w:sz w:val="20"/>
                <w:szCs w:val="20"/>
              </w:rPr>
              <w:t>Co(II)</w:t>
            </w:r>
          </w:p>
        </w:tc>
        <w:tc>
          <w:tcPr>
            <w:tcW w:w="0" w:type="auto"/>
            <w:shd w:val="clear" w:color="auto" w:fill="auto"/>
          </w:tcPr>
          <w:p w14:paraId="0116BA29">
            <w:pPr>
              <w:pStyle w:val="42"/>
              <w:jc w:val="center"/>
              <w:rPr>
                <w:rFonts w:hint="default" w:ascii="Arial Regular" w:hAnsi="Arial Regular" w:cs="Arial Regular"/>
                <w:sz w:val="20"/>
                <w:szCs w:val="20"/>
              </w:rPr>
            </w:pPr>
            <w:r>
              <w:rPr>
                <w:rFonts w:hint="default" w:ascii="Arial Regular" w:hAnsi="Arial Regular" w:cs="Arial Regular"/>
                <w:sz w:val="20"/>
                <w:szCs w:val="20"/>
              </w:rPr>
              <w:t>0.208±0.03</w:t>
            </w:r>
            <w:r>
              <w:rPr>
                <w:rFonts w:hint="default" w:ascii="Arial Regular" w:hAnsi="Arial Regular" w:cs="Arial Regular"/>
                <w:sz w:val="20"/>
                <w:szCs w:val="20"/>
                <w:vertAlign w:val="superscript"/>
              </w:rPr>
              <w:t>b</w:t>
            </w:r>
          </w:p>
        </w:tc>
        <w:tc>
          <w:tcPr>
            <w:tcW w:w="0" w:type="auto"/>
            <w:shd w:val="clear" w:color="auto" w:fill="auto"/>
          </w:tcPr>
          <w:p w14:paraId="55958EEF">
            <w:pPr>
              <w:pStyle w:val="42"/>
              <w:jc w:val="center"/>
              <w:rPr>
                <w:rFonts w:hint="default" w:ascii="Arial Regular" w:hAnsi="Arial Regular" w:cs="Arial Regular"/>
                <w:sz w:val="20"/>
                <w:szCs w:val="20"/>
              </w:rPr>
            </w:pPr>
            <w:r>
              <w:rPr>
                <w:rFonts w:hint="default" w:ascii="Arial Regular" w:hAnsi="Arial Regular" w:cs="Arial Regular"/>
                <w:sz w:val="20"/>
                <w:szCs w:val="20"/>
              </w:rPr>
              <w:t>0.25±0.04</w:t>
            </w:r>
            <w:r>
              <w:rPr>
                <w:rFonts w:hint="default" w:ascii="Arial Regular" w:hAnsi="Arial Regular" w:cs="Arial Regular"/>
                <w:sz w:val="20"/>
                <w:szCs w:val="20"/>
                <w:vertAlign w:val="superscript"/>
              </w:rPr>
              <w:t>b</w:t>
            </w:r>
          </w:p>
        </w:tc>
        <w:tc>
          <w:tcPr>
            <w:tcW w:w="0" w:type="auto"/>
            <w:shd w:val="clear" w:color="auto" w:fill="auto"/>
          </w:tcPr>
          <w:p w14:paraId="26091E8C">
            <w:pPr>
              <w:pStyle w:val="42"/>
              <w:jc w:val="center"/>
              <w:rPr>
                <w:rFonts w:hint="default" w:ascii="Arial Regular" w:hAnsi="Arial Regular" w:cs="Arial Regular"/>
                <w:sz w:val="20"/>
                <w:szCs w:val="20"/>
              </w:rPr>
            </w:pPr>
            <w:r>
              <w:rPr>
                <w:rFonts w:hint="default" w:ascii="Arial Regular" w:hAnsi="Arial Regular" w:cs="Arial Regular"/>
                <w:sz w:val="20"/>
                <w:szCs w:val="20"/>
              </w:rPr>
              <w:t>0.95</w:t>
            </w:r>
          </w:p>
        </w:tc>
        <w:tc>
          <w:tcPr>
            <w:tcW w:w="0" w:type="auto"/>
            <w:shd w:val="clear" w:color="auto" w:fill="auto"/>
            <w:vAlign w:val="center"/>
          </w:tcPr>
          <w:p w14:paraId="7BCC62D8">
            <w:pPr>
              <w:pStyle w:val="42"/>
              <w:jc w:val="center"/>
              <w:rPr>
                <w:rFonts w:hint="default" w:ascii="Arial Regular" w:hAnsi="Arial Regular" w:cs="Arial Regular"/>
                <w:sz w:val="20"/>
                <w:szCs w:val="20"/>
              </w:rPr>
            </w:pPr>
            <w:r>
              <w:rPr>
                <w:rFonts w:hint="default" w:ascii="Arial Regular" w:hAnsi="Arial Regular" w:cs="Arial Regular"/>
                <w:sz w:val="20"/>
                <w:szCs w:val="20"/>
              </w:rPr>
              <w:t>0.099±0.02</w:t>
            </w:r>
            <w:r>
              <w:rPr>
                <w:rFonts w:hint="default" w:ascii="Arial Regular" w:hAnsi="Arial Regular" w:cs="Arial Regular"/>
                <w:sz w:val="20"/>
                <w:szCs w:val="20"/>
                <w:vertAlign w:val="superscript"/>
              </w:rPr>
              <w:t>b</w:t>
            </w:r>
          </w:p>
        </w:tc>
        <w:tc>
          <w:tcPr>
            <w:tcW w:w="0" w:type="auto"/>
            <w:shd w:val="clear" w:color="auto" w:fill="auto"/>
            <w:vAlign w:val="center"/>
          </w:tcPr>
          <w:p w14:paraId="3BB7A939">
            <w:pPr>
              <w:pStyle w:val="42"/>
              <w:jc w:val="center"/>
              <w:rPr>
                <w:rFonts w:hint="default" w:ascii="Arial Regular" w:hAnsi="Arial Regular" w:cs="Arial Regular"/>
                <w:sz w:val="20"/>
                <w:szCs w:val="20"/>
              </w:rPr>
            </w:pPr>
            <w:r>
              <w:rPr>
                <w:rFonts w:hint="default" w:ascii="Arial Regular" w:hAnsi="Arial Regular" w:cs="Arial Regular"/>
                <w:sz w:val="20"/>
                <w:szCs w:val="20"/>
              </w:rPr>
              <w:t>1.07±0.88</w:t>
            </w:r>
            <w:r>
              <w:rPr>
                <w:rFonts w:hint="default" w:ascii="Arial Regular" w:hAnsi="Arial Regular" w:cs="Arial Regular"/>
                <w:sz w:val="20"/>
                <w:szCs w:val="20"/>
                <w:vertAlign w:val="superscript"/>
              </w:rPr>
              <w:t>d</w:t>
            </w:r>
          </w:p>
        </w:tc>
        <w:tc>
          <w:tcPr>
            <w:tcW w:w="0" w:type="auto"/>
            <w:shd w:val="clear" w:color="auto" w:fill="auto"/>
            <w:vAlign w:val="center"/>
          </w:tcPr>
          <w:p w14:paraId="20A04E00">
            <w:pPr>
              <w:pStyle w:val="42"/>
              <w:jc w:val="center"/>
              <w:rPr>
                <w:rFonts w:hint="default" w:ascii="Arial Regular" w:hAnsi="Arial Regular" w:cs="Arial Regular"/>
                <w:sz w:val="20"/>
                <w:szCs w:val="20"/>
              </w:rPr>
            </w:pPr>
            <w:r>
              <w:rPr>
                <w:rFonts w:hint="default" w:ascii="Arial Regular" w:hAnsi="Arial Regular" w:cs="Arial Regular"/>
                <w:sz w:val="20"/>
                <w:szCs w:val="20"/>
              </w:rPr>
              <w:t>0.94</w:t>
            </w:r>
          </w:p>
        </w:tc>
      </w:tr>
      <w:tr w14:paraId="0C7450E8">
        <w:trPr>
          <w:jc w:val="center"/>
        </w:trPr>
        <w:tc>
          <w:tcPr>
            <w:tcW w:w="0" w:type="auto"/>
            <w:vAlign w:val="center"/>
          </w:tcPr>
          <w:p w14:paraId="6CEB8DA1">
            <w:pPr>
              <w:pStyle w:val="42"/>
              <w:jc w:val="center"/>
              <w:rPr>
                <w:rFonts w:hint="default" w:ascii="Arial Regular" w:hAnsi="Arial Regular" w:cs="Arial Regular"/>
                <w:sz w:val="20"/>
                <w:szCs w:val="20"/>
              </w:rPr>
            </w:pPr>
            <w:r>
              <w:rPr>
                <w:rFonts w:hint="default" w:ascii="Arial Regular" w:hAnsi="Arial Regular" w:cs="Arial Regular"/>
                <w:sz w:val="20"/>
                <w:szCs w:val="20"/>
              </w:rPr>
              <w:t>Cu(II)</w:t>
            </w:r>
          </w:p>
        </w:tc>
        <w:tc>
          <w:tcPr>
            <w:tcW w:w="0" w:type="auto"/>
          </w:tcPr>
          <w:p w14:paraId="32745B72">
            <w:pPr>
              <w:pStyle w:val="42"/>
              <w:jc w:val="center"/>
              <w:rPr>
                <w:rFonts w:hint="default" w:ascii="Arial Regular" w:hAnsi="Arial Regular" w:cs="Arial Regular"/>
                <w:sz w:val="20"/>
                <w:szCs w:val="20"/>
              </w:rPr>
            </w:pPr>
            <w:r>
              <w:rPr>
                <w:rFonts w:hint="default" w:ascii="Arial Regular" w:hAnsi="Arial Regular" w:cs="Arial Regular"/>
                <w:sz w:val="20"/>
                <w:szCs w:val="20"/>
              </w:rPr>
              <w:t>0.157±0.02</w:t>
            </w:r>
            <w:r>
              <w:rPr>
                <w:rFonts w:hint="default" w:ascii="Arial Regular" w:hAnsi="Arial Regular" w:cs="Arial Regular"/>
                <w:sz w:val="20"/>
                <w:szCs w:val="20"/>
                <w:vertAlign w:val="superscript"/>
              </w:rPr>
              <w:t>c</w:t>
            </w:r>
          </w:p>
        </w:tc>
        <w:tc>
          <w:tcPr>
            <w:tcW w:w="0" w:type="auto"/>
          </w:tcPr>
          <w:p w14:paraId="4E957C2C">
            <w:pPr>
              <w:pStyle w:val="42"/>
              <w:jc w:val="center"/>
              <w:rPr>
                <w:rFonts w:hint="default" w:ascii="Arial Regular" w:hAnsi="Arial Regular" w:cs="Arial Regular"/>
                <w:sz w:val="20"/>
                <w:szCs w:val="20"/>
              </w:rPr>
            </w:pPr>
            <w:r>
              <w:rPr>
                <w:rFonts w:hint="default" w:ascii="Arial Regular" w:hAnsi="Arial Regular" w:cs="Arial Regular"/>
                <w:sz w:val="20"/>
                <w:szCs w:val="20"/>
              </w:rPr>
              <w:t>9.28±4.36</w:t>
            </w:r>
            <w:r>
              <w:rPr>
                <w:rFonts w:hint="default" w:ascii="Arial Regular" w:hAnsi="Arial Regular" w:cs="Arial Regular"/>
                <w:sz w:val="20"/>
                <w:szCs w:val="20"/>
                <w:vertAlign w:val="superscript"/>
              </w:rPr>
              <w:t>a</w:t>
            </w:r>
          </w:p>
        </w:tc>
        <w:tc>
          <w:tcPr>
            <w:tcW w:w="0" w:type="auto"/>
          </w:tcPr>
          <w:p w14:paraId="165F8949">
            <w:pPr>
              <w:pStyle w:val="42"/>
              <w:jc w:val="center"/>
              <w:rPr>
                <w:rFonts w:hint="default" w:ascii="Arial Regular" w:hAnsi="Arial Regular" w:cs="Arial Regular"/>
                <w:sz w:val="20"/>
                <w:szCs w:val="20"/>
              </w:rPr>
            </w:pPr>
            <w:r>
              <w:rPr>
                <w:rFonts w:hint="default" w:ascii="Arial Regular" w:hAnsi="Arial Regular" w:cs="Arial Regular"/>
                <w:sz w:val="20"/>
                <w:szCs w:val="20"/>
              </w:rPr>
              <w:t>0.98</w:t>
            </w:r>
          </w:p>
        </w:tc>
        <w:tc>
          <w:tcPr>
            <w:tcW w:w="0" w:type="auto"/>
            <w:vAlign w:val="center"/>
          </w:tcPr>
          <w:p w14:paraId="17FDFD23">
            <w:pPr>
              <w:pStyle w:val="42"/>
              <w:jc w:val="center"/>
              <w:rPr>
                <w:rFonts w:hint="default" w:ascii="Arial Regular" w:hAnsi="Arial Regular" w:cs="Arial Regular"/>
                <w:sz w:val="20"/>
                <w:szCs w:val="20"/>
              </w:rPr>
            </w:pPr>
            <w:r>
              <w:rPr>
                <w:rFonts w:hint="default" w:ascii="Arial Regular" w:hAnsi="Arial Regular" w:cs="Arial Regular"/>
                <w:sz w:val="20"/>
                <w:szCs w:val="20"/>
              </w:rPr>
              <w:t>0.121±0.01</w:t>
            </w:r>
            <w:r>
              <w:rPr>
                <w:rFonts w:hint="default" w:ascii="Arial Regular" w:hAnsi="Arial Regular" w:cs="Arial Regular"/>
                <w:sz w:val="20"/>
                <w:szCs w:val="20"/>
                <w:vertAlign w:val="superscript"/>
              </w:rPr>
              <w:t>b</w:t>
            </w:r>
          </w:p>
        </w:tc>
        <w:tc>
          <w:tcPr>
            <w:tcW w:w="0" w:type="auto"/>
            <w:vAlign w:val="center"/>
          </w:tcPr>
          <w:p w14:paraId="4039652F">
            <w:pPr>
              <w:pStyle w:val="42"/>
              <w:jc w:val="center"/>
              <w:rPr>
                <w:rFonts w:hint="default" w:ascii="Arial Regular" w:hAnsi="Arial Regular" w:cs="Arial Regular"/>
                <w:sz w:val="20"/>
                <w:szCs w:val="20"/>
              </w:rPr>
            </w:pPr>
            <w:r>
              <w:rPr>
                <w:rFonts w:hint="default" w:ascii="Arial Regular" w:hAnsi="Arial Regular" w:cs="Arial Regular"/>
                <w:sz w:val="20"/>
                <w:szCs w:val="20"/>
              </w:rPr>
              <w:t>13.76±2.11</w:t>
            </w:r>
            <w:r>
              <w:rPr>
                <w:rFonts w:hint="default" w:ascii="Arial Regular" w:hAnsi="Arial Regular" w:cs="Arial Regular"/>
                <w:sz w:val="20"/>
                <w:szCs w:val="20"/>
                <w:vertAlign w:val="superscript"/>
              </w:rPr>
              <w:t>a</w:t>
            </w:r>
          </w:p>
        </w:tc>
        <w:tc>
          <w:tcPr>
            <w:tcW w:w="0" w:type="auto"/>
            <w:vAlign w:val="center"/>
          </w:tcPr>
          <w:p w14:paraId="794CD8F8">
            <w:pPr>
              <w:pStyle w:val="42"/>
              <w:jc w:val="center"/>
              <w:rPr>
                <w:rFonts w:hint="default" w:ascii="Arial Regular" w:hAnsi="Arial Regular" w:cs="Arial Regular"/>
                <w:sz w:val="20"/>
                <w:szCs w:val="20"/>
              </w:rPr>
            </w:pPr>
            <w:r>
              <w:rPr>
                <w:rFonts w:hint="default" w:ascii="Arial Regular" w:hAnsi="Arial Regular" w:cs="Arial Regular"/>
                <w:sz w:val="20"/>
                <w:szCs w:val="20"/>
              </w:rPr>
              <w:t>0.99</w:t>
            </w:r>
          </w:p>
        </w:tc>
      </w:tr>
      <w:tr w14:paraId="0C1CCEC8">
        <w:trPr>
          <w:jc w:val="center"/>
        </w:trPr>
        <w:tc>
          <w:tcPr>
            <w:tcW w:w="0" w:type="auto"/>
            <w:vAlign w:val="center"/>
          </w:tcPr>
          <w:p w14:paraId="0F6EC095">
            <w:pPr>
              <w:pStyle w:val="42"/>
              <w:jc w:val="center"/>
              <w:rPr>
                <w:rFonts w:hint="default" w:ascii="Arial Regular" w:hAnsi="Arial Regular" w:cs="Arial Regular"/>
                <w:sz w:val="20"/>
                <w:szCs w:val="20"/>
              </w:rPr>
            </w:pPr>
            <w:r>
              <w:rPr>
                <w:rFonts w:hint="default" w:ascii="Arial Regular" w:hAnsi="Arial Regular" w:cs="Arial Regular"/>
                <w:sz w:val="20"/>
                <w:szCs w:val="20"/>
              </w:rPr>
              <w:t>Fe(II)</w:t>
            </w:r>
          </w:p>
        </w:tc>
        <w:tc>
          <w:tcPr>
            <w:tcW w:w="0" w:type="auto"/>
          </w:tcPr>
          <w:p w14:paraId="4DAAA030">
            <w:pPr>
              <w:pStyle w:val="42"/>
              <w:jc w:val="center"/>
              <w:rPr>
                <w:rFonts w:hint="default" w:ascii="Arial Regular" w:hAnsi="Arial Regular" w:cs="Arial Regular"/>
                <w:sz w:val="20"/>
                <w:szCs w:val="20"/>
              </w:rPr>
            </w:pPr>
            <w:r>
              <w:rPr>
                <w:rFonts w:hint="default" w:ascii="Arial Regular" w:hAnsi="Arial Regular" w:cs="Arial Regular"/>
                <w:sz w:val="20"/>
                <w:szCs w:val="20"/>
              </w:rPr>
              <w:t>0.161±0.02</w:t>
            </w:r>
            <w:r>
              <w:rPr>
                <w:rFonts w:hint="default" w:ascii="Arial Regular" w:hAnsi="Arial Regular" w:cs="Arial Regular"/>
                <w:sz w:val="20"/>
                <w:szCs w:val="20"/>
                <w:vertAlign w:val="superscript"/>
              </w:rPr>
              <w:t>c</w:t>
            </w:r>
          </w:p>
        </w:tc>
        <w:tc>
          <w:tcPr>
            <w:tcW w:w="0" w:type="auto"/>
          </w:tcPr>
          <w:p w14:paraId="2C5E8A09">
            <w:pPr>
              <w:pStyle w:val="42"/>
              <w:jc w:val="center"/>
              <w:rPr>
                <w:rFonts w:hint="default" w:ascii="Arial Regular" w:hAnsi="Arial Regular" w:cs="Arial Regular"/>
                <w:sz w:val="20"/>
                <w:szCs w:val="20"/>
              </w:rPr>
            </w:pPr>
            <w:r>
              <w:rPr>
                <w:rFonts w:hint="default" w:ascii="Arial Regular" w:hAnsi="Arial Regular" w:cs="Arial Regular"/>
                <w:sz w:val="20"/>
                <w:szCs w:val="20"/>
              </w:rPr>
              <w:t>2.22±1.72</w:t>
            </w:r>
            <w:r>
              <w:rPr>
                <w:rFonts w:hint="default" w:ascii="Arial Regular" w:hAnsi="Arial Regular" w:cs="Arial Regular"/>
                <w:sz w:val="20"/>
                <w:szCs w:val="20"/>
                <w:vertAlign w:val="superscript"/>
              </w:rPr>
              <w:t>b</w:t>
            </w:r>
          </w:p>
        </w:tc>
        <w:tc>
          <w:tcPr>
            <w:tcW w:w="0" w:type="auto"/>
          </w:tcPr>
          <w:p w14:paraId="61764803">
            <w:pPr>
              <w:pStyle w:val="42"/>
              <w:jc w:val="center"/>
              <w:rPr>
                <w:rFonts w:hint="default" w:ascii="Arial Regular" w:hAnsi="Arial Regular" w:cs="Arial Regular"/>
                <w:sz w:val="20"/>
                <w:szCs w:val="20"/>
              </w:rPr>
            </w:pPr>
            <w:r>
              <w:rPr>
                <w:rFonts w:hint="default" w:ascii="Arial Regular" w:hAnsi="Arial Regular" w:cs="Arial Regular"/>
                <w:sz w:val="20"/>
                <w:szCs w:val="20"/>
              </w:rPr>
              <w:t>0.98</w:t>
            </w:r>
          </w:p>
        </w:tc>
        <w:tc>
          <w:tcPr>
            <w:tcW w:w="0" w:type="auto"/>
            <w:vAlign w:val="center"/>
          </w:tcPr>
          <w:p w14:paraId="06A40B04">
            <w:pPr>
              <w:pStyle w:val="42"/>
              <w:jc w:val="center"/>
              <w:rPr>
                <w:rFonts w:hint="default" w:ascii="Arial Regular" w:hAnsi="Arial Regular" w:cs="Arial Regular"/>
                <w:sz w:val="20"/>
                <w:szCs w:val="20"/>
              </w:rPr>
            </w:pPr>
            <w:r>
              <w:rPr>
                <w:rFonts w:hint="default" w:ascii="Arial Regular" w:hAnsi="Arial Regular" w:cs="Arial Regular"/>
                <w:sz w:val="20"/>
                <w:szCs w:val="20"/>
              </w:rPr>
              <w:t>0.102±0.01</w:t>
            </w:r>
            <w:r>
              <w:rPr>
                <w:rFonts w:hint="default" w:ascii="Arial Regular" w:hAnsi="Arial Regular" w:cs="Arial Regular"/>
                <w:sz w:val="20"/>
                <w:szCs w:val="20"/>
                <w:vertAlign w:val="superscript"/>
              </w:rPr>
              <w:t>b</w:t>
            </w:r>
          </w:p>
        </w:tc>
        <w:tc>
          <w:tcPr>
            <w:tcW w:w="0" w:type="auto"/>
            <w:vAlign w:val="center"/>
          </w:tcPr>
          <w:p w14:paraId="3361B54B">
            <w:pPr>
              <w:pStyle w:val="42"/>
              <w:jc w:val="center"/>
              <w:rPr>
                <w:rFonts w:hint="default" w:ascii="Arial Regular" w:hAnsi="Arial Regular" w:cs="Arial Regular"/>
                <w:sz w:val="20"/>
                <w:szCs w:val="20"/>
              </w:rPr>
            </w:pPr>
            <w:r>
              <w:rPr>
                <w:rFonts w:hint="default" w:ascii="Arial Regular" w:hAnsi="Arial Regular" w:cs="Arial Regular"/>
                <w:sz w:val="20"/>
                <w:szCs w:val="20"/>
              </w:rPr>
              <w:t>6.28±1.96</w:t>
            </w:r>
            <w:r>
              <w:rPr>
                <w:rFonts w:hint="default" w:ascii="Arial Regular" w:hAnsi="Arial Regular" w:cs="Arial Regular"/>
                <w:sz w:val="20"/>
                <w:szCs w:val="20"/>
                <w:vertAlign w:val="superscript"/>
              </w:rPr>
              <w:t>b</w:t>
            </w:r>
          </w:p>
        </w:tc>
        <w:tc>
          <w:tcPr>
            <w:tcW w:w="0" w:type="auto"/>
            <w:vAlign w:val="center"/>
          </w:tcPr>
          <w:p w14:paraId="099573F9">
            <w:pPr>
              <w:pStyle w:val="42"/>
              <w:jc w:val="center"/>
              <w:rPr>
                <w:rFonts w:hint="default" w:ascii="Arial Regular" w:hAnsi="Arial Regular" w:cs="Arial Regular"/>
                <w:sz w:val="20"/>
                <w:szCs w:val="20"/>
              </w:rPr>
            </w:pPr>
            <w:r>
              <w:rPr>
                <w:rFonts w:hint="default" w:ascii="Arial Regular" w:hAnsi="Arial Regular" w:cs="Arial Regular"/>
                <w:sz w:val="20"/>
                <w:szCs w:val="20"/>
              </w:rPr>
              <w:t>0.98</w:t>
            </w:r>
          </w:p>
        </w:tc>
      </w:tr>
      <w:tr w14:paraId="35FE472E">
        <w:trPr>
          <w:jc w:val="center"/>
        </w:trPr>
        <w:tc>
          <w:tcPr>
            <w:tcW w:w="0" w:type="auto"/>
            <w:shd w:val="clear" w:color="auto" w:fill="auto"/>
            <w:vAlign w:val="center"/>
          </w:tcPr>
          <w:p w14:paraId="617C6A0C">
            <w:pPr>
              <w:pStyle w:val="42"/>
              <w:jc w:val="center"/>
              <w:rPr>
                <w:rFonts w:hint="default" w:ascii="Arial Regular" w:hAnsi="Arial Regular" w:cs="Arial Regular"/>
                <w:sz w:val="20"/>
                <w:szCs w:val="20"/>
              </w:rPr>
            </w:pPr>
            <w:r>
              <w:rPr>
                <w:rFonts w:hint="default" w:ascii="Arial Regular" w:hAnsi="Arial Regular" w:cs="Arial Regular"/>
                <w:sz w:val="20"/>
                <w:szCs w:val="20"/>
              </w:rPr>
              <w:t>Mn(II)</w:t>
            </w:r>
          </w:p>
        </w:tc>
        <w:tc>
          <w:tcPr>
            <w:tcW w:w="0" w:type="auto"/>
            <w:shd w:val="clear" w:color="auto" w:fill="auto"/>
          </w:tcPr>
          <w:p w14:paraId="1F6B48C9">
            <w:pPr>
              <w:pStyle w:val="42"/>
              <w:jc w:val="center"/>
              <w:rPr>
                <w:rFonts w:hint="default" w:ascii="Arial Regular" w:hAnsi="Arial Regular" w:cs="Arial Regular"/>
                <w:sz w:val="20"/>
                <w:szCs w:val="20"/>
              </w:rPr>
            </w:pPr>
            <w:r>
              <w:rPr>
                <w:rFonts w:hint="default" w:ascii="Arial Regular" w:hAnsi="Arial Regular" w:cs="Arial Regular"/>
                <w:sz w:val="20"/>
                <w:szCs w:val="20"/>
              </w:rPr>
              <w:t>0.140±0.02</w:t>
            </w:r>
            <w:r>
              <w:rPr>
                <w:rFonts w:hint="default" w:ascii="Arial Regular" w:hAnsi="Arial Regular" w:cs="Arial Regular"/>
                <w:sz w:val="20"/>
                <w:szCs w:val="20"/>
                <w:vertAlign w:val="superscript"/>
              </w:rPr>
              <w:t>c</w:t>
            </w:r>
          </w:p>
        </w:tc>
        <w:tc>
          <w:tcPr>
            <w:tcW w:w="0" w:type="auto"/>
            <w:shd w:val="clear" w:color="auto" w:fill="auto"/>
          </w:tcPr>
          <w:p w14:paraId="04BC2A6D">
            <w:pPr>
              <w:pStyle w:val="42"/>
              <w:jc w:val="center"/>
              <w:rPr>
                <w:rFonts w:hint="default" w:ascii="Arial Regular" w:hAnsi="Arial Regular" w:cs="Arial Regular"/>
                <w:sz w:val="20"/>
                <w:szCs w:val="20"/>
              </w:rPr>
            </w:pPr>
            <w:r>
              <w:rPr>
                <w:rFonts w:hint="default" w:ascii="Arial Regular" w:hAnsi="Arial Regular" w:cs="Arial Regular"/>
                <w:sz w:val="20"/>
                <w:szCs w:val="20"/>
              </w:rPr>
              <w:t>1.67±0.12</w:t>
            </w:r>
            <w:r>
              <w:rPr>
                <w:rFonts w:hint="default" w:ascii="Arial Regular" w:hAnsi="Arial Regular" w:cs="Arial Regular"/>
                <w:sz w:val="20"/>
                <w:szCs w:val="20"/>
                <w:vertAlign w:val="superscript"/>
              </w:rPr>
              <w:t>b</w:t>
            </w:r>
          </w:p>
        </w:tc>
        <w:tc>
          <w:tcPr>
            <w:tcW w:w="0" w:type="auto"/>
            <w:shd w:val="clear" w:color="auto" w:fill="auto"/>
          </w:tcPr>
          <w:p w14:paraId="2E30186A">
            <w:pPr>
              <w:pStyle w:val="42"/>
              <w:jc w:val="center"/>
              <w:rPr>
                <w:rFonts w:hint="default" w:ascii="Arial Regular" w:hAnsi="Arial Regular" w:cs="Arial Regular"/>
                <w:sz w:val="20"/>
                <w:szCs w:val="20"/>
              </w:rPr>
            </w:pPr>
            <w:r>
              <w:rPr>
                <w:rFonts w:hint="default" w:ascii="Arial Regular" w:hAnsi="Arial Regular" w:cs="Arial Regular"/>
                <w:sz w:val="20"/>
                <w:szCs w:val="20"/>
              </w:rPr>
              <w:t>0.97</w:t>
            </w:r>
          </w:p>
        </w:tc>
        <w:tc>
          <w:tcPr>
            <w:tcW w:w="0" w:type="auto"/>
            <w:shd w:val="clear" w:color="auto" w:fill="auto"/>
            <w:vAlign w:val="center"/>
          </w:tcPr>
          <w:p w14:paraId="78DC684D">
            <w:pPr>
              <w:pStyle w:val="42"/>
              <w:jc w:val="center"/>
              <w:rPr>
                <w:rFonts w:hint="default" w:ascii="Arial Regular" w:hAnsi="Arial Regular" w:cs="Arial Regular"/>
                <w:sz w:val="20"/>
                <w:szCs w:val="20"/>
              </w:rPr>
            </w:pPr>
            <w:r>
              <w:rPr>
                <w:rFonts w:hint="default" w:ascii="Arial Regular" w:hAnsi="Arial Regular" w:cs="Arial Regular"/>
                <w:sz w:val="20"/>
                <w:szCs w:val="20"/>
              </w:rPr>
              <w:t>0.101±0.01</w:t>
            </w:r>
            <w:r>
              <w:rPr>
                <w:rFonts w:hint="default" w:ascii="Arial Regular" w:hAnsi="Arial Regular" w:cs="Arial Regular"/>
                <w:sz w:val="20"/>
                <w:szCs w:val="20"/>
                <w:vertAlign w:val="superscript"/>
              </w:rPr>
              <w:t>b</w:t>
            </w:r>
          </w:p>
        </w:tc>
        <w:tc>
          <w:tcPr>
            <w:tcW w:w="0" w:type="auto"/>
            <w:shd w:val="clear" w:color="auto" w:fill="auto"/>
            <w:vAlign w:val="center"/>
          </w:tcPr>
          <w:p w14:paraId="06F1F2CC">
            <w:pPr>
              <w:pStyle w:val="42"/>
              <w:jc w:val="center"/>
              <w:rPr>
                <w:rFonts w:hint="default" w:ascii="Arial Regular" w:hAnsi="Arial Regular" w:cs="Arial Regular"/>
                <w:sz w:val="20"/>
                <w:szCs w:val="20"/>
              </w:rPr>
            </w:pPr>
            <w:r>
              <w:rPr>
                <w:rFonts w:hint="default" w:ascii="Arial Regular" w:hAnsi="Arial Regular" w:cs="Arial Regular"/>
                <w:sz w:val="20"/>
                <w:szCs w:val="20"/>
              </w:rPr>
              <w:t>5.66±1.84</w:t>
            </w:r>
            <w:r>
              <w:rPr>
                <w:rFonts w:hint="default" w:ascii="Arial Regular" w:hAnsi="Arial Regular" w:cs="Arial Regular"/>
                <w:sz w:val="20"/>
                <w:szCs w:val="20"/>
                <w:vertAlign w:val="superscript"/>
              </w:rPr>
              <w:t>bc</w:t>
            </w:r>
          </w:p>
        </w:tc>
        <w:tc>
          <w:tcPr>
            <w:tcW w:w="0" w:type="auto"/>
            <w:shd w:val="clear" w:color="auto" w:fill="auto"/>
            <w:vAlign w:val="center"/>
          </w:tcPr>
          <w:p w14:paraId="37870545">
            <w:pPr>
              <w:pStyle w:val="42"/>
              <w:jc w:val="center"/>
              <w:rPr>
                <w:rFonts w:hint="default" w:ascii="Arial Regular" w:hAnsi="Arial Regular" w:cs="Arial Regular"/>
                <w:sz w:val="20"/>
                <w:szCs w:val="20"/>
              </w:rPr>
            </w:pPr>
            <w:r>
              <w:rPr>
                <w:rFonts w:hint="default" w:ascii="Arial Regular" w:hAnsi="Arial Regular" w:cs="Arial Regular"/>
                <w:sz w:val="20"/>
                <w:szCs w:val="20"/>
              </w:rPr>
              <w:t>0.97</w:t>
            </w:r>
          </w:p>
        </w:tc>
      </w:tr>
      <w:tr w14:paraId="2B36525C">
        <w:trPr>
          <w:jc w:val="center"/>
        </w:trPr>
        <w:tc>
          <w:tcPr>
            <w:tcW w:w="0" w:type="auto"/>
            <w:gridSpan w:val="7"/>
            <w:vAlign w:val="center"/>
          </w:tcPr>
          <w:p w14:paraId="6D6D5B26">
            <w:pPr>
              <w:pStyle w:val="42"/>
              <w:jc w:val="center"/>
              <w:rPr>
                <w:rFonts w:hint="default" w:ascii="Arial Regular" w:hAnsi="Arial Regular" w:cs="Arial Regular"/>
                <w:sz w:val="20"/>
                <w:szCs w:val="20"/>
              </w:rPr>
            </w:pPr>
            <w:r>
              <w:rPr>
                <w:rFonts w:hint="default" w:ascii="Arial Regular" w:hAnsi="Arial Regular" w:cs="Arial Regular"/>
                <w:b/>
                <w:bCs/>
                <w:sz w:val="20"/>
                <w:szCs w:val="20"/>
              </w:rPr>
              <w:t>Chloramine</w:t>
            </w:r>
          </w:p>
        </w:tc>
      </w:tr>
      <w:tr w14:paraId="3BCA59E3">
        <w:trPr>
          <w:jc w:val="center"/>
        </w:trPr>
        <w:tc>
          <w:tcPr>
            <w:tcW w:w="0" w:type="auto"/>
            <w:shd w:val="clear" w:color="auto" w:fill="E7E6E6" w:themeFill="background2"/>
            <w:vAlign w:val="center"/>
          </w:tcPr>
          <w:p w14:paraId="68768278">
            <w:pPr>
              <w:pStyle w:val="42"/>
              <w:jc w:val="center"/>
              <w:rPr>
                <w:rFonts w:hint="default" w:ascii="Arial Regular" w:hAnsi="Arial Regular" w:cs="Arial Regular"/>
                <w:sz w:val="20"/>
                <w:szCs w:val="20"/>
              </w:rPr>
            </w:pPr>
          </w:p>
        </w:tc>
        <w:tc>
          <w:tcPr>
            <w:tcW w:w="0" w:type="auto"/>
            <w:shd w:val="clear" w:color="auto" w:fill="E7E6E6" w:themeFill="background2"/>
            <w:vAlign w:val="center"/>
          </w:tcPr>
          <w:p w14:paraId="76D0D9C5">
            <w:pPr>
              <w:pStyle w:val="42"/>
              <w:jc w:val="center"/>
              <w:rPr>
                <w:rFonts w:hint="default" w:ascii="Arial Regular" w:hAnsi="Arial Regular" w:cs="Arial Regular"/>
                <w:i/>
                <w:sz w:val="20"/>
                <w:szCs w:val="20"/>
              </w:rPr>
            </w:pPr>
            <w:r>
              <w:rPr>
                <w:rFonts w:hint="default" w:ascii="Arial Regular" w:hAnsi="Arial Regular" w:cs="Arial Regular"/>
                <w:i/>
                <w:sz w:val="20"/>
                <w:szCs w:val="20"/>
              </w:rPr>
              <w:t>k</w:t>
            </w:r>
            <w:r>
              <w:rPr>
                <w:rFonts w:hint="default" w:ascii="Arial Regular" w:hAnsi="Arial Regular" w:cs="Arial Regular"/>
                <w:sz w:val="20"/>
                <w:szCs w:val="20"/>
              </w:rPr>
              <w:t>(L/(mg•min))</w:t>
            </w:r>
          </w:p>
        </w:tc>
        <w:tc>
          <w:tcPr>
            <w:tcW w:w="0" w:type="auto"/>
            <w:shd w:val="clear" w:color="auto" w:fill="E7E6E6" w:themeFill="background2"/>
            <w:vAlign w:val="center"/>
          </w:tcPr>
          <w:p w14:paraId="43A03421">
            <w:pPr>
              <w:pStyle w:val="42"/>
              <w:jc w:val="center"/>
              <w:rPr>
                <w:rFonts w:hint="default" w:ascii="Arial Regular" w:hAnsi="Arial Regular" w:cs="Arial Regular"/>
                <w:sz w:val="20"/>
                <w:szCs w:val="20"/>
              </w:rPr>
            </w:pPr>
            <w:r>
              <w:rPr>
                <w:rFonts w:hint="default" w:ascii="Arial Regular" w:hAnsi="Arial Regular" w:cs="Arial Regular"/>
                <w:i/>
                <w:sz w:val="20"/>
                <w:szCs w:val="20"/>
              </w:rPr>
              <w:t>SL</w:t>
            </w:r>
            <w:r>
              <w:rPr>
                <w:rFonts w:hint="default" w:ascii="Arial Regular" w:hAnsi="Arial Regular" w:cs="Arial Regular"/>
                <w:sz w:val="20"/>
                <w:szCs w:val="20"/>
              </w:rPr>
              <w:t>((mg•min)/L)</w:t>
            </w:r>
          </w:p>
        </w:tc>
        <w:tc>
          <w:tcPr>
            <w:tcW w:w="0" w:type="auto"/>
            <w:shd w:val="clear" w:color="auto" w:fill="E7E6E6" w:themeFill="background2"/>
            <w:vAlign w:val="center"/>
          </w:tcPr>
          <w:p w14:paraId="607287E2">
            <w:pPr>
              <w:pStyle w:val="42"/>
              <w:jc w:val="center"/>
              <w:rPr>
                <w:rFonts w:hint="default" w:ascii="Arial Regular" w:hAnsi="Arial Regular" w:cs="Arial Regular"/>
                <w:sz w:val="20"/>
                <w:szCs w:val="20"/>
              </w:rPr>
            </w:pPr>
            <w:r>
              <w:rPr>
                <w:rFonts w:hint="default" w:ascii="Arial Regular" w:hAnsi="Arial Regular" w:cs="Arial Regular"/>
                <w:sz w:val="20"/>
                <w:szCs w:val="20"/>
              </w:rPr>
              <w:t>R</w:t>
            </w:r>
            <w:r>
              <w:rPr>
                <w:rFonts w:hint="default" w:ascii="Arial Regular" w:hAnsi="Arial Regular" w:cs="Arial Regular"/>
                <w:sz w:val="20"/>
                <w:szCs w:val="20"/>
                <w:vertAlign w:val="superscript"/>
              </w:rPr>
              <w:t>2</w:t>
            </w:r>
          </w:p>
        </w:tc>
        <w:tc>
          <w:tcPr>
            <w:tcW w:w="0" w:type="auto"/>
            <w:shd w:val="clear" w:color="auto" w:fill="E7E6E6" w:themeFill="background2"/>
            <w:vAlign w:val="center"/>
          </w:tcPr>
          <w:p w14:paraId="67CF3EF4">
            <w:pPr>
              <w:pStyle w:val="42"/>
              <w:jc w:val="center"/>
              <w:rPr>
                <w:rFonts w:hint="default" w:ascii="Arial Regular" w:hAnsi="Arial Regular" w:cs="Arial Regular"/>
                <w:sz w:val="20"/>
                <w:szCs w:val="20"/>
              </w:rPr>
            </w:pPr>
            <w:r>
              <w:rPr>
                <w:rFonts w:hint="default" w:ascii="Arial Regular" w:hAnsi="Arial Regular" w:cs="Arial Regular"/>
                <w:i/>
                <w:sz w:val="20"/>
                <w:szCs w:val="20"/>
              </w:rPr>
              <w:t>k</w:t>
            </w:r>
            <w:r>
              <w:rPr>
                <w:rFonts w:hint="default" w:ascii="Arial Regular" w:hAnsi="Arial Regular" w:cs="Arial Regular"/>
                <w:sz w:val="20"/>
                <w:szCs w:val="20"/>
              </w:rPr>
              <w:t>(L/(mg•min))</w:t>
            </w:r>
          </w:p>
        </w:tc>
        <w:tc>
          <w:tcPr>
            <w:tcW w:w="0" w:type="auto"/>
            <w:shd w:val="clear" w:color="auto" w:fill="E7E6E6" w:themeFill="background2"/>
            <w:vAlign w:val="center"/>
          </w:tcPr>
          <w:p w14:paraId="0D04BC30">
            <w:pPr>
              <w:pStyle w:val="42"/>
              <w:jc w:val="center"/>
              <w:rPr>
                <w:rFonts w:hint="default" w:ascii="Arial Regular" w:hAnsi="Arial Regular" w:cs="Arial Regular"/>
                <w:sz w:val="20"/>
                <w:szCs w:val="20"/>
              </w:rPr>
            </w:pPr>
            <w:r>
              <w:rPr>
                <w:rFonts w:hint="default" w:ascii="Arial Regular" w:hAnsi="Arial Regular" w:cs="Arial Regular"/>
                <w:i/>
                <w:sz w:val="20"/>
                <w:szCs w:val="20"/>
              </w:rPr>
              <w:t>SL</w:t>
            </w:r>
            <w:r>
              <w:rPr>
                <w:rFonts w:hint="default" w:ascii="Arial Regular" w:hAnsi="Arial Regular" w:cs="Arial Regular"/>
                <w:sz w:val="20"/>
                <w:szCs w:val="20"/>
              </w:rPr>
              <w:t>((mg•min)/L)</w:t>
            </w:r>
          </w:p>
        </w:tc>
        <w:tc>
          <w:tcPr>
            <w:tcW w:w="0" w:type="auto"/>
            <w:shd w:val="clear" w:color="auto" w:fill="E7E6E6" w:themeFill="background2"/>
            <w:vAlign w:val="center"/>
          </w:tcPr>
          <w:p w14:paraId="4570E18F">
            <w:pPr>
              <w:pStyle w:val="42"/>
              <w:jc w:val="center"/>
              <w:rPr>
                <w:rFonts w:hint="default" w:ascii="Arial Regular" w:hAnsi="Arial Regular" w:cs="Arial Regular"/>
                <w:sz w:val="20"/>
                <w:szCs w:val="20"/>
              </w:rPr>
            </w:pPr>
            <w:r>
              <w:rPr>
                <w:rFonts w:hint="default" w:ascii="Arial Regular" w:hAnsi="Arial Regular" w:cs="Arial Regular"/>
                <w:sz w:val="20"/>
                <w:szCs w:val="20"/>
              </w:rPr>
              <w:t>R</w:t>
            </w:r>
            <w:r>
              <w:rPr>
                <w:rFonts w:hint="default" w:ascii="Arial Regular" w:hAnsi="Arial Regular" w:cs="Arial Regular"/>
                <w:sz w:val="20"/>
                <w:szCs w:val="20"/>
                <w:vertAlign w:val="superscript"/>
              </w:rPr>
              <w:t>2</w:t>
            </w:r>
          </w:p>
        </w:tc>
      </w:tr>
      <w:tr w14:paraId="441863DC">
        <w:trPr>
          <w:jc w:val="center"/>
        </w:trPr>
        <w:tc>
          <w:tcPr>
            <w:tcW w:w="0" w:type="auto"/>
            <w:shd w:val="clear" w:color="auto" w:fill="auto"/>
            <w:vAlign w:val="center"/>
          </w:tcPr>
          <w:p w14:paraId="0A1D1E4A">
            <w:pPr>
              <w:pStyle w:val="42"/>
              <w:jc w:val="center"/>
              <w:rPr>
                <w:rFonts w:hint="default" w:ascii="Arial Regular" w:hAnsi="Arial Regular" w:cs="Arial Regular"/>
                <w:sz w:val="20"/>
                <w:szCs w:val="20"/>
              </w:rPr>
            </w:pPr>
            <w:r>
              <w:rPr>
                <w:rFonts w:hint="default" w:ascii="Arial Regular" w:hAnsi="Arial Regular" w:cs="Arial Regular"/>
                <w:sz w:val="20"/>
                <w:szCs w:val="20"/>
              </w:rPr>
              <w:t>Control</w:t>
            </w:r>
          </w:p>
        </w:tc>
        <w:tc>
          <w:tcPr>
            <w:tcW w:w="0" w:type="auto"/>
            <w:shd w:val="clear" w:color="auto" w:fill="auto"/>
            <w:vAlign w:val="center"/>
          </w:tcPr>
          <w:p w14:paraId="26EFB563">
            <w:pPr>
              <w:pStyle w:val="42"/>
              <w:jc w:val="center"/>
              <w:rPr>
                <w:rFonts w:hint="default" w:ascii="Arial Regular" w:hAnsi="Arial Regular" w:cs="Arial Regular"/>
                <w:sz w:val="20"/>
                <w:szCs w:val="20"/>
              </w:rPr>
            </w:pPr>
            <w:r>
              <w:rPr>
                <w:rFonts w:hint="default" w:ascii="Arial Regular" w:hAnsi="Arial Regular" w:cs="Arial Regular"/>
                <w:sz w:val="20"/>
                <w:szCs w:val="20"/>
              </w:rPr>
              <w:t>0.730±0.02</w:t>
            </w:r>
            <w:r>
              <w:rPr>
                <w:rFonts w:hint="default" w:ascii="Arial Regular" w:hAnsi="Arial Regular" w:cs="Arial Regular"/>
                <w:sz w:val="20"/>
                <w:szCs w:val="20"/>
                <w:vertAlign w:val="superscript"/>
              </w:rPr>
              <w:t>a</w:t>
            </w:r>
          </w:p>
        </w:tc>
        <w:tc>
          <w:tcPr>
            <w:tcW w:w="0" w:type="auto"/>
            <w:shd w:val="clear" w:color="auto" w:fill="auto"/>
            <w:vAlign w:val="center"/>
          </w:tcPr>
          <w:p w14:paraId="4188180A">
            <w:pPr>
              <w:pStyle w:val="42"/>
              <w:jc w:val="center"/>
              <w:rPr>
                <w:rFonts w:hint="default" w:ascii="Arial Regular" w:hAnsi="Arial Regular" w:eastAsia="宋体" w:cs="Arial Regular"/>
                <w:sz w:val="20"/>
                <w:szCs w:val="20"/>
              </w:rPr>
            </w:pPr>
            <w:r>
              <w:rPr>
                <w:rFonts w:hint="default" w:ascii="Arial Regular" w:hAnsi="Arial Regular" w:cs="Arial Regular"/>
                <w:sz w:val="20"/>
                <w:szCs w:val="20"/>
              </w:rPr>
              <w:t>7.41±0.73</w:t>
            </w:r>
            <w:r>
              <w:rPr>
                <w:rFonts w:hint="default" w:ascii="Arial Regular" w:hAnsi="Arial Regular" w:cs="Arial Regular"/>
                <w:sz w:val="20"/>
                <w:szCs w:val="20"/>
                <w:vertAlign w:val="superscript"/>
              </w:rPr>
              <w:t>a</w:t>
            </w:r>
          </w:p>
        </w:tc>
        <w:tc>
          <w:tcPr>
            <w:tcW w:w="0" w:type="auto"/>
            <w:shd w:val="clear" w:color="auto" w:fill="auto"/>
            <w:vAlign w:val="center"/>
          </w:tcPr>
          <w:p w14:paraId="41EDD9A3">
            <w:pPr>
              <w:pStyle w:val="42"/>
              <w:jc w:val="center"/>
              <w:rPr>
                <w:rFonts w:hint="default" w:ascii="Arial Regular" w:hAnsi="Arial Regular" w:cs="Arial Regular"/>
                <w:sz w:val="20"/>
                <w:szCs w:val="20"/>
              </w:rPr>
            </w:pPr>
            <w:r>
              <w:rPr>
                <w:rFonts w:hint="default" w:ascii="Arial Regular" w:hAnsi="Arial Regular" w:cs="Arial Regular"/>
                <w:sz w:val="20"/>
                <w:szCs w:val="20"/>
              </w:rPr>
              <w:t>0.99</w:t>
            </w:r>
          </w:p>
        </w:tc>
        <w:tc>
          <w:tcPr>
            <w:tcW w:w="0" w:type="auto"/>
            <w:shd w:val="clear" w:color="auto" w:fill="auto"/>
            <w:vAlign w:val="center"/>
          </w:tcPr>
          <w:p w14:paraId="20E390CD">
            <w:pPr>
              <w:pStyle w:val="42"/>
              <w:jc w:val="center"/>
              <w:rPr>
                <w:rFonts w:hint="default" w:ascii="Arial Regular" w:hAnsi="Arial Regular" w:cs="Arial Regular"/>
                <w:sz w:val="20"/>
                <w:szCs w:val="20"/>
              </w:rPr>
            </w:pPr>
            <w:r>
              <w:rPr>
                <w:rFonts w:hint="default" w:ascii="Arial Regular" w:hAnsi="Arial Regular" w:cs="Arial Regular"/>
                <w:sz w:val="20"/>
                <w:szCs w:val="20"/>
              </w:rPr>
              <w:t>0.271±0.02</w:t>
            </w:r>
            <w:r>
              <w:rPr>
                <w:rFonts w:hint="default" w:ascii="Arial Regular" w:hAnsi="Arial Regular" w:cs="Arial Regular"/>
                <w:sz w:val="20"/>
                <w:szCs w:val="20"/>
                <w:vertAlign w:val="superscript"/>
              </w:rPr>
              <w:t>a</w:t>
            </w:r>
          </w:p>
        </w:tc>
        <w:tc>
          <w:tcPr>
            <w:tcW w:w="0" w:type="auto"/>
            <w:shd w:val="clear" w:color="auto" w:fill="auto"/>
            <w:vAlign w:val="center"/>
          </w:tcPr>
          <w:p w14:paraId="54D2B448">
            <w:pPr>
              <w:pStyle w:val="42"/>
              <w:jc w:val="center"/>
              <w:rPr>
                <w:rFonts w:hint="default" w:ascii="Arial Regular" w:hAnsi="Arial Regular" w:cs="Arial Regular"/>
                <w:sz w:val="20"/>
                <w:szCs w:val="20"/>
              </w:rPr>
            </w:pPr>
            <w:r>
              <w:rPr>
                <w:rFonts w:hint="default" w:ascii="Arial Regular" w:hAnsi="Arial Regular" w:cs="Arial Regular"/>
                <w:sz w:val="20"/>
                <w:szCs w:val="20"/>
              </w:rPr>
              <w:t>10.57±2.27</w:t>
            </w:r>
            <w:r>
              <w:rPr>
                <w:rFonts w:hint="default" w:ascii="Arial Regular" w:hAnsi="Arial Regular" w:cs="Arial Regular"/>
                <w:sz w:val="20"/>
                <w:szCs w:val="20"/>
                <w:vertAlign w:val="superscript"/>
              </w:rPr>
              <w:t>ab</w:t>
            </w:r>
          </w:p>
        </w:tc>
        <w:tc>
          <w:tcPr>
            <w:tcW w:w="0" w:type="auto"/>
            <w:shd w:val="clear" w:color="auto" w:fill="auto"/>
            <w:vAlign w:val="center"/>
          </w:tcPr>
          <w:p w14:paraId="040A0C72">
            <w:pPr>
              <w:pStyle w:val="42"/>
              <w:jc w:val="center"/>
              <w:rPr>
                <w:rFonts w:hint="default" w:ascii="Arial Regular" w:hAnsi="Arial Regular" w:cs="Arial Regular"/>
                <w:sz w:val="20"/>
                <w:szCs w:val="20"/>
              </w:rPr>
            </w:pPr>
            <w:r>
              <w:rPr>
                <w:rFonts w:hint="default" w:ascii="Arial Regular" w:hAnsi="Arial Regular" w:cs="Arial Regular"/>
                <w:sz w:val="20"/>
                <w:szCs w:val="20"/>
              </w:rPr>
              <w:t>0.99</w:t>
            </w:r>
          </w:p>
        </w:tc>
      </w:tr>
      <w:tr w14:paraId="63483EE9">
        <w:trPr>
          <w:jc w:val="center"/>
        </w:trPr>
        <w:tc>
          <w:tcPr>
            <w:tcW w:w="0" w:type="auto"/>
            <w:shd w:val="clear" w:color="auto" w:fill="auto"/>
            <w:vAlign w:val="center"/>
          </w:tcPr>
          <w:p w14:paraId="2EA82010">
            <w:pPr>
              <w:pStyle w:val="42"/>
              <w:jc w:val="center"/>
              <w:rPr>
                <w:rFonts w:hint="default" w:ascii="Arial Regular" w:hAnsi="Arial Regular" w:cs="Arial Regular"/>
                <w:sz w:val="20"/>
                <w:szCs w:val="20"/>
              </w:rPr>
            </w:pPr>
            <w:r>
              <w:rPr>
                <w:rFonts w:hint="default" w:ascii="Arial Regular" w:hAnsi="Arial Regular" w:cs="Arial Regular"/>
                <w:sz w:val="20"/>
                <w:szCs w:val="20"/>
              </w:rPr>
              <w:t>Co(II)</w:t>
            </w:r>
          </w:p>
        </w:tc>
        <w:tc>
          <w:tcPr>
            <w:tcW w:w="0" w:type="auto"/>
            <w:shd w:val="clear" w:color="auto" w:fill="auto"/>
            <w:vAlign w:val="center"/>
          </w:tcPr>
          <w:p w14:paraId="3824023F">
            <w:pPr>
              <w:pStyle w:val="42"/>
              <w:jc w:val="center"/>
              <w:rPr>
                <w:rFonts w:hint="default" w:ascii="Arial Regular" w:hAnsi="Arial Regular" w:cs="Arial Regular"/>
                <w:sz w:val="20"/>
                <w:szCs w:val="20"/>
              </w:rPr>
            </w:pPr>
            <w:r>
              <w:rPr>
                <w:rFonts w:hint="default" w:ascii="Arial Regular" w:hAnsi="Arial Regular" w:cs="Arial Regular"/>
                <w:sz w:val="20"/>
                <w:szCs w:val="20"/>
              </w:rPr>
              <w:t>0.703±0.02</w:t>
            </w:r>
            <w:r>
              <w:rPr>
                <w:rFonts w:hint="default" w:ascii="Arial Regular" w:hAnsi="Arial Regular" w:cs="Arial Regular"/>
                <w:sz w:val="20"/>
                <w:szCs w:val="20"/>
                <w:vertAlign w:val="superscript"/>
              </w:rPr>
              <w:t>a</w:t>
            </w:r>
          </w:p>
        </w:tc>
        <w:tc>
          <w:tcPr>
            <w:tcW w:w="0" w:type="auto"/>
            <w:shd w:val="clear" w:color="auto" w:fill="auto"/>
            <w:vAlign w:val="center"/>
          </w:tcPr>
          <w:p w14:paraId="3933EFB2">
            <w:pPr>
              <w:pStyle w:val="42"/>
              <w:jc w:val="center"/>
              <w:rPr>
                <w:rFonts w:hint="default" w:ascii="Arial Regular" w:hAnsi="Arial Regular" w:eastAsia="宋体" w:cs="Arial Regular"/>
                <w:sz w:val="20"/>
                <w:szCs w:val="20"/>
              </w:rPr>
            </w:pPr>
            <w:r>
              <w:rPr>
                <w:rFonts w:hint="default" w:ascii="Arial Regular" w:hAnsi="Arial Regular" w:cs="Arial Regular"/>
                <w:sz w:val="20"/>
                <w:szCs w:val="20"/>
              </w:rPr>
              <w:t>6.94±0.19</w:t>
            </w:r>
            <w:r>
              <w:rPr>
                <w:rFonts w:hint="default" w:ascii="Arial Regular" w:hAnsi="Arial Regular" w:cs="Arial Regular"/>
                <w:sz w:val="20"/>
                <w:szCs w:val="20"/>
                <w:vertAlign w:val="superscript"/>
              </w:rPr>
              <w:t>a</w:t>
            </w:r>
          </w:p>
        </w:tc>
        <w:tc>
          <w:tcPr>
            <w:tcW w:w="0" w:type="auto"/>
            <w:shd w:val="clear" w:color="auto" w:fill="auto"/>
            <w:vAlign w:val="center"/>
          </w:tcPr>
          <w:p w14:paraId="6F06C567">
            <w:pPr>
              <w:pStyle w:val="42"/>
              <w:jc w:val="center"/>
              <w:rPr>
                <w:rFonts w:hint="default" w:ascii="Arial Regular" w:hAnsi="Arial Regular" w:eastAsia="宋体" w:cs="Arial Regular"/>
                <w:sz w:val="20"/>
                <w:szCs w:val="20"/>
              </w:rPr>
            </w:pPr>
            <w:r>
              <w:rPr>
                <w:rFonts w:hint="default" w:ascii="Arial Regular" w:hAnsi="Arial Regular" w:cs="Arial Regular"/>
                <w:sz w:val="20"/>
                <w:szCs w:val="20"/>
              </w:rPr>
              <w:t>0.99</w:t>
            </w:r>
          </w:p>
        </w:tc>
        <w:tc>
          <w:tcPr>
            <w:tcW w:w="0" w:type="auto"/>
            <w:shd w:val="clear" w:color="auto" w:fill="auto"/>
            <w:vAlign w:val="center"/>
          </w:tcPr>
          <w:p w14:paraId="585DA449">
            <w:pPr>
              <w:pStyle w:val="42"/>
              <w:jc w:val="center"/>
              <w:rPr>
                <w:rFonts w:hint="default" w:ascii="Arial Regular" w:hAnsi="Arial Regular" w:eastAsia="宋体" w:cs="Arial Regular"/>
                <w:sz w:val="20"/>
                <w:szCs w:val="20"/>
              </w:rPr>
            </w:pPr>
            <w:r>
              <w:rPr>
                <w:rFonts w:hint="default" w:ascii="Arial Regular" w:hAnsi="Arial Regular" w:cs="Arial Regular"/>
                <w:sz w:val="20"/>
                <w:szCs w:val="20"/>
              </w:rPr>
              <w:t>0.261±0.03</w:t>
            </w:r>
            <w:r>
              <w:rPr>
                <w:rFonts w:hint="default" w:ascii="Arial Regular" w:hAnsi="Arial Regular" w:cs="Arial Regular"/>
                <w:sz w:val="20"/>
                <w:szCs w:val="20"/>
                <w:vertAlign w:val="superscript"/>
              </w:rPr>
              <w:t>a</w:t>
            </w:r>
          </w:p>
        </w:tc>
        <w:tc>
          <w:tcPr>
            <w:tcW w:w="0" w:type="auto"/>
            <w:shd w:val="clear" w:color="auto" w:fill="auto"/>
            <w:vAlign w:val="center"/>
          </w:tcPr>
          <w:p w14:paraId="76FE2F9D">
            <w:pPr>
              <w:pStyle w:val="42"/>
              <w:jc w:val="center"/>
              <w:rPr>
                <w:rFonts w:hint="default" w:ascii="Arial Regular" w:hAnsi="Arial Regular" w:cs="Arial Regular"/>
                <w:sz w:val="20"/>
                <w:szCs w:val="20"/>
              </w:rPr>
            </w:pPr>
            <w:r>
              <w:rPr>
                <w:rFonts w:hint="default" w:ascii="Arial Regular" w:hAnsi="Arial Regular" w:cs="Arial Regular"/>
                <w:sz w:val="20"/>
                <w:szCs w:val="20"/>
              </w:rPr>
              <w:t>9.41±3.85</w:t>
            </w:r>
            <w:r>
              <w:rPr>
                <w:rFonts w:hint="default" w:ascii="Arial Regular" w:hAnsi="Arial Regular" w:cs="Arial Regular"/>
                <w:sz w:val="20"/>
                <w:szCs w:val="20"/>
                <w:vertAlign w:val="superscript"/>
              </w:rPr>
              <w:t>ab</w:t>
            </w:r>
          </w:p>
        </w:tc>
        <w:tc>
          <w:tcPr>
            <w:tcW w:w="0" w:type="auto"/>
            <w:shd w:val="clear" w:color="auto" w:fill="auto"/>
            <w:vAlign w:val="center"/>
          </w:tcPr>
          <w:p w14:paraId="13D90F96">
            <w:pPr>
              <w:pStyle w:val="42"/>
              <w:jc w:val="center"/>
              <w:rPr>
                <w:rFonts w:hint="default" w:ascii="Arial Regular" w:hAnsi="Arial Regular" w:cs="Arial Regular"/>
                <w:sz w:val="20"/>
                <w:szCs w:val="20"/>
              </w:rPr>
            </w:pPr>
            <w:r>
              <w:rPr>
                <w:rFonts w:hint="default" w:ascii="Arial Regular" w:hAnsi="Arial Regular" w:cs="Arial Regular"/>
                <w:sz w:val="20"/>
                <w:szCs w:val="20"/>
              </w:rPr>
              <w:t>0.98</w:t>
            </w:r>
          </w:p>
        </w:tc>
      </w:tr>
      <w:tr w14:paraId="5A8973D5">
        <w:trPr>
          <w:jc w:val="center"/>
        </w:trPr>
        <w:tc>
          <w:tcPr>
            <w:tcW w:w="0" w:type="auto"/>
            <w:shd w:val="clear" w:color="auto" w:fill="auto"/>
            <w:vAlign w:val="center"/>
          </w:tcPr>
          <w:p w14:paraId="0D4245E8">
            <w:pPr>
              <w:pStyle w:val="42"/>
              <w:jc w:val="center"/>
              <w:rPr>
                <w:rFonts w:hint="default" w:ascii="Arial Regular" w:hAnsi="Arial Regular" w:cs="Arial Regular"/>
                <w:sz w:val="20"/>
                <w:szCs w:val="20"/>
              </w:rPr>
            </w:pPr>
            <w:r>
              <w:rPr>
                <w:rFonts w:hint="default" w:ascii="Arial Regular" w:hAnsi="Arial Regular" w:cs="Arial Regular"/>
                <w:sz w:val="20"/>
                <w:szCs w:val="20"/>
              </w:rPr>
              <w:t>Cu(II)</w:t>
            </w:r>
          </w:p>
        </w:tc>
        <w:tc>
          <w:tcPr>
            <w:tcW w:w="0" w:type="auto"/>
            <w:shd w:val="clear" w:color="auto" w:fill="auto"/>
            <w:vAlign w:val="center"/>
          </w:tcPr>
          <w:p w14:paraId="0A4CE98E">
            <w:pPr>
              <w:pStyle w:val="42"/>
              <w:jc w:val="center"/>
              <w:rPr>
                <w:rFonts w:hint="default" w:ascii="Arial Regular" w:hAnsi="Arial Regular" w:cs="Arial Regular"/>
                <w:sz w:val="20"/>
                <w:szCs w:val="20"/>
              </w:rPr>
            </w:pPr>
            <w:r>
              <w:rPr>
                <w:rFonts w:hint="default" w:ascii="Arial Regular" w:hAnsi="Arial Regular" w:cs="Arial Regular"/>
                <w:sz w:val="20"/>
                <w:szCs w:val="20"/>
              </w:rPr>
              <w:t>0.711±0.01</w:t>
            </w:r>
            <w:r>
              <w:rPr>
                <w:rFonts w:hint="default" w:ascii="Arial Regular" w:hAnsi="Arial Regular" w:cs="Arial Regular"/>
                <w:sz w:val="20"/>
                <w:szCs w:val="20"/>
                <w:vertAlign w:val="superscript"/>
              </w:rPr>
              <w:t>a</w:t>
            </w:r>
          </w:p>
        </w:tc>
        <w:tc>
          <w:tcPr>
            <w:tcW w:w="0" w:type="auto"/>
            <w:shd w:val="clear" w:color="auto" w:fill="auto"/>
            <w:vAlign w:val="center"/>
          </w:tcPr>
          <w:p w14:paraId="2D60F118">
            <w:pPr>
              <w:pStyle w:val="42"/>
              <w:jc w:val="center"/>
              <w:rPr>
                <w:rFonts w:hint="default" w:ascii="Arial Regular" w:hAnsi="Arial Regular" w:eastAsia="宋体" w:cs="Arial Regular"/>
                <w:sz w:val="20"/>
                <w:szCs w:val="20"/>
              </w:rPr>
            </w:pPr>
            <w:r>
              <w:rPr>
                <w:rFonts w:hint="default" w:ascii="Arial Regular" w:hAnsi="Arial Regular" w:cs="Arial Regular"/>
                <w:sz w:val="20"/>
                <w:szCs w:val="20"/>
              </w:rPr>
              <w:t>6.43±1.02</w:t>
            </w:r>
            <w:r>
              <w:rPr>
                <w:rFonts w:hint="default" w:ascii="Arial Regular" w:hAnsi="Arial Regular" w:cs="Arial Regular"/>
                <w:sz w:val="20"/>
                <w:szCs w:val="20"/>
                <w:vertAlign w:val="superscript"/>
              </w:rPr>
              <w:t>a</w:t>
            </w:r>
          </w:p>
        </w:tc>
        <w:tc>
          <w:tcPr>
            <w:tcW w:w="0" w:type="auto"/>
            <w:shd w:val="clear" w:color="auto" w:fill="auto"/>
            <w:vAlign w:val="center"/>
          </w:tcPr>
          <w:p w14:paraId="583B6FFC">
            <w:pPr>
              <w:pStyle w:val="42"/>
              <w:jc w:val="center"/>
              <w:rPr>
                <w:rFonts w:hint="default" w:ascii="Arial Regular" w:hAnsi="Arial Regular" w:cs="Arial Regular"/>
                <w:sz w:val="20"/>
                <w:szCs w:val="20"/>
              </w:rPr>
            </w:pPr>
            <w:r>
              <w:rPr>
                <w:rFonts w:hint="default" w:ascii="Arial Regular" w:hAnsi="Arial Regular" w:cs="Arial Regular"/>
                <w:sz w:val="20"/>
                <w:szCs w:val="20"/>
              </w:rPr>
              <w:t>0.99</w:t>
            </w:r>
          </w:p>
        </w:tc>
        <w:tc>
          <w:tcPr>
            <w:tcW w:w="0" w:type="auto"/>
            <w:shd w:val="clear" w:color="auto" w:fill="auto"/>
            <w:vAlign w:val="center"/>
          </w:tcPr>
          <w:p w14:paraId="6807D0C2">
            <w:pPr>
              <w:pStyle w:val="42"/>
              <w:jc w:val="center"/>
              <w:rPr>
                <w:rFonts w:hint="default" w:ascii="Arial Regular" w:hAnsi="Arial Regular" w:cs="Arial Regular"/>
                <w:sz w:val="20"/>
                <w:szCs w:val="20"/>
              </w:rPr>
            </w:pPr>
            <w:r>
              <w:rPr>
                <w:rFonts w:hint="default" w:ascii="Arial Regular" w:hAnsi="Arial Regular" w:cs="Arial Regular"/>
                <w:sz w:val="20"/>
                <w:szCs w:val="20"/>
              </w:rPr>
              <w:t>0.252±0.02</w:t>
            </w:r>
            <w:r>
              <w:rPr>
                <w:rFonts w:hint="default" w:ascii="Arial Regular" w:hAnsi="Arial Regular" w:cs="Arial Regular"/>
                <w:sz w:val="20"/>
                <w:szCs w:val="20"/>
                <w:vertAlign w:val="superscript"/>
              </w:rPr>
              <w:t>a</w:t>
            </w:r>
          </w:p>
        </w:tc>
        <w:tc>
          <w:tcPr>
            <w:tcW w:w="0" w:type="auto"/>
            <w:shd w:val="clear" w:color="auto" w:fill="auto"/>
            <w:vAlign w:val="center"/>
          </w:tcPr>
          <w:p w14:paraId="001761F4">
            <w:pPr>
              <w:pStyle w:val="42"/>
              <w:jc w:val="center"/>
              <w:rPr>
                <w:rFonts w:hint="default" w:ascii="Arial Regular" w:hAnsi="Arial Regular" w:cs="Arial Regular"/>
                <w:sz w:val="20"/>
                <w:szCs w:val="20"/>
              </w:rPr>
            </w:pPr>
            <w:r>
              <w:rPr>
                <w:rFonts w:hint="default" w:ascii="Arial Regular" w:hAnsi="Arial Regular" w:cs="Arial Regular"/>
                <w:sz w:val="20"/>
                <w:szCs w:val="20"/>
              </w:rPr>
              <w:t>8.23±3.20</w:t>
            </w:r>
            <w:r>
              <w:rPr>
                <w:rFonts w:hint="default" w:ascii="Arial Regular" w:hAnsi="Arial Regular" w:cs="Arial Regular"/>
                <w:sz w:val="20"/>
                <w:szCs w:val="20"/>
                <w:vertAlign w:val="superscript"/>
              </w:rPr>
              <w:t>b</w:t>
            </w:r>
          </w:p>
        </w:tc>
        <w:tc>
          <w:tcPr>
            <w:tcW w:w="0" w:type="auto"/>
            <w:shd w:val="clear" w:color="auto" w:fill="auto"/>
            <w:vAlign w:val="center"/>
          </w:tcPr>
          <w:p w14:paraId="7FBA9681">
            <w:pPr>
              <w:pStyle w:val="42"/>
              <w:jc w:val="center"/>
              <w:rPr>
                <w:rFonts w:hint="default" w:ascii="Arial Regular" w:hAnsi="Arial Regular" w:cs="Arial Regular"/>
                <w:sz w:val="20"/>
                <w:szCs w:val="20"/>
              </w:rPr>
            </w:pPr>
            <w:r>
              <w:rPr>
                <w:rFonts w:hint="default" w:ascii="Arial Regular" w:hAnsi="Arial Regular" w:cs="Arial Regular"/>
                <w:sz w:val="20"/>
                <w:szCs w:val="20"/>
              </w:rPr>
              <w:t>0.99</w:t>
            </w:r>
          </w:p>
        </w:tc>
      </w:tr>
      <w:tr w14:paraId="400D2644">
        <w:trPr>
          <w:jc w:val="center"/>
        </w:trPr>
        <w:tc>
          <w:tcPr>
            <w:tcW w:w="0" w:type="auto"/>
            <w:shd w:val="clear" w:color="auto" w:fill="auto"/>
            <w:vAlign w:val="center"/>
          </w:tcPr>
          <w:p w14:paraId="051824CF">
            <w:pPr>
              <w:pStyle w:val="42"/>
              <w:jc w:val="center"/>
              <w:rPr>
                <w:rFonts w:hint="default" w:ascii="Arial Regular" w:hAnsi="Arial Regular" w:cs="Arial Regular"/>
                <w:sz w:val="20"/>
                <w:szCs w:val="20"/>
              </w:rPr>
            </w:pPr>
            <w:r>
              <w:rPr>
                <w:rFonts w:hint="default" w:ascii="Arial Regular" w:hAnsi="Arial Regular" w:cs="Arial Regular"/>
                <w:sz w:val="20"/>
                <w:szCs w:val="20"/>
              </w:rPr>
              <w:t>Fe(II)</w:t>
            </w:r>
          </w:p>
        </w:tc>
        <w:tc>
          <w:tcPr>
            <w:tcW w:w="0" w:type="auto"/>
            <w:shd w:val="clear" w:color="auto" w:fill="auto"/>
            <w:vAlign w:val="center"/>
          </w:tcPr>
          <w:p w14:paraId="5C4CEB6C">
            <w:pPr>
              <w:pStyle w:val="42"/>
              <w:jc w:val="center"/>
              <w:rPr>
                <w:rFonts w:hint="default" w:ascii="Arial Regular" w:hAnsi="Arial Regular" w:cs="Arial Regular"/>
                <w:sz w:val="20"/>
                <w:szCs w:val="20"/>
              </w:rPr>
            </w:pPr>
            <w:r>
              <w:rPr>
                <w:rFonts w:hint="default" w:ascii="Arial Regular" w:hAnsi="Arial Regular" w:cs="Arial Regular"/>
                <w:sz w:val="20"/>
                <w:szCs w:val="20"/>
              </w:rPr>
              <w:t>0.736±0.01</w:t>
            </w:r>
            <w:r>
              <w:rPr>
                <w:rFonts w:hint="default" w:ascii="Arial Regular" w:hAnsi="Arial Regular" w:cs="Arial Regular"/>
                <w:sz w:val="20"/>
                <w:szCs w:val="20"/>
                <w:vertAlign w:val="superscript"/>
              </w:rPr>
              <w:t>a</w:t>
            </w:r>
          </w:p>
        </w:tc>
        <w:tc>
          <w:tcPr>
            <w:tcW w:w="0" w:type="auto"/>
            <w:shd w:val="clear" w:color="auto" w:fill="auto"/>
            <w:vAlign w:val="center"/>
          </w:tcPr>
          <w:p w14:paraId="02ADEA89">
            <w:pPr>
              <w:pStyle w:val="42"/>
              <w:jc w:val="center"/>
              <w:rPr>
                <w:rFonts w:hint="default" w:ascii="Arial Regular" w:hAnsi="Arial Regular" w:eastAsia="宋体" w:cs="Arial Regular"/>
                <w:sz w:val="20"/>
                <w:szCs w:val="20"/>
              </w:rPr>
            </w:pPr>
            <w:r>
              <w:rPr>
                <w:rFonts w:hint="default" w:ascii="Arial Regular" w:hAnsi="Arial Regular" w:cs="Arial Regular"/>
                <w:sz w:val="20"/>
                <w:szCs w:val="20"/>
              </w:rPr>
              <w:t>7.20±1.34</w:t>
            </w:r>
            <w:r>
              <w:rPr>
                <w:rFonts w:hint="default" w:ascii="Arial Regular" w:hAnsi="Arial Regular" w:cs="Arial Regular"/>
                <w:sz w:val="20"/>
                <w:szCs w:val="20"/>
                <w:vertAlign w:val="superscript"/>
              </w:rPr>
              <w:t>a</w:t>
            </w:r>
          </w:p>
        </w:tc>
        <w:tc>
          <w:tcPr>
            <w:tcW w:w="0" w:type="auto"/>
            <w:shd w:val="clear" w:color="auto" w:fill="auto"/>
            <w:vAlign w:val="center"/>
          </w:tcPr>
          <w:p w14:paraId="631372B4">
            <w:pPr>
              <w:pStyle w:val="42"/>
              <w:jc w:val="center"/>
              <w:rPr>
                <w:rFonts w:hint="default" w:ascii="Arial Regular" w:hAnsi="Arial Regular" w:cs="Arial Regular"/>
                <w:sz w:val="20"/>
                <w:szCs w:val="20"/>
              </w:rPr>
            </w:pPr>
            <w:r>
              <w:rPr>
                <w:rFonts w:hint="default" w:ascii="Arial Regular" w:hAnsi="Arial Regular" w:cs="Arial Regular"/>
                <w:sz w:val="20"/>
                <w:szCs w:val="20"/>
              </w:rPr>
              <w:t>0.99</w:t>
            </w:r>
          </w:p>
        </w:tc>
        <w:tc>
          <w:tcPr>
            <w:tcW w:w="0" w:type="auto"/>
            <w:shd w:val="clear" w:color="auto" w:fill="auto"/>
            <w:vAlign w:val="center"/>
          </w:tcPr>
          <w:p w14:paraId="5EB585DE">
            <w:pPr>
              <w:pStyle w:val="42"/>
              <w:jc w:val="center"/>
              <w:rPr>
                <w:rFonts w:hint="default" w:ascii="Arial Regular" w:hAnsi="Arial Regular" w:cs="Arial Regular"/>
                <w:sz w:val="20"/>
                <w:szCs w:val="20"/>
              </w:rPr>
            </w:pPr>
            <w:r>
              <w:rPr>
                <w:rFonts w:hint="default" w:ascii="Arial Regular" w:hAnsi="Arial Regular" w:cs="Arial Regular"/>
                <w:sz w:val="20"/>
                <w:szCs w:val="20"/>
              </w:rPr>
              <w:t>0.272±0.02</w:t>
            </w:r>
            <w:r>
              <w:rPr>
                <w:rFonts w:hint="default" w:ascii="Arial Regular" w:hAnsi="Arial Regular" w:cs="Arial Regular"/>
                <w:sz w:val="20"/>
                <w:szCs w:val="20"/>
                <w:vertAlign w:val="superscript"/>
              </w:rPr>
              <w:t>a</w:t>
            </w:r>
          </w:p>
        </w:tc>
        <w:tc>
          <w:tcPr>
            <w:tcW w:w="0" w:type="auto"/>
            <w:shd w:val="clear" w:color="auto" w:fill="auto"/>
            <w:vAlign w:val="center"/>
          </w:tcPr>
          <w:p w14:paraId="15E0AD90">
            <w:pPr>
              <w:pStyle w:val="42"/>
              <w:jc w:val="center"/>
              <w:rPr>
                <w:rFonts w:hint="default" w:ascii="Arial Regular" w:hAnsi="Arial Regular" w:cs="Arial Regular"/>
                <w:sz w:val="20"/>
                <w:szCs w:val="20"/>
              </w:rPr>
            </w:pPr>
            <w:r>
              <w:rPr>
                <w:rFonts w:hint="default" w:ascii="Arial Regular" w:hAnsi="Arial Regular" w:cs="Arial Regular"/>
                <w:sz w:val="20"/>
                <w:szCs w:val="20"/>
              </w:rPr>
              <w:t>11.15±2.95</w:t>
            </w:r>
            <w:r>
              <w:rPr>
                <w:rFonts w:hint="default" w:ascii="Arial Regular" w:hAnsi="Arial Regular" w:cs="Arial Regular"/>
                <w:sz w:val="20"/>
                <w:szCs w:val="20"/>
                <w:vertAlign w:val="superscript"/>
              </w:rPr>
              <w:t>ab</w:t>
            </w:r>
          </w:p>
        </w:tc>
        <w:tc>
          <w:tcPr>
            <w:tcW w:w="0" w:type="auto"/>
            <w:shd w:val="clear" w:color="auto" w:fill="auto"/>
            <w:vAlign w:val="center"/>
          </w:tcPr>
          <w:p w14:paraId="292B06F8">
            <w:pPr>
              <w:pStyle w:val="42"/>
              <w:jc w:val="center"/>
              <w:rPr>
                <w:rFonts w:hint="default" w:ascii="Arial Regular" w:hAnsi="Arial Regular" w:cs="Arial Regular"/>
                <w:sz w:val="20"/>
                <w:szCs w:val="20"/>
              </w:rPr>
            </w:pPr>
            <w:r>
              <w:rPr>
                <w:rFonts w:hint="default" w:ascii="Arial Regular" w:hAnsi="Arial Regular" w:cs="Arial Regular"/>
                <w:sz w:val="20"/>
                <w:szCs w:val="20"/>
              </w:rPr>
              <w:t>0.99</w:t>
            </w:r>
          </w:p>
        </w:tc>
      </w:tr>
      <w:tr w14:paraId="55846350">
        <w:trPr>
          <w:jc w:val="center"/>
        </w:trPr>
        <w:tc>
          <w:tcPr>
            <w:tcW w:w="0" w:type="auto"/>
            <w:shd w:val="clear" w:color="auto" w:fill="auto"/>
            <w:vAlign w:val="center"/>
          </w:tcPr>
          <w:p w14:paraId="267B4971">
            <w:pPr>
              <w:pStyle w:val="42"/>
              <w:jc w:val="center"/>
              <w:rPr>
                <w:rFonts w:hint="default" w:ascii="Arial Regular" w:hAnsi="Arial Regular" w:cs="Arial Regular"/>
                <w:sz w:val="20"/>
                <w:szCs w:val="20"/>
              </w:rPr>
            </w:pPr>
            <w:r>
              <w:rPr>
                <w:rFonts w:hint="default" w:ascii="Arial Regular" w:hAnsi="Arial Regular" w:cs="Arial Regular"/>
                <w:sz w:val="20"/>
                <w:szCs w:val="20"/>
              </w:rPr>
              <w:t>Mn(II)</w:t>
            </w:r>
          </w:p>
        </w:tc>
        <w:tc>
          <w:tcPr>
            <w:tcW w:w="0" w:type="auto"/>
            <w:shd w:val="clear" w:color="auto" w:fill="auto"/>
            <w:vAlign w:val="center"/>
          </w:tcPr>
          <w:p w14:paraId="32DCEBAB">
            <w:pPr>
              <w:pStyle w:val="42"/>
              <w:jc w:val="center"/>
              <w:rPr>
                <w:rFonts w:hint="default" w:ascii="Arial Regular" w:hAnsi="Arial Regular" w:cs="Arial Regular"/>
                <w:sz w:val="20"/>
                <w:szCs w:val="20"/>
              </w:rPr>
            </w:pPr>
            <w:r>
              <w:rPr>
                <w:rFonts w:hint="default" w:ascii="Arial Regular" w:hAnsi="Arial Regular" w:cs="Arial Regular"/>
                <w:sz w:val="20"/>
                <w:szCs w:val="20"/>
              </w:rPr>
              <w:t>0.696±0.01</w:t>
            </w:r>
            <w:r>
              <w:rPr>
                <w:rFonts w:hint="default" w:ascii="Arial Regular" w:hAnsi="Arial Regular" w:cs="Arial Regular"/>
                <w:sz w:val="20"/>
                <w:szCs w:val="20"/>
                <w:vertAlign w:val="superscript"/>
              </w:rPr>
              <w:t>a</w:t>
            </w:r>
          </w:p>
        </w:tc>
        <w:tc>
          <w:tcPr>
            <w:tcW w:w="0" w:type="auto"/>
            <w:shd w:val="clear" w:color="auto" w:fill="auto"/>
            <w:vAlign w:val="center"/>
          </w:tcPr>
          <w:p w14:paraId="507A309C">
            <w:pPr>
              <w:pStyle w:val="42"/>
              <w:jc w:val="center"/>
              <w:rPr>
                <w:rFonts w:hint="default" w:ascii="Arial Regular" w:hAnsi="Arial Regular" w:eastAsia="宋体" w:cs="Arial Regular"/>
                <w:sz w:val="20"/>
                <w:szCs w:val="20"/>
              </w:rPr>
            </w:pPr>
            <w:r>
              <w:rPr>
                <w:rFonts w:hint="default" w:ascii="Arial Regular" w:hAnsi="Arial Regular" w:cs="Arial Regular"/>
                <w:sz w:val="20"/>
                <w:szCs w:val="20"/>
              </w:rPr>
              <w:t>7.15±0.54</w:t>
            </w:r>
            <w:r>
              <w:rPr>
                <w:rFonts w:hint="default" w:ascii="Arial Regular" w:hAnsi="Arial Regular" w:cs="Arial Regular"/>
                <w:sz w:val="20"/>
                <w:szCs w:val="20"/>
                <w:vertAlign w:val="superscript"/>
              </w:rPr>
              <w:t>a</w:t>
            </w:r>
          </w:p>
        </w:tc>
        <w:tc>
          <w:tcPr>
            <w:tcW w:w="0" w:type="auto"/>
            <w:shd w:val="clear" w:color="auto" w:fill="auto"/>
            <w:vAlign w:val="center"/>
          </w:tcPr>
          <w:p w14:paraId="533EFEF1">
            <w:pPr>
              <w:pStyle w:val="42"/>
              <w:jc w:val="center"/>
              <w:rPr>
                <w:rFonts w:hint="default" w:ascii="Arial Regular" w:hAnsi="Arial Regular" w:cs="Arial Regular"/>
                <w:sz w:val="20"/>
                <w:szCs w:val="20"/>
              </w:rPr>
            </w:pPr>
            <w:r>
              <w:rPr>
                <w:rFonts w:hint="default" w:ascii="Arial Regular" w:hAnsi="Arial Regular" w:cs="Arial Regular"/>
                <w:sz w:val="20"/>
                <w:szCs w:val="20"/>
              </w:rPr>
              <w:t>0.99</w:t>
            </w:r>
          </w:p>
        </w:tc>
        <w:tc>
          <w:tcPr>
            <w:tcW w:w="0" w:type="auto"/>
            <w:shd w:val="clear" w:color="auto" w:fill="auto"/>
            <w:vAlign w:val="center"/>
          </w:tcPr>
          <w:p w14:paraId="1F5D0CE6">
            <w:pPr>
              <w:pStyle w:val="42"/>
              <w:jc w:val="center"/>
              <w:rPr>
                <w:rFonts w:hint="default" w:ascii="Arial Regular" w:hAnsi="Arial Regular" w:cs="Arial Regular"/>
                <w:sz w:val="20"/>
                <w:szCs w:val="20"/>
              </w:rPr>
            </w:pPr>
            <w:r>
              <w:rPr>
                <w:rFonts w:hint="default" w:ascii="Arial Regular" w:hAnsi="Arial Regular" w:cs="Arial Regular"/>
                <w:sz w:val="20"/>
                <w:szCs w:val="20"/>
              </w:rPr>
              <w:t>0.276±0.01</w:t>
            </w:r>
            <w:r>
              <w:rPr>
                <w:rFonts w:hint="default" w:ascii="Arial Regular" w:hAnsi="Arial Regular" w:cs="Arial Regular"/>
                <w:sz w:val="20"/>
                <w:szCs w:val="20"/>
                <w:vertAlign w:val="superscript"/>
              </w:rPr>
              <w:t>a</w:t>
            </w:r>
          </w:p>
        </w:tc>
        <w:tc>
          <w:tcPr>
            <w:tcW w:w="0" w:type="auto"/>
            <w:shd w:val="clear" w:color="auto" w:fill="auto"/>
            <w:vAlign w:val="center"/>
          </w:tcPr>
          <w:p w14:paraId="4D80CCBE">
            <w:pPr>
              <w:pStyle w:val="42"/>
              <w:jc w:val="center"/>
              <w:rPr>
                <w:rFonts w:hint="default" w:ascii="Arial Regular" w:hAnsi="Arial Regular" w:cs="Arial Regular"/>
                <w:sz w:val="20"/>
                <w:szCs w:val="20"/>
              </w:rPr>
            </w:pPr>
            <w:r>
              <w:rPr>
                <w:rFonts w:hint="default" w:ascii="Arial Regular" w:hAnsi="Arial Regular" w:cs="Arial Regular"/>
                <w:sz w:val="20"/>
                <w:szCs w:val="20"/>
              </w:rPr>
              <w:t>14.07±1.37</w:t>
            </w:r>
            <w:r>
              <w:rPr>
                <w:rFonts w:hint="default" w:ascii="Arial Regular" w:hAnsi="Arial Regular" w:cs="Arial Regular"/>
                <w:sz w:val="20"/>
                <w:szCs w:val="20"/>
                <w:vertAlign w:val="superscript"/>
              </w:rPr>
              <w:t>a</w:t>
            </w:r>
          </w:p>
        </w:tc>
        <w:tc>
          <w:tcPr>
            <w:tcW w:w="0" w:type="auto"/>
            <w:shd w:val="clear" w:color="auto" w:fill="auto"/>
            <w:vAlign w:val="center"/>
          </w:tcPr>
          <w:p w14:paraId="033844E3">
            <w:pPr>
              <w:pStyle w:val="42"/>
              <w:jc w:val="center"/>
              <w:rPr>
                <w:rFonts w:hint="default" w:ascii="Arial Regular" w:hAnsi="Arial Regular" w:cs="Arial Regular"/>
                <w:sz w:val="20"/>
                <w:szCs w:val="20"/>
              </w:rPr>
            </w:pPr>
            <w:r>
              <w:rPr>
                <w:rFonts w:hint="default" w:ascii="Arial Regular" w:hAnsi="Arial Regular" w:cs="Arial Regular"/>
                <w:sz w:val="20"/>
                <w:szCs w:val="20"/>
              </w:rPr>
              <w:t>0.99</w:t>
            </w:r>
          </w:p>
        </w:tc>
      </w:tr>
      <w:tr w14:paraId="5DE3D401">
        <w:trPr>
          <w:jc w:val="center"/>
        </w:trPr>
        <w:tc>
          <w:tcPr>
            <w:tcW w:w="0" w:type="auto"/>
            <w:gridSpan w:val="7"/>
            <w:vAlign w:val="center"/>
          </w:tcPr>
          <w:p w14:paraId="36F60552">
            <w:pPr>
              <w:pStyle w:val="42"/>
              <w:jc w:val="center"/>
              <w:rPr>
                <w:rFonts w:hint="default" w:ascii="Arial Regular" w:hAnsi="Arial Regular" w:cs="Arial Regular"/>
                <w:sz w:val="20"/>
                <w:szCs w:val="20"/>
              </w:rPr>
            </w:pPr>
            <w:r>
              <w:rPr>
                <w:rFonts w:hint="default" w:ascii="Arial Regular" w:hAnsi="Arial Regular" w:cs="Arial Regular"/>
                <w:b/>
                <w:bCs/>
                <w:sz w:val="20"/>
                <w:szCs w:val="20"/>
              </w:rPr>
              <w:t>Chlorine dioxide</w:t>
            </w:r>
          </w:p>
        </w:tc>
      </w:tr>
      <w:tr w14:paraId="48EB4591">
        <w:trPr>
          <w:jc w:val="center"/>
        </w:trPr>
        <w:tc>
          <w:tcPr>
            <w:tcW w:w="0" w:type="auto"/>
            <w:shd w:val="clear" w:color="auto" w:fill="E7E6E6" w:themeFill="background2"/>
            <w:vAlign w:val="center"/>
          </w:tcPr>
          <w:p w14:paraId="55AF2E65">
            <w:pPr>
              <w:pStyle w:val="42"/>
              <w:jc w:val="center"/>
              <w:rPr>
                <w:rFonts w:hint="default" w:ascii="Arial Regular" w:hAnsi="Arial Regular" w:cs="Arial Regular"/>
                <w:sz w:val="20"/>
                <w:szCs w:val="20"/>
              </w:rPr>
            </w:pPr>
          </w:p>
        </w:tc>
        <w:tc>
          <w:tcPr>
            <w:tcW w:w="0" w:type="auto"/>
            <w:shd w:val="clear" w:color="auto" w:fill="E7E6E6" w:themeFill="background2"/>
            <w:vAlign w:val="center"/>
          </w:tcPr>
          <w:p w14:paraId="351C3BC9">
            <w:pPr>
              <w:pStyle w:val="42"/>
              <w:jc w:val="center"/>
              <w:rPr>
                <w:rFonts w:hint="default" w:ascii="Arial Regular" w:hAnsi="Arial Regular" w:cs="Arial Regular"/>
                <w:i/>
                <w:sz w:val="20"/>
                <w:szCs w:val="20"/>
              </w:rPr>
            </w:pPr>
            <w:r>
              <w:rPr>
                <w:rFonts w:hint="default" w:ascii="Arial Regular" w:hAnsi="Arial Regular" w:cs="Arial Regular"/>
                <w:i/>
                <w:sz w:val="20"/>
                <w:szCs w:val="20"/>
              </w:rPr>
              <w:t>k</w:t>
            </w:r>
            <w:r>
              <w:rPr>
                <w:rFonts w:hint="default" w:ascii="Arial Regular" w:hAnsi="Arial Regular" w:cs="Arial Regular"/>
                <w:sz w:val="20"/>
                <w:szCs w:val="20"/>
              </w:rPr>
              <w:t>(L/(mg•min))</w:t>
            </w:r>
          </w:p>
        </w:tc>
        <w:tc>
          <w:tcPr>
            <w:tcW w:w="0" w:type="auto"/>
            <w:shd w:val="clear" w:color="auto" w:fill="E7E6E6" w:themeFill="background2"/>
            <w:vAlign w:val="center"/>
          </w:tcPr>
          <w:p w14:paraId="42C0C67D">
            <w:pPr>
              <w:pStyle w:val="42"/>
              <w:jc w:val="center"/>
              <w:rPr>
                <w:rFonts w:hint="default" w:ascii="Arial Regular" w:hAnsi="Arial Regular" w:cs="Arial Regular"/>
                <w:sz w:val="20"/>
                <w:szCs w:val="20"/>
              </w:rPr>
            </w:pPr>
            <w:r>
              <w:rPr>
                <w:rFonts w:hint="default" w:ascii="Arial Regular" w:hAnsi="Arial Regular" w:cs="Arial Regular"/>
                <w:sz w:val="20"/>
                <w:szCs w:val="20"/>
              </w:rPr>
              <w:t>Log10(N</w:t>
            </w:r>
            <w:r>
              <w:rPr>
                <w:rFonts w:hint="default" w:ascii="Arial Regular" w:hAnsi="Arial Regular" w:cs="Arial Regular"/>
                <w:sz w:val="20"/>
                <w:szCs w:val="20"/>
                <w:vertAlign w:val="subscript"/>
              </w:rPr>
              <w:t>res</w:t>
            </w:r>
            <w:r>
              <w:rPr>
                <w:rFonts w:hint="default" w:ascii="Arial Regular" w:hAnsi="Arial Regular" w:cs="Arial Regular"/>
                <w:sz w:val="20"/>
                <w:szCs w:val="20"/>
              </w:rPr>
              <w:t>)</w:t>
            </w:r>
          </w:p>
        </w:tc>
        <w:tc>
          <w:tcPr>
            <w:tcW w:w="0" w:type="auto"/>
            <w:shd w:val="clear" w:color="auto" w:fill="E7E6E6" w:themeFill="background2"/>
            <w:vAlign w:val="center"/>
          </w:tcPr>
          <w:p w14:paraId="1F7FC366">
            <w:pPr>
              <w:pStyle w:val="42"/>
              <w:jc w:val="center"/>
              <w:rPr>
                <w:rFonts w:hint="default" w:ascii="Arial Regular" w:hAnsi="Arial Regular" w:cs="Arial Regular"/>
                <w:sz w:val="20"/>
                <w:szCs w:val="20"/>
              </w:rPr>
            </w:pPr>
            <w:r>
              <w:rPr>
                <w:rFonts w:hint="default" w:ascii="Arial Regular" w:hAnsi="Arial Regular" w:cs="Arial Regular"/>
                <w:sz w:val="20"/>
                <w:szCs w:val="20"/>
              </w:rPr>
              <w:t>R</w:t>
            </w:r>
            <w:r>
              <w:rPr>
                <w:rFonts w:hint="default" w:ascii="Arial Regular" w:hAnsi="Arial Regular" w:cs="Arial Regular"/>
                <w:sz w:val="20"/>
                <w:szCs w:val="20"/>
                <w:vertAlign w:val="superscript"/>
              </w:rPr>
              <w:t>2</w:t>
            </w:r>
          </w:p>
        </w:tc>
        <w:tc>
          <w:tcPr>
            <w:tcW w:w="0" w:type="auto"/>
            <w:shd w:val="clear" w:color="auto" w:fill="E7E6E6" w:themeFill="background2"/>
            <w:vAlign w:val="center"/>
          </w:tcPr>
          <w:p w14:paraId="32137C81">
            <w:pPr>
              <w:pStyle w:val="42"/>
              <w:jc w:val="center"/>
              <w:rPr>
                <w:rFonts w:hint="default" w:ascii="Arial Regular" w:hAnsi="Arial Regular" w:cs="Arial Regular"/>
                <w:sz w:val="20"/>
                <w:szCs w:val="20"/>
              </w:rPr>
            </w:pPr>
            <w:r>
              <w:rPr>
                <w:rFonts w:hint="default" w:ascii="Arial Regular" w:hAnsi="Arial Regular" w:cs="Arial Regular"/>
                <w:i/>
                <w:sz w:val="20"/>
                <w:szCs w:val="20"/>
              </w:rPr>
              <w:t>k</w:t>
            </w:r>
            <w:r>
              <w:rPr>
                <w:rFonts w:hint="default" w:ascii="Arial Regular" w:hAnsi="Arial Regular" w:cs="Arial Regular"/>
                <w:sz w:val="20"/>
                <w:szCs w:val="20"/>
              </w:rPr>
              <w:t>(L/(mg•min))</w:t>
            </w:r>
          </w:p>
        </w:tc>
        <w:tc>
          <w:tcPr>
            <w:tcW w:w="0" w:type="auto"/>
            <w:shd w:val="clear" w:color="auto" w:fill="E7E6E6" w:themeFill="background2"/>
            <w:vAlign w:val="center"/>
          </w:tcPr>
          <w:p w14:paraId="5C987A57">
            <w:pPr>
              <w:pStyle w:val="42"/>
              <w:jc w:val="center"/>
              <w:rPr>
                <w:rFonts w:hint="default" w:ascii="Arial Regular" w:hAnsi="Arial Regular" w:cs="Arial Regular"/>
                <w:sz w:val="20"/>
                <w:szCs w:val="20"/>
              </w:rPr>
            </w:pPr>
            <w:r>
              <w:rPr>
                <w:rFonts w:hint="default" w:ascii="Arial Regular" w:hAnsi="Arial Regular" w:cs="Arial Regular"/>
                <w:sz w:val="20"/>
                <w:szCs w:val="20"/>
              </w:rPr>
              <w:t>Log10(N</w:t>
            </w:r>
            <w:r>
              <w:rPr>
                <w:rFonts w:hint="default" w:ascii="Arial Regular" w:hAnsi="Arial Regular" w:cs="Arial Regular"/>
                <w:sz w:val="20"/>
                <w:szCs w:val="20"/>
                <w:vertAlign w:val="subscript"/>
              </w:rPr>
              <w:t>res</w:t>
            </w:r>
            <w:r>
              <w:rPr>
                <w:rFonts w:hint="default" w:ascii="Arial Regular" w:hAnsi="Arial Regular" w:cs="Arial Regular"/>
                <w:sz w:val="20"/>
                <w:szCs w:val="20"/>
              </w:rPr>
              <w:t>)</w:t>
            </w:r>
          </w:p>
        </w:tc>
        <w:tc>
          <w:tcPr>
            <w:tcW w:w="0" w:type="auto"/>
            <w:shd w:val="clear" w:color="auto" w:fill="E7E6E6" w:themeFill="background2"/>
            <w:vAlign w:val="center"/>
          </w:tcPr>
          <w:p w14:paraId="7D2C94F9">
            <w:pPr>
              <w:pStyle w:val="42"/>
              <w:jc w:val="center"/>
              <w:rPr>
                <w:rFonts w:hint="default" w:ascii="Arial Regular" w:hAnsi="Arial Regular" w:cs="Arial Regular"/>
                <w:sz w:val="20"/>
                <w:szCs w:val="20"/>
              </w:rPr>
            </w:pPr>
            <w:r>
              <w:rPr>
                <w:rFonts w:hint="default" w:ascii="Arial Regular" w:hAnsi="Arial Regular" w:cs="Arial Regular"/>
                <w:sz w:val="20"/>
                <w:szCs w:val="20"/>
              </w:rPr>
              <w:t>R</w:t>
            </w:r>
            <w:r>
              <w:rPr>
                <w:rFonts w:hint="default" w:ascii="Arial Regular" w:hAnsi="Arial Regular" w:cs="Arial Regular"/>
                <w:sz w:val="20"/>
                <w:szCs w:val="20"/>
                <w:vertAlign w:val="superscript"/>
              </w:rPr>
              <w:t>2</w:t>
            </w:r>
          </w:p>
        </w:tc>
      </w:tr>
      <w:tr w14:paraId="20C762B9">
        <w:trPr>
          <w:jc w:val="center"/>
        </w:trPr>
        <w:tc>
          <w:tcPr>
            <w:tcW w:w="0" w:type="auto"/>
            <w:shd w:val="clear" w:color="auto" w:fill="auto"/>
            <w:vAlign w:val="center"/>
          </w:tcPr>
          <w:p w14:paraId="2F1E314B">
            <w:pPr>
              <w:pStyle w:val="42"/>
              <w:jc w:val="center"/>
              <w:rPr>
                <w:rFonts w:hint="default" w:ascii="Arial Regular" w:hAnsi="Arial Regular" w:cs="Arial Regular"/>
                <w:sz w:val="20"/>
                <w:szCs w:val="20"/>
              </w:rPr>
            </w:pPr>
            <w:r>
              <w:rPr>
                <w:rFonts w:hint="default" w:ascii="Arial Regular" w:hAnsi="Arial Regular" w:cs="Arial Regular"/>
                <w:sz w:val="20"/>
                <w:szCs w:val="20"/>
              </w:rPr>
              <w:t>Control</w:t>
            </w:r>
          </w:p>
        </w:tc>
        <w:tc>
          <w:tcPr>
            <w:tcW w:w="0" w:type="auto"/>
            <w:shd w:val="clear" w:color="auto" w:fill="auto"/>
            <w:vAlign w:val="center"/>
          </w:tcPr>
          <w:p w14:paraId="2621E4AA">
            <w:pPr>
              <w:pStyle w:val="42"/>
              <w:jc w:val="center"/>
              <w:rPr>
                <w:rFonts w:hint="default" w:ascii="Arial Regular" w:hAnsi="Arial Regular" w:cs="Arial Regular"/>
                <w:sz w:val="20"/>
                <w:szCs w:val="20"/>
              </w:rPr>
            </w:pPr>
            <w:r>
              <w:rPr>
                <w:rFonts w:hint="default" w:ascii="Arial Regular" w:hAnsi="Arial Regular" w:cs="Arial Regular"/>
                <w:sz w:val="20"/>
                <w:szCs w:val="20"/>
              </w:rPr>
              <w:t>0.596±0.03</w:t>
            </w:r>
            <w:r>
              <w:rPr>
                <w:rFonts w:hint="default" w:ascii="Arial Regular" w:hAnsi="Arial Regular" w:cs="Arial Regular"/>
                <w:sz w:val="20"/>
                <w:szCs w:val="20"/>
                <w:vertAlign w:val="superscript"/>
              </w:rPr>
              <w:t>a</w:t>
            </w:r>
          </w:p>
        </w:tc>
        <w:tc>
          <w:tcPr>
            <w:tcW w:w="0" w:type="auto"/>
            <w:shd w:val="clear" w:color="auto" w:fill="auto"/>
            <w:vAlign w:val="center"/>
          </w:tcPr>
          <w:p w14:paraId="1A680892">
            <w:pPr>
              <w:pStyle w:val="42"/>
              <w:jc w:val="center"/>
              <w:rPr>
                <w:rFonts w:hint="default" w:ascii="Arial Regular" w:hAnsi="Arial Regular" w:eastAsia="宋体" w:cs="Arial Regular"/>
                <w:sz w:val="20"/>
                <w:szCs w:val="20"/>
              </w:rPr>
            </w:pPr>
            <w:r>
              <w:rPr>
                <w:rFonts w:hint="default" w:ascii="Arial Regular" w:hAnsi="Arial Regular" w:cs="Arial Regular"/>
                <w:sz w:val="20"/>
                <w:szCs w:val="20"/>
              </w:rPr>
              <w:t>-4.20±0.27</w:t>
            </w:r>
            <w:r>
              <w:rPr>
                <w:rFonts w:hint="default" w:ascii="Arial Regular" w:hAnsi="Arial Regular" w:cs="Arial Regular"/>
                <w:sz w:val="20"/>
                <w:szCs w:val="20"/>
                <w:vertAlign w:val="superscript"/>
              </w:rPr>
              <w:t>ab</w:t>
            </w:r>
          </w:p>
        </w:tc>
        <w:tc>
          <w:tcPr>
            <w:tcW w:w="0" w:type="auto"/>
            <w:shd w:val="clear" w:color="auto" w:fill="auto"/>
            <w:vAlign w:val="center"/>
          </w:tcPr>
          <w:p w14:paraId="202F8D1E">
            <w:pPr>
              <w:pStyle w:val="42"/>
              <w:jc w:val="center"/>
              <w:rPr>
                <w:rFonts w:hint="default" w:ascii="Arial Regular" w:hAnsi="Arial Regular" w:eastAsia="宋体" w:cs="Arial Regular"/>
                <w:sz w:val="20"/>
                <w:szCs w:val="20"/>
              </w:rPr>
            </w:pPr>
            <w:r>
              <w:rPr>
                <w:rFonts w:hint="default" w:ascii="Arial Regular" w:hAnsi="Arial Regular" w:cs="Arial Regular"/>
                <w:sz w:val="20"/>
                <w:szCs w:val="20"/>
              </w:rPr>
              <w:t>0.98</w:t>
            </w:r>
          </w:p>
        </w:tc>
        <w:tc>
          <w:tcPr>
            <w:tcW w:w="0" w:type="auto"/>
            <w:shd w:val="clear" w:color="auto" w:fill="auto"/>
            <w:vAlign w:val="center"/>
          </w:tcPr>
          <w:p w14:paraId="0405E86E">
            <w:pPr>
              <w:pStyle w:val="42"/>
              <w:jc w:val="center"/>
              <w:rPr>
                <w:rFonts w:hint="default" w:ascii="Arial Regular" w:hAnsi="Arial Regular" w:cs="Arial Regular"/>
                <w:sz w:val="20"/>
                <w:szCs w:val="20"/>
              </w:rPr>
            </w:pPr>
            <w:r>
              <w:rPr>
                <w:rFonts w:hint="default" w:ascii="Arial Regular" w:hAnsi="Arial Regular" w:cs="Arial Regular"/>
                <w:sz w:val="20"/>
                <w:szCs w:val="20"/>
              </w:rPr>
              <w:t>0.568±0.02</w:t>
            </w:r>
            <w:r>
              <w:rPr>
                <w:rFonts w:hint="default" w:ascii="Arial Regular" w:hAnsi="Arial Regular" w:cs="Arial Regular"/>
                <w:sz w:val="20"/>
                <w:szCs w:val="20"/>
                <w:vertAlign w:val="superscript"/>
              </w:rPr>
              <w:t>a</w:t>
            </w:r>
          </w:p>
        </w:tc>
        <w:tc>
          <w:tcPr>
            <w:tcW w:w="0" w:type="auto"/>
            <w:shd w:val="clear" w:color="auto" w:fill="auto"/>
            <w:vAlign w:val="center"/>
          </w:tcPr>
          <w:p w14:paraId="3D1CD7B7">
            <w:pPr>
              <w:pStyle w:val="42"/>
              <w:jc w:val="center"/>
              <w:rPr>
                <w:rFonts w:hint="default" w:ascii="Arial Regular" w:hAnsi="Arial Regular" w:cs="Arial Regular"/>
                <w:sz w:val="20"/>
                <w:szCs w:val="20"/>
              </w:rPr>
            </w:pPr>
            <w:r>
              <w:rPr>
                <w:rFonts w:hint="default" w:ascii="Arial Regular" w:hAnsi="Arial Regular" w:cs="Arial Regular"/>
                <w:sz w:val="20"/>
                <w:szCs w:val="20"/>
              </w:rPr>
              <w:t>-4.20±0.27</w:t>
            </w:r>
            <w:r>
              <w:rPr>
                <w:rFonts w:hint="default" w:ascii="Arial Regular" w:hAnsi="Arial Regular" w:cs="Arial Regular"/>
                <w:sz w:val="20"/>
                <w:szCs w:val="20"/>
                <w:vertAlign w:val="superscript"/>
              </w:rPr>
              <w:t>a</w:t>
            </w:r>
          </w:p>
        </w:tc>
        <w:tc>
          <w:tcPr>
            <w:tcW w:w="0" w:type="auto"/>
            <w:shd w:val="clear" w:color="auto" w:fill="auto"/>
            <w:vAlign w:val="center"/>
          </w:tcPr>
          <w:p w14:paraId="48A35E8B">
            <w:pPr>
              <w:pStyle w:val="42"/>
              <w:jc w:val="center"/>
              <w:rPr>
                <w:rFonts w:hint="default" w:ascii="Arial Regular" w:hAnsi="Arial Regular" w:eastAsia="宋体" w:cs="Arial Regular"/>
                <w:sz w:val="20"/>
                <w:szCs w:val="20"/>
              </w:rPr>
            </w:pPr>
            <w:r>
              <w:rPr>
                <w:rFonts w:hint="default" w:ascii="Arial Regular" w:hAnsi="Arial Regular" w:cs="Arial Regular"/>
                <w:sz w:val="20"/>
                <w:szCs w:val="20"/>
              </w:rPr>
              <w:t>0.98</w:t>
            </w:r>
          </w:p>
        </w:tc>
      </w:tr>
      <w:tr w14:paraId="69A2AE90">
        <w:trPr>
          <w:jc w:val="center"/>
        </w:trPr>
        <w:tc>
          <w:tcPr>
            <w:tcW w:w="0" w:type="auto"/>
            <w:shd w:val="clear" w:color="auto" w:fill="auto"/>
            <w:vAlign w:val="center"/>
          </w:tcPr>
          <w:p w14:paraId="5BF5A878">
            <w:pPr>
              <w:pStyle w:val="42"/>
              <w:jc w:val="center"/>
              <w:rPr>
                <w:rFonts w:hint="default" w:ascii="Arial Regular" w:hAnsi="Arial Regular" w:cs="Arial Regular"/>
                <w:sz w:val="20"/>
                <w:szCs w:val="20"/>
              </w:rPr>
            </w:pPr>
            <w:r>
              <w:rPr>
                <w:rFonts w:hint="default" w:ascii="Arial Regular" w:hAnsi="Arial Regular" w:cs="Arial Regular"/>
                <w:sz w:val="20"/>
                <w:szCs w:val="20"/>
              </w:rPr>
              <w:t>Co(II)</w:t>
            </w:r>
          </w:p>
        </w:tc>
        <w:tc>
          <w:tcPr>
            <w:tcW w:w="0" w:type="auto"/>
            <w:shd w:val="clear" w:color="auto" w:fill="auto"/>
            <w:vAlign w:val="center"/>
          </w:tcPr>
          <w:p w14:paraId="070EC25D">
            <w:pPr>
              <w:pStyle w:val="42"/>
              <w:jc w:val="center"/>
              <w:rPr>
                <w:rFonts w:hint="default" w:ascii="Arial Regular" w:hAnsi="Arial Regular" w:eastAsia="宋体" w:cs="Arial Regular"/>
                <w:sz w:val="20"/>
                <w:szCs w:val="20"/>
              </w:rPr>
            </w:pPr>
            <w:r>
              <w:rPr>
                <w:rFonts w:hint="default" w:ascii="Arial Regular" w:hAnsi="Arial Regular" w:cs="Arial Regular"/>
                <w:sz w:val="20"/>
                <w:szCs w:val="20"/>
              </w:rPr>
              <w:t>0.437±0.07</w:t>
            </w:r>
            <w:r>
              <w:rPr>
                <w:rFonts w:hint="default" w:ascii="Arial Regular" w:hAnsi="Arial Regular" w:cs="Arial Regular"/>
                <w:sz w:val="20"/>
                <w:szCs w:val="20"/>
                <w:vertAlign w:val="superscript"/>
              </w:rPr>
              <w:t>b</w:t>
            </w:r>
          </w:p>
        </w:tc>
        <w:tc>
          <w:tcPr>
            <w:tcW w:w="0" w:type="auto"/>
            <w:shd w:val="clear" w:color="auto" w:fill="auto"/>
            <w:vAlign w:val="center"/>
          </w:tcPr>
          <w:p w14:paraId="3DC2ECF3">
            <w:pPr>
              <w:pStyle w:val="42"/>
              <w:jc w:val="center"/>
              <w:rPr>
                <w:rFonts w:hint="default" w:ascii="Arial Regular" w:hAnsi="Arial Regular" w:eastAsia="宋体" w:cs="Arial Regular"/>
                <w:sz w:val="20"/>
                <w:szCs w:val="20"/>
              </w:rPr>
            </w:pPr>
            <w:r>
              <w:rPr>
                <w:rFonts w:hint="default" w:ascii="Arial Regular" w:hAnsi="Arial Regular" w:cs="Arial Regular"/>
                <w:sz w:val="20"/>
                <w:szCs w:val="20"/>
              </w:rPr>
              <w:t>-4.67±1.33</w:t>
            </w:r>
            <w:r>
              <w:rPr>
                <w:rFonts w:hint="default" w:ascii="Arial Regular" w:hAnsi="Arial Regular" w:cs="Arial Regular"/>
                <w:sz w:val="20"/>
                <w:szCs w:val="20"/>
                <w:vertAlign w:val="superscript"/>
              </w:rPr>
              <w:t>ab</w:t>
            </w:r>
          </w:p>
        </w:tc>
        <w:tc>
          <w:tcPr>
            <w:tcW w:w="0" w:type="auto"/>
            <w:shd w:val="clear" w:color="auto" w:fill="auto"/>
            <w:vAlign w:val="center"/>
          </w:tcPr>
          <w:p w14:paraId="22615EC9">
            <w:pPr>
              <w:pStyle w:val="42"/>
              <w:jc w:val="center"/>
              <w:rPr>
                <w:rFonts w:hint="default" w:ascii="Arial Regular" w:hAnsi="Arial Regular" w:eastAsia="宋体" w:cs="Arial Regular"/>
                <w:sz w:val="20"/>
                <w:szCs w:val="20"/>
              </w:rPr>
            </w:pPr>
            <w:r>
              <w:rPr>
                <w:rFonts w:hint="default" w:ascii="Arial Regular" w:hAnsi="Arial Regular" w:cs="Arial Regular"/>
                <w:sz w:val="20"/>
                <w:szCs w:val="20"/>
              </w:rPr>
              <w:t>0.96</w:t>
            </w:r>
          </w:p>
        </w:tc>
        <w:tc>
          <w:tcPr>
            <w:tcW w:w="0" w:type="auto"/>
            <w:shd w:val="clear" w:color="auto" w:fill="auto"/>
            <w:vAlign w:val="center"/>
          </w:tcPr>
          <w:p w14:paraId="2BC24500">
            <w:pPr>
              <w:pStyle w:val="42"/>
              <w:jc w:val="center"/>
              <w:rPr>
                <w:rFonts w:hint="default" w:ascii="Arial Regular" w:hAnsi="Arial Regular" w:cs="Arial Regular"/>
                <w:sz w:val="20"/>
                <w:szCs w:val="20"/>
              </w:rPr>
            </w:pPr>
            <w:r>
              <w:rPr>
                <w:rFonts w:hint="default" w:ascii="Arial Regular" w:hAnsi="Arial Regular" w:cs="Arial Regular"/>
                <w:sz w:val="20"/>
                <w:szCs w:val="20"/>
              </w:rPr>
              <w:t>0.374±0.10</w:t>
            </w:r>
            <w:r>
              <w:rPr>
                <w:rFonts w:hint="default" w:ascii="Arial Regular" w:hAnsi="Arial Regular" w:cs="Arial Regular"/>
                <w:sz w:val="20"/>
                <w:szCs w:val="20"/>
                <w:vertAlign w:val="superscript"/>
              </w:rPr>
              <w:t>b</w:t>
            </w:r>
          </w:p>
        </w:tc>
        <w:tc>
          <w:tcPr>
            <w:tcW w:w="0" w:type="auto"/>
            <w:shd w:val="clear" w:color="auto" w:fill="auto"/>
            <w:vAlign w:val="center"/>
          </w:tcPr>
          <w:p w14:paraId="1CB4C2E2">
            <w:pPr>
              <w:pStyle w:val="42"/>
              <w:jc w:val="center"/>
              <w:rPr>
                <w:rFonts w:hint="default" w:ascii="Arial Regular" w:hAnsi="Arial Regular" w:cs="Arial Regular"/>
                <w:sz w:val="20"/>
                <w:szCs w:val="20"/>
              </w:rPr>
            </w:pPr>
            <w:r>
              <w:rPr>
                <w:rFonts w:hint="default" w:ascii="Arial Regular" w:hAnsi="Arial Regular" w:cs="Arial Regular"/>
                <w:sz w:val="20"/>
                <w:szCs w:val="20"/>
              </w:rPr>
              <w:t>-4.67±1.33</w:t>
            </w:r>
            <w:r>
              <w:rPr>
                <w:rFonts w:hint="default" w:ascii="Arial Regular" w:hAnsi="Arial Regular" w:cs="Arial Regular"/>
                <w:sz w:val="20"/>
                <w:szCs w:val="20"/>
                <w:vertAlign w:val="superscript"/>
              </w:rPr>
              <w:t>a</w:t>
            </w:r>
          </w:p>
        </w:tc>
        <w:tc>
          <w:tcPr>
            <w:tcW w:w="0" w:type="auto"/>
            <w:shd w:val="clear" w:color="auto" w:fill="auto"/>
            <w:vAlign w:val="center"/>
          </w:tcPr>
          <w:p w14:paraId="7C3B9264">
            <w:pPr>
              <w:pStyle w:val="42"/>
              <w:jc w:val="center"/>
              <w:rPr>
                <w:rFonts w:hint="default" w:ascii="Arial Regular" w:hAnsi="Arial Regular" w:eastAsia="宋体" w:cs="Arial Regular"/>
                <w:sz w:val="20"/>
                <w:szCs w:val="20"/>
              </w:rPr>
            </w:pPr>
            <w:r>
              <w:rPr>
                <w:rFonts w:hint="default" w:ascii="Arial Regular" w:hAnsi="Arial Regular" w:cs="Arial Regular"/>
                <w:sz w:val="20"/>
                <w:szCs w:val="20"/>
              </w:rPr>
              <w:t>0.96</w:t>
            </w:r>
          </w:p>
        </w:tc>
      </w:tr>
      <w:tr w14:paraId="53432109">
        <w:trPr>
          <w:jc w:val="center"/>
        </w:trPr>
        <w:tc>
          <w:tcPr>
            <w:tcW w:w="0" w:type="auto"/>
            <w:shd w:val="clear" w:color="auto" w:fill="auto"/>
            <w:vAlign w:val="center"/>
          </w:tcPr>
          <w:p w14:paraId="05F5ABCB">
            <w:pPr>
              <w:pStyle w:val="42"/>
              <w:jc w:val="center"/>
              <w:rPr>
                <w:rFonts w:hint="default" w:ascii="Arial Regular" w:hAnsi="Arial Regular" w:cs="Arial Regular"/>
                <w:sz w:val="20"/>
                <w:szCs w:val="20"/>
              </w:rPr>
            </w:pPr>
            <w:r>
              <w:rPr>
                <w:rFonts w:hint="default" w:ascii="Arial Regular" w:hAnsi="Arial Regular" w:cs="Arial Regular"/>
                <w:sz w:val="20"/>
                <w:szCs w:val="20"/>
              </w:rPr>
              <w:t>Cu(II)</w:t>
            </w:r>
          </w:p>
        </w:tc>
        <w:tc>
          <w:tcPr>
            <w:tcW w:w="0" w:type="auto"/>
            <w:shd w:val="clear" w:color="auto" w:fill="auto"/>
            <w:vAlign w:val="center"/>
          </w:tcPr>
          <w:p w14:paraId="3541CDF2">
            <w:pPr>
              <w:pStyle w:val="42"/>
              <w:jc w:val="center"/>
              <w:rPr>
                <w:rFonts w:hint="default" w:ascii="Arial Regular" w:hAnsi="Arial Regular" w:cs="Arial Regular"/>
                <w:sz w:val="20"/>
                <w:szCs w:val="20"/>
              </w:rPr>
            </w:pPr>
            <w:r>
              <w:rPr>
                <w:rFonts w:hint="default" w:ascii="Arial Regular" w:hAnsi="Arial Regular" w:cs="Arial Regular"/>
                <w:sz w:val="20"/>
                <w:szCs w:val="20"/>
              </w:rPr>
              <w:t>0.411±0.09</w:t>
            </w:r>
            <w:r>
              <w:rPr>
                <w:rFonts w:hint="default" w:ascii="Arial Regular" w:hAnsi="Arial Regular" w:cs="Arial Regular"/>
                <w:sz w:val="20"/>
                <w:szCs w:val="20"/>
                <w:vertAlign w:val="superscript"/>
              </w:rPr>
              <w:t>b</w:t>
            </w:r>
          </w:p>
        </w:tc>
        <w:tc>
          <w:tcPr>
            <w:tcW w:w="0" w:type="auto"/>
            <w:shd w:val="clear" w:color="auto" w:fill="auto"/>
            <w:vAlign w:val="center"/>
          </w:tcPr>
          <w:p w14:paraId="12E6DD74">
            <w:pPr>
              <w:pStyle w:val="42"/>
              <w:jc w:val="center"/>
              <w:rPr>
                <w:rFonts w:hint="default" w:ascii="Arial Regular" w:hAnsi="Arial Regular" w:eastAsia="宋体" w:cs="Arial Regular"/>
                <w:sz w:val="20"/>
                <w:szCs w:val="20"/>
              </w:rPr>
            </w:pPr>
            <w:r>
              <w:rPr>
                <w:rFonts w:hint="default" w:ascii="Arial Regular" w:hAnsi="Arial Regular" w:cs="Arial Regular"/>
                <w:sz w:val="20"/>
                <w:szCs w:val="20"/>
              </w:rPr>
              <w:t>-4.99±0.94</w:t>
            </w:r>
            <w:r>
              <w:rPr>
                <w:rFonts w:hint="default" w:ascii="Arial Regular" w:hAnsi="Arial Regular" w:cs="Arial Regular"/>
                <w:sz w:val="20"/>
                <w:szCs w:val="20"/>
                <w:vertAlign w:val="superscript"/>
              </w:rPr>
              <w:t>b</w:t>
            </w:r>
          </w:p>
        </w:tc>
        <w:tc>
          <w:tcPr>
            <w:tcW w:w="0" w:type="auto"/>
            <w:shd w:val="clear" w:color="auto" w:fill="auto"/>
            <w:vAlign w:val="center"/>
          </w:tcPr>
          <w:p w14:paraId="3C05E722">
            <w:pPr>
              <w:pStyle w:val="42"/>
              <w:jc w:val="center"/>
              <w:rPr>
                <w:rFonts w:hint="default" w:ascii="Arial Regular" w:hAnsi="Arial Regular" w:eastAsia="宋体" w:cs="Arial Regular"/>
                <w:sz w:val="20"/>
                <w:szCs w:val="20"/>
              </w:rPr>
            </w:pPr>
            <w:r>
              <w:rPr>
                <w:rFonts w:hint="default" w:ascii="Arial Regular" w:hAnsi="Arial Regular" w:cs="Arial Regular"/>
                <w:sz w:val="20"/>
                <w:szCs w:val="20"/>
              </w:rPr>
              <w:t>0.92</w:t>
            </w:r>
          </w:p>
        </w:tc>
        <w:tc>
          <w:tcPr>
            <w:tcW w:w="0" w:type="auto"/>
            <w:shd w:val="clear" w:color="auto" w:fill="auto"/>
            <w:vAlign w:val="center"/>
          </w:tcPr>
          <w:p w14:paraId="73BA5F2F">
            <w:pPr>
              <w:pStyle w:val="42"/>
              <w:jc w:val="center"/>
              <w:rPr>
                <w:rFonts w:hint="default" w:ascii="Arial Regular" w:hAnsi="Arial Regular" w:cs="Arial Regular"/>
                <w:sz w:val="20"/>
                <w:szCs w:val="20"/>
              </w:rPr>
            </w:pPr>
            <w:r>
              <w:rPr>
                <w:rFonts w:hint="default" w:ascii="Arial Regular" w:hAnsi="Arial Regular" w:cs="Arial Regular"/>
                <w:sz w:val="20"/>
                <w:szCs w:val="20"/>
              </w:rPr>
              <w:t>0.302±0.04</w:t>
            </w:r>
            <w:r>
              <w:rPr>
                <w:rFonts w:hint="default" w:ascii="Arial Regular" w:hAnsi="Arial Regular" w:cs="Arial Regular"/>
                <w:sz w:val="20"/>
                <w:szCs w:val="20"/>
                <w:vertAlign w:val="superscript"/>
              </w:rPr>
              <w:t>b</w:t>
            </w:r>
          </w:p>
        </w:tc>
        <w:tc>
          <w:tcPr>
            <w:tcW w:w="0" w:type="auto"/>
            <w:shd w:val="clear" w:color="auto" w:fill="auto"/>
            <w:vAlign w:val="center"/>
          </w:tcPr>
          <w:p w14:paraId="00A5B058">
            <w:pPr>
              <w:pStyle w:val="42"/>
              <w:jc w:val="center"/>
              <w:rPr>
                <w:rFonts w:hint="default" w:ascii="Arial Regular" w:hAnsi="Arial Regular" w:cs="Arial Regular"/>
                <w:sz w:val="20"/>
                <w:szCs w:val="20"/>
              </w:rPr>
            </w:pPr>
            <w:r>
              <w:rPr>
                <w:rFonts w:hint="default" w:ascii="Arial Regular" w:hAnsi="Arial Regular" w:cs="Arial Regular"/>
                <w:sz w:val="20"/>
                <w:szCs w:val="20"/>
              </w:rPr>
              <w:t>-4.77±1.15</w:t>
            </w:r>
            <w:r>
              <w:rPr>
                <w:rFonts w:hint="default" w:ascii="Arial Regular" w:hAnsi="Arial Regular" w:cs="Arial Regular"/>
                <w:sz w:val="20"/>
                <w:szCs w:val="20"/>
                <w:vertAlign w:val="superscript"/>
              </w:rPr>
              <w:t>a</w:t>
            </w:r>
          </w:p>
        </w:tc>
        <w:tc>
          <w:tcPr>
            <w:tcW w:w="0" w:type="auto"/>
            <w:shd w:val="clear" w:color="auto" w:fill="auto"/>
            <w:vAlign w:val="center"/>
          </w:tcPr>
          <w:p w14:paraId="5F520F3C">
            <w:pPr>
              <w:pStyle w:val="42"/>
              <w:jc w:val="center"/>
              <w:rPr>
                <w:rFonts w:hint="default" w:ascii="Arial Regular" w:hAnsi="Arial Regular" w:eastAsia="宋体" w:cs="Arial Regular"/>
                <w:sz w:val="20"/>
                <w:szCs w:val="20"/>
              </w:rPr>
            </w:pPr>
            <w:r>
              <w:rPr>
                <w:rFonts w:hint="default" w:ascii="Arial Regular" w:hAnsi="Arial Regular" w:cs="Arial Regular"/>
                <w:sz w:val="20"/>
                <w:szCs w:val="20"/>
              </w:rPr>
              <w:t>0.92</w:t>
            </w:r>
          </w:p>
        </w:tc>
      </w:tr>
      <w:tr w14:paraId="468C8CA9">
        <w:trPr>
          <w:jc w:val="center"/>
        </w:trPr>
        <w:tc>
          <w:tcPr>
            <w:tcW w:w="0" w:type="auto"/>
            <w:shd w:val="clear" w:color="auto" w:fill="auto"/>
            <w:vAlign w:val="center"/>
          </w:tcPr>
          <w:p w14:paraId="04728D99">
            <w:pPr>
              <w:pStyle w:val="42"/>
              <w:jc w:val="center"/>
              <w:rPr>
                <w:rFonts w:hint="default" w:ascii="Arial Regular" w:hAnsi="Arial Regular" w:cs="Arial Regular"/>
                <w:sz w:val="20"/>
                <w:szCs w:val="20"/>
              </w:rPr>
            </w:pPr>
            <w:r>
              <w:rPr>
                <w:rFonts w:hint="default" w:ascii="Arial Regular" w:hAnsi="Arial Regular" w:cs="Arial Regular"/>
                <w:sz w:val="20"/>
                <w:szCs w:val="20"/>
              </w:rPr>
              <w:t>Fe(II)</w:t>
            </w:r>
          </w:p>
        </w:tc>
        <w:tc>
          <w:tcPr>
            <w:tcW w:w="0" w:type="auto"/>
            <w:shd w:val="clear" w:color="auto" w:fill="auto"/>
            <w:vAlign w:val="center"/>
          </w:tcPr>
          <w:p w14:paraId="21E8EAC9">
            <w:pPr>
              <w:pStyle w:val="42"/>
              <w:jc w:val="center"/>
              <w:rPr>
                <w:rFonts w:hint="default" w:ascii="Arial Regular" w:hAnsi="Arial Regular" w:cs="Arial Regular"/>
                <w:sz w:val="20"/>
                <w:szCs w:val="20"/>
              </w:rPr>
            </w:pPr>
            <w:r>
              <w:rPr>
                <w:rFonts w:hint="default" w:ascii="Arial Regular" w:hAnsi="Arial Regular" w:cs="Arial Regular"/>
                <w:sz w:val="20"/>
                <w:szCs w:val="20"/>
              </w:rPr>
              <w:t>0.468±0.02</w:t>
            </w:r>
            <w:r>
              <w:rPr>
                <w:rFonts w:hint="default" w:ascii="Arial Regular" w:hAnsi="Arial Regular" w:cs="Arial Regular"/>
                <w:sz w:val="20"/>
                <w:szCs w:val="20"/>
                <w:vertAlign w:val="superscript"/>
              </w:rPr>
              <w:t>b</w:t>
            </w:r>
          </w:p>
        </w:tc>
        <w:tc>
          <w:tcPr>
            <w:tcW w:w="0" w:type="auto"/>
            <w:shd w:val="clear" w:color="auto" w:fill="auto"/>
            <w:vAlign w:val="center"/>
          </w:tcPr>
          <w:p w14:paraId="44AF9CAD">
            <w:pPr>
              <w:pStyle w:val="42"/>
              <w:jc w:val="center"/>
              <w:rPr>
                <w:rFonts w:hint="default" w:ascii="Arial Regular" w:hAnsi="Arial Regular" w:eastAsia="宋体" w:cs="Arial Regular"/>
                <w:sz w:val="20"/>
                <w:szCs w:val="20"/>
              </w:rPr>
            </w:pPr>
            <w:r>
              <w:rPr>
                <w:rFonts w:hint="default" w:ascii="Arial Regular" w:hAnsi="Arial Regular" w:cs="Arial Regular"/>
                <w:sz w:val="20"/>
                <w:szCs w:val="20"/>
              </w:rPr>
              <w:t>-3.63±0.48</w:t>
            </w:r>
            <w:r>
              <w:rPr>
                <w:rFonts w:hint="default" w:ascii="Arial Regular" w:hAnsi="Arial Regular" w:cs="Arial Regular"/>
                <w:sz w:val="20"/>
                <w:szCs w:val="20"/>
                <w:vertAlign w:val="superscript"/>
              </w:rPr>
              <w:t>ab</w:t>
            </w:r>
          </w:p>
        </w:tc>
        <w:tc>
          <w:tcPr>
            <w:tcW w:w="0" w:type="auto"/>
            <w:shd w:val="clear" w:color="auto" w:fill="auto"/>
            <w:vAlign w:val="center"/>
          </w:tcPr>
          <w:p w14:paraId="0EAA1CCA">
            <w:pPr>
              <w:pStyle w:val="42"/>
              <w:jc w:val="center"/>
              <w:rPr>
                <w:rFonts w:hint="default" w:ascii="Arial Regular" w:hAnsi="Arial Regular" w:eastAsia="宋体" w:cs="Arial Regular"/>
                <w:sz w:val="20"/>
                <w:szCs w:val="20"/>
              </w:rPr>
            </w:pPr>
            <w:r>
              <w:rPr>
                <w:rFonts w:hint="default" w:ascii="Arial Regular" w:hAnsi="Arial Regular" w:cs="Arial Regular"/>
                <w:sz w:val="20"/>
                <w:szCs w:val="20"/>
              </w:rPr>
              <w:t>0.94</w:t>
            </w:r>
          </w:p>
        </w:tc>
        <w:tc>
          <w:tcPr>
            <w:tcW w:w="0" w:type="auto"/>
            <w:shd w:val="clear" w:color="auto" w:fill="auto"/>
            <w:vAlign w:val="center"/>
          </w:tcPr>
          <w:p w14:paraId="167F2E23">
            <w:pPr>
              <w:pStyle w:val="42"/>
              <w:jc w:val="center"/>
              <w:rPr>
                <w:rFonts w:hint="default" w:ascii="Arial Regular" w:hAnsi="Arial Regular" w:cs="Arial Regular"/>
                <w:sz w:val="20"/>
                <w:szCs w:val="20"/>
              </w:rPr>
            </w:pPr>
            <w:r>
              <w:rPr>
                <w:rFonts w:hint="default" w:ascii="Arial Regular" w:hAnsi="Arial Regular" w:cs="Arial Regular"/>
                <w:sz w:val="20"/>
                <w:szCs w:val="20"/>
              </w:rPr>
              <w:t>0.360±0.04</w:t>
            </w:r>
            <w:r>
              <w:rPr>
                <w:rFonts w:hint="default" w:ascii="Arial Regular" w:hAnsi="Arial Regular" w:cs="Arial Regular"/>
                <w:sz w:val="20"/>
                <w:szCs w:val="20"/>
                <w:vertAlign w:val="superscript"/>
              </w:rPr>
              <w:t>b</w:t>
            </w:r>
          </w:p>
        </w:tc>
        <w:tc>
          <w:tcPr>
            <w:tcW w:w="0" w:type="auto"/>
            <w:shd w:val="clear" w:color="auto" w:fill="auto"/>
            <w:vAlign w:val="center"/>
          </w:tcPr>
          <w:p w14:paraId="4D2526ED">
            <w:pPr>
              <w:pStyle w:val="42"/>
              <w:jc w:val="center"/>
              <w:rPr>
                <w:rFonts w:hint="default" w:ascii="Arial Regular" w:hAnsi="Arial Regular" w:cs="Arial Regular"/>
                <w:sz w:val="20"/>
                <w:szCs w:val="20"/>
              </w:rPr>
            </w:pPr>
            <w:r>
              <w:rPr>
                <w:rFonts w:hint="default" w:ascii="Arial Regular" w:hAnsi="Arial Regular" w:cs="Arial Regular"/>
                <w:sz w:val="20"/>
                <w:szCs w:val="20"/>
              </w:rPr>
              <w:t>-3.63±0.48</w:t>
            </w:r>
            <w:r>
              <w:rPr>
                <w:rFonts w:hint="default" w:ascii="Arial Regular" w:hAnsi="Arial Regular" w:cs="Arial Regular"/>
                <w:sz w:val="20"/>
                <w:szCs w:val="20"/>
                <w:vertAlign w:val="superscript"/>
              </w:rPr>
              <w:t>a</w:t>
            </w:r>
          </w:p>
        </w:tc>
        <w:tc>
          <w:tcPr>
            <w:tcW w:w="0" w:type="auto"/>
            <w:shd w:val="clear" w:color="auto" w:fill="auto"/>
            <w:vAlign w:val="center"/>
          </w:tcPr>
          <w:p w14:paraId="1A34F2EB">
            <w:pPr>
              <w:pStyle w:val="42"/>
              <w:jc w:val="center"/>
              <w:rPr>
                <w:rFonts w:hint="default" w:ascii="Arial Regular" w:hAnsi="Arial Regular" w:eastAsia="宋体" w:cs="Arial Regular"/>
                <w:sz w:val="20"/>
                <w:szCs w:val="20"/>
              </w:rPr>
            </w:pPr>
            <w:r>
              <w:rPr>
                <w:rFonts w:hint="default" w:ascii="Arial Regular" w:hAnsi="Arial Regular" w:cs="Arial Regular"/>
                <w:sz w:val="20"/>
                <w:szCs w:val="20"/>
              </w:rPr>
              <w:t>0.94</w:t>
            </w:r>
          </w:p>
        </w:tc>
      </w:tr>
      <w:tr w14:paraId="68807390">
        <w:trPr>
          <w:jc w:val="center"/>
        </w:trPr>
        <w:tc>
          <w:tcPr>
            <w:tcW w:w="0" w:type="auto"/>
            <w:shd w:val="clear" w:color="auto" w:fill="auto"/>
            <w:vAlign w:val="center"/>
          </w:tcPr>
          <w:p w14:paraId="3B302A6B">
            <w:pPr>
              <w:pStyle w:val="42"/>
              <w:jc w:val="center"/>
              <w:rPr>
                <w:rFonts w:hint="default" w:ascii="Arial Regular" w:hAnsi="Arial Regular" w:cs="Arial Regular"/>
                <w:sz w:val="20"/>
                <w:szCs w:val="20"/>
              </w:rPr>
            </w:pPr>
            <w:r>
              <w:rPr>
                <w:rFonts w:hint="default" w:ascii="Arial Regular" w:hAnsi="Arial Regular" w:cs="Arial Regular"/>
                <w:sz w:val="20"/>
                <w:szCs w:val="20"/>
              </w:rPr>
              <w:t>Mn(II)</w:t>
            </w:r>
          </w:p>
        </w:tc>
        <w:tc>
          <w:tcPr>
            <w:tcW w:w="0" w:type="auto"/>
            <w:shd w:val="clear" w:color="auto" w:fill="auto"/>
            <w:vAlign w:val="center"/>
          </w:tcPr>
          <w:p w14:paraId="34808635">
            <w:pPr>
              <w:pStyle w:val="42"/>
              <w:jc w:val="center"/>
              <w:rPr>
                <w:rFonts w:hint="default" w:ascii="Arial Regular" w:hAnsi="Arial Regular" w:cs="Arial Regular"/>
                <w:sz w:val="20"/>
                <w:szCs w:val="20"/>
              </w:rPr>
            </w:pPr>
            <w:r>
              <w:rPr>
                <w:rFonts w:hint="default" w:ascii="Arial Regular" w:hAnsi="Arial Regular" w:cs="Arial Regular"/>
                <w:sz w:val="20"/>
                <w:szCs w:val="20"/>
              </w:rPr>
              <w:t>0.447±0.05</w:t>
            </w:r>
            <w:r>
              <w:rPr>
                <w:rFonts w:hint="default" w:ascii="Arial Regular" w:hAnsi="Arial Regular" w:cs="Arial Regular"/>
                <w:sz w:val="20"/>
                <w:szCs w:val="20"/>
                <w:vertAlign w:val="superscript"/>
              </w:rPr>
              <w:t>b</w:t>
            </w:r>
          </w:p>
        </w:tc>
        <w:tc>
          <w:tcPr>
            <w:tcW w:w="0" w:type="auto"/>
            <w:shd w:val="clear" w:color="auto" w:fill="auto"/>
            <w:vAlign w:val="center"/>
          </w:tcPr>
          <w:p w14:paraId="7AA8844E">
            <w:pPr>
              <w:pStyle w:val="42"/>
              <w:jc w:val="center"/>
              <w:rPr>
                <w:rFonts w:hint="default" w:ascii="Arial Regular" w:hAnsi="Arial Regular" w:eastAsia="宋体" w:cs="Arial Regular"/>
                <w:sz w:val="20"/>
                <w:szCs w:val="20"/>
              </w:rPr>
            </w:pPr>
            <w:r>
              <w:rPr>
                <w:rFonts w:hint="default" w:ascii="Arial Regular" w:hAnsi="Arial Regular" w:cs="Arial Regular"/>
                <w:sz w:val="20"/>
                <w:szCs w:val="20"/>
              </w:rPr>
              <w:t>-3.41±0.25</w:t>
            </w:r>
            <w:r>
              <w:rPr>
                <w:rFonts w:hint="default" w:ascii="Arial Regular" w:hAnsi="Arial Regular" w:cs="Arial Regular"/>
                <w:sz w:val="20"/>
                <w:szCs w:val="20"/>
                <w:vertAlign w:val="superscript"/>
              </w:rPr>
              <w:t>a</w:t>
            </w:r>
          </w:p>
        </w:tc>
        <w:tc>
          <w:tcPr>
            <w:tcW w:w="0" w:type="auto"/>
            <w:shd w:val="clear" w:color="auto" w:fill="auto"/>
            <w:vAlign w:val="center"/>
          </w:tcPr>
          <w:p w14:paraId="05439E51">
            <w:pPr>
              <w:pStyle w:val="42"/>
              <w:jc w:val="center"/>
              <w:rPr>
                <w:rFonts w:hint="default" w:ascii="Arial Regular" w:hAnsi="Arial Regular" w:eastAsia="宋体" w:cs="Arial Regular"/>
                <w:sz w:val="20"/>
                <w:szCs w:val="20"/>
              </w:rPr>
            </w:pPr>
            <w:r>
              <w:rPr>
                <w:rFonts w:hint="default" w:ascii="Arial Regular" w:hAnsi="Arial Regular" w:cs="Arial Regular"/>
                <w:sz w:val="20"/>
                <w:szCs w:val="20"/>
              </w:rPr>
              <w:t>0.95</w:t>
            </w:r>
          </w:p>
        </w:tc>
        <w:tc>
          <w:tcPr>
            <w:tcW w:w="0" w:type="auto"/>
            <w:shd w:val="clear" w:color="auto" w:fill="auto"/>
            <w:vAlign w:val="center"/>
          </w:tcPr>
          <w:p w14:paraId="0493F199">
            <w:pPr>
              <w:pStyle w:val="42"/>
              <w:jc w:val="center"/>
              <w:rPr>
                <w:rFonts w:hint="default" w:ascii="Arial Regular" w:hAnsi="Arial Regular" w:cs="Arial Regular"/>
                <w:sz w:val="20"/>
                <w:szCs w:val="20"/>
              </w:rPr>
            </w:pPr>
            <w:r>
              <w:rPr>
                <w:rFonts w:hint="default" w:ascii="Arial Regular" w:hAnsi="Arial Regular" w:cs="Arial Regular"/>
                <w:sz w:val="20"/>
                <w:szCs w:val="20"/>
              </w:rPr>
              <w:t>0.401±0.04</w:t>
            </w:r>
            <w:r>
              <w:rPr>
                <w:rFonts w:hint="default" w:ascii="Arial Regular" w:hAnsi="Arial Regular" w:cs="Arial Regular"/>
                <w:sz w:val="20"/>
                <w:szCs w:val="20"/>
                <w:vertAlign w:val="superscript"/>
              </w:rPr>
              <w:t>b</w:t>
            </w:r>
          </w:p>
        </w:tc>
        <w:tc>
          <w:tcPr>
            <w:tcW w:w="0" w:type="auto"/>
            <w:shd w:val="clear" w:color="auto" w:fill="auto"/>
            <w:vAlign w:val="center"/>
          </w:tcPr>
          <w:p w14:paraId="03ABAF31">
            <w:pPr>
              <w:pStyle w:val="42"/>
              <w:jc w:val="center"/>
              <w:rPr>
                <w:rFonts w:hint="default" w:ascii="Arial Regular" w:hAnsi="Arial Regular" w:cs="Arial Regular"/>
                <w:sz w:val="20"/>
                <w:szCs w:val="20"/>
              </w:rPr>
            </w:pPr>
            <w:r>
              <w:rPr>
                <w:rFonts w:hint="default" w:ascii="Arial Regular" w:hAnsi="Arial Regular" w:cs="Arial Regular"/>
                <w:sz w:val="20"/>
                <w:szCs w:val="20"/>
              </w:rPr>
              <w:t>-3.341±0.25</w:t>
            </w:r>
            <w:r>
              <w:rPr>
                <w:rFonts w:hint="default" w:ascii="Arial Regular" w:hAnsi="Arial Regular" w:cs="Arial Regular"/>
                <w:sz w:val="20"/>
                <w:szCs w:val="20"/>
                <w:vertAlign w:val="superscript"/>
              </w:rPr>
              <w:t>a</w:t>
            </w:r>
          </w:p>
        </w:tc>
        <w:tc>
          <w:tcPr>
            <w:tcW w:w="0" w:type="auto"/>
            <w:shd w:val="clear" w:color="auto" w:fill="auto"/>
            <w:vAlign w:val="center"/>
          </w:tcPr>
          <w:p w14:paraId="068E632F">
            <w:pPr>
              <w:pStyle w:val="42"/>
              <w:jc w:val="center"/>
              <w:rPr>
                <w:rFonts w:hint="default" w:ascii="Arial Regular" w:hAnsi="Arial Regular" w:eastAsia="宋体" w:cs="Arial Regular"/>
                <w:sz w:val="20"/>
                <w:szCs w:val="20"/>
              </w:rPr>
            </w:pPr>
            <w:r>
              <w:rPr>
                <w:rFonts w:hint="default" w:ascii="Arial Regular" w:hAnsi="Arial Regular" w:cs="Arial Regular"/>
                <w:sz w:val="20"/>
                <w:szCs w:val="20"/>
              </w:rPr>
              <w:t>0.95</w:t>
            </w:r>
          </w:p>
        </w:tc>
      </w:tr>
      <w:tr w14:paraId="62B3000C">
        <w:trPr>
          <w:jc w:val="center"/>
        </w:trPr>
        <w:tc>
          <w:tcPr>
            <w:tcW w:w="0" w:type="auto"/>
            <w:gridSpan w:val="7"/>
            <w:vAlign w:val="center"/>
          </w:tcPr>
          <w:p w14:paraId="64529571">
            <w:pPr>
              <w:pStyle w:val="42"/>
              <w:jc w:val="center"/>
              <w:rPr>
                <w:rFonts w:hint="default" w:ascii="Arial Regular" w:hAnsi="Arial Regular" w:cs="Arial Regular"/>
                <w:sz w:val="20"/>
                <w:szCs w:val="20"/>
              </w:rPr>
            </w:pPr>
            <w:r>
              <w:rPr>
                <w:rFonts w:hint="default" w:ascii="Arial Regular" w:hAnsi="Arial Regular" w:cs="Arial Regular"/>
                <w:b/>
                <w:bCs/>
                <w:sz w:val="20"/>
                <w:szCs w:val="20"/>
              </w:rPr>
              <w:t>UV</w:t>
            </w:r>
          </w:p>
        </w:tc>
      </w:tr>
      <w:tr w14:paraId="1466D606">
        <w:trPr>
          <w:jc w:val="center"/>
        </w:trPr>
        <w:tc>
          <w:tcPr>
            <w:tcW w:w="0" w:type="auto"/>
            <w:shd w:val="clear" w:color="auto" w:fill="E7E6E6" w:themeFill="background2"/>
            <w:vAlign w:val="center"/>
          </w:tcPr>
          <w:p w14:paraId="5E6FD606">
            <w:pPr>
              <w:pStyle w:val="42"/>
              <w:jc w:val="center"/>
              <w:rPr>
                <w:rFonts w:hint="default" w:ascii="Arial Regular" w:hAnsi="Arial Regular" w:cs="Arial Regular"/>
                <w:sz w:val="20"/>
                <w:szCs w:val="20"/>
              </w:rPr>
            </w:pPr>
          </w:p>
        </w:tc>
        <w:tc>
          <w:tcPr>
            <w:tcW w:w="0" w:type="auto"/>
            <w:shd w:val="clear" w:color="auto" w:fill="E7E6E6" w:themeFill="background2"/>
            <w:vAlign w:val="center"/>
          </w:tcPr>
          <w:p w14:paraId="2CB18185">
            <w:pPr>
              <w:pStyle w:val="42"/>
              <w:jc w:val="center"/>
              <w:rPr>
                <w:rFonts w:hint="default" w:ascii="Arial Regular" w:hAnsi="Arial Regular" w:cs="Arial Regular"/>
                <w:i/>
                <w:sz w:val="20"/>
                <w:szCs w:val="20"/>
              </w:rPr>
            </w:pPr>
            <w:r>
              <w:rPr>
                <w:rFonts w:hint="default" w:ascii="Arial Regular" w:hAnsi="Arial Regular" w:cs="Arial Regular"/>
                <w:i/>
                <w:sz w:val="20"/>
                <w:szCs w:val="20"/>
              </w:rPr>
              <w:t>k</w:t>
            </w:r>
            <w:r>
              <w:rPr>
                <w:rFonts w:hint="default" w:ascii="Arial Regular" w:hAnsi="Arial Regular" w:cs="Arial Regular"/>
                <w:sz w:val="20"/>
                <w:szCs w:val="20"/>
              </w:rPr>
              <w:t>(min</w:t>
            </w:r>
            <w:r>
              <w:rPr>
                <w:rFonts w:hint="default" w:ascii="Arial Regular" w:hAnsi="Arial Regular" w:cs="Arial Regular"/>
                <w:sz w:val="20"/>
                <w:szCs w:val="20"/>
                <w:vertAlign w:val="superscript"/>
              </w:rPr>
              <w:t>-1</w:t>
            </w:r>
            <w:r>
              <w:rPr>
                <w:rFonts w:hint="default" w:ascii="Arial Regular" w:hAnsi="Arial Regular" w:cs="Arial Regular"/>
                <w:sz w:val="20"/>
                <w:szCs w:val="20"/>
              </w:rPr>
              <w:t>)</w:t>
            </w:r>
          </w:p>
        </w:tc>
        <w:tc>
          <w:tcPr>
            <w:tcW w:w="0" w:type="auto"/>
            <w:shd w:val="clear" w:color="auto" w:fill="E7E6E6" w:themeFill="background2"/>
            <w:vAlign w:val="center"/>
          </w:tcPr>
          <w:p w14:paraId="0A16CF6D">
            <w:pPr>
              <w:pStyle w:val="42"/>
              <w:jc w:val="center"/>
              <w:rPr>
                <w:rFonts w:hint="default" w:ascii="Arial Regular" w:hAnsi="Arial Regular" w:cs="Arial Regular"/>
                <w:sz w:val="20"/>
                <w:szCs w:val="20"/>
              </w:rPr>
            </w:pPr>
            <w:r>
              <w:rPr>
                <w:rFonts w:hint="default" w:ascii="Arial Regular" w:hAnsi="Arial Regular" w:cs="Arial Regular"/>
                <w:i/>
                <w:sz w:val="20"/>
                <w:szCs w:val="20"/>
              </w:rPr>
              <w:t>SL</w:t>
            </w:r>
            <w:r>
              <w:rPr>
                <w:rFonts w:hint="default" w:ascii="Arial Regular" w:hAnsi="Arial Regular" w:cs="Arial Regular"/>
                <w:sz w:val="20"/>
                <w:szCs w:val="20"/>
              </w:rPr>
              <w:t>((mg•min)/L)</w:t>
            </w:r>
          </w:p>
        </w:tc>
        <w:tc>
          <w:tcPr>
            <w:tcW w:w="0" w:type="auto"/>
            <w:shd w:val="clear" w:color="auto" w:fill="E7E6E6" w:themeFill="background2"/>
            <w:vAlign w:val="center"/>
          </w:tcPr>
          <w:p w14:paraId="4DAFE95E">
            <w:pPr>
              <w:pStyle w:val="42"/>
              <w:jc w:val="center"/>
              <w:rPr>
                <w:rFonts w:hint="default" w:ascii="Arial Regular" w:hAnsi="Arial Regular" w:cs="Arial Regular"/>
                <w:sz w:val="20"/>
                <w:szCs w:val="20"/>
              </w:rPr>
            </w:pPr>
            <w:r>
              <w:rPr>
                <w:rFonts w:hint="default" w:ascii="Arial Regular" w:hAnsi="Arial Regular" w:cs="Arial Regular"/>
                <w:sz w:val="20"/>
                <w:szCs w:val="20"/>
              </w:rPr>
              <w:t>R</w:t>
            </w:r>
            <w:r>
              <w:rPr>
                <w:rFonts w:hint="default" w:ascii="Arial Regular" w:hAnsi="Arial Regular" w:cs="Arial Regular"/>
                <w:sz w:val="20"/>
                <w:szCs w:val="20"/>
                <w:vertAlign w:val="superscript"/>
              </w:rPr>
              <w:t>2</w:t>
            </w:r>
          </w:p>
        </w:tc>
        <w:tc>
          <w:tcPr>
            <w:tcW w:w="0" w:type="auto"/>
            <w:shd w:val="clear" w:color="auto" w:fill="E7E6E6" w:themeFill="background2"/>
            <w:vAlign w:val="center"/>
          </w:tcPr>
          <w:p w14:paraId="3FDCE552">
            <w:pPr>
              <w:pStyle w:val="42"/>
              <w:jc w:val="center"/>
              <w:rPr>
                <w:rFonts w:hint="default" w:ascii="Arial Regular" w:hAnsi="Arial Regular" w:cs="Arial Regular"/>
                <w:sz w:val="20"/>
                <w:szCs w:val="20"/>
              </w:rPr>
            </w:pPr>
            <w:r>
              <w:rPr>
                <w:rFonts w:hint="default" w:ascii="Arial Regular" w:hAnsi="Arial Regular" w:cs="Arial Regular"/>
                <w:i/>
                <w:sz w:val="20"/>
                <w:szCs w:val="20"/>
              </w:rPr>
              <w:t>k</w:t>
            </w:r>
            <w:r>
              <w:rPr>
                <w:rFonts w:hint="default" w:ascii="Arial Regular" w:hAnsi="Arial Regular" w:cs="Arial Regular"/>
                <w:sz w:val="20"/>
                <w:szCs w:val="20"/>
              </w:rPr>
              <w:t>(min</w:t>
            </w:r>
            <w:r>
              <w:rPr>
                <w:rFonts w:hint="default" w:ascii="Arial Regular" w:hAnsi="Arial Regular" w:cs="Arial Regular"/>
                <w:sz w:val="20"/>
                <w:szCs w:val="20"/>
                <w:vertAlign w:val="superscript"/>
              </w:rPr>
              <w:t>-1</w:t>
            </w:r>
            <w:r>
              <w:rPr>
                <w:rFonts w:hint="default" w:ascii="Arial Regular" w:hAnsi="Arial Regular" w:cs="Arial Regular"/>
                <w:sz w:val="20"/>
                <w:szCs w:val="20"/>
              </w:rPr>
              <w:t>)</w:t>
            </w:r>
          </w:p>
        </w:tc>
        <w:tc>
          <w:tcPr>
            <w:tcW w:w="0" w:type="auto"/>
            <w:shd w:val="clear" w:color="auto" w:fill="E7E6E6" w:themeFill="background2"/>
            <w:vAlign w:val="center"/>
          </w:tcPr>
          <w:p w14:paraId="416EB1DD">
            <w:pPr>
              <w:pStyle w:val="42"/>
              <w:jc w:val="center"/>
              <w:rPr>
                <w:rFonts w:hint="default" w:ascii="Arial Regular" w:hAnsi="Arial Regular" w:cs="Arial Regular"/>
                <w:sz w:val="20"/>
                <w:szCs w:val="20"/>
              </w:rPr>
            </w:pPr>
            <w:r>
              <w:rPr>
                <w:rFonts w:hint="default" w:ascii="Arial Regular" w:hAnsi="Arial Regular" w:cs="Arial Regular"/>
                <w:i/>
                <w:sz w:val="20"/>
                <w:szCs w:val="20"/>
              </w:rPr>
              <w:t>SL</w:t>
            </w:r>
            <w:r>
              <w:rPr>
                <w:rFonts w:hint="default" w:ascii="Arial Regular" w:hAnsi="Arial Regular" w:cs="Arial Regular"/>
                <w:sz w:val="20"/>
                <w:szCs w:val="20"/>
              </w:rPr>
              <w:t>((mg•min)/L)</w:t>
            </w:r>
          </w:p>
        </w:tc>
        <w:tc>
          <w:tcPr>
            <w:tcW w:w="0" w:type="auto"/>
            <w:shd w:val="clear" w:color="auto" w:fill="E7E6E6" w:themeFill="background2"/>
            <w:vAlign w:val="center"/>
          </w:tcPr>
          <w:p w14:paraId="52FFAFB3">
            <w:pPr>
              <w:pStyle w:val="42"/>
              <w:jc w:val="center"/>
              <w:rPr>
                <w:rFonts w:hint="default" w:ascii="Arial Regular" w:hAnsi="Arial Regular" w:cs="Arial Regular"/>
                <w:sz w:val="20"/>
                <w:szCs w:val="20"/>
              </w:rPr>
            </w:pPr>
            <w:r>
              <w:rPr>
                <w:rFonts w:hint="default" w:ascii="Arial Regular" w:hAnsi="Arial Regular" w:cs="Arial Regular"/>
                <w:sz w:val="20"/>
                <w:szCs w:val="20"/>
              </w:rPr>
              <w:t>R</w:t>
            </w:r>
            <w:r>
              <w:rPr>
                <w:rFonts w:hint="default" w:ascii="Arial Regular" w:hAnsi="Arial Regular" w:cs="Arial Regular"/>
                <w:sz w:val="20"/>
                <w:szCs w:val="20"/>
                <w:vertAlign w:val="superscript"/>
              </w:rPr>
              <w:t>2</w:t>
            </w:r>
          </w:p>
        </w:tc>
      </w:tr>
      <w:tr w14:paraId="246423C1">
        <w:trPr>
          <w:jc w:val="center"/>
        </w:trPr>
        <w:tc>
          <w:tcPr>
            <w:tcW w:w="0" w:type="auto"/>
            <w:shd w:val="clear" w:color="auto" w:fill="auto"/>
            <w:vAlign w:val="center"/>
          </w:tcPr>
          <w:p w14:paraId="702AC39F">
            <w:pPr>
              <w:pStyle w:val="42"/>
              <w:jc w:val="center"/>
              <w:rPr>
                <w:rFonts w:hint="default" w:ascii="Arial Regular" w:hAnsi="Arial Regular" w:cs="Arial Regular"/>
                <w:sz w:val="20"/>
                <w:szCs w:val="20"/>
              </w:rPr>
            </w:pPr>
            <w:r>
              <w:rPr>
                <w:rFonts w:hint="default" w:ascii="Arial Regular" w:hAnsi="Arial Regular" w:cs="Arial Regular"/>
                <w:sz w:val="20"/>
                <w:szCs w:val="20"/>
              </w:rPr>
              <w:t>Control</w:t>
            </w:r>
          </w:p>
        </w:tc>
        <w:tc>
          <w:tcPr>
            <w:tcW w:w="0" w:type="auto"/>
            <w:shd w:val="clear" w:color="auto" w:fill="auto"/>
            <w:vAlign w:val="center"/>
          </w:tcPr>
          <w:p w14:paraId="3B908B02">
            <w:pPr>
              <w:pStyle w:val="42"/>
              <w:jc w:val="center"/>
              <w:rPr>
                <w:rFonts w:hint="default" w:ascii="Arial Regular" w:hAnsi="Arial Regular" w:cs="Arial Regular"/>
                <w:sz w:val="20"/>
                <w:szCs w:val="20"/>
              </w:rPr>
            </w:pPr>
            <w:r>
              <w:rPr>
                <w:rFonts w:hint="default" w:ascii="Arial Regular" w:hAnsi="Arial Regular" w:cs="Arial Regular"/>
                <w:sz w:val="20"/>
                <w:szCs w:val="20"/>
              </w:rPr>
              <w:t>0.930±0.07</w:t>
            </w:r>
            <w:r>
              <w:rPr>
                <w:rFonts w:hint="default" w:ascii="Arial Regular" w:hAnsi="Arial Regular" w:cs="Arial Regular"/>
                <w:sz w:val="20"/>
                <w:szCs w:val="20"/>
                <w:vertAlign w:val="superscript"/>
              </w:rPr>
              <w:t>a</w:t>
            </w:r>
          </w:p>
        </w:tc>
        <w:tc>
          <w:tcPr>
            <w:tcW w:w="0" w:type="auto"/>
            <w:shd w:val="clear" w:color="auto" w:fill="auto"/>
            <w:vAlign w:val="center"/>
          </w:tcPr>
          <w:p w14:paraId="0E3C112C">
            <w:pPr>
              <w:pStyle w:val="42"/>
              <w:jc w:val="center"/>
              <w:rPr>
                <w:rFonts w:hint="default" w:ascii="Arial Regular" w:hAnsi="Arial Regular" w:eastAsia="宋体" w:cs="Arial Regular"/>
                <w:sz w:val="20"/>
                <w:szCs w:val="20"/>
              </w:rPr>
            </w:pPr>
            <w:r>
              <w:rPr>
                <w:rFonts w:hint="default" w:ascii="Arial Regular" w:hAnsi="Arial Regular" w:cs="Arial Regular"/>
                <w:sz w:val="20"/>
                <w:szCs w:val="20"/>
              </w:rPr>
              <w:t>2.97±0.67</w:t>
            </w:r>
            <w:r>
              <w:rPr>
                <w:rFonts w:hint="default" w:ascii="Arial Regular" w:hAnsi="Arial Regular" w:cs="Arial Regular"/>
                <w:sz w:val="20"/>
                <w:szCs w:val="20"/>
                <w:vertAlign w:val="superscript"/>
              </w:rPr>
              <w:t>a</w:t>
            </w:r>
          </w:p>
        </w:tc>
        <w:tc>
          <w:tcPr>
            <w:tcW w:w="0" w:type="auto"/>
            <w:shd w:val="clear" w:color="auto" w:fill="auto"/>
            <w:vAlign w:val="center"/>
          </w:tcPr>
          <w:p w14:paraId="48C801E6">
            <w:pPr>
              <w:pStyle w:val="42"/>
              <w:jc w:val="center"/>
              <w:rPr>
                <w:rFonts w:hint="default" w:ascii="Arial Regular" w:hAnsi="Arial Regular" w:eastAsia="宋体" w:cs="Arial Regular"/>
                <w:sz w:val="20"/>
                <w:szCs w:val="20"/>
              </w:rPr>
            </w:pPr>
            <w:r>
              <w:rPr>
                <w:rFonts w:hint="default" w:ascii="Arial Regular" w:hAnsi="Arial Regular" w:cs="Arial Regular"/>
                <w:sz w:val="20"/>
                <w:szCs w:val="20"/>
              </w:rPr>
              <w:t>0.99</w:t>
            </w:r>
          </w:p>
        </w:tc>
        <w:tc>
          <w:tcPr>
            <w:tcW w:w="0" w:type="auto"/>
            <w:shd w:val="clear" w:color="auto" w:fill="auto"/>
            <w:vAlign w:val="center"/>
          </w:tcPr>
          <w:p w14:paraId="13869F45">
            <w:pPr>
              <w:pStyle w:val="42"/>
              <w:jc w:val="center"/>
              <w:rPr>
                <w:rFonts w:hint="default" w:ascii="Arial Regular" w:hAnsi="Arial Regular" w:cs="Arial Regular"/>
                <w:sz w:val="20"/>
                <w:szCs w:val="20"/>
              </w:rPr>
            </w:pPr>
            <w:r>
              <w:rPr>
                <w:rFonts w:hint="default" w:ascii="Arial Regular" w:hAnsi="Arial Regular" w:cs="Arial Regular"/>
                <w:sz w:val="20"/>
                <w:szCs w:val="20"/>
              </w:rPr>
              <w:t>0.342±0.03</w:t>
            </w:r>
            <w:r>
              <w:rPr>
                <w:rFonts w:hint="default" w:ascii="Arial Regular" w:hAnsi="Arial Regular" w:cs="Arial Regular"/>
                <w:sz w:val="20"/>
                <w:szCs w:val="20"/>
                <w:vertAlign w:val="superscript"/>
              </w:rPr>
              <w:t>a</w:t>
            </w:r>
          </w:p>
        </w:tc>
        <w:tc>
          <w:tcPr>
            <w:tcW w:w="0" w:type="auto"/>
            <w:shd w:val="clear" w:color="auto" w:fill="auto"/>
            <w:vAlign w:val="center"/>
          </w:tcPr>
          <w:p w14:paraId="0BDD24FF">
            <w:pPr>
              <w:pStyle w:val="42"/>
              <w:jc w:val="center"/>
              <w:rPr>
                <w:rFonts w:hint="default" w:ascii="Arial Regular" w:hAnsi="Arial Regular" w:cs="Arial Regular"/>
                <w:sz w:val="20"/>
                <w:szCs w:val="20"/>
              </w:rPr>
            </w:pPr>
            <w:r>
              <w:rPr>
                <w:rFonts w:hint="default" w:ascii="Arial Regular" w:hAnsi="Arial Regular" w:cs="Arial Regular"/>
                <w:sz w:val="20"/>
                <w:szCs w:val="20"/>
              </w:rPr>
              <w:t>2.97±0.08</w:t>
            </w:r>
            <w:r>
              <w:rPr>
                <w:rFonts w:hint="default" w:ascii="Arial Regular" w:hAnsi="Arial Regular" w:cs="Arial Regular"/>
                <w:sz w:val="20"/>
                <w:szCs w:val="20"/>
                <w:vertAlign w:val="superscript"/>
              </w:rPr>
              <w:t>b</w:t>
            </w:r>
          </w:p>
        </w:tc>
        <w:tc>
          <w:tcPr>
            <w:tcW w:w="0" w:type="auto"/>
            <w:shd w:val="clear" w:color="auto" w:fill="auto"/>
            <w:vAlign w:val="center"/>
          </w:tcPr>
          <w:p w14:paraId="13B7B562">
            <w:pPr>
              <w:pStyle w:val="42"/>
              <w:jc w:val="center"/>
              <w:rPr>
                <w:rFonts w:hint="default" w:ascii="Arial Regular" w:hAnsi="Arial Regular" w:eastAsia="宋体" w:cs="Arial Regular"/>
                <w:sz w:val="20"/>
                <w:szCs w:val="20"/>
              </w:rPr>
            </w:pPr>
            <w:r>
              <w:rPr>
                <w:rFonts w:hint="default" w:ascii="Arial Regular" w:hAnsi="Arial Regular" w:cs="Arial Regular"/>
                <w:sz w:val="20"/>
                <w:szCs w:val="20"/>
              </w:rPr>
              <w:t>0.98</w:t>
            </w:r>
          </w:p>
        </w:tc>
      </w:tr>
      <w:tr w14:paraId="35820FE7">
        <w:trPr>
          <w:jc w:val="center"/>
        </w:trPr>
        <w:tc>
          <w:tcPr>
            <w:tcW w:w="0" w:type="auto"/>
            <w:shd w:val="clear" w:color="auto" w:fill="auto"/>
            <w:vAlign w:val="center"/>
          </w:tcPr>
          <w:p w14:paraId="3E905497">
            <w:pPr>
              <w:pStyle w:val="42"/>
              <w:jc w:val="center"/>
              <w:rPr>
                <w:rFonts w:hint="default" w:ascii="Arial Regular" w:hAnsi="Arial Regular" w:cs="Arial Regular"/>
                <w:sz w:val="20"/>
                <w:szCs w:val="20"/>
              </w:rPr>
            </w:pPr>
            <w:r>
              <w:rPr>
                <w:rFonts w:hint="default" w:ascii="Arial Regular" w:hAnsi="Arial Regular" w:cs="Arial Regular"/>
                <w:sz w:val="20"/>
                <w:szCs w:val="20"/>
              </w:rPr>
              <w:t>Co(II)</w:t>
            </w:r>
          </w:p>
        </w:tc>
        <w:tc>
          <w:tcPr>
            <w:tcW w:w="0" w:type="auto"/>
            <w:shd w:val="clear" w:color="auto" w:fill="auto"/>
            <w:vAlign w:val="center"/>
          </w:tcPr>
          <w:p w14:paraId="3981D43C">
            <w:pPr>
              <w:pStyle w:val="42"/>
              <w:jc w:val="center"/>
              <w:rPr>
                <w:rFonts w:hint="default" w:ascii="Arial Regular" w:hAnsi="Arial Regular" w:eastAsia="宋体" w:cs="Arial Regular"/>
                <w:sz w:val="20"/>
                <w:szCs w:val="20"/>
              </w:rPr>
            </w:pPr>
            <w:r>
              <w:rPr>
                <w:rFonts w:hint="default" w:ascii="Arial Regular" w:hAnsi="Arial Regular" w:cs="Arial Regular"/>
                <w:sz w:val="20"/>
                <w:szCs w:val="20"/>
              </w:rPr>
              <w:t>0.949±0.06</w:t>
            </w:r>
            <w:r>
              <w:rPr>
                <w:rFonts w:hint="default" w:ascii="Arial Regular" w:hAnsi="Arial Regular" w:cs="Arial Regular"/>
                <w:sz w:val="20"/>
                <w:szCs w:val="20"/>
                <w:vertAlign w:val="superscript"/>
              </w:rPr>
              <w:t>a</w:t>
            </w:r>
          </w:p>
        </w:tc>
        <w:tc>
          <w:tcPr>
            <w:tcW w:w="0" w:type="auto"/>
            <w:shd w:val="clear" w:color="auto" w:fill="auto"/>
            <w:vAlign w:val="center"/>
          </w:tcPr>
          <w:p w14:paraId="2D0613A5">
            <w:pPr>
              <w:pStyle w:val="42"/>
              <w:jc w:val="center"/>
              <w:rPr>
                <w:rFonts w:hint="default" w:ascii="Arial Regular" w:hAnsi="Arial Regular" w:eastAsia="宋体" w:cs="Arial Regular"/>
                <w:sz w:val="20"/>
                <w:szCs w:val="20"/>
              </w:rPr>
            </w:pPr>
            <w:r>
              <w:rPr>
                <w:rFonts w:hint="default" w:ascii="Arial Regular" w:hAnsi="Arial Regular" w:cs="Arial Regular"/>
                <w:sz w:val="20"/>
                <w:szCs w:val="20"/>
              </w:rPr>
              <w:t>3.24±0.51</w:t>
            </w:r>
            <w:r>
              <w:rPr>
                <w:rFonts w:hint="default" w:ascii="Arial Regular" w:hAnsi="Arial Regular" w:cs="Arial Regular"/>
                <w:sz w:val="20"/>
                <w:szCs w:val="20"/>
                <w:vertAlign w:val="superscript"/>
              </w:rPr>
              <w:t>a</w:t>
            </w:r>
          </w:p>
        </w:tc>
        <w:tc>
          <w:tcPr>
            <w:tcW w:w="0" w:type="auto"/>
            <w:shd w:val="clear" w:color="auto" w:fill="auto"/>
            <w:vAlign w:val="center"/>
          </w:tcPr>
          <w:p w14:paraId="6FF1758C">
            <w:pPr>
              <w:pStyle w:val="42"/>
              <w:jc w:val="center"/>
              <w:rPr>
                <w:rFonts w:hint="default" w:ascii="Arial Regular" w:hAnsi="Arial Regular" w:eastAsia="宋体" w:cs="Arial Regular"/>
                <w:sz w:val="20"/>
                <w:szCs w:val="20"/>
              </w:rPr>
            </w:pPr>
            <w:r>
              <w:rPr>
                <w:rFonts w:hint="default" w:ascii="Arial Regular" w:hAnsi="Arial Regular" w:cs="Arial Regular"/>
                <w:sz w:val="20"/>
                <w:szCs w:val="20"/>
              </w:rPr>
              <w:t>0.99</w:t>
            </w:r>
          </w:p>
        </w:tc>
        <w:tc>
          <w:tcPr>
            <w:tcW w:w="0" w:type="auto"/>
            <w:shd w:val="clear" w:color="auto" w:fill="auto"/>
            <w:vAlign w:val="center"/>
          </w:tcPr>
          <w:p w14:paraId="64D372FC">
            <w:pPr>
              <w:pStyle w:val="42"/>
              <w:jc w:val="center"/>
              <w:rPr>
                <w:rFonts w:hint="default" w:ascii="Arial Regular" w:hAnsi="Arial Regular" w:cs="Arial Regular"/>
                <w:sz w:val="20"/>
                <w:szCs w:val="20"/>
              </w:rPr>
            </w:pPr>
            <w:r>
              <w:rPr>
                <w:rFonts w:hint="default" w:ascii="Arial Regular" w:hAnsi="Arial Regular" w:cs="Arial Regular"/>
                <w:sz w:val="20"/>
                <w:szCs w:val="20"/>
              </w:rPr>
              <w:t>0.354±0.04</w:t>
            </w:r>
            <w:r>
              <w:rPr>
                <w:rFonts w:hint="default" w:ascii="Arial Regular" w:hAnsi="Arial Regular" w:cs="Arial Regular"/>
                <w:sz w:val="20"/>
                <w:szCs w:val="20"/>
                <w:vertAlign w:val="superscript"/>
              </w:rPr>
              <w:t>a</w:t>
            </w:r>
          </w:p>
        </w:tc>
        <w:tc>
          <w:tcPr>
            <w:tcW w:w="0" w:type="auto"/>
            <w:shd w:val="clear" w:color="auto" w:fill="auto"/>
            <w:vAlign w:val="center"/>
          </w:tcPr>
          <w:p w14:paraId="199EC0B3">
            <w:pPr>
              <w:pStyle w:val="42"/>
              <w:jc w:val="center"/>
              <w:rPr>
                <w:rFonts w:hint="default" w:ascii="Arial Regular" w:hAnsi="Arial Regular" w:cs="Arial Regular"/>
                <w:sz w:val="20"/>
                <w:szCs w:val="20"/>
              </w:rPr>
            </w:pPr>
            <w:r>
              <w:rPr>
                <w:rFonts w:hint="default" w:ascii="Arial Regular" w:hAnsi="Arial Regular" w:cs="Arial Regular"/>
                <w:sz w:val="20"/>
                <w:szCs w:val="20"/>
              </w:rPr>
              <w:t>2.81±0.19</w:t>
            </w:r>
            <w:r>
              <w:rPr>
                <w:rFonts w:hint="default" w:ascii="Arial Regular" w:hAnsi="Arial Regular" w:cs="Arial Regular"/>
                <w:sz w:val="20"/>
                <w:szCs w:val="20"/>
                <w:vertAlign w:val="superscript"/>
              </w:rPr>
              <w:t>b</w:t>
            </w:r>
          </w:p>
        </w:tc>
        <w:tc>
          <w:tcPr>
            <w:tcW w:w="0" w:type="auto"/>
            <w:shd w:val="clear" w:color="auto" w:fill="auto"/>
            <w:vAlign w:val="center"/>
          </w:tcPr>
          <w:p w14:paraId="258E3E83">
            <w:pPr>
              <w:pStyle w:val="42"/>
              <w:jc w:val="center"/>
              <w:rPr>
                <w:rFonts w:hint="default" w:ascii="Arial Regular" w:hAnsi="Arial Regular" w:eastAsia="宋体" w:cs="Arial Regular"/>
                <w:sz w:val="20"/>
                <w:szCs w:val="20"/>
              </w:rPr>
            </w:pPr>
            <w:r>
              <w:rPr>
                <w:rFonts w:hint="default" w:ascii="Arial Regular" w:hAnsi="Arial Regular" w:cs="Arial Regular"/>
                <w:sz w:val="20"/>
                <w:szCs w:val="20"/>
              </w:rPr>
              <w:t>0.98</w:t>
            </w:r>
          </w:p>
        </w:tc>
      </w:tr>
      <w:tr w14:paraId="44EB2752">
        <w:trPr>
          <w:jc w:val="center"/>
        </w:trPr>
        <w:tc>
          <w:tcPr>
            <w:tcW w:w="0" w:type="auto"/>
            <w:shd w:val="clear" w:color="auto" w:fill="auto"/>
            <w:vAlign w:val="center"/>
          </w:tcPr>
          <w:p w14:paraId="2A5EFBF5">
            <w:pPr>
              <w:pStyle w:val="42"/>
              <w:jc w:val="center"/>
              <w:rPr>
                <w:rFonts w:hint="default" w:ascii="Arial Regular" w:hAnsi="Arial Regular" w:cs="Arial Regular"/>
                <w:sz w:val="20"/>
                <w:szCs w:val="20"/>
              </w:rPr>
            </w:pPr>
            <w:r>
              <w:rPr>
                <w:rFonts w:hint="default" w:ascii="Arial Regular" w:hAnsi="Arial Regular" w:cs="Arial Regular"/>
                <w:sz w:val="20"/>
                <w:szCs w:val="20"/>
              </w:rPr>
              <w:t>Cu(II)</w:t>
            </w:r>
          </w:p>
        </w:tc>
        <w:tc>
          <w:tcPr>
            <w:tcW w:w="0" w:type="auto"/>
            <w:shd w:val="clear" w:color="auto" w:fill="auto"/>
            <w:vAlign w:val="center"/>
          </w:tcPr>
          <w:p w14:paraId="361A4EB4">
            <w:pPr>
              <w:pStyle w:val="42"/>
              <w:jc w:val="center"/>
              <w:rPr>
                <w:rFonts w:hint="default" w:ascii="Arial Regular" w:hAnsi="Arial Regular" w:cs="Arial Regular"/>
                <w:sz w:val="20"/>
                <w:szCs w:val="20"/>
              </w:rPr>
            </w:pPr>
            <w:r>
              <w:rPr>
                <w:rFonts w:hint="default" w:ascii="Arial Regular" w:hAnsi="Arial Regular" w:cs="Arial Regular"/>
                <w:sz w:val="20"/>
                <w:szCs w:val="20"/>
              </w:rPr>
              <w:t>0.881±0.06</w:t>
            </w:r>
            <w:r>
              <w:rPr>
                <w:rFonts w:hint="default" w:ascii="Arial Regular" w:hAnsi="Arial Regular" w:cs="Arial Regular"/>
                <w:sz w:val="20"/>
                <w:szCs w:val="20"/>
                <w:vertAlign w:val="superscript"/>
              </w:rPr>
              <w:t>a</w:t>
            </w:r>
          </w:p>
        </w:tc>
        <w:tc>
          <w:tcPr>
            <w:tcW w:w="0" w:type="auto"/>
            <w:shd w:val="clear" w:color="auto" w:fill="auto"/>
            <w:vAlign w:val="center"/>
          </w:tcPr>
          <w:p w14:paraId="4264F360">
            <w:pPr>
              <w:pStyle w:val="42"/>
              <w:jc w:val="center"/>
              <w:rPr>
                <w:rFonts w:hint="default" w:ascii="Arial Regular" w:hAnsi="Arial Regular" w:eastAsia="宋体" w:cs="Arial Regular"/>
                <w:sz w:val="20"/>
                <w:szCs w:val="20"/>
              </w:rPr>
            </w:pPr>
            <w:r>
              <w:rPr>
                <w:rFonts w:hint="default" w:ascii="Arial Regular" w:hAnsi="Arial Regular" w:cs="Arial Regular"/>
                <w:sz w:val="20"/>
                <w:szCs w:val="20"/>
              </w:rPr>
              <w:t>3.06±0.65</w:t>
            </w:r>
            <w:r>
              <w:rPr>
                <w:rFonts w:hint="default" w:ascii="Arial Regular" w:hAnsi="Arial Regular" w:cs="Arial Regular"/>
                <w:sz w:val="20"/>
                <w:szCs w:val="20"/>
                <w:vertAlign w:val="superscript"/>
              </w:rPr>
              <w:t>a</w:t>
            </w:r>
          </w:p>
        </w:tc>
        <w:tc>
          <w:tcPr>
            <w:tcW w:w="0" w:type="auto"/>
            <w:shd w:val="clear" w:color="auto" w:fill="auto"/>
            <w:vAlign w:val="center"/>
          </w:tcPr>
          <w:p w14:paraId="135548FC">
            <w:pPr>
              <w:pStyle w:val="42"/>
              <w:jc w:val="center"/>
              <w:rPr>
                <w:rFonts w:hint="default" w:ascii="Arial Regular" w:hAnsi="Arial Regular" w:eastAsia="宋体" w:cs="Arial Regular"/>
                <w:sz w:val="20"/>
                <w:szCs w:val="20"/>
              </w:rPr>
            </w:pPr>
            <w:r>
              <w:rPr>
                <w:rFonts w:hint="default" w:ascii="Arial Regular" w:hAnsi="Arial Regular" w:cs="Arial Regular"/>
                <w:sz w:val="20"/>
                <w:szCs w:val="20"/>
              </w:rPr>
              <w:t>0.99</w:t>
            </w:r>
          </w:p>
        </w:tc>
        <w:tc>
          <w:tcPr>
            <w:tcW w:w="0" w:type="auto"/>
            <w:shd w:val="clear" w:color="auto" w:fill="auto"/>
            <w:vAlign w:val="center"/>
          </w:tcPr>
          <w:p w14:paraId="0DF7367F">
            <w:pPr>
              <w:pStyle w:val="42"/>
              <w:jc w:val="center"/>
              <w:rPr>
                <w:rFonts w:hint="default" w:ascii="Arial Regular" w:hAnsi="Arial Regular" w:cs="Arial Regular"/>
                <w:sz w:val="20"/>
                <w:szCs w:val="20"/>
              </w:rPr>
            </w:pPr>
            <w:r>
              <w:rPr>
                <w:rFonts w:hint="default" w:ascii="Arial Regular" w:hAnsi="Arial Regular" w:cs="Arial Regular"/>
                <w:sz w:val="20"/>
                <w:szCs w:val="20"/>
              </w:rPr>
              <w:t>0.347±0.05</w:t>
            </w:r>
            <w:r>
              <w:rPr>
                <w:rFonts w:hint="default" w:ascii="Arial Regular" w:hAnsi="Arial Regular" w:cs="Arial Regular"/>
                <w:sz w:val="20"/>
                <w:szCs w:val="20"/>
                <w:vertAlign w:val="superscript"/>
              </w:rPr>
              <w:t>a</w:t>
            </w:r>
          </w:p>
        </w:tc>
        <w:tc>
          <w:tcPr>
            <w:tcW w:w="0" w:type="auto"/>
            <w:shd w:val="clear" w:color="auto" w:fill="auto"/>
            <w:vAlign w:val="center"/>
          </w:tcPr>
          <w:p w14:paraId="73FC7F2D">
            <w:pPr>
              <w:pStyle w:val="42"/>
              <w:jc w:val="center"/>
              <w:rPr>
                <w:rFonts w:hint="default" w:ascii="Arial Regular" w:hAnsi="Arial Regular" w:cs="Arial Regular"/>
                <w:sz w:val="20"/>
                <w:szCs w:val="20"/>
              </w:rPr>
            </w:pPr>
            <w:r>
              <w:rPr>
                <w:rFonts w:hint="default" w:ascii="Arial Regular" w:hAnsi="Arial Regular" w:cs="Arial Regular"/>
                <w:sz w:val="20"/>
                <w:szCs w:val="20"/>
              </w:rPr>
              <w:t>3.90±0.68</w:t>
            </w:r>
            <w:r>
              <w:rPr>
                <w:rFonts w:hint="default" w:ascii="Arial Regular" w:hAnsi="Arial Regular" w:cs="Arial Regular"/>
                <w:sz w:val="20"/>
                <w:szCs w:val="20"/>
                <w:vertAlign w:val="superscript"/>
              </w:rPr>
              <w:t>b</w:t>
            </w:r>
          </w:p>
        </w:tc>
        <w:tc>
          <w:tcPr>
            <w:tcW w:w="0" w:type="auto"/>
            <w:shd w:val="clear" w:color="auto" w:fill="auto"/>
            <w:vAlign w:val="center"/>
          </w:tcPr>
          <w:p w14:paraId="4D21C1CA">
            <w:pPr>
              <w:pStyle w:val="42"/>
              <w:jc w:val="center"/>
              <w:rPr>
                <w:rFonts w:hint="default" w:ascii="Arial Regular" w:hAnsi="Arial Regular" w:eastAsia="宋体" w:cs="Arial Regular"/>
                <w:sz w:val="20"/>
                <w:szCs w:val="20"/>
              </w:rPr>
            </w:pPr>
            <w:r>
              <w:rPr>
                <w:rFonts w:hint="default" w:ascii="Arial Regular" w:hAnsi="Arial Regular" w:cs="Arial Regular"/>
                <w:sz w:val="20"/>
                <w:szCs w:val="20"/>
              </w:rPr>
              <w:t>0.97</w:t>
            </w:r>
          </w:p>
        </w:tc>
      </w:tr>
      <w:tr w14:paraId="365126C1">
        <w:trPr>
          <w:jc w:val="center"/>
        </w:trPr>
        <w:tc>
          <w:tcPr>
            <w:tcW w:w="0" w:type="auto"/>
            <w:shd w:val="clear" w:color="auto" w:fill="auto"/>
            <w:vAlign w:val="center"/>
          </w:tcPr>
          <w:p w14:paraId="41D2C281">
            <w:pPr>
              <w:pStyle w:val="42"/>
              <w:jc w:val="center"/>
              <w:rPr>
                <w:rFonts w:hint="default" w:ascii="Arial Regular" w:hAnsi="Arial Regular" w:cs="Arial Regular"/>
                <w:sz w:val="20"/>
                <w:szCs w:val="20"/>
              </w:rPr>
            </w:pPr>
            <w:r>
              <w:rPr>
                <w:rFonts w:hint="default" w:ascii="Arial Regular" w:hAnsi="Arial Regular" w:cs="Arial Regular"/>
                <w:sz w:val="20"/>
                <w:szCs w:val="20"/>
              </w:rPr>
              <w:t>Fe(II)</w:t>
            </w:r>
          </w:p>
        </w:tc>
        <w:tc>
          <w:tcPr>
            <w:tcW w:w="0" w:type="auto"/>
            <w:shd w:val="clear" w:color="auto" w:fill="auto"/>
            <w:vAlign w:val="center"/>
          </w:tcPr>
          <w:p w14:paraId="64EFC70D">
            <w:pPr>
              <w:pStyle w:val="42"/>
              <w:jc w:val="center"/>
              <w:rPr>
                <w:rFonts w:hint="default" w:ascii="Arial Regular" w:hAnsi="Arial Regular" w:cs="Arial Regular"/>
                <w:sz w:val="20"/>
                <w:szCs w:val="20"/>
              </w:rPr>
            </w:pPr>
            <w:r>
              <w:rPr>
                <w:rFonts w:hint="default" w:ascii="Arial Regular" w:hAnsi="Arial Regular" w:cs="Arial Regular"/>
                <w:sz w:val="20"/>
                <w:szCs w:val="20"/>
              </w:rPr>
              <w:t>0.8928±0.02</w:t>
            </w:r>
            <w:r>
              <w:rPr>
                <w:rFonts w:hint="default" w:ascii="Arial Regular" w:hAnsi="Arial Regular" w:cs="Arial Regular"/>
                <w:sz w:val="20"/>
                <w:szCs w:val="20"/>
                <w:vertAlign w:val="superscript"/>
              </w:rPr>
              <w:t>a</w:t>
            </w:r>
          </w:p>
        </w:tc>
        <w:tc>
          <w:tcPr>
            <w:tcW w:w="0" w:type="auto"/>
            <w:shd w:val="clear" w:color="auto" w:fill="auto"/>
            <w:vAlign w:val="center"/>
          </w:tcPr>
          <w:p w14:paraId="7864EC4D">
            <w:pPr>
              <w:pStyle w:val="42"/>
              <w:jc w:val="center"/>
              <w:rPr>
                <w:rFonts w:hint="default" w:ascii="Arial Regular" w:hAnsi="Arial Regular" w:eastAsia="宋体" w:cs="Arial Regular"/>
                <w:sz w:val="20"/>
                <w:szCs w:val="20"/>
              </w:rPr>
            </w:pPr>
            <w:r>
              <w:rPr>
                <w:rFonts w:hint="default" w:ascii="Arial Regular" w:hAnsi="Arial Regular" w:cs="Arial Regular"/>
                <w:sz w:val="20"/>
                <w:szCs w:val="20"/>
              </w:rPr>
              <w:t>2.94±0.24</w:t>
            </w:r>
            <w:r>
              <w:rPr>
                <w:rFonts w:hint="default" w:ascii="Arial Regular" w:hAnsi="Arial Regular" w:cs="Arial Regular"/>
                <w:sz w:val="20"/>
                <w:szCs w:val="20"/>
                <w:vertAlign w:val="superscript"/>
              </w:rPr>
              <w:t>a</w:t>
            </w:r>
          </w:p>
        </w:tc>
        <w:tc>
          <w:tcPr>
            <w:tcW w:w="0" w:type="auto"/>
            <w:shd w:val="clear" w:color="auto" w:fill="auto"/>
            <w:vAlign w:val="center"/>
          </w:tcPr>
          <w:p w14:paraId="60C75503">
            <w:pPr>
              <w:pStyle w:val="42"/>
              <w:jc w:val="center"/>
              <w:rPr>
                <w:rFonts w:hint="default" w:ascii="Arial Regular" w:hAnsi="Arial Regular" w:eastAsia="宋体" w:cs="Arial Regular"/>
                <w:sz w:val="20"/>
                <w:szCs w:val="20"/>
              </w:rPr>
            </w:pPr>
            <w:r>
              <w:rPr>
                <w:rFonts w:hint="default" w:ascii="Arial Regular" w:hAnsi="Arial Regular" w:cs="Arial Regular"/>
                <w:sz w:val="20"/>
                <w:szCs w:val="20"/>
              </w:rPr>
              <w:t>0.99</w:t>
            </w:r>
          </w:p>
        </w:tc>
        <w:tc>
          <w:tcPr>
            <w:tcW w:w="0" w:type="auto"/>
            <w:shd w:val="clear" w:color="auto" w:fill="auto"/>
            <w:vAlign w:val="center"/>
          </w:tcPr>
          <w:p w14:paraId="4C1CE13E">
            <w:pPr>
              <w:pStyle w:val="42"/>
              <w:jc w:val="center"/>
              <w:rPr>
                <w:rFonts w:hint="default" w:ascii="Arial Regular" w:hAnsi="Arial Regular" w:cs="Arial Regular"/>
                <w:sz w:val="20"/>
                <w:szCs w:val="20"/>
              </w:rPr>
            </w:pPr>
            <w:r>
              <w:rPr>
                <w:rFonts w:hint="default" w:ascii="Arial Regular" w:hAnsi="Arial Regular" w:cs="Arial Regular"/>
                <w:sz w:val="20"/>
                <w:szCs w:val="20"/>
              </w:rPr>
              <w:t>0.315±0.02</w:t>
            </w:r>
            <w:r>
              <w:rPr>
                <w:rFonts w:hint="default" w:ascii="Arial Regular" w:hAnsi="Arial Regular" w:cs="Arial Regular"/>
                <w:sz w:val="20"/>
                <w:szCs w:val="20"/>
                <w:vertAlign w:val="superscript"/>
              </w:rPr>
              <w:t>a</w:t>
            </w:r>
          </w:p>
        </w:tc>
        <w:tc>
          <w:tcPr>
            <w:tcW w:w="0" w:type="auto"/>
            <w:shd w:val="clear" w:color="auto" w:fill="auto"/>
            <w:vAlign w:val="center"/>
          </w:tcPr>
          <w:p w14:paraId="1FF8FCDF">
            <w:pPr>
              <w:pStyle w:val="42"/>
              <w:jc w:val="center"/>
              <w:rPr>
                <w:rFonts w:hint="default" w:ascii="Arial Regular" w:hAnsi="Arial Regular" w:cs="Arial Regular"/>
                <w:sz w:val="20"/>
                <w:szCs w:val="20"/>
              </w:rPr>
            </w:pPr>
            <w:r>
              <w:rPr>
                <w:rFonts w:hint="default" w:ascii="Arial Regular" w:hAnsi="Arial Regular" w:cs="Arial Regular"/>
                <w:sz w:val="20"/>
                <w:szCs w:val="20"/>
              </w:rPr>
              <w:t>2.45±0.27</w:t>
            </w:r>
            <w:r>
              <w:rPr>
                <w:rFonts w:hint="default" w:ascii="Arial Regular" w:hAnsi="Arial Regular" w:cs="Arial Regular"/>
                <w:sz w:val="20"/>
                <w:szCs w:val="20"/>
                <w:vertAlign w:val="superscript"/>
              </w:rPr>
              <w:t>a</w:t>
            </w:r>
          </w:p>
        </w:tc>
        <w:tc>
          <w:tcPr>
            <w:tcW w:w="0" w:type="auto"/>
            <w:shd w:val="clear" w:color="auto" w:fill="auto"/>
            <w:vAlign w:val="center"/>
          </w:tcPr>
          <w:p w14:paraId="0057BACB">
            <w:pPr>
              <w:pStyle w:val="42"/>
              <w:jc w:val="center"/>
              <w:rPr>
                <w:rFonts w:hint="default" w:ascii="Arial Regular" w:hAnsi="Arial Regular" w:eastAsia="宋体" w:cs="Arial Regular"/>
                <w:sz w:val="20"/>
                <w:szCs w:val="20"/>
              </w:rPr>
            </w:pPr>
            <w:r>
              <w:rPr>
                <w:rFonts w:hint="default" w:ascii="Arial Regular" w:hAnsi="Arial Regular" w:cs="Arial Regular"/>
                <w:sz w:val="20"/>
                <w:szCs w:val="20"/>
              </w:rPr>
              <w:t>0.99</w:t>
            </w:r>
          </w:p>
        </w:tc>
      </w:tr>
      <w:tr w14:paraId="58F4C810">
        <w:trPr>
          <w:jc w:val="center"/>
        </w:trPr>
        <w:tc>
          <w:tcPr>
            <w:tcW w:w="0" w:type="auto"/>
            <w:tcBorders>
              <w:bottom w:val="single" w:color="auto" w:sz="12" w:space="0"/>
            </w:tcBorders>
            <w:shd w:val="clear" w:color="auto" w:fill="auto"/>
            <w:vAlign w:val="center"/>
          </w:tcPr>
          <w:p w14:paraId="67406EE4">
            <w:pPr>
              <w:pStyle w:val="42"/>
              <w:jc w:val="center"/>
              <w:rPr>
                <w:rFonts w:hint="default" w:ascii="Arial Regular" w:hAnsi="Arial Regular" w:cs="Arial Regular"/>
                <w:sz w:val="20"/>
                <w:szCs w:val="20"/>
              </w:rPr>
            </w:pPr>
            <w:r>
              <w:rPr>
                <w:rFonts w:hint="default" w:ascii="Arial Regular" w:hAnsi="Arial Regular" w:cs="Arial Regular"/>
                <w:sz w:val="20"/>
                <w:szCs w:val="20"/>
              </w:rPr>
              <w:t>Mn(II)</w:t>
            </w:r>
          </w:p>
        </w:tc>
        <w:tc>
          <w:tcPr>
            <w:tcW w:w="0" w:type="auto"/>
            <w:tcBorders>
              <w:bottom w:val="single" w:color="auto" w:sz="12" w:space="0"/>
            </w:tcBorders>
            <w:shd w:val="clear" w:color="auto" w:fill="auto"/>
            <w:vAlign w:val="center"/>
          </w:tcPr>
          <w:p w14:paraId="21312338">
            <w:pPr>
              <w:pStyle w:val="42"/>
              <w:jc w:val="center"/>
              <w:rPr>
                <w:rFonts w:hint="default" w:ascii="Arial Regular" w:hAnsi="Arial Regular" w:cs="Arial Regular"/>
                <w:sz w:val="20"/>
                <w:szCs w:val="20"/>
              </w:rPr>
            </w:pPr>
            <w:r>
              <w:rPr>
                <w:rFonts w:hint="default" w:ascii="Arial Regular" w:hAnsi="Arial Regular" w:cs="Arial Regular"/>
                <w:sz w:val="20"/>
                <w:szCs w:val="20"/>
              </w:rPr>
              <w:t>0.901±0.05</w:t>
            </w:r>
            <w:r>
              <w:rPr>
                <w:rFonts w:hint="default" w:ascii="Arial Regular" w:hAnsi="Arial Regular" w:cs="Arial Regular"/>
                <w:sz w:val="20"/>
                <w:szCs w:val="20"/>
                <w:vertAlign w:val="superscript"/>
              </w:rPr>
              <w:t>a</w:t>
            </w:r>
          </w:p>
        </w:tc>
        <w:tc>
          <w:tcPr>
            <w:tcW w:w="0" w:type="auto"/>
            <w:tcBorders>
              <w:bottom w:val="single" w:color="auto" w:sz="12" w:space="0"/>
            </w:tcBorders>
            <w:shd w:val="clear" w:color="auto" w:fill="auto"/>
            <w:vAlign w:val="center"/>
          </w:tcPr>
          <w:p w14:paraId="07D11976">
            <w:pPr>
              <w:pStyle w:val="42"/>
              <w:jc w:val="center"/>
              <w:rPr>
                <w:rFonts w:hint="default" w:ascii="Arial Regular" w:hAnsi="Arial Regular" w:eastAsia="宋体" w:cs="Arial Regular"/>
                <w:sz w:val="20"/>
                <w:szCs w:val="20"/>
              </w:rPr>
            </w:pPr>
            <w:r>
              <w:rPr>
                <w:rFonts w:hint="default" w:ascii="Arial Regular" w:hAnsi="Arial Regular" w:cs="Arial Regular"/>
                <w:sz w:val="20"/>
                <w:szCs w:val="20"/>
              </w:rPr>
              <w:t>3.30±0.51</w:t>
            </w:r>
            <w:r>
              <w:rPr>
                <w:rFonts w:hint="default" w:ascii="Arial Regular" w:hAnsi="Arial Regular" w:cs="Arial Regular"/>
                <w:sz w:val="20"/>
                <w:szCs w:val="20"/>
                <w:vertAlign w:val="superscript"/>
              </w:rPr>
              <w:t>a</w:t>
            </w:r>
          </w:p>
        </w:tc>
        <w:tc>
          <w:tcPr>
            <w:tcW w:w="0" w:type="auto"/>
            <w:tcBorders>
              <w:bottom w:val="single" w:color="auto" w:sz="12" w:space="0"/>
            </w:tcBorders>
            <w:shd w:val="clear" w:color="auto" w:fill="auto"/>
            <w:vAlign w:val="center"/>
          </w:tcPr>
          <w:p w14:paraId="2DEB6ED7">
            <w:pPr>
              <w:pStyle w:val="42"/>
              <w:jc w:val="center"/>
              <w:rPr>
                <w:rFonts w:hint="default" w:ascii="Arial Regular" w:hAnsi="Arial Regular" w:eastAsia="宋体" w:cs="Arial Regular"/>
                <w:sz w:val="20"/>
                <w:szCs w:val="20"/>
              </w:rPr>
            </w:pPr>
            <w:r>
              <w:rPr>
                <w:rFonts w:hint="default" w:ascii="Arial Regular" w:hAnsi="Arial Regular" w:cs="Arial Regular"/>
                <w:sz w:val="20"/>
                <w:szCs w:val="20"/>
              </w:rPr>
              <w:t>0.99</w:t>
            </w:r>
          </w:p>
        </w:tc>
        <w:tc>
          <w:tcPr>
            <w:tcW w:w="0" w:type="auto"/>
            <w:tcBorders>
              <w:bottom w:val="single" w:color="auto" w:sz="12" w:space="0"/>
            </w:tcBorders>
            <w:shd w:val="clear" w:color="auto" w:fill="auto"/>
            <w:vAlign w:val="center"/>
          </w:tcPr>
          <w:p w14:paraId="5BCF5FEC">
            <w:pPr>
              <w:pStyle w:val="42"/>
              <w:jc w:val="center"/>
              <w:rPr>
                <w:rFonts w:hint="default" w:ascii="Arial Regular" w:hAnsi="Arial Regular" w:cs="Arial Regular"/>
                <w:sz w:val="20"/>
                <w:szCs w:val="20"/>
              </w:rPr>
            </w:pPr>
            <w:r>
              <w:rPr>
                <w:rFonts w:hint="default" w:ascii="Arial Regular" w:hAnsi="Arial Regular" w:cs="Arial Regular"/>
                <w:sz w:val="20"/>
                <w:szCs w:val="20"/>
              </w:rPr>
              <w:t>0.313±0.03</w:t>
            </w:r>
            <w:r>
              <w:rPr>
                <w:rFonts w:hint="default" w:ascii="Arial Regular" w:hAnsi="Arial Regular" w:cs="Arial Regular"/>
                <w:sz w:val="20"/>
                <w:szCs w:val="20"/>
                <w:vertAlign w:val="superscript"/>
              </w:rPr>
              <w:t>a</w:t>
            </w:r>
          </w:p>
        </w:tc>
        <w:tc>
          <w:tcPr>
            <w:tcW w:w="0" w:type="auto"/>
            <w:tcBorders>
              <w:bottom w:val="single" w:color="auto" w:sz="12" w:space="0"/>
            </w:tcBorders>
            <w:shd w:val="clear" w:color="auto" w:fill="auto"/>
            <w:vAlign w:val="center"/>
          </w:tcPr>
          <w:p w14:paraId="01F32074">
            <w:pPr>
              <w:pStyle w:val="42"/>
              <w:jc w:val="center"/>
              <w:rPr>
                <w:rFonts w:hint="default" w:ascii="Arial Regular" w:hAnsi="Arial Regular" w:cs="Arial Regular"/>
                <w:sz w:val="20"/>
                <w:szCs w:val="20"/>
              </w:rPr>
            </w:pPr>
            <w:r>
              <w:rPr>
                <w:rFonts w:hint="default" w:ascii="Arial Regular" w:hAnsi="Arial Regular" w:cs="Arial Regular"/>
                <w:sz w:val="20"/>
                <w:szCs w:val="20"/>
              </w:rPr>
              <w:t>2.57±0.67</w:t>
            </w:r>
            <w:r>
              <w:rPr>
                <w:rFonts w:hint="default" w:ascii="Arial Regular" w:hAnsi="Arial Regular" w:cs="Arial Regular"/>
                <w:sz w:val="20"/>
                <w:szCs w:val="20"/>
                <w:vertAlign w:val="superscript"/>
              </w:rPr>
              <w:t>b</w:t>
            </w:r>
          </w:p>
        </w:tc>
        <w:tc>
          <w:tcPr>
            <w:tcW w:w="0" w:type="auto"/>
            <w:tcBorders>
              <w:bottom w:val="single" w:color="auto" w:sz="12" w:space="0"/>
            </w:tcBorders>
            <w:shd w:val="clear" w:color="auto" w:fill="auto"/>
            <w:vAlign w:val="center"/>
          </w:tcPr>
          <w:p w14:paraId="27131635">
            <w:pPr>
              <w:pStyle w:val="42"/>
              <w:jc w:val="center"/>
              <w:rPr>
                <w:rFonts w:hint="default" w:ascii="Arial Regular" w:hAnsi="Arial Regular" w:eastAsia="宋体" w:cs="Arial Regular"/>
                <w:sz w:val="20"/>
                <w:szCs w:val="20"/>
              </w:rPr>
            </w:pPr>
            <w:r>
              <w:rPr>
                <w:rFonts w:hint="default" w:ascii="Arial Regular" w:hAnsi="Arial Regular" w:cs="Arial Regular"/>
                <w:sz w:val="20"/>
                <w:szCs w:val="20"/>
              </w:rPr>
              <w:t>0.99</w:t>
            </w:r>
          </w:p>
        </w:tc>
      </w:tr>
    </w:tbl>
    <w:p w14:paraId="1E6BF131">
      <w:pPr>
        <w:rPr>
          <w:rFonts w:hint="default" w:ascii="Arial Regular" w:hAnsi="Arial Regular" w:cs="Arial Regular"/>
          <w:b/>
          <w:bCs/>
          <w:sz w:val="20"/>
          <w:szCs w:val="20"/>
        </w:rPr>
      </w:pPr>
      <w:r>
        <w:rPr>
          <w:rFonts w:hint="default" w:ascii="Arial Regular" w:hAnsi="Arial Regular" w:cs="Arial Regular"/>
          <w:b/>
          <w:bCs/>
          <w:sz w:val="20"/>
          <w:szCs w:val="20"/>
        </w:rPr>
        <w:br w:type="page"/>
      </w:r>
    </w:p>
    <w:p w14:paraId="56A29DB7">
      <w:pPr>
        <w:pStyle w:val="3"/>
        <w:keepNext/>
        <w:keepLines/>
        <w:pageBreakBefore w:val="0"/>
        <w:widowControl w:val="0"/>
        <w:kinsoku/>
        <w:wordWrap/>
        <w:overflowPunct/>
        <w:topLinePunct w:val="0"/>
        <w:autoSpaceDE/>
        <w:autoSpaceDN/>
        <w:bidi w:val="0"/>
        <w:adjustRightInd/>
        <w:snapToGrid/>
        <w:spacing w:before="0" w:beforeLines="0" w:after="157" w:afterLines="50" w:line="240" w:lineRule="auto"/>
        <w:textAlignment w:val="auto"/>
        <w:rPr>
          <w:rFonts w:hint="default" w:ascii="Arial Regular" w:hAnsi="Arial Regular" w:cs="Arial Regular"/>
          <w:b/>
          <w:bCs/>
          <w:sz w:val="20"/>
          <w:szCs w:val="20"/>
        </w:rPr>
      </w:pPr>
      <w:r>
        <w:rPr>
          <w:rFonts w:hint="default" w:ascii="Arial Regular" w:hAnsi="Arial Regular" w:cs="Arial Regular"/>
          <w:b/>
          <w:bCs w:val="0"/>
          <w:sz w:val="20"/>
          <w:szCs w:val="20"/>
        </w:rPr>
        <w:t xml:space="preserve">Supplementary </w:t>
      </w:r>
      <w:r>
        <w:rPr>
          <w:rFonts w:hint="default" w:ascii="Arial Regular" w:hAnsi="Arial Regular" w:cs="Arial Regular"/>
          <w:b/>
          <w:bCs/>
          <w:sz w:val="20"/>
          <w:szCs w:val="20"/>
        </w:rPr>
        <w:t xml:space="preserve">Table </w:t>
      </w:r>
      <w:r>
        <w:rPr>
          <w:rFonts w:hint="default" w:ascii="Arial Regular" w:hAnsi="Arial Regular" w:cs="Arial Regular"/>
          <w:b/>
          <w:bCs/>
          <w:sz w:val="20"/>
          <w:szCs w:val="20"/>
          <w:lang w:val="en-US" w:eastAsia="zh-CN"/>
        </w:rPr>
        <w:t>3</w:t>
      </w:r>
      <w:r>
        <w:rPr>
          <w:rFonts w:hint="default" w:ascii="Arial Regular" w:hAnsi="Arial Regular" w:cs="Arial Regular"/>
          <w:b/>
          <w:bCs/>
          <w:sz w:val="20"/>
          <w:szCs w:val="20"/>
        </w:rPr>
        <w:t>. Water quality parameters of surface water and groundwater.</w:t>
      </w:r>
    </w:p>
    <w:tbl>
      <w:tblPr>
        <w:tblStyle w:val="10"/>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926"/>
        <w:gridCol w:w="2926"/>
        <w:gridCol w:w="2927"/>
      </w:tblGrid>
      <w:tr w14:paraId="02FDFB5A">
        <w:trPr>
          <w:trHeight w:val="113" w:hRule="atLeast"/>
          <w:jc w:val="center"/>
        </w:trPr>
        <w:tc>
          <w:tcPr>
            <w:tcW w:w="2926" w:type="dxa"/>
            <w:tcBorders>
              <w:bottom w:val="single" w:color="auto" w:sz="4" w:space="0"/>
            </w:tcBorders>
            <w:shd w:val="clear" w:color="auto" w:fill="E7E6E6" w:themeFill="background2"/>
            <w:vAlign w:val="center"/>
          </w:tcPr>
          <w:p w14:paraId="7934AD53">
            <w:pPr>
              <w:widowControl/>
              <w:jc w:val="center"/>
              <w:rPr>
                <w:rFonts w:hint="default" w:ascii="Arial Regular" w:hAnsi="Arial Regular" w:cs="Arial Regular"/>
                <w:sz w:val="20"/>
                <w:szCs w:val="20"/>
              </w:rPr>
            </w:pPr>
            <w:r>
              <w:rPr>
                <w:rFonts w:hint="default" w:ascii="Arial Regular" w:hAnsi="Arial Regular" w:eastAsia="宋体" w:cs="Arial Regular"/>
                <w:b/>
                <w:bCs/>
                <w:kern w:val="0"/>
                <w:sz w:val="20"/>
                <w:szCs w:val="20"/>
                <w:lang w:bidi="ar"/>
              </w:rPr>
              <w:t>Parameter</w:t>
            </w:r>
          </w:p>
        </w:tc>
        <w:tc>
          <w:tcPr>
            <w:tcW w:w="2926" w:type="dxa"/>
            <w:tcBorders>
              <w:bottom w:val="single" w:color="auto" w:sz="4" w:space="0"/>
            </w:tcBorders>
            <w:shd w:val="clear" w:color="auto" w:fill="E7E6E6" w:themeFill="background2"/>
            <w:vAlign w:val="center"/>
          </w:tcPr>
          <w:p w14:paraId="4A380040">
            <w:pPr>
              <w:widowControl/>
              <w:jc w:val="center"/>
              <w:rPr>
                <w:rFonts w:hint="default" w:ascii="Arial Regular" w:hAnsi="Arial Regular" w:cs="Arial Regular"/>
                <w:sz w:val="20"/>
                <w:szCs w:val="20"/>
              </w:rPr>
            </w:pPr>
            <w:r>
              <w:rPr>
                <w:rFonts w:hint="default" w:ascii="Arial Regular" w:hAnsi="Arial Regular" w:eastAsia="宋体" w:cs="Arial Regular"/>
                <w:b/>
                <w:bCs/>
                <w:kern w:val="0"/>
                <w:sz w:val="20"/>
                <w:szCs w:val="20"/>
                <w:lang w:bidi="ar"/>
              </w:rPr>
              <w:t>Surface water</w:t>
            </w:r>
          </w:p>
        </w:tc>
        <w:tc>
          <w:tcPr>
            <w:tcW w:w="2927" w:type="dxa"/>
            <w:tcBorders>
              <w:bottom w:val="single" w:color="auto" w:sz="4" w:space="0"/>
            </w:tcBorders>
            <w:shd w:val="clear" w:color="auto" w:fill="E7E6E6" w:themeFill="background2"/>
            <w:vAlign w:val="center"/>
          </w:tcPr>
          <w:p w14:paraId="69BF0750">
            <w:pPr>
              <w:widowControl/>
              <w:jc w:val="center"/>
              <w:rPr>
                <w:rFonts w:hint="default" w:ascii="Arial Regular" w:hAnsi="Arial Regular" w:cs="Arial Regular"/>
                <w:sz w:val="20"/>
                <w:szCs w:val="20"/>
              </w:rPr>
            </w:pPr>
            <w:r>
              <w:rPr>
                <w:rFonts w:hint="default" w:ascii="Arial Regular" w:hAnsi="Arial Regular" w:eastAsia="宋体" w:cs="Arial Regular"/>
                <w:b/>
                <w:bCs/>
                <w:kern w:val="0"/>
                <w:sz w:val="20"/>
                <w:szCs w:val="20"/>
                <w:lang w:bidi="ar"/>
              </w:rPr>
              <w:t>Groundwater</w:t>
            </w:r>
          </w:p>
        </w:tc>
      </w:tr>
      <w:tr w14:paraId="2AC57AA1">
        <w:trPr>
          <w:trHeight w:val="113" w:hRule="atLeast"/>
          <w:jc w:val="center"/>
        </w:trPr>
        <w:tc>
          <w:tcPr>
            <w:tcW w:w="2926" w:type="dxa"/>
            <w:tcBorders>
              <w:top w:val="single" w:color="auto" w:sz="4" w:space="0"/>
            </w:tcBorders>
            <w:vAlign w:val="center"/>
          </w:tcPr>
          <w:p w14:paraId="029DA1E8">
            <w:pPr>
              <w:widowControl/>
              <w:jc w:val="center"/>
              <w:rPr>
                <w:rFonts w:hint="default" w:ascii="Arial Regular" w:hAnsi="Arial Regular" w:cs="Arial Regular"/>
                <w:sz w:val="20"/>
                <w:szCs w:val="20"/>
              </w:rPr>
            </w:pPr>
            <w:r>
              <w:rPr>
                <w:rFonts w:hint="default" w:ascii="Arial Regular" w:hAnsi="Arial Regular" w:eastAsia="宋体" w:cs="Arial Regular"/>
                <w:kern w:val="0"/>
                <w:sz w:val="20"/>
                <w:szCs w:val="20"/>
                <w:lang w:bidi="ar"/>
              </w:rPr>
              <w:t>pH</w:t>
            </w:r>
          </w:p>
        </w:tc>
        <w:tc>
          <w:tcPr>
            <w:tcW w:w="2926" w:type="dxa"/>
            <w:tcBorders>
              <w:top w:val="single" w:color="auto" w:sz="4" w:space="0"/>
            </w:tcBorders>
            <w:vAlign w:val="center"/>
          </w:tcPr>
          <w:p w14:paraId="3DECA0A5">
            <w:pPr>
              <w:widowControl/>
              <w:jc w:val="center"/>
              <w:rPr>
                <w:rFonts w:hint="default" w:ascii="Arial Regular" w:hAnsi="Arial Regular" w:cs="Arial Regular"/>
                <w:sz w:val="20"/>
                <w:szCs w:val="20"/>
              </w:rPr>
            </w:pPr>
            <w:r>
              <w:rPr>
                <w:rFonts w:hint="default" w:ascii="Arial Regular" w:hAnsi="Arial Regular" w:eastAsia="宋体" w:cs="Arial Regular"/>
                <w:kern w:val="0"/>
                <w:sz w:val="20"/>
                <w:szCs w:val="20"/>
                <w:lang w:bidi="ar"/>
              </w:rPr>
              <w:t>7.7</w:t>
            </w:r>
          </w:p>
        </w:tc>
        <w:tc>
          <w:tcPr>
            <w:tcW w:w="2927" w:type="dxa"/>
            <w:tcBorders>
              <w:top w:val="single" w:color="auto" w:sz="4" w:space="0"/>
            </w:tcBorders>
            <w:vAlign w:val="center"/>
          </w:tcPr>
          <w:p w14:paraId="19CDAD0E">
            <w:pPr>
              <w:widowControl/>
              <w:jc w:val="center"/>
              <w:rPr>
                <w:rFonts w:hint="default" w:ascii="Arial Regular" w:hAnsi="Arial Regular" w:cs="Arial Regular"/>
                <w:sz w:val="20"/>
                <w:szCs w:val="20"/>
              </w:rPr>
            </w:pPr>
            <w:r>
              <w:rPr>
                <w:rFonts w:hint="default" w:ascii="Arial Regular" w:hAnsi="Arial Regular" w:eastAsia="宋体" w:cs="Arial Regular"/>
                <w:kern w:val="0"/>
                <w:sz w:val="20"/>
                <w:szCs w:val="20"/>
                <w:lang w:bidi="ar"/>
              </w:rPr>
              <w:t>7.5</w:t>
            </w:r>
          </w:p>
        </w:tc>
      </w:tr>
      <w:tr w14:paraId="05E7EFA5">
        <w:trPr>
          <w:trHeight w:val="113" w:hRule="atLeast"/>
          <w:jc w:val="center"/>
        </w:trPr>
        <w:tc>
          <w:tcPr>
            <w:tcW w:w="2926" w:type="dxa"/>
            <w:vAlign w:val="center"/>
          </w:tcPr>
          <w:p w14:paraId="6876643E">
            <w:pPr>
              <w:widowControl/>
              <w:jc w:val="center"/>
              <w:rPr>
                <w:rFonts w:hint="default" w:ascii="Arial Regular" w:hAnsi="Arial Regular" w:cs="Arial Regular"/>
                <w:sz w:val="20"/>
                <w:szCs w:val="20"/>
              </w:rPr>
            </w:pPr>
            <w:r>
              <w:rPr>
                <w:rFonts w:hint="default" w:ascii="Arial Regular" w:hAnsi="Arial Regular" w:eastAsia="宋体" w:cs="Arial Regular"/>
                <w:kern w:val="0"/>
                <w:sz w:val="20"/>
                <w:szCs w:val="20"/>
                <w:lang w:bidi="ar"/>
              </w:rPr>
              <w:t>TN (mg/L)</w:t>
            </w:r>
          </w:p>
        </w:tc>
        <w:tc>
          <w:tcPr>
            <w:tcW w:w="2926" w:type="dxa"/>
            <w:vAlign w:val="center"/>
          </w:tcPr>
          <w:p w14:paraId="03E25B8A">
            <w:pPr>
              <w:widowControl/>
              <w:jc w:val="center"/>
              <w:rPr>
                <w:rFonts w:hint="default" w:ascii="Arial Regular" w:hAnsi="Arial Regular" w:cs="Arial Regular"/>
                <w:sz w:val="20"/>
                <w:szCs w:val="20"/>
              </w:rPr>
            </w:pPr>
            <w:r>
              <w:rPr>
                <w:rFonts w:hint="default" w:ascii="Arial Regular" w:hAnsi="Arial Regular" w:eastAsia="宋体" w:cs="Arial Regular"/>
                <w:kern w:val="0"/>
                <w:sz w:val="20"/>
                <w:szCs w:val="20"/>
                <w:lang w:bidi="ar"/>
              </w:rPr>
              <w:t>1.12</w:t>
            </w:r>
          </w:p>
        </w:tc>
        <w:tc>
          <w:tcPr>
            <w:tcW w:w="2927" w:type="dxa"/>
            <w:vAlign w:val="center"/>
          </w:tcPr>
          <w:p w14:paraId="675A924C">
            <w:pPr>
              <w:widowControl/>
              <w:jc w:val="center"/>
              <w:rPr>
                <w:rFonts w:hint="default" w:ascii="Arial Regular" w:hAnsi="Arial Regular" w:cs="Arial Regular"/>
                <w:sz w:val="20"/>
                <w:szCs w:val="20"/>
              </w:rPr>
            </w:pPr>
            <w:r>
              <w:rPr>
                <w:rFonts w:hint="default" w:ascii="Arial Regular" w:hAnsi="Arial Regular" w:eastAsia="宋体" w:cs="Arial Regular"/>
                <w:kern w:val="0"/>
                <w:sz w:val="20"/>
                <w:szCs w:val="20"/>
                <w:lang w:bidi="ar"/>
              </w:rPr>
              <w:t>0.32</w:t>
            </w:r>
          </w:p>
        </w:tc>
      </w:tr>
      <w:tr w14:paraId="7069AF17">
        <w:trPr>
          <w:trHeight w:val="113" w:hRule="atLeast"/>
          <w:jc w:val="center"/>
        </w:trPr>
        <w:tc>
          <w:tcPr>
            <w:tcW w:w="2926" w:type="dxa"/>
            <w:vAlign w:val="center"/>
          </w:tcPr>
          <w:p w14:paraId="5A42F50E">
            <w:pPr>
              <w:widowControl/>
              <w:jc w:val="center"/>
              <w:rPr>
                <w:rFonts w:hint="default" w:ascii="Arial Regular" w:hAnsi="Arial Regular" w:cs="Arial Regular"/>
                <w:sz w:val="20"/>
                <w:szCs w:val="20"/>
              </w:rPr>
            </w:pPr>
            <w:r>
              <w:rPr>
                <w:rFonts w:hint="default" w:ascii="Arial Regular" w:hAnsi="Arial Regular" w:eastAsia="宋体" w:cs="Arial Regular"/>
                <w:kern w:val="0"/>
                <w:sz w:val="20"/>
                <w:szCs w:val="20"/>
                <w:lang w:bidi="ar"/>
              </w:rPr>
              <w:t>TP (mg/L)</w:t>
            </w:r>
          </w:p>
        </w:tc>
        <w:tc>
          <w:tcPr>
            <w:tcW w:w="2926" w:type="dxa"/>
            <w:vAlign w:val="center"/>
          </w:tcPr>
          <w:p w14:paraId="678EB551">
            <w:pPr>
              <w:widowControl/>
              <w:jc w:val="center"/>
              <w:rPr>
                <w:rFonts w:hint="default" w:ascii="Arial Regular" w:hAnsi="Arial Regular" w:cs="Arial Regular"/>
                <w:sz w:val="20"/>
                <w:szCs w:val="20"/>
              </w:rPr>
            </w:pPr>
            <w:r>
              <w:rPr>
                <w:rFonts w:hint="default" w:ascii="Arial Regular" w:hAnsi="Arial Regular" w:eastAsia="宋体" w:cs="Arial Regular"/>
                <w:kern w:val="0"/>
                <w:sz w:val="20"/>
                <w:szCs w:val="20"/>
                <w:lang w:bidi="ar"/>
              </w:rPr>
              <w:t>0.187</w:t>
            </w:r>
          </w:p>
        </w:tc>
        <w:tc>
          <w:tcPr>
            <w:tcW w:w="2927" w:type="dxa"/>
            <w:vAlign w:val="center"/>
          </w:tcPr>
          <w:p w14:paraId="554D3B2D">
            <w:pPr>
              <w:widowControl/>
              <w:jc w:val="center"/>
              <w:rPr>
                <w:rFonts w:hint="default" w:ascii="Arial Regular" w:hAnsi="Arial Regular" w:cs="Arial Regular"/>
                <w:sz w:val="20"/>
                <w:szCs w:val="20"/>
              </w:rPr>
            </w:pPr>
            <w:r>
              <w:rPr>
                <w:rFonts w:hint="default" w:ascii="Arial Regular" w:hAnsi="Arial Regular" w:eastAsia="宋体" w:cs="Arial Regular"/>
                <w:kern w:val="0"/>
                <w:sz w:val="20"/>
                <w:szCs w:val="20"/>
                <w:lang w:bidi="ar"/>
              </w:rPr>
              <w:t>0.078</w:t>
            </w:r>
          </w:p>
        </w:tc>
      </w:tr>
      <w:tr w14:paraId="3E5C59EC">
        <w:trPr>
          <w:trHeight w:val="113" w:hRule="atLeast"/>
          <w:jc w:val="center"/>
        </w:trPr>
        <w:tc>
          <w:tcPr>
            <w:tcW w:w="2926" w:type="dxa"/>
            <w:vAlign w:val="center"/>
          </w:tcPr>
          <w:p w14:paraId="159B8EDD">
            <w:pPr>
              <w:widowControl/>
              <w:jc w:val="center"/>
              <w:rPr>
                <w:rFonts w:hint="default" w:ascii="Arial Regular" w:hAnsi="Arial Regular" w:cs="Arial Regular"/>
                <w:sz w:val="20"/>
                <w:szCs w:val="20"/>
              </w:rPr>
            </w:pPr>
            <w:r>
              <w:rPr>
                <w:rFonts w:hint="default" w:ascii="Arial Regular" w:hAnsi="Arial Regular" w:eastAsia="宋体" w:cs="Arial Regular"/>
                <w:kern w:val="0"/>
                <w:sz w:val="20"/>
                <w:szCs w:val="20"/>
                <w:lang w:bidi="ar"/>
              </w:rPr>
              <w:t>DOC (mg/L)</w:t>
            </w:r>
          </w:p>
        </w:tc>
        <w:tc>
          <w:tcPr>
            <w:tcW w:w="2926" w:type="dxa"/>
            <w:vAlign w:val="center"/>
          </w:tcPr>
          <w:p w14:paraId="165D6CE4">
            <w:pPr>
              <w:widowControl/>
              <w:jc w:val="center"/>
              <w:rPr>
                <w:rFonts w:hint="default" w:ascii="Arial Regular" w:hAnsi="Arial Regular" w:cs="Arial Regular"/>
                <w:sz w:val="20"/>
                <w:szCs w:val="20"/>
              </w:rPr>
            </w:pPr>
            <w:r>
              <w:rPr>
                <w:rFonts w:hint="default" w:ascii="Arial Regular" w:hAnsi="Arial Regular" w:eastAsia="宋体" w:cs="Arial Regular"/>
                <w:kern w:val="0"/>
                <w:sz w:val="20"/>
                <w:szCs w:val="20"/>
                <w:lang w:bidi="ar"/>
              </w:rPr>
              <w:t>2.43</w:t>
            </w:r>
          </w:p>
        </w:tc>
        <w:tc>
          <w:tcPr>
            <w:tcW w:w="2927" w:type="dxa"/>
            <w:vAlign w:val="center"/>
          </w:tcPr>
          <w:p w14:paraId="738329E8">
            <w:pPr>
              <w:widowControl/>
              <w:jc w:val="center"/>
              <w:rPr>
                <w:rFonts w:hint="default" w:ascii="Arial Regular" w:hAnsi="Arial Regular" w:cs="Arial Regular"/>
                <w:sz w:val="20"/>
                <w:szCs w:val="20"/>
              </w:rPr>
            </w:pPr>
            <w:r>
              <w:rPr>
                <w:rFonts w:hint="default" w:ascii="Arial Regular" w:hAnsi="Arial Regular" w:eastAsia="宋体" w:cs="Arial Regular"/>
                <w:kern w:val="0"/>
                <w:sz w:val="20"/>
                <w:szCs w:val="20"/>
                <w:lang w:bidi="ar"/>
              </w:rPr>
              <w:t>0.53</w:t>
            </w:r>
          </w:p>
        </w:tc>
      </w:tr>
      <w:tr w14:paraId="3BB9170E">
        <w:trPr>
          <w:trHeight w:val="113" w:hRule="atLeast"/>
          <w:jc w:val="center"/>
        </w:trPr>
        <w:tc>
          <w:tcPr>
            <w:tcW w:w="2926" w:type="dxa"/>
            <w:vAlign w:val="center"/>
          </w:tcPr>
          <w:p w14:paraId="2A6BBC4F">
            <w:pPr>
              <w:widowControl/>
              <w:jc w:val="center"/>
              <w:rPr>
                <w:rFonts w:hint="default" w:ascii="Arial Regular" w:hAnsi="Arial Regular" w:cs="Arial Regular"/>
                <w:sz w:val="20"/>
                <w:szCs w:val="20"/>
              </w:rPr>
            </w:pPr>
            <w:r>
              <w:rPr>
                <w:rFonts w:hint="default" w:ascii="Arial Regular" w:hAnsi="Arial Regular" w:eastAsia="宋体" w:cs="Arial Regular"/>
                <w:kern w:val="0"/>
                <w:sz w:val="20"/>
                <w:szCs w:val="20"/>
                <w:lang w:bidi="ar"/>
              </w:rPr>
              <w:t>DO (mg/L)</w:t>
            </w:r>
          </w:p>
        </w:tc>
        <w:tc>
          <w:tcPr>
            <w:tcW w:w="2926" w:type="dxa"/>
            <w:vAlign w:val="center"/>
          </w:tcPr>
          <w:p w14:paraId="793A7A70">
            <w:pPr>
              <w:widowControl/>
              <w:jc w:val="center"/>
              <w:rPr>
                <w:rFonts w:hint="default" w:ascii="Arial Regular" w:hAnsi="Arial Regular" w:cs="Arial Regular"/>
                <w:sz w:val="20"/>
                <w:szCs w:val="20"/>
              </w:rPr>
            </w:pPr>
            <w:r>
              <w:rPr>
                <w:rFonts w:hint="default" w:ascii="Arial Regular" w:hAnsi="Arial Regular" w:eastAsia="宋体" w:cs="Arial Regular"/>
                <w:kern w:val="0"/>
                <w:sz w:val="20"/>
                <w:szCs w:val="20"/>
                <w:lang w:bidi="ar"/>
              </w:rPr>
              <w:t>9.51</w:t>
            </w:r>
          </w:p>
        </w:tc>
        <w:tc>
          <w:tcPr>
            <w:tcW w:w="2927" w:type="dxa"/>
            <w:vAlign w:val="center"/>
          </w:tcPr>
          <w:p w14:paraId="6E92583B">
            <w:pPr>
              <w:widowControl/>
              <w:jc w:val="center"/>
              <w:rPr>
                <w:rFonts w:hint="default" w:ascii="Arial Regular" w:hAnsi="Arial Regular" w:cs="Arial Regular"/>
                <w:sz w:val="20"/>
                <w:szCs w:val="20"/>
              </w:rPr>
            </w:pPr>
            <w:r>
              <w:rPr>
                <w:rFonts w:hint="default" w:ascii="Arial Regular" w:hAnsi="Arial Regular" w:eastAsia="宋体" w:cs="Arial Regular"/>
                <w:kern w:val="0"/>
                <w:sz w:val="20"/>
                <w:szCs w:val="20"/>
                <w:lang w:bidi="ar"/>
              </w:rPr>
              <w:t>8.67</w:t>
            </w:r>
          </w:p>
        </w:tc>
      </w:tr>
      <w:tr w14:paraId="010CB281">
        <w:trPr>
          <w:trHeight w:val="113" w:hRule="atLeast"/>
          <w:jc w:val="center"/>
        </w:trPr>
        <w:tc>
          <w:tcPr>
            <w:tcW w:w="2926" w:type="dxa"/>
            <w:vAlign w:val="center"/>
          </w:tcPr>
          <w:p w14:paraId="5FDDFA71">
            <w:pPr>
              <w:widowControl/>
              <w:jc w:val="center"/>
              <w:rPr>
                <w:rFonts w:hint="default" w:ascii="Arial Regular" w:hAnsi="Arial Regular" w:cs="Arial Regular"/>
                <w:sz w:val="20"/>
                <w:szCs w:val="20"/>
              </w:rPr>
            </w:pPr>
            <w:r>
              <w:rPr>
                <w:rFonts w:hint="default" w:ascii="Arial Regular" w:hAnsi="Arial Regular" w:eastAsia="宋体" w:cs="Arial Regular"/>
                <w:kern w:val="0"/>
                <w:sz w:val="20"/>
                <w:szCs w:val="20"/>
                <w:lang w:bidi="ar"/>
              </w:rPr>
              <w:t>Turbidity (NTU)</w:t>
            </w:r>
          </w:p>
        </w:tc>
        <w:tc>
          <w:tcPr>
            <w:tcW w:w="2926" w:type="dxa"/>
            <w:vAlign w:val="center"/>
          </w:tcPr>
          <w:p w14:paraId="7043297C">
            <w:pPr>
              <w:widowControl/>
              <w:jc w:val="center"/>
              <w:rPr>
                <w:rFonts w:hint="default" w:ascii="Arial Regular" w:hAnsi="Arial Regular" w:cs="Arial Regular"/>
                <w:sz w:val="20"/>
                <w:szCs w:val="20"/>
              </w:rPr>
            </w:pPr>
            <w:r>
              <w:rPr>
                <w:rFonts w:hint="default" w:ascii="Arial Regular" w:hAnsi="Arial Regular" w:eastAsia="宋体" w:cs="Arial Regular"/>
                <w:kern w:val="0"/>
                <w:sz w:val="20"/>
                <w:szCs w:val="20"/>
                <w:lang w:bidi="ar"/>
              </w:rPr>
              <w:t>2.2</w:t>
            </w:r>
          </w:p>
        </w:tc>
        <w:tc>
          <w:tcPr>
            <w:tcW w:w="2927" w:type="dxa"/>
            <w:vAlign w:val="center"/>
          </w:tcPr>
          <w:p w14:paraId="7215BFF8">
            <w:pPr>
              <w:widowControl/>
              <w:jc w:val="center"/>
              <w:rPr>
                <w:rFonts w:hint="default" w:ascii="Arial Regular" w:hAnsi="Arial Regular" w:cs="Arial Regular"/>
                <w:sz w:val="20"/>
                <w:szCs w:val="20"/>
              </w:rPr>
            </w:pPr>
            <w:r>
              <w:rPr>
                <w:rFonts w:hint="default" w:ascii="Arial Regular" w:hAnsi="Arial Regular" w:eastAsia="宋体" w:cs="Arial Regular"/>
                <w:kern w:val="0"/>
                <w:sz w:val="20"/>
                <w:szCs w:val="20"/>
                <w:lang w:bidi="ar"/>
              </w:rPr>
              <w:t>1.3</w:t>
            </w:r>
          </w:p>
        </w:tc>
      </w:tr>
      <w:tr w14:paraId="255BD4AF">
        <w:trPr>
          <w:trHeight w:val="113" w:hRule="atLeast"/>
          <w:jc w:val="center"/>
        </w:trPr>
        <w:tc>
          <w:tcPr>
            <w:tcW w:w="2926" w:type="dxa"/>
            <w:vAlign w:val="center"/>
          </w:tcPr>
          <w:p w14:paraId="3D84F72D">
            <w:pPr>
              <w:widowControl/>
              <w:jc w:val="center"/>
              <w:rPr>
                <w:rFonts w:hint="default" w:ascii="Arial Regular" w:hAnsi="Arial Regular" w:cs="Arial Regular"/>
                <w:sz w:val="20"/>
                <w:szCs w:val="20"/>
              </w:rPr>
            </w:pPr>
            <w:r>
              <w:rPr>
                <w:rFonts w:hint="default" w:ascii="Arial Regular" w:hAnsi="Arial Regular" w:eastAsia="宋体" w:cs="Arial Regular"/>
                <w:kern w:val="0"/>
                <w:sz w:val="20"/>
                <w:szCs w:val="20"/>
                <w:lang w:bidi="ar"/>
              </w:rPr>
              <w:t>NH</w:t>
            </w:r>
            <w:r>
              <w:rPr>
                <w:rFonts w:hint="default" w:ascii="Arial Regular" w:hAnsi="Arial Regular" w:eastAsia="宋体" w:cs="Arial Regular"/>
                <w:kern w:val="0"/>
                <w:sz w:val="20"/>
                <w:szCs w:val="20"/>
                <w:vertAlign w:val="subscript"/>
                <w:lang w:bidi="ar"/>
              </w:rPr>
              <w:t>4</w:t>
            </w:r>
            <w:r>
              <w:rPr>
                <w:rFonts w:hint="default" w:ascii="Arial Regular" w:hAnsi="Arial Regular" w:eastAsia="宋体" w:cs="Arial Regular"/>
                <w:kern w:val="0"/>
                <w:sz w:val="20"/>
                <w:szCs w:val="20"/>
                <w:vertAlign w:val="superscript"/>
                <w:lang w:bidi="ar"/>
              </w:rPr>
              <w:t>+</w:t>
            </w:r>
            <w:r>
              <w:rPr>
                <w:rFonts w:hint="default" w:ascii="Arial Regular" w:hAnsi="Arial Regular" w:eastAsia="宋体" w:cs="Arial Regular"/>
                <w:kern w:val="0"/>
                <w:sz w:val="20"/>
                <w:szCs w:val="20"/>
                <w:lang w:bidi="ar"/>
              </w:rPr>
              <w:t>-N (mg/L)</w:t>
            </w:r>
          </w:p>
        </w:tc>
        <w:tc>
          <w:tcPr>
            <w:tcW w:w="2926" w:type="dxa"/>
            <w:vAlign w:val="center"/>
          </w:tcPr>
          <w:p w14:paraId="5ECD5710">
            <w:pPr>
              <w:widowControl/>
              <w:jc w:val="center"/>
              <w:rPr>
                <w:rFonts w:hint="default" w:ascii="Arial Regular" w:hAnsi="Arial Regular" w:cs="Arial Regular"/>
                <w:sz w:val="20"/>
                <w:szCs w:val="20"/>
              </w:rPr>
            </w:pPr>
            <w:r>
              <w:rPr>
                <w:rFonts w:hint="default" w:ascii="Arial Regular" w:hAnsi="Arial Regular" w:eastAsia="宋体" w:cs="Arial Regular"/>
                <w:kern w:val="0"/>
                <w:sz w:val="20"/>
                <w:szCs w:val="20"/>
                <w:lang w:bidi="ar"/>
              </w:rPr>
              <w:t>0.121</w:t>
            </w:r>
          </w:p>
        </w:tc>
        <w:tc>
          <w:tcPr>
            <w:tcW w:w="2927" w:type="dxa"/>
            <w:vAlign w:val="center"/>
          </w:tcPr>
          <w:p w14:paraId="2FFDBBE4">
            <w:pPr>
              <w:widowControl/>
              <w:jc w:val="center"/>
              <w:rPr>
                <w:rFonts w:hint="default" w:ascii="Arial Regular" w:hAnsi="Arial Regular" w:cs="Arial Regular"/>
                <w:sz w:val="20"/>
                <w:szCs w:val="20"/>
              </w:rPr>
            </w:pPr>
            <w:r>
              <w:rPr>
                <w:rFonts w:hint="default" w:ascii="Arial Regular" w:hAnsi="Arial Regular" w:eastAsia="宋体" w:cs="Arial Regular"/>
                <w:kern w:val="0"/>
                <w:sz w:val="20"/>
                <w:szCs w:val="20"/>
                <w:lang w:bidi="ar"/>
              </w:rPr>
              <w:t>0.073</w:t>
            </w:r>
          </w:p>
        </w:tc>
      </w:tr>
      <w:tr w14:paraId="252CAF79">
        <w:trPr>
          <w:trHeight w:val="113" w:hRule="atLeast"/>
          <w:jc w:val="center"/>
        </w:trPr>
        <w:tc>
          <w:tcPr>
            <w:tcW w:w="2926" w:type="dxa"/>
            <w:vAlign w:val="center"/>
          </w:tcPr>
          <w:p w14:paraId="4E571467">
            <w:pPr>
              <w:widowControl/>
              <w:jc w:val="center"/>
              <w:rPr>
                <w:rFonts w:hint="default" w:ascii="Arial Regular" w:hAnsi="Arial Regular" w:cs="Arial Regular"/>
                <w:sz w:val="20"/>
                <w:szCs w:val="20"/>
              </w:rPr>
            </w:pPr>
            <w:r>
              <w:rPr>
                <w:rFonts w:hint="default" w:ascii="Arial Regular" w:hAnsi="Arial Regular" w:eastAsia="宋体" w:cs="Arial Regular"/>
                <w:kern w:val="0"/>
                <w:sz w:val="20"/>
                <w:szCs w:val="20"/>
                <w:lang w:bidi="ar"/>
              </w:rPr>
              <w:t>Fe</w:t>
            </w:r>
            <w:r>
              <w:rPr>
                <w:rFonts w:hint="default" w:ascii="Arial Regular" w:hAnsi="Arial Regular" w:eastAsia="宋体" w:cs="Arial Regular"/>
                <w:kern w:val="0"/>
                <w:sz w:val="20"/>
                <w:szCs w:val="20"/>
                <w:vertAlign w:val="superscript"/>
                <w:lang w:bidi="ar"/>
              </w:rPr>
              <w:t>2+</w:t>
            </w:r>
            <w:r>
              <w:rPr>
                <w:rFonts w:hint="default" w:ascii="Arial Regular" w:hAnsi="Arial Regular" w:eastAsia="宋体" w:cs="Arial Regular"/>
                <w:kern w:val="0"/>
                <w:sz w:val="20"/>
                <w:szCs w:val="20"/>
                <w:lang w:bidi="ar"/>
              </w:rPr>
              <w:t xml:space="preserve"> (mg/L)</w:t>
            </w:r>
          </w:p>
        </w:tc>
        <w:tc>
          <w:tcPr>
            <w:tcW w:w="2926" w:type="dxa"/>
            <w:vAlign w:val="center"/>
          </w:tcPr>
          <w:p w14:paraId="7ABA1FF6">
            <w:pPr>
              <w:widowControl/>
              <w:jc w:val="center"/>
              <w:rPr>
                <w:rFonts w:hint="default" w:ascii="Arial Regular" w:hAnsi="Arial Regular" w:cs="Arial Regular"/>
                <w:sz w:val="20"/>
                <w:szCs w:val="20"/>
              </w:rPr>
            </w:pPr>
            <w:r>
              <w:rPr>
                <w:rFonts w:hint="default" w:ascii="Arial Regular" w:hAnsi="Arial Regular" w:eastAsia="宋体" w:cs="Arial Regular"/>
                <w:kern w:val="0"/>
                <w:sz w:val="20"/>
                <w:szCs w:val="20"/>
                <w:lang w:bidi="ar"/>
              </w:rPr>
              <w:t>0.023</w:t>
            </w:r>
          </w:p>
        </w:tc>
        <w:tc>
          <w:tcPr>
            <w:tcW w:w="2927" w:type="dxa"/>
            <w:vAlign w:val="center"/>
          </w:tcPr>
          <w:p w14:paraId="478DC627">
            <w:pPr>
              <w:widowControl/>
              <w:jc w:val="center"/>
              <w:rPr>
                <w:rFonts w:hint="default" w:ascii="Arial Regular" w:hAnsi="Arial Regular" w:cs="Arial Regular"/>
                <w:sz w:val="20"/>
                <w:szCs w:val="20"/>
              </w:rPr>
            </w:pPr>
            <w:r>
              <w:rPr>
                <w:rFonts w:hint="default" w:ascii="Arial Regular" w:hAnsi="Arial Regular" w:eastAsia="宋体" w:cs="Arial Regular"/>
                <w:kern w:val="0"/>
                <w:sz w:val="20"/>
                <w:szCs w:val="20"/>
                <w:lang w:bidi="ar"/>
              </w:rPr>
              <w:t>0.083</w:t>
            </w:r>
          </w:p>
        </w:tc>
      </w:tr>
      <w:tr w14:paraId="49DD9364">
        <w:trPr>
          <w:trHeight w:val="113" w:hRule="atLeast"/>
          <w:jc w:val="center"/>
        </w:trPr>
        <w:tc>
          <w:tcPr>
            <w:tcW w:w="2926" w:type="dxa"/>
            <w:vAlign w:val="center"/>
          </w:tcPr>
          <w:p w14:paraId="074723C7">
            <w:pPr>
              <w:widowControl/>
              <w:jc w:val="center"/>
              <w:rPr>
                <w:rFonts w:hint="default" w:ascii="Arial Regular" w:hAnsi="Arial Regular" w:cs="Arial Regular"/>
                <w:sz w:val="20"/>
                <w:szCs w:val="20"/>
              </w:rPr>
            </w:pPr>
            <w:r>
              <w:rPr>
                <w:rFonts w:hint="default" w:ascii="Arial Regular" w:hAnsi="Arial Regular" w:eastAsia="宋体" w:cs="Arial Regular"/>
                <w:kern w:val="0"/>
                <w:sz w:val="20"/>
                <w:szCs w:val="20"/>
                <w:lang w:bidi="ar"/>
              </w:rPr>
              <w:t>Mn</w:t>
            </w:r>
            <w:r>
              <w:rPr>
                <w:rFonts w:hint="default" w:ascii="Arial Regular" w:hAnsi="Arial Regular" w:eastAsia="宋体" w:cs="Arial Regular"/>
                <w:kern w:val="0"/>
                <w:sz w:val="20"/>
                <w:szCs w:val="20"/>
                <w:vertAlign w:val="superscript"/>
                <w:lang w:bidi="ar"/>
              </w:rPr>
              <w:t>2+</w:t>
            </w:r>
            <w:r>
              <w:rPr>
                <w:rFonts w:hint="default" w:ascii="Arial Regular" w:hAnsi="Arial Regular" w:eastAsia="宋体" w:cs="Arial Regular"/>
                <w:kern w:val="0"/>
                <w:sz w:val="20"/>
                <w:szCs w:val="20"/>
                <w:lang w:bidi="ar"/>
              </w:rPr>
              <w:t xml:space="preserve"> (mg/L)</w:t>
            </w:r>
          </w:p>
        </w:tc>
        <w:tc>
          <w:tcPr>
            <w:tcW w:w="2926" w:type="dxa"/>
            <w:vAlign w:val="center"/>
          </w:tcPr>
          <w:p w14:paraId="55909B6C">
            <w:pPr>
              <w:widowControl/>
              <w:jc w:val="center"/>
              <w:rPr>
                <w:rFonts w:hint="default" w:ascii="Arial Regular" w:hAnsi="Arial Regular" w:cs="Arial Regular"/>
                <w:sz w:val="20"/>
                <w:szCs w:val="20"/>
              </w:rPr>
            </w:pPr>
            <w:r>
              <w:rPr>
                <w:rFonts w:hint="default" w:ascii="Arial Regular" w:hAnsi="Arial Regular" w:eastAsia="宋体" w:cs="Arial Regular"/>
                <w:kern w:val="0"/>
                <w:sz w:val="20"/>
                <w:szCs w:val="20"/>
                <w:lang w:bidi="ar"/>
              </w:rPr>
              <w:t>0.011</w:t>
            </w:r>
          </w:p>
        </w:tc>
        <w:tc>
          <w:tcPr>
            <w:tcW w:w="2927" w:type="dxa"/>
            <w:vAlign w:val="center"/>
          </w:tcPr>
          <w:p w14:paraId="2995E587">
            <w:pPr>
              <w:widowControl/>
              <w:jc w:val="center"/>
              <w:rPr>
                <w:rFonts w:hint="default" w:ascii="Arial Regular" w:hAnsi="Arial Regular" w:cs="Arial Regular"/>
                <w:sz w:val="20"/>
                <w:szCs w:val="20"/>
              </w:rPr>
            </w:pPr>
            <w:r>
              <w:rPr>
                <w:rFonts w:hint="default" w:ascii="Arial Regular" w:hAnsi="Arial Regular" w:eastAsia="宋体" w:cs="Arial Regular"/>
                <w:kern w:val="0"/>
                <w:sz w:val="20"/>
                <w:szCs w:val="20"/>
                <w:lang w:bidi="ar"/>
              </w:rPr>
              <w:t>0.057</w:t>
            </w:r>
          </w:p>
        </w:tc>
      </w:tr>
    </w:tbl>
    <w:p w14:paraId="3E518D04">
      <w:pPr>
        <w:rPr>
          <w:rFonts w:hint="default" w:ascii="Arial Regular" w:hAnsi="Arial Regular" w:cs="Arial Regular"/>
          <w:b/>
          <w:sz w:val="20"/>
          <w:szCs w:val="20"/>
        </w:rPr>
      </w:pPr>
      <w:r>
        <w:rPr>
          <w:rFonts w:hint="default" w:ascii="Arial Regular" w:hAnsi="Arial Regular" w:cs="Arial Regular"/>
          <w:b/>
          <w:sz w:val="20"/>
          <w:szCs w:val="20"/>
        </w:rPr>
        <w:br w:type="page"/>
      </w:r>
    </w:p>
    <w:p w14:paraId="5479D280">
      <w:pPr>
        <w:pStyle w:val="3"/>
        <w:keepNext/>
        <w:keepLines/>
        <w:pageBreakBefore w:val="0"/>
        <w:widowControl w:val="0"/>
        <w:kinsoku/>
        <w:wordWrap/>
        <w:overflowPunct/>
        <w:topLinePunct w:val="0"/>
        <w:autoSpaceDE/>
        <w:autoSpaceDN/>
        <w:bidi w:val="0"/>
        <w:adjustRightInd/>
        <w:snapToGrid/>
        <w:spacing w:before="0" w:beforeLines="0" w:after="157" w:afterLines="50" w:line="240" w:lineRule="auto"/>
        <w:textAlignment w:val="auto"/>
        <w:rPr>
          <w:rFonts w:hint="default" w:ascii="Arial Regular" w:hAnsi="Arial Regular" w:cs="Arial Regular"/>
          <w:b/>
          <w:sz w:val="20"/>
          <w:szCs w:val="20"/>
        </w:rPr>
      </w:pPr>
      <w:r>
        <w:rPr>
          <w:rFonts w:hint="default" w:ascii="Arial Regular" w:hAnsi="Arial Regular" w:cs="Arial Regular"/>
          <w:b/>
          <w:bCs w:val="0"/>
          <w:sz w:val="20"/>
          <w:szCs w:val="20"/>
        </w:rPr>
        <w:t xml:space="preserve">Supplementary </w:t>
      </w:r>
      <w:r>
        <w:rPr>
          <w:rFonts w:hint="default" w:ascii="Arial Regular" w:hAnsi="Arial Regular" w:cs="Arial Regular"/>
          <w:b/>
          <w:sz w:val="20"/>
          <w:szCs w:val="20"/>
        </w:rPr>
        <w:t xml:space="preserve">Table </w:t>
      </w:r>
      <w:r>
        <w:rPr>
          <w:rFonts w:hint="default" w:ascii="Arial Regular" w:hAnsi="Arial Regular" w:cs="Arial Regular"/>
          <w:b/>
          <w:sz w:val="20"/>
          <w:szCs w:val="20"/>
          <w:lang w:val="en-US" w:eastAsia="zh-CN"/>
        </w:rPr>
        <w:t>4</w:t>
      </w:r>
      <w:r>
        <w:rPr>
          <w:rFonts w:hint="default" w:ascii="Arial Regular" w:hAnsi="Arial Regular" w:cs="Arial Regular"/>
          <w:b/>
          <w:sz w:val="20"/>
          <w:szCs w:val="20"/>
        </w:rPr>
        <w:t xml:space="preserve">. Secondary inactivation kinetic parameters of </w:t>
      </w:r>
      <w:r>
        <w:rPr>
          <w:rFonts w:hint="default" w:ascii="Arial Regular" w:hAnsi="Arial Regular" w:cs="Arial Regular"/>
          <w:b/>
          <w:i/>
          <w:iCs/>
          <w:sz w:val="20"/>
          <w:szCs w:val="20"/>
        </w:rPr>
        <w:t>A.niger</w:t>
      </w:r>
      <w:r>
        <w:rPr>
          <w:rFonts w:hint="default" w:ascii="Arial Regular" w:hAnsi="Arial Regular" w:cs="Arial Regular"/>
          <w:b/>
          <w:sz w:val="20"/>
          <w:szCs w:val="20"/>
        </w:rPr>
        <w:t xml:space="preserve"> spores at different metal ion complexation capacities.</w:t>
      </w:r>
    </w:p>
    <w:tbl>
      <w:tblPr>
        <w:tblStyle w:val="10"/>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09"/>
        <w:gridCol w:w="2229"/>
        <w:gridCol w:w="1620"/>
        <w:gridCol w:w="1475"/>
      </w:tblGrid>
      <w:tr w14:paraId="618DF195">
        <w:trPr>
          <w:trHeight w:val="23" w:hRule="atLeast"/>
          <w:jc w:val="center"/>
        </w:trPr>
        <w:tc>
          <w:tcPr>
            <w:tcW w:w="0" w:type="auto"/>
            <w:tcBorders>
              <w:left w:val="nil"/>
              <w:bottom w:val="single" w:color="auto" w:sz="8" w:space="0"/>
              <w:right w:val="nil"/>
            </w:tcBorders>
            <w:shd w:val="clear" w:color="auto" w:fill="E7E6E6" w:themeFill="background2"/>
            <w:vAlign w:val="center"/>
          </w:tcPr>
          <w:p w14:paraId="43BD322E">
            <w:pPr>
              <w:jc w:val="center"/>
              <w:rPr>
                <w:rFonts w:hint="default" w:ascii="Arial Regular" w:hAnsi="Arial Regular" w:eastAsia="等线" w:cs="Arial Regular"/>
                <w:color w:val="000000"/>
                <w:sz w:val="20"/>
                <w:szCs w:val="20"/>
              </w:rPr>
            </w:pPr>
          </w:p>
        </w:tc>
        <w:tc>
          <w:tcPr>
            <w:tcW w:w="0" w:type="auto"/>
            <w:tcBorders>
              <w:left w:val="nil"/>
              <w:bottom w:val="single" w:color="auto" w:sz="8" w:space="0"/>
              <w:right w:val="nil"/>
            </w:tcBorders>
            <w:shd w:val="clear" w:color="auto" w:fill="E7E6E6" w:themeFill="background2"/>
            <w:vAlign w:val="center"/>
          </w:tcPr>
          <w:p w14:paraId="7424A0BB">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Complexation capacity</w:t>
            </w:r>
          </w:p>
        </w:tc>
        <w:tc>
          <w:tcPr>
            <w:tcW w:w="0" w:type="auto"/>
            <w:tcBorders>
              <w:left w:val="nil"/>
              <w:bottom w:val="single" w:color="auto" w:sz="8" w:space="0"/>
              <w:right w:val="nil"/>
            </w:tcBorders>
            <w:shd w:val="clear" w:color="auto" w:fill="E7E6E6" w:themeFill="background2"/>
            <w:vAlign w:val="center"/>
          </w:tcPr>
          <w:p w14:paraId="189B6FD1">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i/>
                <w:iCs/>
                <w:color w:val="000000"/>
                <w:kern w:val="0"/>
                <w:sz w:val="20"/>
                <w:szCs w:val="20"/>
                <w:lang w:bidi="ar"/>
              </w:rPr>
              <w:t xml:space="preserve">SL </w:t>
            </w:r>
            <w:r>
              <w:rPr>
                <w:rFonts w:hint="default" w:ascii="Arial Regular" w:hAnsi="Arial Regular" w:cs="Arial Regular"/>
                <w:sz w:val="20"/>
                <w:szCs w:val="20"/>
              </w:rPr>
              <w:t>((mg•min)/L)</w:t>
            </w:r>
          </w:p>
        </w:tc>
        <w:tc>
          <w:tcPr>
            <w:tcW w:w="0" w:type="auto"/>
            <w:tcBorders>
              <w:left w:val="nil"/>
              <w:bottom w:val="single" w:color="auto" w:sz="8" w:space="0"/>
              <w:right w:val="nil"/>
            </w:tcBorders>
            <w:shd w:val="clear" w:color="auto" w:fill="E7E6E6" w:themeFill="background2"/>
            <w:vAlign w:val="center"/>
          </w:tcPr>
          <w:p w14:paraId="5BA44DDD">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i/>
                <w:iCs/>
                <w:color w:val="000000"/>
                <w:kern w:val="0"/>
                <w:sz w:val="20"/>
                <w:szCs w:val="20"/>
                <w:lang w:bidi="ar"/>
              </w:rPr>
              <w:t xml:space="preserve">k </w:t>
            </w:r>
            <w:r>
              <w:rPr>
                <w:rFonts w:hint="default" w:ascii="Arial Regular" w:hAnsi="Arial Regular" w:cs="Arial Regular"/>
                <w:sz w:val="20"/>
                <w:szCs w:val="20"/>
              </w:rPr>
              <w:t>(L/(mg•min))</w:t>
            </w:r>
          </w:p>
        </w:tc>
      </w:tr>
      <w:tr w14:paraId="0F4F28AF">
        <w:trPr>
          <w:trHeight w:val="23" w:hRule="atLeast"/>
          <w:jc w:val="center"/>
        </w:trPr>
        <w:tc>
          <w:tcPr>
            <w:tcW w:w="0" w:type="auto"/>
            <w:tcBorders>
              <w:top w:val="nil"/>
              <w:left w:val="nil"/>
              <w:bottom w:val="nil"/>
              <w:right w:val="nil"/>
            </w:tcBorders>
            <w:shd w:val="clear" w:color="auto" w:fill="auto"/>
            <w:vAlign w:val="center"/>
          </w:tcPr>
          <w:p w14:paraId="0CC10E35">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Control</w:t>
            </w:r>
          </w:p>
        </w:tc>
        <w:tc>
          <w:tcPr>
            <w:tcW w:w="0" w:type="auto"/>
            <w:tcBorders>
              <w:top w:val="nil"/>
              <w:left w:val="nil"/>
              <w:bottom w:val="nil"/>
              <w:right w:val="nil"/>
            </w:tcBorders>
            <w:shd w:val="clear" w:color="auto" w:fill="auto"/>
            <w:vAlign w:val="center"/>
          </w:tcPr>
          <w:p w14:paraId="3AA64198">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0.00 ± 0.00</w:t>
            </w:r>
            <w:r>
              <w:rPr>
                <w:rFonts w:hint="default" w:ascii="Arial Regular" w:hAnsi="Arial Regular" w:eastAsia="等线" w:cs="Arial Regular"/>
                <w:color w:val="000000"/>
                <w:kern w:val="0"/>
                <w:sz w:val="20"/>
                <w:szCs w:val="20"/>
                <w:vertAlign w:val="superscript"/>
                <w:lang w:bidi="ar"/>
              </w:rPr>
              <w:t>d</w:t>
            </w:r>
          </w:p>
        </w:tc>
        <w:tc>
          <w:tcPr>
            <w:tcW w:w="0" w:type="auto"/>
            <w:tcBorders>
              <w:top w:val="nil"/>
              <w:left w:val="nil"/>
              <w:bottom w:val="nil"/>
              <w:right w:val="nil"/>
            </w:tcBorders>
            <w:shd w:val="clear" w:color="auto" w:fill="auto"/>
            <w:vAlign w:val="center"/>
          </w:tcPr>
          <w:p w14:paraId="45672BB6">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2.90 ± 0.14</w:t>
            </w:r>
            <w:r>
              <w:rPr>
                <w:rFonts w:hint="default" w:ascii="Arial Regular" w:hAnsi="Arial Regular" w:eastAsia="等线" w:cs="Arial Regular"/>
                <w:color w:val="000000"/>
                <w:kern w:val="0"/>
                <w:sz w:val="20"/>
                <w:szCs w:val="20"/>
                <w:vertAlign w:val="superscript"/>
                <w:lang w:bidi="ar"/>
              </w:rPr>
              <w:t>b</w:t>
            </w:r>
          </w:p>
        </w:tc>
        <w:tc>
          <w:tcPr>
            <w:tcW w:w="0" w:type="auto"/>
            <w:tcBorders>
              <w:top w:val="nil"/>
              <w:left w:val="nil"/>
              <w:bottom w:val="nil"/>
              <w:right w:val="nil"/>
            </w:tcBorders>
            <w:shd w:val="clear" w:color="auto" w:fill="auto"/>
            <w:vAlign w:val="center"/>
          </w:tcPr>
          <w:p w14:paraId="358F8F75">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0.19 ± 0.02</w:t>
            </w:r>
            <w:r>
              <w:rPr>
                <w:rFonts w:hint="default" w:ascii="Arial Regular" w:hAnsi="Arial Regular" w:eastAsia="等线" w:cs="Arial Regular"/>
                <w:color w:val="000000"/>
                <w:kern w:val="0"/>
                <w:sz w:val="20"/>
                <w:szCs w:val="20"/>
                <w:vertAlign w:val="superscript"/>
                <w:lang w:bidi="ar"/>
              </w:rPr>
              <w:t>a</w:t>
            </w:r>
          </w:p>
        </w:tc>
      </w:tr>
      <w:tr w14:paraId="4CFE4D7E">
        <w:trPr>
          <w:trHeight w:val="23" w:hRule="atLeast"/>
          <w:jc w:val="center"/>
        </w:trPr>
        <w:tc>
          <w:tcPr>
            <w:tcW w:w="0" w:type="auto"/>
            <w:tcBorders>
              <w:top w:val="nil"/>
              <w:left w:val="nil"/>
              <w:bottom w:val="nil"/>
              <w:right w:val="nil"/>
            </w:tcBorders>
            <w:shd w:val="clear" w:color="auto" w:fill="auto"/>
            <w:vAlign w:val="center"/>
          </w:tcPr>
          <w:p w14:paraId="614B673D">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[Co(II)]</w:t>
            </w:r>
            <w:r>
              <w:rPr>
                <w:rFonts w:hint="default" w:ascii="Arial Regular" w:hAnsi="Arial Regular" w:eastAsia="等线" w:cs="Arial Regular"/>
                <w:color w:val="000000"/>
                <w:kern w:val="0"/>
                <w:sz w:val="20"/>
                <w:szCs w:val="20"/>
                <w:vertAlign w:val="subscript"/>
                <w:lang w:bidi="ar"/>
              </w:rPr>
              <w:t>0</w:t>
            </w:r>
            <w:r>
              <w:rPr>
                <w:rFonts w:hint="default" w:ascii="Arial Regular" w:hAnsi="Arial Regular" w:eastAsia="等线" w:cs="Arial Regular"/>
                <w:color w:val="000000"/>
                <w:kern w:val="0"/>
                <w:sz w:val="20"/>
                <w:szCs w:val="20"/>
                <w:lang w:bidi="ar"/>
              </w:rPr>
              <w:t>=10 μM</w:t>
            </w:r>
          </w:p>
        </w:tc>
        <w:tc>
          <w:tcPr>
            <w:tcW w:w="0" w:type="auto"/>
            <w:tcBorders>
              <w:top w:val="nil"/>
              <w:left w:val="nil"/>
              <w:bottom w:val="nil"/>
              <w:right w:val="nil"/>
            </w:tcBorders>
            <w:shd w:val="clear" w:color="auto" w:fill="auto"/>
            <w:vAlign w:val="center"/>
          </w:tcPr>
          <w:p w14:paraId="2E1826A0">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0.48 ± 0.02</w:t>
            </w:r>
            <w:r>
              <w:rPr>
                <w:rFonts w:hint="default" w:ascii="Arial Regular" w:hAnsi="Arial Regular" w:eastAsia="等线" w:cs="Arial Regular"/>
                <w:color w:val="000000"/>
                <w:kern w:val="0"/>
                <w:sz w:val="20"/>
                <w:szCs w:val="20"/>
                <w:vertAlign w:val="superscript"/>
                <w:lang w:bidi="ar"/>
              </w:rPr>
              <w:t>c</w:t>
            </w:r>
          </w:p>
        </w:tc>
        <w:tc>
          <w:tcPr>
            <w:tcW w:w="0" w:type="auto"/>
            <w:tcBorders>
              <w:top w:val="nil"/>
              <w:left w:val="nil"/>
              <w:bottom w:val="nil"/>
              <w:right w:val="nil"/>
            </w:tcBorders>
            <w:shd w:val="clear" w:color="auto" w:fill="auto"/>
            <w:vAlign w:val="center"/>
          </w:tcPr>
          <w:p w14:paraId="159DD837">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1.07 ± 0.88</w:t>
            </w:r>
            <w:r>
              <w:rPr>
                <w:rFonts w:hint="default" w:ascii="Arial Regular" w:hAnsi="Arial Regular" w:eastAsia="等线" w:cs="Arial Regular"/>
                <w:color w:val="000000"/>
                <w:kern w:val="0"/>
                <w:sz w:val="20"/>
                <w:szCs w:val="20"/>
                <w:vertAlign w:val="superscript"/>
                <w:lang w:bidi="ar"/>
              </w:rPr>
              <w:t>b</w:t>
            </w:r>
          </w:p>
        </w:tc>
        <w:tc>
          <w:tcPr>
            <w:tcW w:w="0" w:type="auto"/>
            <w:tcBorders>
              <w:top w:val="nil"/>
              <w:left w:val="nil"/>
              <w:bottom w:val="nil"/>
              <w:right w:val="nil"/>
            </w:tcBorders>
            <w:shd w:val="clear" w:color="auto" w:fill="auto"/>
            <w:vAlign w:val="center"/>
          </w:tcPr>
          <w:p w14:paraId="1E034F03">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0.10 ± 0.02</w:t>
            </w:r>
            <w:r>
              <w:rPr>
                <w:rFonts w:hint="default" w:ascii="Arial Regular" w:hAnsi="Arial Regular" w:eastAsia="等线" w:cs="Arial Regular"/>
                <w:color w:val="000000"/>
                <w:kern w:val="0"/>
                <w:sz w:val="20"/>
                <w:szCs w:val="20"/>
                <w:vertAlign w:val="superscript"/>
                <w:lang w:bidi="ar"/>
              </w:rPr>
              <w:t>c</w:t>
            </w:r>
          </w:p>
        </w:tc>
      </w:tr>
      <w:tr w14:paraId="54713C7C">
        <w:trPr>
          <w:trHeight w:val="23" w:hRule="atLeast"/>
          <w:jc w:val="center"/>
        </w:trPr>
        <w:tc>
          <w:tcPr>
            <w:tcW w:w="0" w:type="auto"/>
            <w:tcBorders>
              <w:top w:val="nil"/>
              <w:left w:val="nil"/>
              <w:bottom w:val="nil"/>
              <w:right w:val="nil"/>
            </w:tcBorders>
            <w:shd w:val="clear" w:color="auto" w:fill="auto"/>
            <w:vAlign w:val="center"/>
          </w:tcPr>
          <w:p w14:paraId="66067963">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[Co(II)]</w:t>
            </w:r>
            <w:r>
              <w:rPr>
                <w:rFonts w:hint="default" w:ascii="Arial Regular" w:hAnsi="Arial Regular" w:eastAsia="等线" w:cs="Arial Regular"/>
                <w:color w:val="000000"/>
                <w:kern w:val="0"/>
                <w:sz w:val="20"/>
                <w:szCs w:val="20"/>
                <w:vertAlign w:val="subscript"/>
                <w:lang w:bidi="ar"/>
              </w:rPr>
              <w:t>0</w:t>
            </w:r>
            <w:r>
              <w:rPr>
                <w:rFonts w:hint="default" w:ascii="Arial Regular" w:hAnsi="Arial Regular" w:eastAsia="等线" w:cs="Arial Regular"/>
                <w:color w:val="000000"/>
                <w:kern w:val="0"/>
                <w:sz w:val="20"/>
                <w:szCs w:val="20"/>
                <w:lang w:bidi="ar"/>
              </w:rPr>
              <w:t>=40 μM</w:t>
            </w:r>
          </w:p>
        </w:tc>
        <w:tc>
          <w:tcPr>
            <w:tcW w:w="0" w:type="auto"/>
            <w:tcBorders>
              <w:top w:val="nil"/>
              <w:left w:val="nil"/>
              <w:bottom w:val="nil"/>
              <w:right w:val="nil"/>
            </w:tcBorders>
            <w:shd w:val="clear" w:color="auto" w:fill="auto"/>
            <w:vAlign w:val="center"/>
          </w:tcPr>
          <w:p w14:paraId="14A16100">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1.07 ± 0.08</w:t>
            </w:r>
            <w:r>
              <w:rPr>
                <w:rFonts w:hint="default" w:ascii="Arial Regular" w:hAnsi="Arial Regular" w:eastAsia="等线" w:cs="Arial Regular"/>
                <w:color w:val="000000"/>
                <w:kern w:val="0"/>
                <w:sz w:val="20"/>
                <w:szCs w:val="20"/>
                <w:vertAlign w:val="superscript"/>
                <w:lang w:bidi="ar"/>
              </w:rPr>
              <w:t>b</w:t>
            </w:r>
          </w:p>
        </w:tc>
        <w:tc>
          <w:tcPr>
            <w:tcW w:w="0" w:type="auto"/>
            <w:tcBorders>
              <w:top w:val="nil"/>
              <w:left w:val="nil"/>
              <w:bottom w:val="nil"/>
              <w:right w:val="nil"/>
            </w:tcBorders>
            <w:shd w:val="clear" w:color="auto" w:fill="auto"/>
            <w:vAlign w:val="center"/>
          </w:tcPr>
          <w:p w14:paraId="3A3EBEFE">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2.22 ± 0.82</w:t>
            </w:r>
            <w:r>
              <w:rPr>
                <w:rFonts w:hint="default" w:ascii="Arial Regular" w:hAnsi="Arial Regular" w:eastAsia="等线" w:cs="Arial Regular"/>
                <w:color w:val="000000"/>
                <w:kern w:val="0"/>
                <w:sz w:val="20"/>
                <w:szCs w:val="20"/>
                <w:vertAlign w:val="superscript"/>
                <w:lang w:bidi="ar"/>
              </w:rPr>
              <w:t>b</w:t>
            </w:r>
          </w:p>
        </w:tc>
        <w:tc>
          <w:tcPr>
            <w:tcW w:w="0" w:type="auto"/>
            <w:tcBorders>
              <w:top w:val="nil"/>
              <w:left w:val="nil"/>
              <w:bottom w:val="nil"/>
              <w:right w:val="nil"/>
            </w:tcBorders>
            <w:shd w:val="clear" w:color="auto" w:fill="auto"/>
            <w:vAlign w:val="center"/>
          </w:tcPr>
          <w:p w14:paraId="3DC8D53E">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0.10 ± 0.01</w:t>
            </w:r>
            <w:r>
              <w:rPr>
                <w:rFonts w:hint="default" w:ascii="Arial Regular" w:hAnsi="Arial Regular" w:eastAsia="等线" w:cs="Arial Regular"/>
                <w:color w:val="000000"/>
                <w:kern w:val="0"/>
                <w:sz w:val="20"/>
                <w:szCs w:val="20"/>
                <w:vertAlign w:val="superscript"/>
                <w:lang w:bidi="ar"/>
              </w:rPr>
              <w:t>c</w:t>
            </w:r>
          </w:p>
        </w:tc>
      </w:tr>
      <w:tr w14:paraId="79329E22">
        <w:trPr>
          <w:trHeight w:val="23" w:hRule="atLeast"/>
          <w:jc w:val="center"/>
        </w:trPr>
        <w:tc>
          <w:tcPr>
            <w:tcW w:w="0" w:type="auto"/>
            <w:tcBorders>
              <w:top w:val="nil"/>
              <w:left w:val="nil"/>
              <w:bottom w:val="nil"/>
              <w:right w:val="nil"/>
            </w:tcBorders>
            <w:shd w:val="clear" w:color="auto" w:fill="auto"/>
            <w:vAlign w:val="center"/>
          </w:tcPr>
          <w:p w14:paraId="145971F4">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[Co(II)]</w:t>
            </w:r>
            <w:r>
              <w:rPr>
                <w:rFonts w:hint="default" w:ascii="Arial Regular" w:hAnsi="Arial Regular" w:eastAsia="等线" w:cs="Arial Regular"/>
                <w:color w:val="000000"/>
                <w:kern w:val="0"/>
                <w:sz w:val="20"/>
                <w:szCs w:val="20"/>
                <w:vertAlign w:val="subscript"/>
                <w:lang w:bidi="ar"/>
              </w:rPr>
              <w:t>0</w:t>
            </w:r>
            <w:r>
              <w:rPr>
                <w:rFonts w:hint="default" w:ascii="Arial Regular" w:hAnsi="Arial Regular" w:eastAsia="等线" w:cs="Arial Regular"/>
                <w:color w:val="000000"/>
                <w:kern w:val="0"/>
                <w:sz w:val="20"/>
                <w:szCs w:val="20"/>
                <w:lang w:bidi="ar"/>
              </w:rPr>
              <w:t>=80 μM</w:t>
            </w:r>
          </w:p>
        </w:tc>
        <w:tc>
          <w:tcPr>
            <w:tcW w:w="0" w:type="auto"/>
            <w:tcBorders>
              <w:top w:val="nil"/>
              <w:left w:val="nil"/>
              <w:bottom w:val="nil"/>
              <w:right w:val="nil"/>
            </w:tcBorders>
            <w:shd w:val="clear" w:color="auto" w:fill="auto"/>
            <w:vAlign w:val="center"/>
          </w:tcPr>
          <w:p w14:paraId="71C8D49D">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2.25 ± 0.09</w:t>
            </w:r>
            <w:r>
              <w:rPr>
                <w:rFonts w:hint="default" w:ascii="Arial Regular" w:hAnsi="Arial Regular" w:eastAsia="等线" w:cs="Arial Regular"/>
                <w:color w:val="000000"/>
                <w:kern w:val="0"/>
                <w:sz w:val="20"/>
                <w:szCs w:val="20"/>
                <w:vertAlign w:val="superscript"/>
                <w:lang w:bidi="ar"/>
              </w:rPr>
              <w:t>a</w:t>
            </w:r>
          </w:p>
        </w:tc>
        <w:tc>
          <w:tcPr>
            <w:tcW w:w="0" w:type="auto"/>
            <w:tcBorders>
              <w:top w:val="nil"/>
              <w:left w:val="nil"/>
              <w:bottom w:val="nil"/>
              <w:right w:val="nil"/>
            </w:tcBorders>
            <w:shd w:val="clear" w:color="auto" w:fill="auto"/>
            <w:vAlign w:val="center"/>
          </w:tcPr>
          <w:p w14:paraId="7FC3B549">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12.45 ± 3.02</w:t>
            </w:r>
            <w:r>
              <w:rPr>
                <w:rFonts w:hint="default" w:ascii="Arial Regular" w:hAnsi="Arial Regular" w:eastAsia="等线" w:cs="Arial Regular"/>
                <w:color w:val="000000"/>
                <w:kern w:val="0"/>
                <w:sz w:val="20"/>
                <w:szCs w:val="20"/>
                <w:vertAlign w:val="superscript"/>
                <w:lang w:bidi="ar"/>
              </w:rPr>
              <w:t>a</w:t>
            </w:r>
          </w:p>
        </w:tc>
        <w:tc>
          <w:tcPr>
            <w:tcW w:w="0" w:type="auto"/>
            <w:tcBorders>
              <w:top w:val="nil"/>
              <w:left w:val="nil"/>
              <w:bottom w:val="nil"/>
              <w:right w:val="nil"/>
            </w:tcBorders>
            <w:shd w:val="clear" w:color="auto" w:fill="auto"/>
            <w:vAlign w:val="center"/>
          </w:tcPr>
          <w:p w14:paraId="6A186F69">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0.11 ± 0.01</w:t>
            </w:r>
            <w:r>
              <w:rPr>
                <w:rFonts w:hint="default" w:ascii="Arial Regular" w:hAnsi="Arial Regular" w:eastAsia="等线" w:cs="Arial Regular"/>
                <w:color w:val="000000"/>
                <w:kern w:val="0"/>
                <w:sz w:val="20"/>
                <w:szCs w:val="20"/>
                <w:vertAlign w:val="superscript"/>
                <w:lang w:bidi="ar"/>
              </w:rPr>
              <w:t>bc</w:t>
            </w:r>
          </w:p>
        </w:tc>
      </w:tr>
      <w:tr w14:paraId="6D13B3B4">
        <w:trPr>
          <w:trHeight w:val="23" w:hRule="atLeast"/>
          <w:jc w:val="center"/>
        </w:trPr>
        <w:tc>
          <w:tcPr>
            <w:tcW w:w="0" w:type="auto"/>
            <w:tcBorders>
              <w:top w:val="nil"/>
              <w:left w:val="nil"/>
              <w:bottom w:val="single" w:color="auto" w:sz="8" w:space="0"/>
              <w:right w:val="nil"/>
            </w:tcBorders>
            <w:shd w:val="clear" w:color="auto" w:fill="auto"/>
            <w:vAlign w:val="center"/>
          </w:tcPr>
          <w:p w14:paraId="1ADF2D05">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[Co(II)]</w:t>
            </w:r>
            <w:r>
              <w:rPr>
                <w:rFonts w:hint="default" w:ascii="Arial Regular" w:hAnsi="Arial Regular" w:eastAsia="等线" w:cs="Arial Regular"/>
                <w:color w:val="000000"/>
                <w:kern w:val="0"/>
                <w:sz w:val="20"/>
                <w:szCs w:val="20"/>
                <w:vertAlign w:val="subscript"/>
                <w:lang w:bidi="ar"/>
              </w:rPr>
              <w:t>0</w:t>
            </w:r>
            <w:r>
              <w:rPr>
                <w:rFonts w:hint="default" w:ascii="Arial Regular" w:hAnsi="Arial Regular" w:eastAsia="等线" w:cs="Arial Regular"/>
                <w:color w:val="000000"/>
                <w:kern w:val="0"/>
                <w:sz w:val="20"/>
                <w:szCs w:val="20"/>
                <w:lang w:bidi="ar"/>
              </w:rPr>
              <w:t>=100 μM</w:t>
            </w:r>
          </w:p>
        </w:tc>
        <w:tc>
          <w:tcPr>
            <w:tcW w:w="0" w:type="auto"/>
            <w:tcBorders>
              <w:top w:val="nil"/>
              <w:left w:val="nil"/>
              <w:bottom w:val="single" w:color="auto" w:sz="8" w:space="0"/>
              <w:right w:val="nil"/>
            </w:tcBorders>
            <w:shd w:val="clear" w:color="auto" w:fill="auto"/>
            <w:vAlign w:val="center"/>
          </w:tcPr>
          <w:p w14:paraId="0F38E02B">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2.36 ± 0.12</w:t>
            </w:r>
            <w:r>
              <w:rPr>
                <w:rFonts w:hint="default" w:ascii="Arial Regular" w:hAnsi="Arial Regular" w:eastAsia="等线" w:cs="Arial Regular"/>
                <w:color w:val="000000"/>
                <w:kern w:val="0"/>
                <w:sz w:val="20"/>
                <w:szCs w:val="20"/>
                <w:vertAlign w:val="superscript"/>
                <w:lang w:bidi="ar"/>
              </w:rPr>
              <w:t>a</w:t>
            </w:r>
          </w:p>
        </w:tc>
        <w:tc>
          <w:tcPr>
            <w:tcW w:w="0" w:type="auto"/>
            <w:tcBorders>
              <w:top w:val="nil"/>
              <w:left w:val="nil"/>
              <w:bottom w:val="single" w:color="auto" w:sz="8" w:space="0"/>
              <w:right w:val="nil"/>
            </w:tcBorders>
            <w:shd w:val="clear" w:color="auto" w:fill="auto"/>
            <w:vAlign w:val="center"/>
          </w:tcPr>
          <w:p w14:paraId="11783C2F">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14.32 ± 2.87</w:t>
            </w:r>
            <w:r>
              <w:rPr>
                <w:rFonts w:hint="default" w:ascii="Arial Regular" w:hAnsi="Arial Regular" w:eastAsia="等线" w:cs="Arial Regular"/>
                <w:color w:val="000000"/>
                <w:kern w:val="0"/>
                <w:sz w:val="20"/>
                <w:szCs w:val="20"/>
                <w:vertAlign w:val="superscript"/>
                <w:lang w:bidi="ar"/>
              </w:rPr>
              <w:t>a</w:t>
            </w:r>
          </w:p>
        </w:tc>
        <w:tc>
          <w:tcPr>
            <w:tcW w:w="0" w:type="auto"/>
            <w:tcBorders>
              <w:top w:val="nil"/>
              <w:left w:val="nil"/>
              <w:bottom w:val="single" w:color="auto" w:sz="8" w:space="0"/>
              <w:right w:val="nil"/>
            </w:tcBorders>
            <w:shd w:val="clear" w:color="auto" w:fill="auto"/>
            <w:vAlign w:val="center"/>
          </w:tcPr>
          <w:p w14:paraId="286BF909">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0.13 ± 0.01</w:t>
            </w:r>
            <w:r>
              <w:rPr>
                <w:rFonts w:hint="default" w:ascii="Arial Regular" w:hAnsi="Arial Regular" w:eastAsia="等线" w:cs="Arial Regular"/>
                <w:color w:val="000000"/>
                <w:kern w:val="0"/>
                <w:sz w:val="20"/>
                <w:szCs w:val="20"/>
                <w:vertAlign w:val="superscript"/>
                <w:lang w:bidi="ar"/>
              </w:rPr>
              <w:t>b</w:t>
            </w:r>
          </w:p>
        </w:tc>
      </w:tr>
      <w:tr w14:paraId="4785D64B">
        <w:trPr>
          <w:trHeight w:val="23" w:hRule="atLeast"/>
          <w:jc w:val="center"/>
        </w:trPr>
        <w:tc>
          <w:tcPr>
            <w:tcW w:w="0" w:type="auto"/>
            <w:tcBorders>
              <w:top w:val="nil"/>
              <w:left w:val="nil"/>
              <w:bottom w:val="nil"/>
              <w:right w:val="nil"/>
            </w:tcBorders>
            <w:shd w:val="clear" w:color="auto" w:fill="auto"/>
            <w:vAlign w:val="center"/>
          </w:tcPr>
          <w:p w14:paraId="130B4F13">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Control</w:t>
            </w:r>
          </w:p>
        </w:tc>
        <w:tc>
          <w:tcPr>
            <w:tcW w:w="0" w:type="auto"/>
            <w:tcBorders>
              <w:top w:val="nil"/>
              <w:left w:val="nil"/>
              <w:bottom w:val="nil"/>
              <w:right w:val="nil"/>
            </w:tcBorders>
            <w:shd w:val="clear" w:color="auto" w:fill="auto"/>
            <w:vAlign w:val="center"/>
          </w:tcPr>
          <w:p w14:paraId="65888842">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0.00 ± 0.00</w:t>
            </w:r>
            <w:r>
              <w:rPr>
                <w:rFonts w:hint="default" w:ascii="Arial Regular" w:hAnsi="Arial Regular" w:eastAsia="等线" w:cs="Arial Regular"/>
                <w:color w:val="000000"/>
                <w:kern w:val="0"/>
                <w:sz w:val="20"/>
                <w:szCs w:val="20"/>
                <w:vertAlign w:val="superscript"/>
                <w:lang w:bidi="ar"/>
              </w:rPr>
              <w:t>d</w:t>
            </w:r>
          </w:p>
        </w:tc>
        <w:tc>
          <w:tcPr>
            <w:tcW w:w="0" w:type="auto"/>
            <w:tcBorders>
              <w:top w:val="nil"/>
              <w:left w:val="nil"/>
              <w:bottom w:val="nil"/>
              <w:right w:val="nil"/>
            </w:tcBorders>
            <w:shd w:val="clear" w:color="auto" w:fill="auto"/>
            <w:vAlign w:val="center"/>
          </w:tcPr>
          <w:p w14:paraId="51D106F1">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2.90 ± 0.14</w:t>
            </w:r>
            <w:r>
              <w:rPr>
                <w:rFonts w:hint="default" w:ascii="Arial Regular" w:hAnsi="Arial Regular" w:eastAsia="等线" w:cs="Arial Regular"/>
                <w:color w:val="000000"/>
                <w:kern w:val="0"/>
                <w:sz w:val="20"/>
                <w:szCs w:val="20"/>
                <w:vertAlign w:val="superscript"/>
                <w:lang w:bidi="ar"/>
              </w:rPr>
              <w:t>c</w:t>
            </w:r>
          </w:p>
        </w:tc>
        <w:tc>
          <w:tcPr>
            <w:tcW w:w="0" w:type="auto"/>
            <w:tcBorders>
              <w:top w:val="nil"/>
              <w:left w:val="nil"/>
              <w:bottom w:val="nil"/>
              <w:right w:val="nil"/>
            </w:tcBorders>
            <w:shd w:val="clear" w:color="auto" w:fill="auto"/>
            <w:vAlign w:val="center"/>
          </w:tcPr>
          <w:p w14:paraId="2B20FF41">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0.19 ± 0.02</w:t>
            </w:r>
            <w:r>
              <w:rPr>
                <w:rFonts w:hint="default" w:ascii="Arial Regular" w:hAnsi="Arial Regular" w:eastAsia="等线" w:cs="Arial Regular"/>
                <w:color w:val="000000"/>
                <w:kern w:val="0"/>
                <w:sz w:val="20"/>
                <w:szCs w:val="20"/>
                <w:vertAlign w:val="superscript"/>
                <w:lang w:bidi="ar"/>
              </w:rPr>
              <w:t>a</w:t>
            </w:r>
          </w:p>
        </w:tc>
      </w:tr>
      <w:tr w14:paraId="781CB56C">
        <w:trPr>
          <w:trHeight w:val="23" w:hRule="atLeast"/>
          <w:jc w:val="center"/>
        </w:trPr>
        <w:tc>
          <w:tcPr>
            <w:tcW w:w="0" w:type="auto"/>
            <w:tcBorders>
              <w:top w:val="nil"/>
              <w:left w:val="nil"/>
              <w:bottom w:val="nil"/>
              <w:right w:val="nil"/>
            </w:tcBorders>
            <w:shd w:val="clear" w:color="auto" w:fill="auto"/>
            <w:vAlign w:val="center"/>
          </w:tcPr>
          <w:p w14:paraId="451B9ADE">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[Cu(II)]</w:t>
            </w:r>
            <w:r>
              <w:rPr>
                <w:rFonts w:hint="default" w:ascii="Arial Regular" w:hAnsi="Arial Regular" w:eastAsia="等线" w:cs="Arial Regular"/>
                <w:color w:val="000000"/>
                <w:kern w:val="0"/>
                <w:sz w:val="20"/>
                <w:szCs w:val="20"/>
                <w:vertAlign w:val="subscript"/>
                <w:lang w:bidi="ar"/>
              </w:rPr>
              <w:t>0</w:t>
            </w:r>
            <w:r>
              <w:rPr>
                <w:rFonts w:hint="default" w:ascii="Arial Regular" w:hAnsi="Arial Regular" w:eastAsia="等线" w:cs="Arial Regular"/>
                <w:color w:val="000000"/>
                <w:kern w:val="0"/>
                <w:sz w:val="20"/>
                <w:szCs w:val="20"/>
                <w:lang w:bidi="ar"/>
              </w:rPr>
              <w:t>=10 μM</w:t>
            </w:r>
          </w:p>
        </w:tc>
        <w:tc>
          <w:tcPr>
            <w:tcW w:w="0" w:type="auto"/>
            <w:tcBorders>
              <w:top w:val="nil"/>
              <w:left w:val="nil"/>
              <w:bottom w:val="nil"/>
              <w:right w:val="nil"/>
            </w:tcBorders>
            <w:shd w:val="clear" w:color="auto" w:fill="auto"/>
            <w:vAlign w:val="center"/>
          </w:tcPr>
          <w:p w14:paraId="2EC9D345">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0.38 ± 0.02</w:t>
            </w:r>
            <w:r>
              <w:rPr>
                <w:rFonts w:hint="default" w:ascii="Arial Regular" w:hAnsi="Arial Regular" w:eastAsia="等线" w:cs="Arial Regular"/>
                <w:color w:val="000000"/>
                <w:kern w:val="0"/>
                <w:sz w:val="20"/>
                <w:szCs w:val="20"/>
                <w:vertAlign w:val="superscript"/>
                <w:lang w:bidi="ar"/>
              </w:rPr>
              <w:t>d</w:t>
            </w:r>
          </w:p>
        </w:tc>
        <w:tc>
          <w:tcPr>
            <w:tcW w:w="0" w:type="auto"/>
            <w:tcBorders>
              <w:top w:val="nil"/>
              <w:left w:val="nil"/>
              <w:bottom w:val="nil"/>
              <w:right w:val="nil"/>
            </w:tcBorders>
            <w:shd w:val="clear" w:color="auto" w:fill="auto"/>
            <w:vAlign w:val="center"/>
          </w:tcPr>
          <w:p w14:paraId="6B864530">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13.76 ± 2.11</w:t>
            </w:r>
            <w:r>
              <w:rPr>
                <w:rFonts w:hint="default" w:ascii="Arial Regular" w:hAnsi="Arial Regular" w:eastAsia="等线" w:cs="Arial Regular"/>
                <w:color w:val="000000"/>
                <w:kern w:val="0"/>
                <w:sz w:val="20"/>
                <w:szCs w:val="20"/>
                <w:vertAlign w:val="superscript"/>
                <w:lang w:bidi="ar"/>
              </w:rPr>
              <w:t>b</w:t>
            </w:r>
          </w:p>
        </w:tc>
        <w:tc>
          <w:tcPr>
            <w:tcW w:w="0" w:type="auto"/>
            <w:tcBorders>
              <w:top w:val="nil"/>
              <w:left w:val="nil"/>
              <w:bottom w:val="nil"/>
              <w:right w:val="nil"/>
            </w:tcBorders>
            <w:shd w:val="clear" w:color="auto" w:fill="auto"/>
            <w:vAlign w:val="center"/>
          </w:tcPr>
          <w:p w14:paraId="61F1387B">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0.12 ± 0.01</w:t>
            </w:r>
            <w:r>
              <w:rPr>
                <w:rFonts w:hint="default" w:ascii="Arial Regular" w:hAnsi="Arial Regular" w:eastAsia="等线" w:cs="Arial Regular"/>
                <w:color w:val="000000"/>
                <w:kern w:val="0"/>
                <w:sz w:val="20"/>
                <w:szCs w:val="20"/>
                <w:vertAlign w:val="superscript"/>
                <w:lang w:bidi="ar"/>
              </w:rPr>
              <w:t>c</w:t>
            </w:r>
          </w:p>
        </w:tc>
      </w:tr>
      <w:tr w14:paraId="798A2775">
        <w:trPr>
          <w:trHeight w:val="23" w:hRule="atLeast"/>
          <w:jc w:val="center"/>
        </w:trPr>
        <w:tc>
          <w:tcPr>
            <w:tcW w:w="0" w:type="auto"/>
            <w:tcBorders>
              <w:top w:val="nil"/>
              <w:left w:val="nil"/>
              <w:bottom w:val="nil"/>
              <w:right w:val="nil"/>
            </w:tcBorders>
            <w:shd w:val="clear" w:color="auto" w:fill="auto"/>
            <w:vAlign w:val="center"/>
          </w:tcPr>
          <w:p w14:paraId="2516BE7D">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[Cu(II)]</w:t>
            </w:r>
            <w:r>
              <w:rPr>
                <w:rFonts w:hint="default" w:ascii="Arial Regular" w:hAnsi="Arial Regular" w:eastAsia="等线" w:cs="Arial Regular"/>
                <w:color w:val="000000"/>
                <w:kern w:val="0"/>
                <w:sz w:val="20"/>
                <w:szCs w:val="20"/>
                <w:vertAlign w:val="subscript"/>
                <w:lang w:bidi="ar"/>
              </w:rPr>
              <w:t>0</w:t>
            </w:r>
            <w:r>
              <w:rPr>
                <w:rFonts w:hint="default" w:ascii="Arial Regular" w:hAnsi="Arial Regular" w:eastAsia="等线" w:cs="Arial Regular"/>
                <w:color w:val="000000"/>
                <w:kern w:val="0"/>
                <w:sz w:val="20"/>
                <w:szCs w:val="20"/>
                <w:lang w:bidi="ar"/>
              </w:rPr>
              <w:t>=40 μM</w:t>
            </w:r>
          </w:p>
        </w:tc>
        <w:tc>
          <w:tcPr>
            <w:tcW w:w="0" w:type="auto"/>
            <w:tcBorders>
              <w:top w:val="nil"/>
              <w:left w:val="nil"/>
              <w:bottom w:val="nil"/>
              <w:right w:val="nil"/>
            </w:tcBorders>
            <w:shd w:val="clear" w:color="auto" w:fill="auto"/>
            <w:vAlign w:val="center"/>
          </w:tcPr>
          <w:p w14:paraId="0DE192A5">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2.09 ± 0.10</w:t>
            </w:r>
            <w:r>
              <w:rPr>
                <w:rFonts w:hint="default" w:ascii="Arial Regular" w:hAnsi="Arial Regular" w:eastAsia="等线" w:cs="Arial Regular"/>
                <w:color w:val="000000"/>
                <w:kern w:val="0"/>
                <w:sz w:val="20"/>
                <w:szCs w:val="20"/>
                <w:vertAlign w:val="superscript"/>
                <w:lang w:bidi="ar"/>
              </w:rPr>
              <w:t>c</w:t>
            </w:r>
          </w:p>
        </w:tc>
        <w:tc>
          <w:tcPr>
            <w:tcW w:w="0" w:type="auto"/>
            <w:tcBorders>
              <w:top w:val="nil"/>
              <w:left w:val="nil"/>
              <w:bottom w:val="nil"/>
              <w:right w:val="nil"/>
            </w:tcBorders>
            <w:shd w:val="clear" w:color="auto" w:fill="auto"/>
            <w:vAlign w:val="center"/>
          </w:tcPr>
          <w:p w14:paraId="7DB59483">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16.93 ± 4.23</w:t>
            </w:r>
            <w:r>
              <w:rPr>
                <w:rFonts w:hint="default" w:ascii="Arial Regular" w:hAnsi="Arial Regular" w:eastAsia="等线" w:cs="Arial Regular"/>
                <w:color w:val="000000"/>
                <w:kern w:val="0"/>
                <w:sz w:val="20"/>
                <w:szCs w:val="20"/>
                <w:vertAlign w:val="superscript"/>
                <w:lang w:bidi="ar"/>
              </w:rPr>
              <w:t>ab</w:t>
            </w:r>
          </w:p>
        </w:tc>
        <w:tc>
          <w:tcPr>
            <w:tcW w:w="0" w:type="auto"/>
            <w:tcBorders>
              <w:top w:val="nil"/>
              <w:left w:val="nil"/>
              <w:bottom w:val="nil"/>
              <w:right w:val="nil"/>
            </w:tcBorders>
            <w:shd w:val="clear" w:color="auto" w:fill="auto"/>
            <w:vAlign w:val="center"/>
          </w:tcPr>
          <w:p w14:paraId="2A4A330F">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0.13 ± 0.01</w:t>
            </w:r>
            <w:r>
              <w:rPr>
                <w:rFonts w:hint="default" w:ascii="Arial Regular" w:hAnsi="Arial Regular" w:eastAsia="等线" w:cs="Arial Regular"/>
                <w:color w:val="000000"/>
                <w:kern w:val="0"/>
                <w:sz w:val="20"/>
                <w:szCs w:val="20"/>
                <w:vertAlign w:val="superscript"/>
                <w:lang w:bidi="ar"/>
              </w:rPr>
              <w:t>bc</w:t>
            </w:r>
          </w:p>
        </w:tc>
      </w:tr>
      <w:tr w14:paraId="1E73E449">
        <w:trPr>
          <w:trHeight w:val="23" w:hRule="atLeast"/>
          <w:jc w:val="center"/>
        </w:trPr>
        <w:tc>
          <w:tcPr>
            <w:tcW w:w="0" w:type="auto"/>
            <w:tcBorders>
              <w:top w:val="nil"/>
              <w:left w:val="nil"/>
              <w:bottom w:val="nil"/>
              <w:right w:val="nil"/>
            </w:tcBorders>
            <w:shd w:val="clear" w:color="auto" w:fill="auto"/>
            <w:vAlign w:val="center"/>
          </w:tcPr>
          <w:p w14:paraId="3FBDA731">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[Cu(II)]</w:t>
            </w:r>
            <w:r>
              <w:rPr>
                <w:rFonts w:hint="default" w:ascii="Arial Regular" w:hAnsi="Arial Regular" w:eastAsia="等线" w:cs="Arial Regular"/>
                <w:color w:val="000000"/>
                <w:kern w:val="0"/>
                <w:sz w:val="20"/>
                <w:szCs w:val="20"/>
                <w:vertAlign w:val="subscript"/>
                <w:lang w:bidi="ar"/>
              </w:rPr>
              <w:t>0</w:t>
            </w:r>
            <w:r>
              <w:rPr>
                <w:rFonts w:hint="default" w:ascii="Arial Regular" w:hAnsi="Arial Regular" w:eastAsia="等线" w:cs="Arial Regular"/>
                <w:color w:val="000000"/>
                <w:kern w:val="0"/>
                <w:sz w:val="20"/>
                <w:szCs w:val="20"/>
                <w:lang w:bidi="ar"/>
              </w:rPr>
              <w:t>=80 μM</w:t>
            </w:r>
          </w:p>
        </w:tc>
        <w:tc>
          <w:tcPr>
            <w:tcW w:w="0" w:type="auto"/>
            <w:tcBorders>
              <w:top w:val="nil"/>
              <w:left w:val="nil"/>
              <w:bottom w:val="nil"/>
              <w:right w:val="nil"/>
            </w:tcBorders>
            <w:shd w:val="clear" w:color="auto" w:fill="auto"/>
            <w:vAlign w:val="center"/>
          </w:tcPr>
          <w:p w14:paraId="1C605649">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4.84 ± 0.44</w:t>
            </w:r>
            <w:r>
              <w:rPr>
                <w:rFonts w:hint="default" w:ascii="Arial Regular" w:hAnsi="Arial Regular" w:eastAsia="等线" w:cs="Arial Regular"/>
                <w:color w:val="000000"/>
                <w:kern w:val="0"/>
                <w:sz w:val="20"/>
                <w:szCs w:val="20"/>
                <w:vertAlign w:val="superscript"/>
                <w:lang w:bidi="ar"/>
              </w:rPr>
              <w:t>b</w:t>
            </w:r>
          </w:p>
        </w:tc>
        <w:tc>
          <w:tcPr>
            <w:tcW w:w="0" w:type="auto"/>
            <w:tcBorders>
              <w:top w:val="nil"/>
              <w:left w:val="nil"/>
              <w:bottom w:val="nil"/>
              <w:right w:val="nil"/>
            </w:tcBorders>
            <w:shd w:val="clear" w:color="auto" w:fill="auto"/>
            <w:vAlign w:val="center"/>
          </w:tcPr>
          <w:p w14:paraId="7666B3C1">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19.68 ± 2.39</w:t>
            </w:r>
            <w:r>
              <w:rPr>
                <w:rFonts w:hint="default" w:ascii="Arial Regular" w:hAnsi="Arial Regular" w:eastAsia="等线" w:cs="Arial Regular"/>
                <w:color w:val="000000"/>
                <w:kern w:val="0"/>
                <w:sz w:val="20"/>
                <w:szCs w:val="20"/>
                <w:vertAlign w:val="superscript"/>
                <w:lang w:bidi="ar"/>
              </w:rPr>
              <w:t>a</w:t>
            </w:r>
          </w:p>
        </w:tc>
        <w:tc>
          <w:tcPr>
            <w:tcW w:w="0" w:type="auto"/>
            <w:tcBorders>
              <w:top w:val="nil"/>
              <w:left w:val="nil"/>
              <w:bottom w:val="nil"/>
              <w:right w:val="nil"/>
            </w:tcBorders>
            <w:shd w:val="clear" w:color="auto" w:fill="auto"/>
            <w:vAlign w:val="center"/>
          </w:tcPr>
          <w:p w14:paraId="712A68BA">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0.14 ± 0.01</w:t>
            </w:r>
            <w:r>
              <w:rPr>
                <w:rFonts w:hint="default" w:ascii="Arial Regular" w:hAnsi="Arial Regular" w:eastAsia="等线" w:cs="Arial Regular"/>
                <w:color w:val="000000"/>
                <w:kern w:val="0"/>
                <w:sz w:val="20"/>
                <w:szCs w:val="20"/>
                <w:vertAlign w:val="superscript"/>
                <w:lang w:bidi="ar"/>
              </w:rPr>
              <w:t>bc</w:t>
            </w:r>
          </w:p>
        </w:tc>
      </w:tr>
      <w:tr w14:paraId="70F94BAA">
        <w:trPr>
          <w:trHeight w:val="23" w:hRule="atLeast"/>
          <w:jc w:val="center"/>
        </w:trPr>
        <w:tc>
          <w:tcPr>
            <w:tcW w:w="0" w:type="auto"/>
            <w:tcBorders>
              <w:top w:val="nil"/>
              <w:left w:val="nil"/>
              <w:bottom w:val="single" w:color="auto" w:sz="8" w:space="0"/>
              <w:right w:val="nil"/>
            </w:tcBorders>
            <w:shd w:val="clear" w:color="auto" w:fill="auto"/>
            <w:vAlign w:val="center"/>
          </w:tcPr>
          <w:p w14:paraId="70187853">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[Cu(II)]</w:t>
            </w:r>
            <w:r>
              <w:rPr>
                <w:rFonts w:hint="default" w:ascii="Arial Regular" w:hAnsi="Arial Regular" w:eastAsia="等线" w:cs="Arial Regular"/>
                <w:color w:val="000000"/>
                <w:kern w:val="0"/>
                <w:sz w:val="20"/>
                <w:szCs w:val="20"/>
                <w:vertAlign w:val="subscript"/>
                <w:lang w:bidi="ar"/>
              </w:rPr>
              <w:t>0</w:t>
            </w:r>
            <w:r>
              <w:rPr>
                <w:rFonts w:hint="default" w:ascii="Arial Regular" w:hAnsi="Arial Regular" w:eastAsia="等线" w:cs="Arial Regular"/>
                <w:color w:val="000000"/>
                <w:kern w:val="0"/>
                <w:sz w:val="20"/>
                <w:szCs w:val="20"/>
                <w:lang w:bidi="ar"/>
              </w:rPr>
              <w:t>=100 μM</w:t>
            </w:r>
          </w:p>
        </w:tc>
        <w:tc>
          <w:tcPr>
            <w:tcW w:w="0" w:type="auto"/>
            <w:tcBorders>
              <w:top w:val="nil"/>
              <w:left w:val="nil"/>
              <w:bottom w:val="single" w:color="auto" w:sz="8" w:space="0"/>
              <w:right w:val="nil"/>
            </w:tcBorders>
            <w:shd w:val="clear" w:color="auto" w:fill="auto"/>
            <w:vAlign w:val="center"/>
          </w:tcPr>
          <w:p w14:paraId="5DEBD1EA">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5.64 ± 0.28</w:t>
            </w:r>
            <w:r>
              <w:rPr>
                <w:rFonts w:hint="default" w:ascii="Arial Regular" w:hAnsi="Arial Regular" w:eastAsia="等线" w:cs="Arial Regular"/>
                <w:color w:val="000000"/>
                <w:kern w:val="0"/>
                <w:sz w:val="20"/>
                <w:szCs w:val="20"/>
                <w:vertAlign w:val="superscript"/>
                <w:lang w:bidi="ar"/>
              </w:rPr>
              <w:t>a</w:t>
            </w:r>
          </w:p>
        </w:tc>
        <w:tc>
          <w:tcPr>
            <w:tcW w:w="0" w:type="auto"/>
            <w:tcBorders>
              <w:top w:val="nil"/>
              <w:left w:val="nil"/>
              <w:bottom w:val="single" w:color="auto" w:sz="8" w:space="0"/>
              <w:right w:val="nil"/>
            </w:tcBorders>
            <w:shd w:val="clear" w:color="auto" w:fill="auto"/>
            <w:vAlign w:val="center"/>
          </w:tcPr>
          <w:p w14:paraId="6B753300">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21.70 ± 3.23</w:t>
            </w:r>
            <w:r>
              <w:rPr>
                <w:rFonts w:hint="default" w:ascii="Arial Regular" w:hAnsi="Arial Regular" w:eastAsia="等线" w:cs="Arial Regular"/>
                <w:color w:val="000000"/>
                <w:kern w:val="0"/>
                <w:sz w:val="20"/>
                <w:szCs w:val="20"/>
                <w:vertAlign w:val="superscript"/>
                <w:lang w:bidi="ar"/>
              </w:rPr>
              <w:t>a</w:t>
            </w:r>
          </w:p>
        </w:tc>
        <w:tc>
          <w:tcPr>
            <w:tcW w:w="0" w:type="auto"/>
            <w:tcBorders>
              <w:top w:val="nil"/>
              <w:left w:val="nil"/>
              <w:bottom w:val="single" w:color="auto" w:sz="8" w:space="0"/>
              <w:right w:val="nil"/>
            </w:tcBorders>
            <w:shd w:val="clear" w:color="auto" w:fill="auto"/>
            <w:vAlign w:val="center"/>
          </w:tcPr>
          <w:p w14:paraId="618FFC31">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0.15 ± 0.01</w:t>
            </w:r>
            <w:r>
              <w:rPr>
                <w:rFonts w:hint="default" w:ascii="Arial Regular" w:hAnsi="Arial Regular" w:eastAsia="等线" w:cs="Arial Regular"/>
                <w:color w:val="000000"/>
                <w:kern w:val="0"/>
                <w:sz w:val="20"/>
                <w:szCs w:val="20"/>
                <w:vertAlign w:val="superscript"/>
                <w:lang w:bidi="ar"/>
              </w:rPr>
              <w:t>b</w:t>
            </w:r>
          </w:p>
        </w:tc>
      </w:tr>
      <w:tr w14:paraId="4A8AE590">
        <w:trPr>
          <w:trHeight w:val="23" w:hRule="atLeast"/>
          <w:jc w:val="center"/>
        </w:trPr>
        <w:tc>
          <w:tcPr>
            <w:tcW w:w="0" w:type="auto"/>
            <w:tcBorders>
              <w:top w:val="nil"/>
              <w:left w:val="nil"/>
              <w:bottom w:val="nil"/>
              <w:right w:val="nil"/>
            </w:tcBorders>
            <w:shd w:val="clear" w:color="auto" w:fill="auto"/>
            <w:vAlign w:val="center"/>
          </w:tcPr>
          <w:p w14:paraId="0C76DC3F">
            <w:pPr>
              <w:widowControl/>
              <w:jc w:val="center"/>
              <w:textAlignment w:val="center"/>
              <w:rPr>
                <w:rFonts w:hint="default" w:ascii="Arial Regular" w:hAnsi="Arial Regular" w:eastAsia="等线" w:cs="Arial Regular"/>
                <w:color w:val="000000"/>
                <w:kern w:val="0"/>
                <w:sz w:val="20"/>
                <w:szCs w:val="20"/>
                <w:lang w:bidi="ar"/>
              </w:rPr>
            </w:pPr>
            <w:r>
              <w:rPr>
                <w:rFonts w:hint="default" w:ascii="Arial Regular" w:hAnsi="Arial Regular" w:eastAsia="等线" w:cs="Arial Regular"/>
                <w:color w:val="000000"/>
                <w:kern w:val="0"/>
                <w:sz w:val="20"/>
                <w:szCs w:val="20"/>
                <w:lang w:bidi="ar"/>
              </w:rPr>
              <w:t>Control</w:t>
            </w:r>
          </w:p>
        </w:tc>
        <w:tc>
          <w:tcPr>
            <w:tcW w:w="0" w:type="auto"/>
            <w:tcBorders>
              <w:top w:val="nil"/>
              <w:left w:val="nil"/>
              <w:bottom w:val="nil"/>
              <w:right w:val="nil"/>
            </w:tcBorders>
            <w:shd w:val="clear" w:color="auto" w:fill="auto"/>
            <w:vAlign w:val="center"/>
          </w:tcPr>
          <w:p w14:paraId="479CD8D3">
            <w:pPr>
              <w:widowControl/>
              <w:jc w:val="center"/>
              <w:textAlignment w:val="center"/>
              <w:rPr>
                <w:rFonts w:hint="default" w:ascii="Arial Regular" w:hAnsi="Arial Regular" w:eastAsia="等线" w:cs="Arial Regular"/>
                <w:color w:val="000000"/>
                <w:kern w:val="0"/>
                <w:sz w:val="20"/>
                <w:szCs w:val="20"/>
                <w:lang w:bidi="ar"/>
              </w:rPr>
            </w:pPr>
            <w:r>
              <w:rPr>
                <w:rFonts w:hint="default" w:ascii="Arial Regular" w:hAnsi="Arial Regular" w:eastAsia="等线" w:cs="Arial Regular"/>
                <w:color w:val="000000"/>
                <w:kern w:val="0"/>
                <w:sz w:val="20"/>
                <w:szCs w:val="20"/>
                <w:lang w:bidi="ar"/>
              </w:rPr>
              <w:t>0.00 ± 0.00</w:t>
            </w:r>
            <w:r>
              <w:rPr>
                <w:rFonts w:hint="default" w:ascii="Arial Regular" w:hAnsi="Arial Regular" w:eastAsia="等线" w:cs="Arial Regular"/>
                <w:color w:val="000000"/>
                <w:kern w:val="0"/>
                <w:sz w:val="20"/>
                <w:szCs w:val="20"/>
                <w:vertAlign w:val="superscript"/>
                <w:lang w:bidi="ar"/>
              </w:rPr>
              <w:t>d</w:t>
            </w:r>
          </w:p>
        </w:tc>
        <w:tc>
          <w:tcPr>
            <w:tcW w:w="0" w:type="auto"/>
            <w:tcBorders>
              <w:top w:val="nil"/>
              <w:left w:val="nil"/>
              <w:bottom w:val="nil"/>
              <w:right w:val="nil"/>
            </w:tcBorders>
            <w:shd w:val="clear" w:color="auto" w:fill="auto"/>
            <w:vAlign w:val="center"/>
          </w:tcPr>
          <w:p w14:paraId="17858220">
            <w:pPr>
              <w:widowControl/>
              <w:jc w:val="center"/>
              <w:textAlignment w:val="center"/>
              <w:rPr>
                <w:rFonts w:hint="default" w:ascii="Arial Regular" w:hAnsi="Arial Regular" w:eastAsia="等线" w:cs="Arial Regular"/>
                <w:color w:val="000000"/>
                <w:kern w:val="0"/>
                <w:sz w:val="20"/>
                <w:szCs w:val="20"/>
                <w:lang w:bidi="ar"/>
              </w:rPr>
            </w:pPr>
            <w:r>
              <w:rPr>
                <w:rFonts w:hint="default" w:ascii="Arial Regular" w:hAnsi="Arial Regular" w:eastAsia="等线" w:cs="Arial Regular"/>
                <w:color w:val="000000"/>
                <w:kern w:val="0"/>
                <w:sz w:val="20"/>
                <w:szCs w:val="20"/>
                <w:lang w:bidi="ar"/>
              </w:rPr>
              <w:t>2.90 ± 0.14</w:t>
            </w:r>
            <w:r>
              <w:rPr>
                <w:rFonts w:hint="default" w:ascii="Arial Regular" w:hAnsi="Arial Regular" w:eastAsia="等线" w:cs="Arial Regular"/>
                <w:color w:val="000000"/>
                <w:kern w:val="0"/>
                <w:sz w:val="20"/>
                <w:szCs w:val="20"/>
                <w:vertAlign w:val="superscript"/>
                <w:lang w:bidi="ar"/>
              </w:rPr>
              <w:t>a</w:t>
            </w:r>
          </w:p>
        </w:tc>
        <w:tc>
          <w:tcPr>
            <w:tcW w:w="0" w:type="auto"/>
            <w:tcBorders>
              <w:top w:val="nil"/>
              <w:left w:val="nil"/>
              <w:bottom w:val="nil"/>
              <w:right w:val="nil"/>
            </w:tcBorders>
            <w:shd w:val="clear" w:color="auto" w:fill="auto"/>
            <w:vAlign w:val="center"/>
          </w:tcPr>
          <w:p w14:paraId="20E4D97F">
            <w:pPr>
              <w:widowControl/>
              <w:jc w:val="center"/>
              <w:textAlignment w:val="center"/>
              <w:rPr>
                <w:rFonts w:hint="default" w:ascii="Arial Regular" w:hAnsi="Arial Regular" w:eastAsia="等线" w:cs="Arial Regular"/>
                <w:color w:val="000000"/>
                <w:kern w:val="0"/>
                <w:sz w:val="20"/>
                <w:szCs w:val="20"/>
                <w:lang w:bidi="ar"/>
              </w:rPr>
            </w:pPr>
            <w:r>
              <w:rPr>
                <w:rFonts w:hint="default" w:ascii="Arial Regular" w:hAnsi="Arial Regular" w:eastAsia="等线" w:cs="Arial Regular"/>
                <w:color w:val="000000"/>
                <w:kern w:val="0"/>
                <w:sz w:val="20"/>
                <w:szCs w:val="20"/>
                <w:lang w:bidi="ar"/>
              </w:rPr>
              <w:t>0.19 ± 0.02</w:t>
            </w:r>
            <w:r>
              <w:rPr>
                <w:rFonts w:hint="default" w:ascii="Arial Regular" w:hAnsi="Arial Regular" w:eastAsia="等线" w:cs="Arial Regular"/>
                <w:color w:val="000000"/>
                <w:kern w:val="0"/>
                <w:sz w:val="20"/>
                <w:szCs w:val="20"/>
                <w:vertAlign w:val="superscript"/>
                <w:lang w:bidi="ar"/>
              </w:rPr>
              <w:t>a</w:t>
            </w:r>
          </w:p>
        </w:tc>
      </w:tr>
      <w:tr w14:paraId="14792F19">
        <w:trPr>
          <w:trHeight w:val="23" w:hRule="atLeast"/>
          <w:jc w:val="center"/>
        </w:trPr>
        <w:tc>
          <w:tcPr>
            <w:tcW w:w="0" w:type="auto"/>
            <w:tcBorders>
              <w:top w:val="nil"/>
              <w:left w:val="nil"/>
              <w:bottom w:val="nil"/>
              <w:right w:val="nil"/>
            </w:tcBorders>
            <w:shd w:val="clear" w:color="auto" w:fill="auto"/>
            <w:vAlign w:val="center"/>
          </w:tcPr>
          <w:p w14:paraId="3456026A">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[Fe(II)]</w:t>
            </w:r>
            <w:r>
              <w:rPr>
                <w:rFonts w:hint="default" w:ascii="Arial Regular" w:hAnsi="Arial Regular" w:eastAsia="等线" w:cs="Arial Regular"/>
                <w:color w:val="000000"/>
                <w:kern w:val="0"/>
                <w:sz w:val="20"/>
                <w:szCs w:val="20"/>
                <w:vertAlign w:val="subscript"/>
                <w:lang w:bidi="ar"/>
              </w:rPr>
              <w:t>0</w:t>
            </w:r>
            <w:r>
              <w:rPr>
                <w:rFonts w:hint="default" w:ascii="Arial Regular" w:hAnsi="Arial Regular" w:eastAsia="等线" w:cs="Arial Regular"/>
                <w:color w:val="000000"/>
                <w:kern w:val="0"/>
                <w:sz w:val="20"/>
                <w:szCs w:val="20"/>
                <w:lang w:bidi="ar"/>
              </w:rPr>
              <w:t>=10 μM</w:t>
            </w:r>
          </w:p>
        </w:tc>
        <w:tc>
          <w:tcPr>
            <w:tcW w:w="0" w:type="auto"/>
            <w:tcBorders>
              <w:top w:val="nil"/>
              <w:left w:val="nil"/>
              <w:bottom w:val="nil"/>
              <w:right w:val="nil"/>
            </w:tcBorders>
            <w:shd w:val="clear" w:color="auto" w:fill="auto"/>
            <w:vAlign w:val="center"/>
          </w:tcPr>
          <w:p w14:paraId="44E4B3DE">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0.75 ± 0.04</w:t>
            </w:r>
            <w:r>
              <w:rPr>
                <w:rFonts w:hint="default" w:ascii="Arial Regular" w:hAnsi="Arial Regular" w:eastAsia="等线" w:cs="Arial Regular"/>
                <w:color w:val="000000"/>
                <w:kern w:val="0"/>
                <w:sz w:val="20"/>
                <w:szCs w:val="20"/>
                <w:vertAlign w:val="superscript"/>
                <w:lang w:bidi="ar"/>
              </w:rPr>
              <w:t>c</w:t>
            </w:r>
          </w:p>
        </w:tc>
        <w:tc>
          <w:tcPr>
            <w:tcW w:w="0" w:type="auto"/>
            <w:tcBorders>
              <w:top w:val="nil"/>
              <w:left w:val="nil"/>
              <w:bottom w:val="nil"/>
              <w:right w:val="nil"/>
            </w:tcBorders>
            <w:shd w:val="clear" w:color="auto" w:fill="auto"/>
            <w:vAlign w:val="center"/>
          </w:tcPr>
          <w:p w14:paraId="7216D42F">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6.28 ± 1.96</w:t>
            </w:r>
            <w:r>
              <w:rPr>
                <w:rFonts w:hint="default" w:ascii="Arial Regular" w:hAnsi="Arial Regular" w:eastAsia="等线" w:cs="Arial Regular"/>
                <w:color w:val="000000"/>
                <w:kern w:val="0"/>
                <w:sz w:val="20"/>
                <w:szCs w:val="20"/>
                <w:vertAlign w:val="superscript"/>
                <w:lang w:bidi="ar"/>
              </w:rPr>
              <w:t>a</w:t>
            </w:r>
          </w:p>
        </w:tc>
        <w:tc>
          <w:tcPr>
            <w:tcW w:w="0" w:type="auto"/>
            <w:tcBorders>
              <w:top w:val="nil"/>
              <w:left w:val="nil"/>
              <w:bottom w:val="nil"/>
              <w:right w:val="nil"/>
            </w:tcBorders>
            <w:shd w:val="clear" w:color="auto" w:fill="auto"/>
            <w:vAlign w:val="center"/>
          </w:tcPr>
          <w:p w14:paraId="293A00F2">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0.10 ± 0.01</w:t>
            </w:r>
            <w:r>
              <w:rPr>
                <w:rFonts w:hint="default" w:ascii="Arial Regular" w:hAnsi="Arial Regular" w:eastAsia="等线" w:cs="Arial Regular"/>
                <w:color w:val="000000"/>
                <w:kern w:val="0"/>
                <w:sz w:val="20"/>
                <w:szCs w:val="20"/>
                <w:vertAlign w:val="superscript"/>
                <w:lang w:bidi="ar"/>
              </w:rPr>
              <w:t>b</w:t>
            </w:r>
          </w:p>
        </w:tc>
      </w:tr>
      <w:tr w14:paraId="66A80A5A">
        <w:trPr>
          <w:trHeight w:val="23" w:hRule="atLeast"/>
          <w:jc w:val="center"/>
        </w:trPr>
        <w:tc>
          <w:tcPr>
            <w:tcW w:w="0" w:type="auto"/>
            <w:tcBorders>
              <w:top w:val="nil"/>
              <w:left w:val="nil"/>
              <w:bottom w:val="nil"/>
              <w:right w:val="nil"/>
            </w:tcBorders>
            <w:shd w:val="clear" w:color="auto" w:fill="auto"/>
            <w:vAlign w:val="center"/>
          </w:tcPr>
          <w:p w14:paraId="150A9A1B">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[Fe(II)]</w:t>
            </w:r>
            <w:r>
              <w:rPr>
                <w:rFonts w:hint="default" w:ascii="Arial Regular" w:hAnsi="Arial Regular" w:eastAsia="等线" w:cs="Arial Regular"/>
                <w:color w:val="000000"/>
                <w:kern w:val="0"/>
                <w:sz w:val="20"/>
                <w:szCs w:val="20"/>
                <w:vertAlign w:val="subscript"/>
                <w:lang w:bidi="ar"/>
              </w:rPr>
              <w:t>0</w:t>
            </w:r>
            <w:r>
              <w:rPr>
                <w:rFonts w:hint="default" w:ascii="Arial Regular" w:hAnsi="Arial Regular" w:eastAsia="等线" w:cs="Arial Regular"/>
                <w:color w:val="000000"/>
                <w:kern w:val="0"/>
                <w:sz w:val="20"/>
                <w:szCs w:val="20"/>
                <w:lang w:bidi="ar"/>
              </w:rPr>
              <w:t>=40 μM</w:t>
            </w:r>
          </w:p>
        </w:tc>
        <w:tc>
          <w:tcPr>
            <w:tcW w:w="0" w:type="auto"/>
            <w:tcBorders>
              <w:top w:val="nil"/>
              <w:left w:val="nil"/>
              <w:bottom w:val="nil"/>
              <w:right w:val="nil"/>
            </w:tcBorders>
            <w:shd w:val="clear" w:color="auto" w:fill="auto"/>
            <w:vAlign w:val="center"/>
          </w:tcPr>
          <w:p w14:paraId="0AF239FE">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2.16 ± 0.11</w:t>
            </w:r>
            <w:r>
              <w:rPr>
                <w:rFonts w:hint="default" w:ascii="Arial Regular" w:hAnsi="Arial Regular" w:eastAsia="等线" w:cs="Arial Regular"/>
                <w:color w:val="000000"/>
                <w:kern w:val="0"/>
                <w:sz w:val="20"/>
                <w:szCs w:val="20"/>
                <w:vertAlign w:val="superscript"/>
                <w:lang w:bidi="ar"/>
              </w:rPr>
              <w:t>b</w:t>
            </w:r>
          </w:p>
        </w:tc>
        <w:tc>
          <w:tcPr>
            <w:tcW w:w="0" w:type="auto"/>
            <w:tcBorders>
              <w:top w:val="nil"/>
              <w:left w:val="nil"/>
              <w:bottom w:val="nil"/>
              <w:right w:val="nil"/>
            </w:tcBorders>
            <w:shd w:val="clear" w:color="auto" w:fill="auto"/>
            <w:vAlign w:val="center"/>
          </w:tcPr>
          <w:p w14:paraId="07D264EB">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1.96 ± 0.66</w:t>
            </w:r>
            <w:r>
              <w:rPr>
                <w:rFonts w:hint="default" w:ascii="Arial Regular" w:hAnsi="Arial Regular" w:eastAsia="等线" w:cs="Arial Regular"/>
                <w:color w:val="000000"/>
                <w:kern w:val="0"/>
                <w:sz w:val="20"/>
                <w:szCs w:val="20"/>
                <w:vertAlign w:val="superscript"/>
                <w:lang w:bidi="ar"/>
              </w:rPr>
              <w:t>b</w:t>
            </w:r>
          </w:p>
        </w:tc>
        <w:tc>
          <w:tcPr>
            <w:tcW w:w="0" w:type="auto"/>
            <w:tcBorders>
              <w:top w:val="nil"/>
              <w:left w:val="nil"/>
              <w:bottom w:val="nil"/>
              <w:right w:val="nil"/>
            </w:tcBorders>
            <w:shd w:val="clear" w:color="auto" w:fill="auto"/>
            <w:vAlign w:val="center"/>
          </w:tcPr>
          <w:p w14:paraId="7681CC8F">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0.09 ± 0.01</w:t>
            </w:r>
            <w:r>
              <w:rPr>
                <w:rFonts w:hint="default" w:ascii="Arial Regular" w:hAnsi="Arial Regular" w:eastAsia="等线" w:cs="Arial Regular"/>
                <w:color w:val="000000"/>
                <w:kern w:val="0"/>
                <w:sz w:val="20"/>
                <w:szCs w:val="20"/>
                <w:vertAlign w:val="superscript"/>
                <w:lang w:bidi="ar"/>
              </w:rPr>
              <w:t>b</w:t>
            </w:r>
          </w:p>
        </w:tc>
      </w:tr>
      <w:tr w14:paraId="41FD5B26">
        <w:trPr>
          <w:trHeight w:val="23" w:hRule="atLeast"/>
          <w:jc w:val="center"/>
        </w:trPr>
        <w:tc>
          <w:tcPr>
            <w:tcW w:w="0" w:type="auto"/>
            <w:tcBorders>
              <w:top w:val="nil"/>
              <w:left w:val="nil"/>
              <w:bottom w:val="nil"/>
              <w:right w:val="nil"/>
            </w:tcBorders>
            <w:shd w:val="clear" w:color="auto" w:fill="auto"/>
            <w:vAlign w:val="center"/>
          </w:tcPr>
          <w:p w14:paraId="41823AF2">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[Fe(II)]</w:t>
            </w:r>
            <w:r>
              <w:rPr>
                <w:rFonts w:hint="default" w:ascii="Arial Regular" w:hAnsi="Arial Regular" w:eastAsia="等线" w:cs="Arial Regular"/>
                <w:color w:val="000000"/>
                <w:kern w:val="0"/>
                <w:sz w:val="20"/>
                <w:szCs w:val="20"/>
                <w:vertAlign w:val="subscript"/>
                <w:lang w:bidi="ar"/>
              </w:rPr>
              <w:t>0</w:t>
            </w:r>
            <w:r>
              <w:rPr>
                <w:rFonts w:hint="default" w:ascii="Arial Regular" w:hAnsi="Arial Regular" w:eastAsia="等线" w:cs="Arial Regular"/>
                <w:color w:val="000000"/>
                <w:kern w:val="0"/>
                <w:sz w:val="20"/>
                <w:szCs w:val="20"/>
                <w:lang w:bidi="ar"/>
              </w:rPr>
              <w:t>=80 μM</w:t>
            </w:r>
          </w:p>
        </w:tc>
        <w:tc>
          <w:tcPr>
            <w:tcW w:w="0" w:type="auto"/>
            <w:tcBorders>
              <w:top w:val="nil"/>
              <w:left w:val="nil"/>
              <w:bottom w:val="nil"/>
              <w:right w:val="nil"/>
            </w:tcBorders>
            <w:shd w:val="clear" w:color="auto" w:fill="auto"/>
            <w:vAlign w:val="center"/>
          </w:tcPr>
          <w:p w14:paraId="16EFC12C">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3.72 ± 0.17</w:t>
            </w:r>
            <w:r>
              <w:rPr>
                <w:rFonts w:hint="default" w:ascii="Arial Regular" w:hAnsi="Arial Regular" w:eastAsia="等线" w:cs="Arial Regular"/>
                <w:color w:val="000000"/>
                <w:kern w:val="0"/>
                <w:sz w:val="20"/>
                <w:szCs w:val="20"/>
                <w:vertAlign w:val="superscript"/>
                <w:lang w:bidi="ar"/>
              </w:rPr>
              <w:t>a</w:t>
            </w:r>
          </w:p>
        </w:tc>
        <w:tc>
          <w:tcPr>
            <w:tcW w:w="0" w:type="auto"/>
            <w:tcBorders>
              <w:top w:val="nil"/>
              <w:left w:val="nil"/>
              <w:bottom w:val="nil"/>
              <w:right w:val="nil"/>
            </w:tcBorders>
            <w:shd w:val="clear" w:color="auto" w:fill="auto"/>
            <w:vAlign w:val="center"/>
          </w:tcPr>
          <w:p w14:paraId="1298D433">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7.34 ± 1.37</w:t>
            </w:r>
            <w:r>
              <w:rPr>
                <w:rFonts w:hint="default" w:ascii="Arial Regular" w:hAnsi="Arial Regular" w:eastAsia="等线" w:cs="Arial Regular"/>
                <w:color w:val="000000"/>
                <w:kern w:val="0"/>
                <w:sz w:val="20"/>
                <w:szCs w:val="20"/>
                <w:vertAlign w:val="superscript"/>
                <w:lang w:bidi="ar"/>
              </w:rPr>
              <w:t>b</w:t>
            </w:r>
          </w:p>
        </w:tc>
        <w:tc>
          <w:tcPr>
            <w:tcW w:w="0" w:type="auto"/>
            <w:tcBorders>
              <w:top w:val="nil"/>
              <w:left w:val="nil"/>
              <w:bottom w:val="nil"/>
              <w:right w:val="nil"/>
            </w:tcBorders>
            <w:shd w:val="clear" w:color="auto" w:fill="auto"/>
            <w:vAlign w:val="center"/>
          </w:tcPr>
          <w:p w14:paraId="3A0698CF">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0.09 ± 0.01</w:t>
            </w:r>
            <w:r>
              <w:rPr>
                <w:rFonts w:hint="default" w:ascii="Arial Regular" w:hAnsi="Arial Regular" w:eastAsia="等线" w:cs="Arial Regular"/>
                <w:color w:val="000000"/>
                <w:kern w:val="0"/>
                <w:sz w:val="20"/>
                <w:szCs w:val="20"/>
                <w:vertAlign w:val="superscript"/>
                <w:lang w:bidi="ar"/>
              </w:rPr>
              <w:t>b</w:t>
            </w:r>
          </w:p>
        </w:tc>
      </w:tr>
      <w:tr w14:paraId="6A667BED">
        <w:trPr>
          <w:trHeight w:val="23" w:hRule="atLeast"/>
          <w:jc w:val="center"/>
        </w:trPr>
        <w:tc>
          <w:tcPr>
            <w:tcW w:w="0" w:type="auto"/>
            <w:tcBorders>
              <w:top w:val="nil"/>
              <w:left w:val="nil"/>
              <w:bottom w:val="single" w:color="auto" w:sz="8" w:space="0"/>
              <w:right w:val="nil"/>
            </w:tcBorders>
            <w:shd w:val="clear" w:color="auto" w:fill="auto"/>
            <w:vAlign w:val="center"/>
          </w:tcPr>
          <w:p w14:paraId="46FDF9AF">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[Fe(II)]</w:t>
            </w:r>
            <w:r>
              <w:rPr>
                <w:rFonts w:hint="default" w:ascii="Arial Regular" w:hAnsi="Arial Regular" w:eastAsia="等线" w:cs="Arial Regular"/>
                <w:color w:val="000000"/>
                <w:kern w:val="0"/>
                <w:sz w:val="20"/>
                <w:szCs w:val="20"/>
                <w:vertAlign w:val="subscript"/>
                <w:lang w:bidi="ar"/>
              </w:rPr>
              <w:t>0</w:t>
            </w:r>
            <w:r>
              <w:rPr>
                <w:rFonts w:hint="default" w:ascii="Arial Regular" w:hAnsi="Arial Regular" w:eastAsia="等线" w:cs="Arial Regular"/>
                <w:color w:val="000000"/>
                <w:kern w:val="0"/>
                <w:sz w:val="20"/>
                <w:szCs w:val="20"/>
                <w:lang w:bidi="ar"/>
              </w:rPr>
              <w:t>=100 μM</w:t>
            </w:r>
          </w:p>
        </w:tc>
        <w:tc>
          <w:tcPr>
            <w:tcW w:w="0" w:type="auto"/>
            <w:tcBorders>
              <w:top w:val="nil"/>
              <w:left w:val="nil"/>
              <w:bottom w:val="single" w:color="auto" w:sz="8" w:space="0"/>
              <w:right w:val="nil"/>
            </w:tcBorders>
            <w:shd w:val="clear" w:color="auto" w:fill="auto"/>
            <w:vAlign w:val="center"/>
          </w:tcPr>
          <w:p w14:paraId="07F93245">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3.93 ± 0.20</w:t>
            </w:r>
            <w:r>
              <w:rPr>
                <w:rFonts w:hint="default" w:ascii="Arial Regular" w:hAnsi="Arial Regular" w:eastAsia="等线" w:cs="Arial Regular"/>
                <w:color w:val="000000"/>
                <w:kern w:val="0"/>
                <w:sz w:val="20"/>
                <w:szCs w:val="20"/>
                <w:vertAlign w:val="superscript"/>
                <w:lang w:bidi="ar"/>
              </w:rPr>
              <w:t>a</w:t>
            </w:r>
          </w:p>
        </w:tc>
        <w:tc>
          <w:tcPr>
            <w:tcW w:w="0" w:type="auto"/>
            <w:tcBorders>
              <w:top w:val="nil"/>
              <w:left w:val="nil"/>
              <w:bottom w:val="single" w:color="auto" w:sz="8" w:space="0"/>
              <w:right w:val="nil"/>
            </w:tcBorders>
            <w:shd w:val="clear" w:color="auto" w:fill="auto"/>
            <w:vAlign w:val="center"/>
          </w:tcPr>
          <w:p w14:paraId="48ECD526">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10.52 ± 2.86</w:t>
            </w:r>
            <w:r>
              <w:rPr>
                <w:rFonts w:hint="default" w:ascii="Arial Regular" w:hAnsi="Arial Regular" w:eastAsia="等线" w:cs="Arial Regular"/>
                <w:color w:val="000000"/>
                <w:kern w:val="0"/>
                <w:sz w:val="20"/>
                <w:szCs w:val="20"/>
                <w:vertAlign w:val="superscript"/>
                <w:lang w:bidi="ar"/>
              </w:rPr>
              <w:t>a</w:t>
            </w:r>
          </w:p>
        </w:tc>
        <w:tc>
          <w:tcPr>
            <w:tcW w:w="0" w:type="auto"/>
            <w:tcBorders>
              <w:top w:val="nil"/>
              <w:left w:val="nil"/>
              <w:bottom w:val="single" w:color="auto" w:sz="8" w:space="0"/>
              <w:right w:val="nil"/>
            </w:tcBorders>
            <w:shd w:val="clear" w:color="auto" w:fill="auto"/>
            <w:vAlign w:val="center"/>
          </w:tcPr>
          <w:p w14:paraId="4C8D7E46">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0.10 ± 0.01</w:t>
            </w:r>
            <w:r>
              <w:rPr>
                <w:rFonts w:hint="default" w:ascii="Arial Regular" w:hAnsi="Arial Regular" w:eastAsia="等线" w:cs="Arial Regular"/>
                <w:color w:val="000000"/>
                <w:kern w:val="0"/>
                <w:sz w:val="20"/>
                <w:szCs w:val="20"/>
                <w:vertAlign w:val="superscript"/>
                <w:lang w:bidi="ar"/>
              </w:rPr>
              <w:t>b</w:t>
            </w:r>
          </w:p>
        </w:tc>
      </w:tr>
      <w:tr w14:paraId="45FA81E9">
        <w:trPr>
          <w:trHeight w:val="23" w:hRule="atLeast"/>
          <w:jc w:val="center"/>
        </w:trPr>
        <w:tc>
          <w:tcPr>
            <w:tcW w:w="0" w:type="auto"/>
            <w:tcBorders>
              <w:top w:val="nil"/>
              <w:left w:val="nil"/>
              <w:bottom w:val="nil"/>
              <w:right w:val="nil"/>
            </w:tcBorders>
            <w:shd w:val="clear" w:color="auto" w:fill="auto"/>
            <w:vAlign w:val="center"/>
          </w:tcPr>
          <w:p w14:paraId="280479AD">
            <w:pPr>
              <w:widowControl/>
              <w:jc w:val="center"/>
              <w:textAlignment w:val="center"/>
              <w:rPr>
                <w:rFonts w:hint="default" w:ascii="Arial Regular" w:hAnsi="Arial Regular" w:eastAsia="等线" w:cs="Arial Regular"/>
                <w:color w:val="000000"/>
                <w:kern w:val="0"/>
                <w:sz w:val="20"/>
                <w:szCs w:val="20"/>
                <w:lang w:bidi="ar"/>
              </w:rPr>
            </w:pPr>
            <w:r>
              <w:rPr>
                <w:rFonts w:hint="default" w:ascii="Arial Regular" w:hAnsi="Arial Regular" w:eastAsia="等线" w:cs="Arial Regular"/>
                <w:color w:val="000000"/>
                <w:kern w:val="0"/>
                <w:sz w:val="20"/>
                <w:szCs w:val="20"/>
                <w:lang w:bidi="ar"/>
              </w:rPr>
              <w:t>Control</w:t>
            </w:r>
          </w:p>
        </w:tc>
        <w:tc>
          <w:tcPr>
            <w:tcW w:w="0" w:type="auto"/>
            <w:tcBorders>
              <w:top w:val="nil"/>
              <w:left w:val="nil"/>
              <w:bottom w:val="nil"/>
              <w:right w:val="nil"/>
            </w:tcBorders>
            <w:shd w:val="clear" w:color="auto" w:fill="auto"/>
            <w:vAlign w:val="center"/>
          </w:tcPr>
          <w:p w14:paraId="25B9E3F5">
            <w:pPr>
              <w:widowControl/>
              <w:jc w:val="center"/>
              <w:textAlignment w:val="center"/>
              <w:rPr>
                <w:rFonts w:hint="default" w:ascii="Arial Regular" w:hAnsi="Arial Regular" w:eastAsia="等线" w:cs="Arial Regular"/>
                <w:color w:val="000000"/>
                <w:kern w:val="0"/>
                <w:sz w:val="20"/>
                <w:szCs w:val="20"/>
                <w:lang w:bidi="ar"/>
              </w:rPr>
            </w:pPr>
            <w:r>
              <w:rPr>
                <w:rFonts w:hint="default" w:ascii="Arial Regular" w:hAnsi="Arial Regular" w:eastAsia="等线" w:cs="Arial Regular"/>
                <w:color w:val="000000"/>
                <w:kern w:val="0"/>
                <w:sz w:val="20"/>
                <w:szCs w:val="20"/>
                <w:lang w:bidi="ar"/>
              </w:rPr>
              <w:t>0.00 ± 0.00</w:t>
            </w:r>
            <w:r>
              <w:rPr>
                <w:rFonts w:hint="default" w:ascii="Arial Regular" w:hAnsi="Arial Regular" w:eastAsia="等线" w:cs="Arial Regular"/>
                <w:color w:val="000000"/>
                <w:kern w:val="0"/>
                <w:sz w:val="20"/>
                <w:szCs w:val="20"/>
                <w:vertAlign w:val="superscript"/>
                <w:lang w:bidi="ar"/>
              </w:rPr>
              <w:t>c</w:t>
            </w:r>
          </w:p>
        </w:tc>
        <w:tc>
          <w:tcPr>
            <w:tcW w:w="0" w:type="auto"/>
            <w:tcBorders>
              <w:top w:val="nil"/>
              <w:left w:val="nil"/>
              <w:bottom w:val="nil"/>
              <w:right w:val="nil"/>
            </w:tcBorders>
            <w:shd w:val="clear" w:color="auto" w:fill="auto"/>
            <w:vAlign w:val="center"/>
          </w:tcPr>
          <w:p w14:paraId="62F7CA12">
            <w:pPr>
              <w:widowControl/>
              <w:jc w:val="center"/>
              <w:textAlignment w:val="center"/>
              <w:rPr>
                <w:rFonts w:hint="default" w:ascii="Arial Regular" w:hAnsi="Arial Regular" w:eastAsia="等线" w:cs="Arial Regular"/>
                <w:color w:val="000000"/>
                <w:kern w:val="0"/>
                <w:sz w:val="20"/>
                <w:szCs w:val="20"/>
                <w:lang w:bidi="ar"/>
              </w:rPr>
            </w:pPr>
            <w:r>
              <w:rPr>
                <w:rFonts w:hint="default" w:ascii="Arial Regular" w:hAnsi="Arial Regular" w:eastAsia="等线" w:cs="Arial Regular"/>
                <w:color w:val="000000"/>
                <w:kern w:val="0"/>
                <w:sz w:val="20"/>
                <w:szCs w:val="20"/>
                <w:lang w:bidi="ar"/>
              </w:rPr>
              <w:t>2.90 ± 0.14</w:t>
            </w:r>
            <w:r>
              <w:rPr>
                <w:rFonts w:hint="default" w:ascii="Arial Regular" w:hAnsi="Arial Regular" w:eastAsia="等线" w:cs="Arial Regular"/>
                <w:color w:val="000000"/>
                <w:kern w:val="0"/>
                <w:sz w:val="20"/>
                <w:szCs w:val="20"/>
                <w:vertAlign w:val="superscript"/>
                <w:lang w:bidi="ar"/>
              </w:rPr>
              <w:t>c</w:t>
            </w:r>
          </w:p>
        </w:tc>
        <w:tc>
          <w:tcPr>
            <w:tcW w:w="0" w:type="auto"/>
            <w:tcBorders>
              <w:top w:val="nil"/>
              <w:left w:val="nil"/>
              <w:bottom w:val="nil"/>
              <w:right w:val="nil"/>
            </w:tcBorders>
            <w:shd w:val="clear" w:color="auto" w:fill="auto"/>
            <w:vAlign w:val="center"/>
          </w:tcPr>
          <w:p w14:paraId="00F99A71">
            <w:pPr>
              <w:widowControl/>
              <w:jc w:val="center"/>
              <w:textAlignment w:val="center"/>
              <w:rPr>
                <w:rFonts w:hint="default" w:ascii="Arial Regular" w:hAnsi="Arial Regular" w:eastAsia="等线" w:cs="Arial Regular"/>
                <w:color w:val="000000"/>
                <w:kern w:val="0"/>
                <w:sz w:val="20"/>
                <w:szCs w:val="20"/>
                <w:lang w:bidi="ar"/>
              </w:rPr>
            </w:pPr>
            <w:r>
              <w:rPr>
                <w:rFonts w:hint="default" w:ascii="Arial Regular" w:hAnsi="Arial Regular" w:eastAsia="等线" w:cs="Arial Regular"/>
                <w:color w:val="000000"/>
                <w:kern w:val="0"/>
                <w:sz w:val="20"/>
                <w:szCs w:val="20"/>
                <w:lang w:bidi="ar"/>
              </w:rPr>
              <w:t>0.19 ± 0.02</w:t>
            </w:r>
            <w:r>
              <w:rPr>
                <w:rFonts w:hint="default" w:ascii="Arial Regular" w:hAnsi="Arial Regular" w:eastAsia="等线" w:cs="Arial Regular"/>
                <w:color w:val="000000"/>
                <w:kern w:val="0"/>
                <w:sz w:val="20"/>
                <w:szCs w:val="20"/>
                <w:vertAlign w:val="superscript"/>
                <w:lang w:bidi="ar"/>
              </w:rPr>
              <w:t>a</w:t>
            </w:r>
          </w:p>
        </w:tc>
      </w:tr>
      <w:tr w14:paraId="58F48FDF">
        <w:trPr>
          <w:trHeight w:val="23" w:hRule="atLeast"/>
          <w:jc w:val="center"/>
        </w:trPr>
        <w:tc>
          <w:tcPr>
            <w:tcW w:w="0" w:type="auto"/>
            <w:tcBorders>
              <w:top w:val="nil"/>
              <w:left w:val="nil"/>
              <w:bottom w:val="nil"/>
              <w:right w:val="nil"/>
            </w:tcBorders>
            <w:shd w:val="clear" w:color="auto" w:fill="auto"/>
            <w:vAlign w:val="center"/>
          </w:tcPr>
          <w:p w14:paraId="4FC9D709">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[Mn(II)]</w:t>
            </w:r>
            <w:r>
              <w:rPr>
                <w:rFonts w:hint="default" w:ascii="Arial Regular" w:hAnsi="Arial Regular" w:eastAsia="等线" w:cs="Arial Regular"/>
                <w:color w:val="000000"/>
                <w:kern w:val="0"/>
                <w:sz w:val="20"/>
                <w:szCs w:val="20"/>
                <w:vertAlign w:val="subscript"/>
                <w:lang w:bidi="ar"/>
              </w:rPr>
              <w:t>0</w:t>
            </w:r>
            <w:r>
              <w:rPr>
                <w:rFonts w:hint="default" w:ascii="Arial Regular" w:hAnsi="Arial Regular" w:eastAsia="等线" w:cs="Arial Regular"/>
                <w:color w:val="000000"/>
                <w:kern w:val="0"/>
                <w:sz w:val="20"/>
                <w:szCs w:val="20"/>
                <w:lang w:bidi="ar"/>
              </w:rPr>
              <w:t>=10 μM</w:t>
            </w:r>
          </w:p>
        </w:tc>
        <w:tc>
          <w:tcPr>
            <w:tcW w:w="0" w:type="auto"/>
            <w:tcBorders>
              <w:top w:val="nil"/>
              <w:left w:val="nil"/>
              <w:bottom w:val="nil"/>
              <w:right w:val="nil"/>
            </w:tcBorders>
            <w:shd w:val="clear" w:color="auto" w:fill="auto"/>
            <w:vAlign w:val="center"/>
          </w:tcPr>
          <w:p w14:paraId="03CB986D">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0.29 ± 0.01</w:t>
            </w:r>
            <w:r>
              <w:rPr>
                <w:rFonts w:hint="default" w:ascii="Arial Regular" w:hAnsi="Arial Regular" w:eastAsia="等线" w:cs="Arial Regular"/>
                <w:color w:val="000000"/>
                <w:kern w:val="0"/>
                <w:sz w:val="20"/>
                <w:szCs w:val="20"/>
                <w:vertAlign w:val="superscript"/>
                <w:lang w:bidi="ar"/>
              </w:rPr>
              <w:t>b</w:t>
            </w:r>
          </w:p>
        </w:tc>
        <w:tc>
          <w:tcPr>
            <w:tcW w:w="0" w:type="auto"/>
            <w:tcBorders>
              <w:top w:val="nil"/>
              <w:left w:val="nil"/>
              <w:bottom w:val="nil"/>
              <w:right w:val="nil"/>
            </w:tcBorders>
            <w:shd w:val="clear" w:color="auto" w:fill="auto"/>
            <w:vAlign w:val="center"/>
          </w:tcPr>
          <w:p w14:paraId="693E6A81">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5.66 ± 1.84</w:t>
            </w:r>
            <w:r>
              <w:rPr>
                <w:rFonts w:hint="default" w:ascii="Arial Regular" w:hAnsi="Arial Regular" w:eastAsia="等线" w:cs="Arial Regular"/>
                <w:color w:val="000000"/>
                <w:kern w:val="0"/>
                <w:sz w:val="20"/>
                <w:szCs w:val="20"/>
                <w:vertAlign w:val="superscript"/>
                <w:lang w:bidi="ar"/>
              </w:rPr>
              <w:t>bc</w:t>
            </w:r>
          </w:p>
        </w:tc>
        <w:tc>
          <w:tcPr>
            <w:tcW w:w="0" w:type="auto"/>
            <w:tcBorders>
              <w:top w:val="nil"/>
              <w:left w:val="nil"/>
              <w:bottom w:val="nil"/>
              <w:right w:val="nil"/>
            </w:tcBorders>
            <w:shd w:val="clear" w:color="auto" w:fill="auto"/>
            <w:vAlign w:val="center"/>
          </w:tcPr>
          <w:p w14:paraId="6D755D11">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0.10 ± 0.01</w:t>
            </w:r>
            <w:r>
              <w:rPr>
                <w:rFonts w:hint="default" w:ascii="Arial Regular" w:hAnsi="Arial Regular" w:eastAsia="等线" w:cs="Arial Regular"/>
                <w:color w:val="000000"/>
                <w:kern w:val="0"/>
                <w:sz w:val="20"/>
                <w:szCs w:val="20"/>
                <w:vertAlign w:val="superscript"/>
                <w:lang w:bidi="ar"/>
              </w:rPr>
              <w:t>b</w:t>
            </w:r>
          </w:p>
        </w:tc>
      </w:tr>
      <w:tr w14:paraId="4ABE385E">
        <w:trPr>
          <w:trHeight w:val="23" w:hRule="atLeast"/>
          <w:jc w:val="center"/>
        </w:trPr>
        <w:tc>
          <w:tcPr>
            <w:tcW w:w="0" w:type="auto"/>
            <w:tcBorders>
              <w:top w:val="nil"/>
              <w:left w:val="nil"/>
              <w:bottom w:val="nil"/>
              <w:right w:val="nil"/>
            </w:tcBorders>
            <w:shd w:val="clear" w:color="auto" w:fill="auto"/>
            <w:vAlign w:val="center"/>
          </w:tcPr>
          <w:p w14:paraId="74D54680">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[Mn(II)]</w:t>
            </w:r>
            <w:r>
              <w:rPr>
                <w:rFonts w:hint="default" w:ascii="Arial Regular" w:hAnsi="Arial Regular" w:eastAsia="等线" w:cs="Arial Regular"/>
                <w:color w:val="000000"/>
                <w:kern w:val="0"/>
                <w:sz w:val="20"/>
                <w:szCs w:val="20"/>
                <w:vertAlign w:val="subscript"/>
                <w:lang w:bidi="ar"/>
              </w:rPr>
              <w:t>0</w:t>
            </w:r>
            <w:r>
              <w:rPr>
                <w:rFonts w:hint="default" w:ascii="Arial Regular" w:hAnsi="Arial Regular" w:eastAsia="等线" w:cs="Arial Regular"/>
                <w:color w:val="000000"/>
                <w:kern w:val="0"/>
                <w:sz w:val="20"/>
                <w:szCs w:val="20"/>
                <w:lang w:bidi="ar"/>
              </w:rPr>
              <w:t>=40 μM</w:t>
            </w:r>
          </w:p>
        </w:tc>
        <w:tc>
          <w:tcPr>
            <w:tcW w:w="0" w:type="auto"/>
            <w:tcBorders>
              <w:top w:val="nil"/>
              <w:left w:val="nil"/>
              <w:bottom w:val="nil"/>
              <w:right w:val="nil"/>
            </w:tcBorders>
            <w:shd w:val="clear" w:color="auto" w:fill="auto"/>
            <w:vAlign w:val="center"/>
          </w:tcPr>
          <w:p w14:paraId="38E97F19">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0.48 ± 0.02</w:t>
            </w:r>
            <w:r>
              <w:rPr>
                <w:rFonts w:hint="default" w:ascii="Arial Regular" w:hAnsi="Arial Regular" w:eastAsia="等线" w:cs="Arial Regular"/>
                <w:color w:val="000000"/>
                <w:kern w:val="0"/>
                <w:sz w:val="20"/>
                <w:szCs w:val="20"/>
                <w:vertAlign w:val="superscript"/>
                <w:lang w:bidi="ar"/>
              </w:rPr>
              <w:t>a</w:t>
            </w:r>
          </w:p>
        </w:tc>
        <w:tc>
          <w:tcPr>
            <w:tcW w:w="0" w:type="auto"/>
            <w:tcBorders>
              <w:top w:val="nil"/>
              <w:left w:val="nil"/>
              <w:bottom w:val="nil"/>
              <w:right w:val="nil"/>
            </w:tcBorders>
            <w:shd w:val="clear" w:color="auto" w:fill="auto"/>
            <w:vAlign w:val="center"/>
          </w:tcPr>
          <w:p w14:paraId="74FA0186">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10.42 ± 4.11</w:t>
            </w:r>
            <w:r>
              <w:rPr>
                <w:rFonts w:hint="default" w:ascii="Arial Regular" w:hAnsi="Arial Regular" w:eastAsia="等线" w:cs="Arial Regular"/>
                <w:color w:val="000000"/>
                <w:kern w:val="0"/>
                <w:sz w:val="20"/>
                <w:szCs w:val="20"/>
                <w:vertAlign w:val="superscript"/>
                <w:lang w:bidi="ar"/>
              </w:rPr>
              <w:t>ab</w:t>
            </w:r>
          </w:p>
        </w:tc>
        <w:tc>
          <w:tcPr>
            <w:tcW w:w="0" w:type="auto"/>
            <w:tcBorders>
              <w:top w:val="nil"/>
              <w:left w:val="nil"/>
              <w:bottom w:val="nil"/>
              <w:right w:val="nil"/>
            </w:tcBorders>
            <w:shd w:val="clear" w:color="auto" w:fill="auto"/>
            <w:vAlign w:val="center"/>
          </w:tcPr>
          <w:p w14:paraId="42FAAAED">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0.11 ± 0.01</w:t>
            </w:r>
            <w:r>
              <w:rPr>
                <w:rFonts w:hint="default" w:ascii="Arial Regular" w:hAnsi="Arial Regular" w:eastAsia="等线" w:cs="Arial Regular"/>
                <w:color w:val="000000"/>
                <w:kern w:val="0"/>
                <w:sz w:val="20"/>
                <w:szCs w:val="20"/>
                <w:vertAlign w:val="superscript"/>
                <w:lang w:bidi="ar"/>
              </w:rPr>
              <w:t>b</w:t>
            </w:r>
          </w:p>
        </w:tc>
      </w:tr>
      <w:tr w14:paraId="4817F9DB">
        <w:trPr>
          <w:trHeight w:val="23" w:hRule="atLeast"/>
          <w:jc w:val="center"/>
        </w:trPr>
        <w:tc>
          <w:tcPr>
            <w:tcW w:w="0" w:type="auto"/>
            <w:tcBorders>
              <w:top w:val="nil"/>
              <w:left w:val="nil"/>
              <w:bottom w:val="nil"/>
              <w:right w:val="nil"/>
            </w:tcBorders>
            <w:shd w:val="clear" w:color="auto" w:fill="auto"/>
            <w:vAlign w:val="center"/>
          </w:tcPr>
          <w:p w14:paraId="042A37DE">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[Mn(II)]</w:t>
            </w:r>
            <w:r>
              <w:rPr>
                <w:rFonts w:hint="default" w:ascii="Arial Regular" w:hAnsi="Arial Regular" w:eastAsia="等线" w:cs="Arial Regular"/>
                <w:color w:val="000000"/>
                <w:kern w:val="0"/>
                <w:sz w:val="20"/>
                <w:szCs w:val="20"/>
                <w:vertAlign w:val="subscript"/>
                <w:lang w:bidi="ar"/>
              </w:rPr>
              <w:t>0</w:t>
            </w:r>
            <w:r>
              <w:rPr>
                <w:rFonts w:hint="default" w:ascii="Arial Regular" w:hAnsi="Arial Regular" w:eastAsia="等线" w:cs="Arial Regular"/>
                <w:color w:val="000000"/>
                <w:kern w:val="0"/>
                <w:sz w:val="20"/>
                <w:szCs w:val="20"/>
                <w:lang w:bidi="ar"/>
              </w:rPr>
              <w:t>=80 μM</w:t>
            </w:r>
          </w:p>
        </w:tc>
        <w:tc>
          <w:tcPr>
            <w:tcW w:w="0" w:type="auto"/>
            <w:tcBorders>
              <w:top w:val="nil"/>
              <w:left w:val="nil"/>
              <w:bottom w:val="nil"/>
              <w:right w:val="nil"/>
            </w:tcBorders>
            <w:shd w:val="clear" w:color="auto" w:fill="auto"/>
            <w:vAlign w:val="center"/>
          </w:tcPr>
          <w:p w14:paraId="75404188">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0.43 ± 0.13</w:t>
            </w:r>
            <w:r>
              <w:rPr>
                <w:rFonts w:hint="default" w:ascii="Arial Regular" w:hAnsi="Arial Regular" w:eastAsia="等线" w:cs="Arial Regular"/>
                <w:color w:val="000000"/>
                <w:kern w:val="0"/>
                <w:sz w:val="20"/>
                <w:szCs w:val="20"/>
                <w:vertAlign w:val="superscript"/>
                <w:lang w:bidi="ar"/>
              </w:rPr>
              <w:t>a</w:t>
            </w:r>
          </w:p>
        </w:tc>
        <w:tc>
          <w:tcPr>
            <w:tcW w:w="0" w:type="auto"/>
            <w:tcBorders>
              <w:top w:val="nil"/>
              <w:left w:val="nil"/>
              <w:bottom w:val="nil"/>
              <w:right w:val="nil"/>
            </w:tcBorders>
            <w:shd w:val="clear" w:color="auto" w:fill="auto"/>
            <w:vAlign w:val="center"/>
          </w:tcPr>
          <w:p w14:paraId="617D4D6B">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12.30 ± 3.03</w:t>
            </w:r>
            <w:r>
              <w:rPr>
                <w:rFonts w:hint="default" w:ascii="Arial Regular" w:hAnsi="Arial Regular" w:eastAsia="等线" w:cs="Arial Regular"/>
                <w:color w:val="000000"/>
                <w:kern w:val="0"/>
                <w:sz w:val="20"/>
                <w:szCs w:val="20"/>
                <w:vertAlign w:val="superscript"/>
                <w:lang w:bidi="ar"/>
              </w:rPr>
              <w:t>a</w:t>
            </w:r>
          </w:p>
        </w:tc>
        <w:tc>
          <w:tcPr>
            <w:tcW w:w="0" w:type="auto"/>
            <w:tcBorders>
              <w:top w:val="nil"/>
              <w:left w:val="nil"/>
              <w:bottom w:val="nil"/>
              <w:right w:val="nil"/>
            </w:tcBorders>
            <w:shd w:val="clear" w:color="auto" w:fill="auto"/>
            <w:vAlign w:val="center"/>
          </w:tcPr>
          <w:p w14:paraId="7831247C">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0.11 ± 0.01</w:t>
            </w:r>
            <w:r>
              <w:rPr>
                <w:rFonts w:hint="default" w:ascii="Arial Regular" w:hAnsi="Arial Regular" w:eastAsia="等线" w:cs="Arial Regular"/>
                <w:color w:val="000000"/>
                <w:kern w:val="0"/>
                <w:sz w:val="20"/>
                <w:szCs w:val="20"/>
                <w:vertAlign w:val="superscript"/>
                <w:lang w:bidi="ar"/>
              </w:rPr>
              <w:t>b</w:t>
            </w:r>
          </w:p>
        </w:tc>
      </w:tr>
      <w:tr w14:paraId="48C698E9">
        <w:trPr>
          <w:trHeight w:val="23" w:hRule="atLeast"/>
          <w:jc w:val="center"/>
        </w:trPr>
        <w:tc>
          <w:tcPr>
            <w:tcW w:w="0" w:type="auto"/>
            <w:tcBorders>
              <w:top w:val="nil"/>
              <w:left w:val="nil"/>
              <w:right w:val="nil"/>
            </w:tcBorders>
            <w:shd w:val="clear" w:color="auto" w:fill="auto"/>
            <w:vAlign w:val="center"/>
          </w:tcPr>
          <w:p w14:paraId="43EB4C4D">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[Mn(II)]</w:t>
            </w:r>
            <w:r>
              <w:rPr>
                <w:rFonts w:hint="default" w:ascii="Arial Regular" w:hAnsi="Arial Regular" w:eastAsia="等线" w:cs="Arial Regular"/>
                <w:color w:val="000000"/>
                <w:kern w:val="0"/>
                <w:sz w:val="20"/>
                <w:szCs w:val="20"/>
                <w:vertAlign w:val="subscript"/>
                <w:lang w:bidi="ar"/>
              </w:rPr>
              <w:t>0</w:t>
            </w:r>
            <w:r>
              <w:rPr>
                <w:rFonts w:hint="default" w:ascii="Arial Regular" w:hAnsi="Arial Regular" w:eastAsia="等线" w:cs="Arial Regular"/>
                <w:color w:val="000000"/>
                <w:kern w:val="0"/>
                <w:sz w:val="20"/>
                <w:szCs w:val="20"/>
                <w:lang w:bidi="ar"/>
              </w:rPr>
              <w:t>=100 μM</w:t>
            </w:r>
          </w:p>
        </w:tc>
        <w:tc>
          <w:tcPr>
            <w:tcW w:w="0" w:type="auto"/>
            <w:tcBorders>
              <w:top w:val="nil"/>
              <w:left w:val="nil"/>
              <w:right w:val="nil"/>
            </w:tcBorders>
            <w:shd w:val="clear" w:color="auto" w:fill="auto"/>
            <w:vAlign w:val="center"/>
          </w:tcPr>
          <w:p w14:paraId="6156AC9B">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0.49 ± 0.02</w:t>
            </w:r>
            <w:r>
              <w:rPr>
                <w:rFonts w:hint="default" w:ascii="Arial Regular" w:hAnsi="Arial Regular" w:eastAsia="等线" w:cs="Arial Regular"/>
                <w:color w:val="000000"/>
                <w:kern w:val="0"/>
                <w:sz w:val="20"/>
                <w:szCs w:val="20"/>
                <w:vertAlign w:val="superscript"/>
                <w:lang w:bidi="ar"/>
              </w:rPr>
              <w:t>a</w:t>
            </w:r>
          </w:p>
        </w:tc>
        <w:tc>
          <w:tcPr>
            <w:tcW w:w="0" w:type="auto"/>
            <w:tcBorders>
              <w:top w:val="nil"/>
              <w:left w:val="nil"/>
              <w:right w:val="nil"/>
            </w:tcBorders>
            <w:shd w:val="clear" w:color="auto" w:fill="auto"/>
            <w:vAlign w:val="center"/>
          </w:tcPr>
          <w:p w14:paraId="2C82932C">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11.53 ± 4.27</w:t>
            </w:r>
            <w:r>
              <w:rPr>
                <w:rFonts w:hint="default" w:ascii="Arial Regular" w:hAnsi="Arial Regular" w:eastAsia="等线" w:cs="Arial Regular"/>
                <w:color w:val="000000"/>
                <w:kern w:val="0"/>
                <w:sz w:val="20"/>
                <w:szCs w:val="20"/>
                <w:vertAlign w:val="superscript"/>
                <w:lang w:bidi="ar"/>
              </w:rPr>
              <w:t>ab</w:t>
            </w:r>
          </w:p>
        </w:tc>
        <w:tc>
          <w:tcPr>
            <w:tcW w:w="0" w:type="auto"/>
            <w:tcBorders>
              <w:top w:val="nil"/>
              <w:left w:val="nil"/>
              <w:right w:val="nil"/>
            </w:tcBorders>
            <w:shd w:val="clear" w:color="auto" w:fill="auto"/>
            <w:vAlign w:val="center"/>
          </w:tcPr>
          <w:p w14:paraId="7D517B18">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0.11 ± 0.01</w:t>
            </w:r>
            <w:r>
              <w:rPr>
                <w:rFonts w:hint="default" w:ascii="Arial Regular" w:hAnsi="Arial Regular" w:eastAsia="等线" w:cs="Arial Regular"/>
                <w:color w:val="000000"/>
                <w:kern w:val="0"/>
                <w:sz w:val="20"/>
                <w:szCs w:val="20"/>
                <w:vertAlign w:val="superscript"/>
                <w:lang w:bidi="ar"/>
              </w:rPr>
              <w:t>b</w:t>
            </w:r>
          </w:p>
        </w:tc>
      </w:tr>
    </w:tbl>
    <w:p w14:paraId="67FE6DFA">
      <w:pPr>
        <w:rPr>
          <w:rFonts w:hint="default" w:ascii="Arial Regular" w:hAnsi="Arial Regular" w:cs="Arial Regular"/>
          <w:b/>
          <w:sz w:val="20"/>
          <w:szCs w:val="20"/>
        </w:rPr>
      </w:pPr>
      <w:r>
        <w:rPr>
          <w:rFonts w:hint="default" w:ascii="Arial Regular" w:hAnsi="Arial Regular" w:cs="Arial Regular"/>
          <w:b/>
          <w:sz w:val="20"/>
          <w:szCs w:val="20"/>
        </w:rPr>
        <w:br w:type="page"/>
      </w:r>
    </w:p>
    <w:p w14:paraId="271C62CF">
      <w:pPr>
        <w:pStyle w:val="3"/>
        <w:keepNext/>
        <w:keepLines/>
        <w:pageBreakBefore w:val="0"/>
        <w:widowControl w:val="0"/>
        <w:kinsoku/>
        <w:wordWrap/>
        <w:overflowPunct/>
        <w:topLinePunct w:val="0"/>
        <w:autoSpaceDE/>
        <w:autoSpaceDN/>
        <w:bidi w:val="0"/>
        <w:adjustRightInd/>
        <w:snapToGrid/>
        <w:spacing w:before="0" w:beforeLines="0" w:after="157" w:afterLines="50" w:line="240" w:lineRule="auto"/>
        <w:textAlignment w:val="auto"/>
        <w:rPr>
          <w:rFonts w:hint="default" w:ascii="Arial Regular" w:hAnsi="Arial Regular" w:cs="Arial Regular"/>
          <w:b/>
          <w:sz w:val="20"/>
          <w:szCs w:val="20"/>
        </w:rPr>
      </w:pPr>
      <w:r>
        <w:rPr>
          <w:rFonts w:hint="default" w:ascii="Arial Regular" w:hAnsi="Arial Regular" w:cs="Arial Regular"/>
          <w:b/>
          <w:bCs w:val="0"/>
          <w:sz w:val="20"/>
          <w:szCs w:val="20"/>
        </w:rPr>
        <w:t xml:space="preserve">Supplementary </w:t>
      </w:r>
      <w:r>
        <w:rPr>
          <w:rFonts w:hint="default" w:ascii="Arial Regular" w:hAnsi="Arial Regular" w:cs="Arial Regular"/>
          <w:b/>
          <w:sz w:val="20"/>
          <w:szCs w:val="20"/>
        </w:rPr>
        <w:t xml:space="preserve">Table </w:t>
      </w:r>
      <w:r>
        <w:rPr>
          <w:rFonts w:hint="default" w:ascii="Arial Regular" w:hAnsi="Arial Regular" w:cs="Arial Regular"/>
          <w:b/>
          <w:sz w:val="20"/>
          <w:szCs w:val="20"/>
          <w:lang w:val="en-US" w:eastAsia="zh-CN"/>
        </w:rPr>
        <w:t>5</w:t>
      </w:r>
      <w:r>
        <w:rPr>
          <w:rFonts w:hint="default" w:ascii="Arial Regular" w:hAnsi="Arial Regular" w:cs="Arial Regular"/>
          <w:b/>
          <w:sz w:val="20"/>
          <w:szCs w:val="20"/>
        </w:rPr>
        <w:t xml:space="preserve">. Secondary inactivation kinetic parameters of </w:t>
      </w:r>
      <w:r>
        <w:rPr>
          <w:rFonts w:hint="default" w:ascii="Arial Regular" w:hAnsi="Arial Regular" w:cs="Arial Regular"/>
          <w:b/>
          <w:i/>
          <w:iCs/>
          <w:sz w:val="20"/>
          <w:szCs w:val="20"/>
        </w:rPr>
        <w:t>P.polonicum</w:t>
      </w:r>
      <w:r>
        <w:rPr>
          <w:rFonts w:hint="default" w:ascii="Arial Regular" w:hAnsi="Arial Regular" w:cs="Arial Regular"/>
          <w:b/>
          <w:sz w:val="20"/>
          <w:szCs w:val="20"/>
        </w:rPr>
        <w:t xml:space="preserve"> spores at different metal ion complexation capacities.</w:t>
      </w:r>
    </w:p>
    <w:tbl>
      <w:tblPr>
        <w:tblStyle w:val="10"/>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09"/>
        <w:gridCol w:w="2229"/>
        <w:gridCol w:w="1620"/>
        <w:gridCol w:w="1475"/>
      </w:tblGrid>
      <w:tr w14:paraId="798B8AF3">
        <w:trPr>
          <w:trHeight w:val="423" w:hRule="atLeast"/>
          <w:jc w:val="center"/>
        </w:trPr>
        <w:tc>
          <w:tcPr>
            <w:tcW w:w="0" w:type="auto"/>
            <w:tcBorders>
              <w:left w:val="nil"/>
              <w:bottom w:val="single" w:color="auto" w:sz="8" w:space="0"/>
              <w:right w:val="nil"/>
            </w:tcBorders>
            <w:shd w:val="clear" w:color="auto" w:fill="E7E6E6" w:themeFill="background2"/>
            <w:vAlign w:val="center"/>
          </w:tcPr>
          <w:p w14:paraId="565163A2">
            <w:pPr>
              <w:jc w:val="center"/>
              <w:rPr>
                <w:rFonts w:hint="default" w:ascii="Arial Regular" w:hAnsi="Arial Regular" w:eastAsia="等线" w:cs="Arial Regular"/>
                <w:color w:val="000000"/>
                <w:sz w:val="20"/>
                <w:szCs w:val="20"/>
              </w:rPr>
            </w:pPr>
          </w:p>
        </w:tc>
        <w:tc>
          <w:tcPr>
            <w:tcW w:w="0" w:type="auto"/>
            <w:tcBorders>
              <w:left w:val="nil"/>
              <w:bottom w:val="single" w:color="auto" w:sz="8" w:space="0"/>
              <w:right w:val="nil"/>
            </w:tcBorders>
            <w:shd w:val="clear" w:color="auto" w:fill="E7E6E6" w:themeFill="background2"/>
            <w:vAlign w:val="center"/>
          </w:tcPr>
          <w:p w14:paraId="271FC583">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Complexation capacity</w:t>
            </w:r>
          </w:p>
        </w:tc>
        <w:tc>
          <w:tcPr>
            <w:tcW w:w="0" w:type="auto"/>
            <w:tcBorders>
              <w:left w:val="nil"/>
              <w:bottom w:val="single" w:color="auto" w:sz="8" w:space="0"/>
              <w:right w:val="nil"/>
            </w:tcBorders>
            <w:shd w:val="clear" w:color="auto" w:fill="E7E6E6" w:themeFill="background2"/>
            <w:vAlign w:val="center"/>
          </w:tcPr>
          <w:p w14:paraId="56A34BC0">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i/>
                <w:iCs/>
                <w:color w:val="000000"/>
                <w:kern w:val="0"/>
                <w:sz w:val="20"/>
                <w:szCs w:val="20"/>
                <w:lang w:bidi="ar"/>
              </w:rPr>
              <w:t xml:space="preserve">SL </w:t>
            </w:r>
            <w:r>
              <w:rPr>
                <w:rFonts w:hint="default" w:ascii="Arial Regular" w:hAnsi="Arial Regular" w:cs="Arial Regular"/>
                <w:sz w:val="20"/>
                <w:szCs w:val="20"/>
              </w:rPr>
              <w:t>((mg•min)/L)</w:t>
            </w:r>
          </w:p>
        </w:tc>
        <w:tc>
          <w:tcPr>
            <w:tcW w:w="0" w:type="auto"/>
            <w:tcBorders>
              <w:left w:val="nil"/>
              <w:bottom w:val="single" w:color="auto" w:sz="8" w:space="0"/>
              <w:right w:val="nil"/>
            </w:tcBorders>
            <w:shd w:val="clear" w:color="auto" w:fill="E7E6E6" w:themeFill="background2"/>
            <w:vAlign w:val="center"/>
          </w:tcPr>
          <w:p w14:paraId="3AFA6A31">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i/>
                <w:iCs/>
                <w:color w:val="000000"/>
                <w:kern w:val="0"/>
                <w:sz w:val="20"/>
                <w:szCs w:val="20"/>
                <w:lang w:bidi="ar"/>
              </w:rPr>
              <w:t xml:space="preserve">k </w:t>
            </w:r>
            <w:r>
              <w:rPr>
                <w:rFonts w:hint="default" w:ascii="Arial Regular" w:hAnsi="Arial Regular" w:cs="Arial Regular"/>
                <w:sz w:val="20"/>
                <w:szCs w:val="20"/>
              </w:rPr>
              <w:t>(L/(mg•min))</w:t>
            </w:r>
          </w:p>
        </w:tc>
      </w:tr>
      <w:tr w14:paraId="20E42FF5">
        <w:trPr>
          <w:trHeight w:val="340" w:hRule="atLeast"/>
          <w:jc w:val="center"/>
        </w:trPr>
        <w:tc>
          <w:tcPr>
            <w:tcW w:w="0" w:type="auto"/>
            <w:tcBorders>
              <w:top w:val="nil"/>
              <w:left w:val="nil"/>
              <w:bottom w:val="nil"/>
              <w:right w:val="nil"/>
            </w:tcBorders>
            <w:shd w:val="clear" w:color="auto" w:fill="auto"/>
            <w:vAlign w:val="center"/>
          </w:tcPr>
          <w:p w14:paraId="68F12DFF">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Control</w:t>
            </w:r>
          </w:p>
        </w:tc>
        <w:tc>
          <w:tcPr>
            <w:tcW w:w="0" w:type="auto"/>
            <w:tcBorders>
              <w:top w:val="nil"/>
              <w:left w:val="nil"/>
              <w:bottom w:val="nil"/>
              <w:right w:val="nil"/>
            </w:tcBorders>
            <w:shd w:val="clear" w:color="auto" w:fill="auto"/>
            <w:vAlign w:val="center"/>
          </w:tcPr>
          <w:p w14:paraId="05DBF3E8">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0.00 ± 0.00</w:t>
            </w:r>
            <w:r>
              <w:rPr>
                <w:rFonts w:hint="default" w:ascii="Arial Regular" w:hAnsi="Arial Regular" w:eastAsia="等线" w:cs="Arial Regular"/>
                <w:color w:val="000000"/>
                <w:kern w:val="0"/>
                <w:sz w:val="20"/>
                <w:szCs w:val="20"/>
                <w:vertAlign w:val="superscript"/>
                <w:lang w:bidi="ar"/>
              </w:rPr>
              <w:t>d</w:t>
            </w:r>
          </w:p>
        </w:tc>
        <w:tc>
          <w:tcPr>
            <w:tcW w:w="0" w:type="auto"/>
            <w:tcBorders>
              <w:top w:val="nil"/>
              <w:left w:val="nil"/>
              <w:bottom w:val="nil"/>
              <w:right w:val="nil"/>
            </w:tcBorders>
            <w:shd w:val="clear" w:color="auto" w:fill="auto"/>
            <w:vAlign w:val="center"/>
          </w:tcPr>
          <w:p w14:paraId="4F6F4BE3">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0.51 ± 0.84</w:t>
            </w:r>
            <w:r>
              <w:rPr>
                <w:rFonts w:hint="default" w:ascii="Arial Regular" w:hAnsi="Arial Regular" w:eastAsia="等线" w:cs="Arial Regular"/>
                <w:color w:val="000000"/>
                <w:kern w:val="0"/>
                <w:sz w:val="20"/>
                <w:szCs w:val="20"/>
                <w:vertAlign w:val="superscript"/>
                <w:lang w:bidi="ar"/>
              </w:rPr>
              <w:t>b</w:t>
            </w:r>
          </w:p>
        </w:tc>
        <w:tc>
          <w:tcPr>
            <w:tcW w:w="0" w:type="auto"/>
            <w:tcBorders>
              <w:top w:val="nil"/>
              <w:left w:val="nil"/>
              <w:bottom w:val="nil"/>
              <w:right w:val="nil"/>
            </w:tcBorders>
            <w:shd w:val="clear" w:color="auto" w:fill="auto"/>
            <w:vAlign w:val="center"/>
          </w:tcPr>
          <w:p w14:paraId="52084B76">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0.26 ± 0.03</w:t>
            </w:r>
            <w:r>
              <w:rPr>
                <w:rFonts w:hint="default" w:ascii="Arial Regular" w:hAnsi="Arial Regular" w:eastAsia="等线" w:cs="Arial Regular"/>
                <w:color w:val="000000"/>
                <w:kern w:val="0"/>
                <w:sz w:val="20"/>
                <w:szCs w:val="20"/>
                <w:vertAlign w:val="superscript"/>
                <w:lang w:bidi="ar"/>
              </w:rPr>
              <w:t>a</w:t>
            </w:r>
          </w:p>
        </w:tc>
      </w:tr>
      <w:tr w14:paraId="4C028826">
        <w:trPr>
          <w:trHeight w:val="340" w:hRule="atLeast"/>
          <w:jc w:val="center"/>
        </w:trPr>
        <w:tc>
          <w:tcPr>
            <w:tcW w:w="0" w:type="auto"/>
            <w:tcBorders>
              <w:top w:val="nil"/>
              <w:left w:val="nil"/>
              <w:bottom w:val="nil"/>
              <w:right w:val="nil"/>
            </w:tcBorders>
            <w:shd w:val="clear" w:color="auto" w:fill="auto"/>
            <w:vAlign w:val="center"/>
          </w:tcPr>
          <w:p w14:paraId="7614B9F4">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[Co(II)]</w:t>
            </w:r>
            <w:r>
              <w:rPr>
                <w:rFonts w:hint="default" w:ascii="Arial Regular" w:hAnsi="Arial Regular" w:eastAsia="等线" w:cs="Arial Regular"/>
                <w:color w:val="000000"/>
                <w:kern w:val="0"/>
                <w:sz w:val="20"/>
                <w:szCs w:val="20"/>
                <w:vertAlign w:val="subscript"/>
                <w:lang w:bidi="ar"/>
              </w:rPr>
              <w:t>0</w:t>
            </w:r>
            <w:r>
              <w:rPr>
                <w:rFonts w:hint="default" w:ascii="Arial Regular" w:hAnsi="Arial Regular" w:eastAsia="等线" w:cs="Arial Regular"/>
                <w:color w:val="000000"/>
                <w:kern w:val="0"/>
                <w:sz w:val="20"/>
                <w:szCs w:val="20"/>
                <w:lang w:bidi="ar"/>
              </w:rPr>
              <w:t>=10 μM</w:t>
            </w:r>
          </w:p>
        </w:tc>
        <w:tc>
          <w:tcPr>
            <w:tcW w:w="0" w:type="auto"/>
            <w:tcBorders>
              <w:top w:val="nil"/>
              <w:left w:val="nil"/>
              <w:bottom w:val="nil"/>
              <w:right w:val="nil"/>
            </w:tcBorders>
            <w:shd w:val="clear" w:color="auto" w:fill="auto"/>
            <w:vAlign w:val="center"/>
          </w:tcPr>
          <w:p w14:paraId="348BD13F">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0.43 ± 0.02</w:t>
            </w:r>
            <w:r>
              <w:rPr>
                <w:rFonts w:hint="default" w:ascii="Arial Regular" w:hAnsi="Arial Regular" w:eastAsia="等线" w:cs="Arial Regular"/>
                <w:color w:val="000000"/>
                <w:kern w:val="0"/>
                <w:sz w:val="20"/>
                <w:szCs w:val="20"/>
                <w:vertAlign w:val="superscript"/>
                <w:lang w:bidi="ar"/>
              </w:rPr>
              <w:t>c</w:t>
            </w:r>
          </w:p>
        </w:tc>
        <w:tc>
          <w:tcPr>
            <w:tcW w:w="0" w:type="auto"/>
            <w:tcBorders>
              <w:top w:val="nil"/>
              <w:left w:val="nil"/>
              <w:bottom w:val="nil"/>
              <w:right w:val="nil"/>
            </w:tcBorders>
            <w:shd w:val="clear" w:color="auto" w:fill="auto"/>
            <w:vAlign w:val="center"/>
          </w:tcPr>
          <w:p w14:paraId="450DCE35">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0.25 ± 0.04</w:t>
            </w:r>
            <w:r>
              <w:rPr>
                <w:rFonts w:hint="default" w:ascii="Arial Regular" w:hAnsi="Arial Regular" w:eastAsia="等线" w:cs="Arial Regular"/>
                <w:color w:val="000000"/>
                <w:kern w:val="0"/>
                <w:sz w:val="20"/>
                <w:szCs w:val="20"/>
                <w:vertAlign w:val="superscript"/>
                <w:lang w:bidi="ar"/>
              </w:rPr>
              <w:t>b</w:t>
            </w:r>
          </w:p>
        </w:tc>
        <w:tc>
          <w:tcPr>
            <w:tcW w:w="0" w:type="auto"/>
            <w:tcBorders>
              <w:top w:val="nil"/>
              <w:left w:val="nil"/>
              <w:bottom w:val="nil"/>
              <w:right w:val="nil"/>
            </w:tcBorders>
            <w:shd w:val="clear" w:color="auto" w:fill="auto"/>
            <w:vAlign w:val="center"/>
          </w:tcPr>
          <w:p w14:paraId="6F065276">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0.21 ± 0.03</w:t>
            </w:r>
            <w:r>
              <w:rPr>
                <w:rFonts w:hint="default" w:ascii="Arial Regular" w:hAnsi="Arial Regular" w:eastAsia="等线" w:cs="Arial Regular"/>
                <w:color w:val="000000"/>
                <w:kern w:val="0"/>
                <w:sz w:val="20"/>
                <w:szCs w:val="20"/>
                <w:vertAlign w:val="superscript"/>
                <w:lang w:bidi="ar"/>
              </w:rPr>
              <w:t>b</w:t>
            </w:r>
          </w:p>
        </w:tc>
      </w:tr>
      <w:tr w14:paraId="025F7FA4">
        <w:trPr>
          <w:trHeight w:val="340" w:hRule="atLeast"/>
          <w:jc w:val="center"/>
        </w:trPr>
        <w:tc>
          <w:tcPr>
            <w:tcW w:w="0" w:type="auto"/>
            <w:tcBorders>
              <w:top w:val="nil"/>
              <w:left w:val="nil"/>
              <w:bottom w:val="nil"/>
              <w:right w:val="nil"/>
            </w:tcBorders>
            <w:shd w:val="clear" w:color="auto" w:fill="auto"/>
            <w:vAlign w:val="center"/>
          </w:tcPr>
          <w:p w14:paraId="2912A5B7">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[Co(II)]</w:t>
            </w:r>
            <w:r>
              <w:rPr>
                <w:rFonts w:hint="default" w:ascii="Arial Regular" w:hAnsi="Arial Regular" w:eastAsia="等线" w:cs="Arial Regular"/>
                <w:color w:val="000000"/>
                <w:kern w:val="0"/>
                <w:sz w:val="20"/>
                <w:szCs w:val="20"/>
                <w:vertAlign w:val="subscript"/>
                <w:lang w:bidi="ar"/>
              </w:rPr>
              <w:t>0</w:t>
            </w:r>
            <w:r>
              <w:rPr>
                <w:rFonts w:hint="default" w:ascii="Arial Regular" w:hAnsi="Arial Regular" w:eastAsia="等线" w:cs="Arial Regular"/>
                <w:color w:val="000000"/>
                <w:kern w:val="0"/>
                <w:sz w:val="20"/>
                <w:szCs w:val="20"/>
                <w:lang w:bidi="ar"/>
              </w:rPr>
              <w:t>=40 μM</w:t>
            </w:r>
          </w:p>
        </w:tc>
        <w:tc>
          <w:tcPr>
            <w:tcW w:w="0" w:type="auto"/>
            <w:tcBorders>
              <w:top w:val="nil"/>
              <w:left w:val="nil"/>
              <w:bottom w:val="nil"/>
              <w:right w:val="nil"/>
            </w:tcBorders>
            <w:shd w:val="clear" w:color="auto" w:fill="auto"/>
            <w:vAlign w:val="center"/>
          </w:tcPr>
          <w:p w14:paraId="39BF6345">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0.76 ± 0.10</w:t>
            </w:r>
            <w:r>
              <w:rPr>
                <w:rFonts w:hint="default" w:ascii="Arial Regular" w:hAnsi="Arial Regular" w:eastAsia="等线" w:cs="Arial Regular"/>
                <w:color w:val="000000"/>
                <w:kern w:val="0"/>
                <w:sz w:val="20"/>
                <w:szCs w:val="20"/>
                <w:vertAlign w:val="superscript"/>
                <w:lang w:bidi="ar"/>
              </w:rPr>
              <w:t>b</w:t>
            </w:r>
          </w:p>
        </w:tc>
        <w:tc>
          <w:tcPr>
            <w:tcW w:w="0" w:type="auto"/>
            <w:tcBorders>
              <w:top w:val="nil"/>
              <w:left w:val="nil"/>
              <w:bottom w:val="nil"/>
              <w:right w:val="nil"/>
            </w:tcBorders>
            <w:shd w:val="clear" w:color="auto" w:fill="auto"/>
            <w:vAlign w:val="center"/>
          </w:tcPr>
          <w:p w14:paraId="337DA12F">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2.32 ± 0.39</w:t>
            </w:r>
            <w:r>
              <w:rPr>
                <w:rFonts w:hint="default" w:ascii="Arial Regular" w:hAnsi="Arial Regular" w:eastAsia="等线" w:cs="Arial Regular"/>
                <w:color w:val="000000"/>
                <w:kern w:val="0"/>
                <w:sz w:val="20"/>
                <w:szCs w:val="20"/>
                <w:vertAlign w:val="superscript"/>
                <w:lang w:bidi="ar"/>
              </w:rPr>
              <w:t>b</w:t>
            </w:r>
          </w:p>
        </w:tc>
        <w:tc>
          <w:tcPr>
            <w:tcW w:w="0" w:type="auto"/>
            <w:tcBorders>
              <w:top w:val="nil"/>
              <w:left w:val="nil"/>
              <w:bottom w:val="nil"/>
              <w:right w:val="nil"/>
            </w:tcBorders>
            <w:shd w:val="clear" w:color="auto" w:fill="auto"/>
            <w:vAlign w:val="center"/>
          </w:tcPr>
          <w:p w14:paraId="2E6BA406">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0.21 ± 0.02</w:t>
            </w:r>
            <w:r>
              <w:rPr>
                <w:rFonts w:hint="default" w:ascii="Arial Regular" w:hAnsi="Arial Regular" w:eastAsia="等线" w:cs="Arial Regular"/>
                <w:color w:val="000000"/>
                <w:kern w:val="0"/>
                <w:sz w:val="20"/>
                <w:szCs w:val="20"/>
                <w:vertAlign w:val="superscript"/>
                <w:lang w:bidi="ar"/>
              </w:rPr>
              <w:t>ab</w:t>
            </w:r>
          </w:p>
        </w:tc>
      </w:tr>
      <w:tr w14:paraId="709CC8EC">
        <w:trPr>
          <w:trHeight w:val="340" w:hRule="atLeast"/>
          <w:jc w:val="center"/>
        </w:trPr>
        <w:tc>
          <w:tcPr>
            <w:tcW w:w="0" w:type="auto"/>
            <w:tcBorders>
              <w:top w:val="nil"/>
              <w:left w:val="nil"/>
              <w:bottom w:val="nil"/>
              <w:right w:val="nil"/>
            </w:tcBorders>
            <w:shd w:val="clear" w:color="auto" w:fill="auto"/>
            <w:vAlign w:val="center"/>
          </w:tcPr>
          <w:p w14:paraId="193853E9">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[Co(II)]</w:t>
            </w:r>
            <w:r>
              <w:rPr>
                <w:rFonts w:hint="default" w:ascii="Arial Regular" w:hAnsi="Arial Regular" w:eastAsia="等线" w:cs="Arial Regular"/>
                <w:color w:val="000000"/>
                <w:kern w:val="0"/>
                <w:sz w:val="20"/>
                <w:szCs w:val="20"/>
                <w:vertAlign w:val="subscript"/>
                <w:lang w:bidi="ar"/>
              </w:rPr>
              <w:t>0</w:t>
            </w:r>
            <w:r>
              <w:rPr>
                <w:rFonts w:hint="default" w:ascii="Arial Regular" w:hAnsi="Arial Regular" w:eastAsia="等线" w:cs="Arial Regular"/>
                <w:color w:val="000000"/>
                <w:kern w:val="0"/>
                <w:sz w:val="20"/>
                <w:szCs w:val="20"/>
                <w:lang w:bidi="ar"/>
              </w:rPr>
              <w:t>=80 μM</w:t>
            </w:r>
          </w:p>
        </w:tc>
        <w:tc>
          <w:tcPr>
            <w:tcW w:w="0" w:type="auto"/>
            <w:tcBorders>
              <w:top w:val="nil"/>
              <w:left w:val="nil"/>
              <w:bottom w:val="nil"/>
              <w:right w:val="nil"/>
            </w:tcBorders>
            <w:shd w:val="clear" w:color="auto" w:fill="auto"/>
            <w:vAlign w:val="center"/>
          </w:tcPr>
          <w:p w14:paraId="19039244">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2.21 ± 0.10</w:t>
            </w:r>
            <w:r>
              <w:rPr>
                <w:rFonts w:hint="default" w:ascii="Arial Regular" w:hAnsi="Arial Regular" w:eastAsia="等线" w:cs="Arial Regular"/>
                <w:color w:val="000000"/>
                <w:kern w:val="0"/>
                <w:sz w:val="20"/>
                <w:szCs w:val="20"/>
                <w:vertAlign w:val="superscript"/>
                <w:lang w:bidi="ar"/>
              </w:rPr>
              <w:t>a</w:t>
            </w:r>
          </w:p>
        </w:tc>
        <w:tc>
          <w:tcPr>
            <w:tcW w:w="0" w:type="auto"/>
            <w:tcBorders>
              <w:top w:val="nil"/>
              <w:left w:val="nil"/>
              <w:bottom w:val="nil"/>
              <w:right w:val="nil"/>
            </w:tcBorders>
            <w:shd w:val="clear" w:color="auto" w:fill="auto"/>
            <w:vAlign w:val="center"/>
          </w:tcPr>
          <w:p w14:paraId="6132F8AA">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7.75 ± 2.78</w:t>
            </w:r>
            <w:r>
              <w:rPr>
                <w:rFonts w:hint="default" w:ascii="Arial Regular" w:hAnsi="Arial Regular" w:eastAsia="等线" w:cs="Arial Regular"/>
                <w:color w:val="000000"/>
                <w:kern w:val="0"/>
                <w:sz w:val="20"/>
                <w:szCs w:val="20"/>
                <w:vertAlign w:val="superscript"/>
                <w:lang w:bidi="ar"/>
              </w:rPr>
              <w:t>a</w:t>
            </w:r>
          </w:p>
        </w:tc>
        <w:tc>
          <w:tcPr>
            <w:tcW w:w="0" w:type="auto"/>
            <w:tcBorders>
              <w:top w:val="nil"/>
              <w:left w:val="nil"/>
              <w:bottom w:val="nil"/>
              <w:right w:val="nil"/>
            </w:tcBorders>
            <w:shd w:val="clear" w:color="auto" w:fill="auto"/>
            <w:vAlign w:val="center"/>
          </w:tcPr>
          <w:p w14:paraId="7F2AF361">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0.24 ± 0.02</w:t>
            </w:r>
            <w:r>
              <w:rPr>
                <w:rFonts w:hint="default" w:ascii="Arial Regular" w:hAnsi="Arial Regular" w:eastAsia="等线" w:cs="Arial Regular"/>
                <w:color w:val="000000"/>
                <w:kern w:val="0"/>
                <w:sz w:val="20"/>
                <w:szCs w:val="20"/>
                <w:vertAlign w:val="superscript"/>
                <w:lang w:bidi="ar"/>
              </w:rPr>
              <w:t>ab</w:t>
            </w:r>
          </w:p>
        </w:tc>
      </w:tr>
      <w:tr w14:paraId="3581111C">
        <w:trPr>
          <w:trHeight w:val="340" w:hRule="atLeast"/>
          <w:jc w:val="center"/>
        </w:trPr>
        <w:tc>
          <w:tcPr>
            <w:tcW w:w="0" w:type="auto"/>
            <w:tcBorders>
              <w:top w:val="nil"/>
              <w:left w:val="nil"/>
              <w:bottom w:val="single" w:color="auto" w:sz="8" w:space="0"/>
              <w:right w:val="nil"/>
            </w:tcBorders>
            <w:shd w:val="clear" w:color="auto" w:fill="auto"/>
            <w:vAlign w:val="center"/>
          </w:tcPr>
          <w:p w14:paraId="40C23F51">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[Co(II)]</w:t>
            </w:r>
            <w:r>
              <w:rPr>
                <w:rFonts w:hint="default" w:ascii="Arial Regular" w:hAnsi="Arial Regular" w:eastAsia="等线" w:cs="Arial Regular"/>
                <w:color w:val="000000"/>
                <w:kern w:val="0"/>
                <w:sz w:val="20"/>
                <w:szCs w:val="20"/>
                <w:vertAlign w:val="subscript"/>
                <w:lang w:bidi="ar"/>
              </w:rPr>
              <w:t>0</w:t>
            </w:r>
            <w:r>
              <w:rPr>
                <w:rFonts w:hint="default" w:ascii="Arial Regular" w:hAnsi="Arial Regular" w:eastAsia="等线" w:cs="Arial Regular"/>
                <w:color w:val="000000"/>
                <w:kern w:val="0"/>
                <w:sz w:val="20"/>
                <w:szCs w:val="20"/>
                <w:lang w:bidi="ar"/>
              </w:rPr>
              <w:t>=100 μM</w:t>
            </w:r>
          </w:p>
        </w:tc>
        <w:tc>
          <w:tcPr>
            <w:tcW w:w="0" w:type="auto"/>
            <w:tcBorders>
              <w:top w:val="nil"/>
              <w:left w:val="nil"/>
              <w:bottom w:val="single" w:color="auto" w:sz="8" w:space="0"/>
              <w:right w:val="nil"/>
            </w:tcBorders>
            <w:shd w:val="clear" w:color="auto" w:fill="auto"/>
            <w:vAlign w:val="center"/>
          </w:tcPr>
          <w:p w14:paraId="5D10B451">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2.13 ± 0.11</w:t>
            </w:r>
            <w:r>
              <w:rPr>
                <w:rFonts w:hint="default" w:ascii="Arial Regular" w:hAnsi="Arial Regular" w:eastAsia="等线" w:cs="Arial Regular"/>
                <w:color w:val="000000"/>
                <w:kern w:val="0"/>
                <w:sz w:val="20"/>
                <w:szCs w:val="20"/>
                <w:vertAlign w:val="superscript"/>
                <w:lang w:bidi="ar"/>
              </w:rPr>
              <w:t>a</w:t>
            </w:r>
          </w:p>
        </w:tc>
        <w:tc>
          <w:tcPr>
            <w:tcW w:w="0" w:type="auto"/>
            <w:tcBorders>
              <w:top w:val="nil"/>
              <w:left w:val="nil"/>
              <w:bottom w:val="single" w:color="auto" w:sz="8" w:space="0"/>
              <w:right w:val="nil"/>
            </w:tcBorders>
            <w:shd w:val="clear" w:color="auto" w:fill="auto"/>
            <w:vAlign w:val="center"/>
          </w:tcPr>
          <w:p w14:paraId="31342502">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9.62 ± 1.95</w:t>
            </w:r>
            <w:r>
              <w:rPr>
                <w:rFonts w:hint="default" w:ascii="Arial Regular" w:hAnsi="Arial Regular" w:eastAsia="等线" w:cs="Arial Regular"/>
                <w:color w:val="000000"/>
                <w:kern w:val="0"/>
                <w:sz w:val="20"/>
                <w:szCs w:val="20"/>
                <w:vertAlign w:val="superscript"/>
                <w:lang w:bidi="ar"/>
              </w:rPr>
              <w:t>a</w:t>
            </w:r>
          </w:p>
        </w:tc>
        <w:tc>
          <w:tcPr>
            <w:tcW w:w="0" w:type="auto"/>
            <w:tcBorders>
              <w:top w:val="nil"/>
              <w:left w:val="nil"/>
              <w:bottom w:val="single" w:color="auto" w:sz="8" w:space="0"/>
              <w:right w:val="nil"/>
            </w:tcBorders>
            <w:shd w:val="clear" w:color="auto" w:fill="auto"/>
            <w:vAlign w:val="center"/>
          </w:tcPr>
          <w:p w14:paraId="59582C5F">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0.24 ± 0.02</w:t>
            </w:r>
            <w:r>
              <w:rPr>
                <w:rFonts w:hint="default" w:ascii="Arial Regular" w:hAnsi="Arial Regular" w:eastAsia="等线" w:cs="Arial Regular"/>
                <w:color w:val="000000"/>
                <w:kern w:val="0"/>
                <w:sz w:val="20"/>
                <w:szCs w:val="20"/>
                <w:vertAlign w:val="superscript"/>
                <w:lang w:bidi="ar"/>
              </w:rPr>
              <w:t>ab</w:t>
            </w:r>
          </w:p>
        </w:tc>
      </w:tr>
      <w:tr w14:paraId="7C8077A8">
        <w:trPr>
          <w:trHeight w:val="340" w:hRule="atLeast"/>
          <w:jc w:val="center"/>
        </w:trPr>
        <w:tc>
          <w:tcPr>
            <w:tcW w:w="0" w:type="auto"/>
            <w:tcBorders>
              <w:top w:val="nil"/>
              <w:left w:val="nil"/>
              <w:bottom w:val="nil"/>
              <w:right w:val="nil"/>
            </w:tcBorders>
            <w:shd w:val="clear" w:color="auto" w:fill="auto"/>
            <w:vAlign w:val="center"/>
          </w:tcPr>
          <w:p w14:paraId="3E7D4D86">
            <w:pPr>
              <w:widowControl/>
              <w:jc w:val="center"/>
              <w:textAlignment w:val="center"/>
              <w:rPr>
                <w:rFonts w:hint="default" w:ascii="Arial Regular" w:hAnsi="Arial Regular" w:eastAsia="等线" w:cs="Arial Regular"/>
                <w:color w:val="000000"/>
                <w:kern w:val="0"/>
                <w:sz w:val="20"/>
                <w:szCs w:val="20"/>
                <w:lang w:bidi="ar"/>
              </w:rPr>
            </w:pPr>
            <w:r>
              <w:rPr>
                <w:rFonts w:hint="default" w:ascii="Arial Regular" w:hAnsi="Arial Regular" w:eastAsia="等线" w:cs="Arial Regular"/>
                <w:color w:val="000000"/>
                <w:kern w:val="0"/>
                <w:sz w:val="20"/>
                <w:szCs w:val="20"/>
                <w:lang w:bidi="ar"/>
              </w:rPr>
              <w:t>Control</w:t>
            </w:r>
          </w:p>
        </w:tc>
        <w:tc>
          <w:tcPr>
            <w:tcW w:w="0" w:type="auto"/>
            <w:tcBorders>
              <w:top w:val="nil"/>
              <w:left w:val="nil"/>
              <w:bottom w:val="nil"/>
              <w:right w:val="nil"/>
            </w:tcBorders>
            <w:shd w:val="clear" w:color="auto" w:fill="auto"/>
            <w:vAlign w:val="center"/>
          </w:tcPr>
          <w:p w14:paraId="5E9825A6">
            <w:pPr>
              <w:widowControl/>
              <w:jc w:val="center"/>
              <w:textAlignment w:val="center"/>
              <w:rPr>
                <w:rFonts w:hint="default" w:ascii="Arial Regular" w:hAnsi="Arial Regular" w:eastAsia="等线" w:cs="Arial Regular"/>
                <w:color w:val="000000"/>
                <w:kern w:val="0"/>
                <w:sz w:val="20"/>
                <w:szCs w:val="20"/>
                <w:lang w:bidi="ar"/>
              </w:rPr>
            </w:pPr>
            <w:r>
              <w:rPr>
                <w:rFonts w:hint="default" w:ascii="Arial Regular" w:hAnsi="Arial Regular" w:eastAsia="等线" w:cs="Arial Regular"/>
                <w:color w:val="000000"/>
                <w:kern w:val="0"/>
                <w:sz w:val="20"/>
                <w:szCs w:val="20"/>
                <w:lang w:bidi="ar"/>
              </w:rPr>
              <w:t>0.00 ± 0.00</w:t>
            </w:r>
            <w:r>
              <w:rPr>
                <w:rFonts w:hint="default" w:ascii="Arial Regular" w:hAnsi="Arial Regular" w:eastAsia="等线" w:cs="Arial Regular"/>
                <w:color w:val="000000"/>
                <w:kern w:val="0"/>
                <w:sz w:val="20"/>
                <w:szCs w:val="20"/>
                <w:vertAlign w:val="superscript"/>
                <w:lang w:bidi="ar"/>
              </w:rPr>
              <w:t>e</w:t>
            </w:r>
          </w:p>
        </w:tc>
        <w:tc>
          <w:tcPr>
            <w:tcW w:w="0" w:type="auto"/>
            <w:tcBorders>
              <w:top w:val="nil"/>
              <w:left w:val="nil"/>
              <w:bottom w:val="nil"/>
              <w:right w:val="nil"/>
            </w:tcBorders>
            <w:shd w:val="clear" w:color="auto" w:fill="auto"/>
            <w:vAlign w:val="center"/>
          </w:tcPr>
          <w:p w14:paraId="70B2B5DC">
            <w:pPr>
              <w:widowControl/>
              <w:jc w:val="center"/>
              <w:textAlignment w:val="center"/>
              <w:rPr>
                <w:rFonts w:hint="default" w:ascii="Arial Regular" w:hAnsi="Arial Regular" w:eastAsia="等线" w:cs="Arial Regular"/>
                <w:color w:val="000000"/>
                <w:kern w:val="0"/>
                <w:sz w:val="20"/>
                <w:szCs w:val="20"/>
                <w:lang w:bidi="ar"/>
              </w:rPr>
            </w:pPr>
            <w:r>
              <w:rPr>
                <w:rFonts w:hint="default" w:ascii="Arial Regular" w:hAnsi="Arial Regular" w:eastAsia="等线" w:cs="Arial Regular"/>
                <w:color w:val="000000"/>
                <w:kern w:val="0"/>
                <w:sz w:val="20"/>
                <w:szCs w:val="20"/>
                <w:lang w:bidi="ar"/>
              </w:rPr>
              <w:t>0.51 ± 0.84</w:t>
            </w:r>
            <w:r>
              <w:rPr>
                <w:rFonts w:hint="default" w:ascii="Arial Regular" w:hAnsi="Arial Regular" w:eastAsia="等线" w:cs="Arial Regular"/>
                <w:color w:val="000000"/>
                <w:kern w:val="0"/>
                <w:sz w:val="20"/>
                <w:szCs w:val="20"/>
                <w:vertAlign w:val="superscript"/>
                <w:lang w:bidi="ar"/>
              </w:rPr>
              <w:t>c</w:t>
            </w:r>
          </w:p>
        </w:tc>
        <w:tc>
          <w:tcPr>
            <w:tcW w:w="0" w:type="auto"/>
            <w:tcBorders>
              <w:top w:val="nil"/>
              <w:left w:val="nil"/>
              <w:bottom w:val="nil"/>
              <w:right w:val="nil"/>
            </w:tcBorders>
            <w:shd w:val="clear" w:color="auto" w:fill="auto"/>
            <w:vAlign w:val="center"/>
          </w:tcPr>
          <w:p w14:paraId="34E666CD">
            <w:pPr>
              <w:widowControl/>
              <w:jc w:val="center"/>
              <w:textAlignment w:val="center"/>
              <w:rPr>
                <w:rFonts w:hint="default" w:ascii="Arial Regular" w:hAnsi="Arial Regular" w:eastAsia="等线" w:cs="Arial Regular"/>
                <w:color w:val="000000"/>
                <w:kern w:val="0"/>
                <w:sz w:val="20"/>
                <w:szCs w:val="20"/>
                <w:lang w:bidi="ar"/>
              </w:rPr>
            </w:pPr>
            <w:r>
              <w:rPr>
                <w:rFonts w:hint="default" w:ascii="Arial Regular" w:hAnsi="Arial Regular" w:eastAsia="等线" w:cs="Arial Regular"/>
                <w:color w:val="000000"/>
                <w:kern w:val="0"/>
                <w:sz w:val="20"/>
                <w:szCs w:val="20"/>
                <w:lang w:bidi="ar"/>
              </w:rPr>
              <w:t>0.26 ± 0.03</w:t>
            </w:r>
            <w:r>
              <w:rPr>
                <w:rFonts w:hint="default" w:ascii="Arial Regular" w:hAnsi="Arial Regular" w:eastAsia="等线" w:cs="Arial Regular"/>
                <w:color w:val="000000"/>
                <w:kern w:val="0"/>
                <w:sz w:val="20"/>
                <w:szCs w:val="20"/>
                <w:vertAlign w:val="superscript"/>
                <w:lang w:bidi="ar"/>
              </w:rPr>
              <w:t>a</w:t>
            </w:r>
          </w:p>
        </w:tc>
      </w:tr>
      <w:tr w14:paraId="6738BC15">
        <w:trPr>
          <w:trHeight w:val="340" w:hRule="atLeast"/>
          <w:jc w:val="center"/>
        </w:trPr>
        <w:tc>
          <w:tcPr>
            <w:tcW w:w="0" w:type="auto"/>
            <w:tcBorders>
              <w:top w:val="nil"/>
              <w:left w:val="nil"/>
              <w:bottom w:val="nil"/>
              <w:right w:val="nil"/>
            </w:tcBorders>
            <w:shd w:val="clear" w:color="auto" w:fill="auto"/>
            <w:vAlign w:val="center"/>
          </w:tcPr>
          <w:p w14:paraId="7967F4BE">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[Cu(II)]</w:t>
            </w:r>
            <w:r>
              <w:rPr>
                <w:rFonts w:hint="default" w:ascii="Arial Regular" w:hAnsi="Arial Regular" w:eastAsia="等线" w:cs="Arial Regular"/>
                <w:color w:val="000000"/>
                <w:kern w:val="0"/>
                <w:sz w:val="20"/>
                <w:szCs w:val="20"/>
                <w:vertAlign w:val="subscript"/>
                <w:lang w:bidi="ar"/>
              </w:rPr>
              <w:t>0</w:t>
            </w:r>
            <w:r>
              <w:rPr>
                <w:rFonts w:hint="default" w:ascii="Arial Regular" w:hAnsi="Arial Regular" w:eastAsia="等线" w:cs="Arial Regular"/>
                <w:color w:val="000000"/>
                <w:kern w:val="0"/>
                <w:sz w:val="20"/>
                <w:szCs w:val="20"/>
                <w:lang w:bidi="ar"/>
              </w:rPr>
              <w:t>=10 μM</w:t>
            </w:r>
          </w:p>
        </w:tc>
        <w:tc>
          <w:tcPr>
            <w:tcW w:w="0" w:type="auto"/>
            <w:tcBorders>
              <w:top w:val="nil"/>
              <w:left w:val="nil"/>
              <w:bottom w:val="nil"/>
              <w:right w:val="nil"/>
            </w:tcBorders>
            <w:shd w:val="clear" w:color="auto" w:fill="auto"/>
            <w:vAlign w:val="center"/>
          </w:tcPr>
          <w:p w14:paraId="70474508">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0.53 ± 0.03</w:t>
            </w:r>
            <w:r>
              <w:rPr>
                <w:rFonts w:hint="default" w:ascii="Arial Regular" w:hAnsi="Arial Regular" w:eastAsia="等线" w:cs="Arial Regular"/>
                <w:color w:val="000000"/>
                <w:kern w:val="0"/>
                <w:sz w:val="20"/>
                <w:szCs w:val="20"/>
                <w:vertAlign w:val="superscript"/>
                <w:lang w:bidi="ar"/>
              </w:rPr>
              <w:t>d</w:t>
            </w:r>
          </w:p>
        </w:tc>
        <w:tc>
          <w:tcPr>
            <w:tcW w:w="0" w:type="auto"/>
            <w:tcBorders>
              <w:top w:val="nil"/>
              <w:left w:val="nil"/>
              <w:bottom w:val="nil"/>
              <w:right w:val="nil"/>
            </w:tcBorders>
            <w:shd w:val="clear" w:color="auto" w:fill="auto"/>
            <w:vAlign w:val="center"/>
          </w:tcPr>
          <w:p w14:paraId="6A2DD451">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9.28 ± 4.36</w:t>
            </w:r>
            <w:r>
              <w:rPr>
                <w:rFonts w:hint="default" w:ascii="Arial Regular" w:hAnsi="Arial Regular" w:eastAsia="等线" w:cs="Arial Regular"/>
                <w:color w:val="000000"/>
                <w:kern w:val="0"/>
                <w:sz w:val="20"/>
                <w:szCs w:val="20"/>
                <w:vertAlign w:val="superscript"/>
                <w:lang w:bidi="ar"/>
              </w:rPr>
              <w:t>b</w:t>
            </w:r>
          </w:p>
        </w:tc>
        <w:tc>
          <w:tcPr>
            <w:tcW w:w="0" w:type="auto"/>
            <w:tcBorders>
              <w:top w:val="nil"/>
              <w:left w:val="nil"/>
              <w:bottom w:val="nil"/>
              <w:right w:val="nil"/>
            </w:tcBorders>
            <w:shd w:val="clear" w:color="auto" w:fill="auto"/>
            <w:vAlign w:val="center"/>
          </w:tcPr>
          <w:p w14:paraId="1B9AEC4F">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0.16 ± 0.02</w:t>
            </w:r>
            <w:r>
              <w:rPr>
                <w:rFonts w:hint="default" w:ascii="Arial Regular" w:hAnsi="Arial Regular" w:eastAsia="等线" w:cs="Arial Regular"/>
                <w:color w:val="000000"/>
                <w:kern w:val="0"/>
                <w:sz w:val="20"/>
                <w:szCs w:val="20"/>
                <w:vertAlign w:val="superscript"/>
                <w:lang w:bidi="ar"/>
              </w:rPr>
              <w:t>c</w:t>
            </w:r>
          </w:p>
        </w:tc>
      </w:tr>
      <w:tr w14:paraId="67E5A607">
        <w:trPr>
          <w:trHeight w:val="340" w:hRule="atLeast"/>
          <w:jc w:val="center"/>
        </w:trPr>
        <w:tc>
          <w:tcPr>
            <w:tcW w:w="0" w:type="auto"/>
            <w:tcBorders>
              <w:top w:val="nil"/>
              <w:left w:val="nil"/>
              <w:bottom w:val="nil"/>
              <w:right w:val="nil"/>
            </w:tcBorders>
            <w:shd w:val="clear" w:color="auto" w:fill="auto"/>
            <w:vAlign w:val="center"/>
          </w:tcPr>
          <w:p w14:paraId="27AE986E">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[Cu(II)]</w:t>
            </w:r>
            <w:r>
              <w:rPr>
                <w:rFonts w:hint="default" w:ascii="Arial Regular" w:hAnsi="Arial Regular" w:eastAsia="等线" w:cs="Arial Regular"/>
                <w:color w:val="000000"/>
                <w:kern w:val="0"/>
                <w:sz w:val="20"/>
                <w:szCs w:val="20"/>
                <w:vertAlign w:val="subscript"/>
                <w:lang w:bidi="ar"/>
              </w:rPr>
              <w:t>0</w:t>
            </w:r>
            <w:r>
              <w:rPr>
                <w:rFonts w:hint="default" w:ascii="Arial Regular" w:hAnsi="Arial Regular" w:eastAsia="等线" w:cs="Arial Regular"/>
                <w:color w:val="000000"/>
                <w:kern w:val="0"/>
                <w:sz w:val="20"/>
                <w:szCs w:val="20"/>
                <w:lang w:bidi="ar"/>
              </w:rPr>
              <w:t>=40 μM</w:t>
            </w:r>
          </w:p>
        </w:tc>
        <w:tc>
          <w:tcPr>
            <w:tcW w:w="0" w:type="auto"/>
            <w:tcBorders>
              <w:top w:val="nil"/>
              <w:left w:val="nil"/>
              <w:bottom w:val="nil"/>
              <w:right w:val="nil"/>
            </w:tcBorders>
            <w:shd w:val="clear" w:color="auto" w:fill="auto"/>
            <w:vAlign w:val="center"/>
          </w:tcPr>
          <w:p w14:paraId="658ACAE0">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2.10 ± 0.11</w:t>
            </w:r>
            <w:r>
              <w:rPr>
                <w:rFonts w:hint="default" w:ascii="Arial Regular" w:hAnsi="Arial Regular" w:eastAsia="等线" w:cs="Arial Regular"/>
                <w:color w:val="000000"/>
                <w:kern w:val="0"/>
                <w:sz w:val="20"/>
                <w:szCs w:val="20"/>
                <w:vertAlign w:val="superscript"/>
                <w:lang w:bidi="ar"/>
              </w:rPr>
              <w:t>c</w:t>
            </w:r>
          </w:p>
        </w:tc>
        <w:tc>
          <w:tcPr>
            <w:tcW w:w="0" w:type="auto"/>
            <w:tcBorders>
              <w:top w:val="nil"/>
              <w:left w:val="nil"/>
              <w:bottom w:val="nil"/>
              <w:right w:val="nil"/>
            </w:tcBorders>
            <w:shd w:val="clear" w:color="auto" w:fill="auto"/>
            <w:vAlign w:val="center"/>
          </w:tcPr>
          <w:p w14:paraId="0F02D635">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12.38 ± 3.14</w:t>
            </w:r>
            <w:r>
              <w:rPr>
                <w:rFonts w:hint="default" w:ascii="Arial Regular" w:hAnsi="Arial Regular" w:eastAsia="等线" w:cs="Arial Regular"/>
                <w:color w:val="000000"/>
                <w:kern w:val="0"/>
                <w:sz w:val="20"/>
                <w:szCs w:val="20"/>
                <w:vertAlign w:val="superscript"/>
                <w:lang w:bidi="ar"/>
              </w:rPr>
              <w:t>ab</w:t>
            </w:r>
          </w:p>
        </w:tc>
        <w:tc>
          <w:tcPr>
            <w:tcW w:w="0" w:type="auto"/>
            <w:tcBorders>
              <w:top w:val="nil"/>
              <w:left w:val="nil"/>
              <w:bottom w:val="nil"/>
              <w:right w:val="nil"/>
            </w:tcBorders>
            <w:shd w:val="clear" w:color="auto" w:fill="auto"/>
            <w:vAlign w:val="center"/>
          </w:tcPr>
          <w:p w14:paraId="1EF297D0">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0.17 ± 0.02</w:t>
            </w:r>
            <w:r>
              <w:rPr>
                <w:rFonts w:hint="default" w:ascii="Arial Regular" w:hAnsi="Arial Regular" w:eastAsia="等线" w:cs="Arial Regular"/>
                <w:color w:val="000000"/>
                <w:kern w:val="0"/>
                <w:sz w:val="20"/>
                <w:szCs w:val="20"/>
                <w:vertAlign w:val="superscript"/>
                <w:lang w:bidi="ar"/>
              </w:rPr>
              <w:t>c</w:t>
            </w:r>
          </w:p>
        </w:tc>
      </w:tr>
      <w:tr w14:paraId="018B099C">
        <w:trPr>
          <w:trHeight w:val="340" w:hRule="atLeast"/>
          <w:jc w:val="center"/>
        </w:trPr>
        <w:tc>
          <w:tcPr>
            <w:tcW w:w="0" w:type="auto"/>
            <w:tcBorders>
              <w:top w:val="nil"/>
              <w:left w:val="nil"/>
              <w:bottom w:val="nil"/>
              <w:right w:val="nil"/>
            </w:tcBorders>
            <w:shd w:val="clear" w:color="auto" w:fill="auto"/>
            <w:vAlign w:val="center"/>
          </w:tcPr>
          <w:p w14:paraId="140377A4">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[Cu(II)]</w:t>
            </w:r>
            <w:r>
              <w:rPr>
                <w:rFonts w:hint="default" w:ascii="Arial Regular" w:hAnsi="Arial Regular" w:eastAsia="等线" w:cs="Arial Regular"/>
                <w:color w:val="000000"/>
                <w:kern w:val="0"/>
                <w:sz w:val="20"/>
                <w:szCs w:val="20"/>
                <w:vertAlign w:val="subscript"/>
                <w:lang w:bidi="ar"/>
              </w:rPr>
              <w:t>0</w:t>
            </w:r>
            <w:r>
              <w:rPr>
                <w:rFonts w:hint="default" w:ascii="Arial Regular" w:hAnsi="Arial Regular" w:eastAsia="等线" w:cs="Arial Regular"/>
                <w:color w:val="000000"/>
                <w:kern w:val="0"/>
                <w:sz w:val="20"/>
                <w:szCs w:val="20"/>
                <w:lang w:bidi="ar"/>
              </w:rPr>
              <w:t>=80 μM</w:t>
            </w:r>
          </w:p>
        </w:tc>
        <w:tc>
          <w:tcPr>
            <w:tcW w:w="0" w:type="auto"/>
            <w:tcBorders>
              <w:top w:val="nil"/>
              <w:left w:val="nil"/>
              <w:bottom w:val="nil"/>
              <w:right w:val="nil"/>
            </w:tcBorders>
            <w:shd w:val="clear" w:color="auto" w:fill="auto"/>
            <w:vAlign w:val="center"/>
          </w:tcPr>
          <w:p w14:paraId="6251BECC">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5.02 ± 0.45</w:t>
            </w:r>
            <w:r>
              <w:rPr>
                <w:rFonts w:hint="default" w:ascii="Arial Regular" w:hAnsi="Arial Regular" w:eastAsia="等线" w:cs="Arial Regular"/>
                <w:color w:val="000000"/>
                <w:kern w:val="0"/>
                <w:sz w:val="20"/>
                <w:szCs w:val="20"/>
                <w:vertAlign w:val="superscript"/>
                <w:lang w:bidi="ar"/>
              </w:rPr>
              <w:t>b</w:t>
            </w:r>
          </w:p>
        </w:tc>
        <w:tc>
          <w:tcPr>
            <w:tcW w:w="0" w:type="auto"/>
            <w:tcBorders>
              <w:top w:val="nil"/>
              <w:left w:val="nil"/>
              <w:bottom w:val="nil"/>
              <w:right w:val="nil"/>
            </w:tcBorders>
            <w:shd w:val="clear" w:color="auto" w:fill="auto"/>
            <w:vAlign w:val="center"/>
          </w:tcPr>
          <w:p w14:paraId="14FF61CE">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12.49 ± 2.67</w:t>
            </w:r>
            <w:r>
              <w:rPr>
                <w:rFonts w:hint="default" w:ascii="Arial Regular" w:hAnsi="Arial Regular" w:eastAsia="等线" w:cs="Arial Regular"/>
                <w:color w:val="000000"/>
                <w:kern w:val="0"/>
                <w:sz w:val="20"/>
                <w:szCs w:val="20"/>
                <w:vertAlign w:val="superscript"/>
                <w:lang w:bidi="ar"/>
              </w:rPr>
              <w:t>ab</w:t>
            </w:r>
          </w:p>
        </w:tc>
        <w:tc>
          <w:tcPr>
            <w:tcW w:w="0" w:type="auto"/>
            <w:tcBorders>
              <w:top w:val="nil"/>
              <w:left w:val="nil"/>
              <w:bottom w:val="nil"/>
              <w:right w:val="nil"/>
            </w:tcBorders>
            <w:shd w:val="clear" w:color="auto" w:fill="auto"/>
            <w:vAlign w:val="center"/>
          </w:tcPr>
          <w:p w14:paraId="76C3C4A6">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0.18 ± 0.02</w:t>
            </w:r>
            <w:r>
              <w:rPr>
                <w:rFonts w:hint="default" w:ascii="Arial Regular" w:hAnsi="Arial Regular" w:eastAsia="等线" w:cs="Arial Regular"/>
                <w:color w:val="000000"/>
                <w:kern w:val="0"/>
                <w:sz w:val="20"/>
                <w:szCs w:val="20"/>
                <w:vertAlign w:val="superscript"/>
                <w:lang w:bidi="ar"/>
              </w:rPr>
              <w:t>c</w:t>
            </w:r>
          </w:p>
        </w:tc>
      </w:tr>
      <w:tr w14:paraId="1ADD5205">
        <w:trPr>
          <w:trHeight w:val="340" w:hRule="atLeast"/>
          <w:jc w:val="center"/>
        </w:trPr>
        <w:tc>
          <w:tcPr>
            <w:tcW w:w="0" w:type="auto"/>
            <w:tcBorders>
              <w:top w:val="nil"/>
              <w:left w:val="nil"/>
              <w:bottom w:val="single" w:color="auto" w:sz="8" w:space="0"/>
              <w:right w:val="nil"/>
            </w:tcBorders>
            <w:shd w:val="clear" w:color="auto" w:fill="auto"/>
            <w:vAlign w:val="center"/>
          </w:tcPr>
          <w:p w14:paraId="3A881A71">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[Cu(II)]</w:t>
            </w:r>
            <w:r>
              <w:rPr>
                <w:rFonts w:hint="default" w:ascii="Arial Regular" w:hAnsi="Arial Regular" w:eastAsia="等线" w:cs="Arial Regular"/>
                <w:color w:val="000000"/>
                <w:kern w:val="0"/>
                <w:sz w:val="20"/>
                <w:szCs w:val="20"/>
                <w:vertAlign w:val="subscript"/>
                <w:lang w:bidi="ar"/>
              </w:rPr>
              <w:t>0</w:t>
            </w:r>
            <w:r>
              <w:rPr>
                <w:rFonts w:hint="default" w:ascii="Arial Regular" w:hAnsi="Arial Regular" w:eastAsia="等线" w:cs="Arial Regular"/>
                <w:color w:val="000000"/>
                <w:kern w:val="0"/>
                <w:sz w:val="20"/>
                <w:szCs w:val="20"/>
                <w:lang w:bidi="ar"/>
              </w:rPr>
              <w:t>=100 μM</w:t>
            </w:r>
          </w:p>
        </w:tc>
        <w:tc>
          <w:tcPr>
            <w:tcW w:w="0" w:type="auto"/>
            <w:tcBorders>
              <w:top w:val="nil"/>
              <w:left w:val="nil"/>
              <w:bottom w:val="single" w:color="auto" w:sz="8" w:space="0"/>
              <w:right w:val="nil"/>
            </w:tcBorders>
            <w:shd w:val="clear" w:color="auto" w:fill="auto"/>
            <w:vAlign w:val="center"/>
          </w:tcPr>
          <w:p w14:paraId="14FC2339">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5.47 ± 0.27</w:t>
            </w:r>
            <w:r>
              <w:rPr>
                <w:rFonts w:hint="default" w:ascii="Arial Regular" w:hAnsi="Arial Regular" w:eastAsia="等线" w:cs="Arial Regular"/>
                <w:color w:val="000000"/>
                <w:kern w:val="0"/>
                <w:sz w:val="20"/>
                <w:szCs w:val="20"/>
                <w:vertAlign w:val="superscript"/>
                <w:lang w:bidi="ar"/>
              </w:rPr>
              <w:t>a</w:t>
            </w:r>
          </w:p>
        </w:tc>
        <w:tc>
          <w:tcPr>
            <w:tcW w:w="0" w:type="auto"/>
            <w:tcBorders>
              <w:top w:val="nil"/>
              <w:left w:val="nil"/>
              <w:bottom w:val="single" w:color="auto" w:sz="8" w:space="0"/>
              <w:right w:val="nil"/>
            </w:tcBorders>
            <w:shd w:val="clear" w:color="auto" w:fill="auto"/>
            <w:vAlign w:val="center"/>
          </w:tcPr>
          <w:p w14:paraId="11ACE916">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17.03 ± 0.66</w:t>
            </w:r>
            <w:r>
              <w:rPr>
                <w:rFonts w:hint="default" w:ascii="Arial Regular" w:hAnsi="Arial Regular" w:eastAsia="等线" w:cs="Arial Regular"/>
                <w:color w:val="000000"/>
                <w:kern w:val="0"/>
                <w:sz w:val="20"/>
                <w:szCs w:val="20"/>
                <w:vertAlign w:val="superscript"/>
                <w:lang w:bidi="ar"/>
              </w:rPr>
              <w:t>a</w:t>
            </w:r>
          </w:p>
        </w:tc>
        <w:tc>
          <w:tcPr>
            <w:tcW w:w="0" w:type="auto"/>
            <w:tcBorders>
              <w:top w:val="nil"/>
              <w:left w:val="nil"/>
              <w:bottom w:val="single" w:color="auto" w:sz="8" w:space="0"/>
              <w:right w:val="nil"/>
            </w:tcBorders>
            <w:shd w:val="clear" w:color="auto" w:fill="auto"/>
            <w:vAlign w:val="center"/>
          </w:tcPr>
          <w:p w14:paraId="4B2E56FC">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0.22 ± 0.01</w:t>
            </w:r>
            <w:r>
              <w:rPr>
                <w:rFonts w:hint="default" w:ascii="Arial Regular" w:hAnsi="Arial Regular" w:eastAsia="等线" w:cs="Arial Regular"/>
                <w:color w:val="000000"/>
                <w:kern w:val="0"/>
                <w:sz w:val="20"/>
                <w:szCs w:val="20"/>
                <w:vertAlign w:val="superscript"/>
                <w:lang w:bidi="ar"/>
              </w:rPr>
              <w:t>b</w:t>
            </w:r>
          </w:p>
        </w:tc>
      </w:tr>
      <w:tr w14:paraId="393C9979">
        <w:trPr>
          <w:trHeight w:val="340" w:hRule="atLeast"/>
          <w:jc w:val="center"/>
        </w:trPr>
        <w:tc>
          <w:tcPr>
            <w:tcW w:w="0" w:type="auto"/>
            <w:tcBorders>
              <w:top w:val="single" w:color="auto" w:sz="8" w:space="0"/>
              <w:left w:val="nil"/>
              <w:bottom w:val="nil"/>
              <w:right w:val="nil"/>
            </w:tcBorders>
            <w:shd w:val="clear" w:color="auto" w:fill="auto"/>
            <w:vAlign w:val="center"/>
          </w:tcPr>
          <w:p w14:paraId="5148FFBB">
            <w:pPr>
              <w:widowControl/>
              <w:jc w:val="center"/>
              <w:textAlignment w:val="center"/>
              <w:rPr>
                <w:rFonts w:hint="default" w:ascii="Arial Regular" w:hAnsi="Arial Regular" w:eastAsia="等线" w:cs="Arial Regular"/>
                <w:color w:val="000000"/>
                <w:kern w:val="0"/>
                <w:sz w:val="20"/>
                <w:szCs w:val="20"/>
                <w:lang w:bidi="ar"/>
              </w:rPr>
            </w:pPr>
            <w:r>
              <w:rPr>
                <w:rFonts w:hint="default" w:ascii="Arial Regular" w:hAnsi="Arial Regular" w:eastAsia="等线" w:cs="Arial Regular"/>
                <w:color w:val="000000"/>
                <w:kern w:val="0"/>
                <w:sz w:val="20"/>
                <w:szCs w:val="20"/>
                <w:lang w:bidi="ar"/>
              </w:rPr>
              <w:t>Control</w:t>
            </w:r>
          </w:p>
        </w:tc>
        <w:tc>
          <w:tcPr>
            <w:tcW w:w="0" w:type="auto"/>
            <w:tcBorders>
              <w:top w:val="single" w:color="auto" w:sz="8" w:space="0"/>
              <w:left w:val="nil"/>
              <w:bottom w:val="nil"/>
              <w:right w:val="nil"/>
            </w:tcBorders>
            <w:shd w:val="clear" w:color="auto" w:fill="auto"/>
            <w:vAlign w:val="center"/>
          </w:tcPr>
          <w:p w14:paraId="44D0D253">
            <w:pPr>
              <w:widowControl/>
              <w:jc w:val="center"/>
              <w:textAlignment w:val="center"/>
              <w:rPr>
                <w:rFonts w:hint="default" w:ascii="Arial Regular" w:hAnsi="Arial Regular" w:eastAsia="等线" w:cs="Arial Regular"/>
                <w:color w:val="000000"/>
                <w:kern w:val="0"/>
                <w:sz w:val="20"/>
                <w:szCs w:val="20"/>
                <w:lang w:bidi="ar"/>
              </w:rPr>
            </w:pPr>
            <w:r>
              <w:rPr>
                <w:rFonts w:hint="default" w:ascii="Arial Regular" w:hAnsi="Arial Regular" w:eastAsia="等线" w:cs="Arial Regular"/>
                <w:color w:val="000000"/>
                <w:kern w:val="0"/>
                <w:sz w:val="20"/>
                <w:szCs w:val="20"/>
                <w:lang w:bidi="ar"/>
              </w:rPr>
              <w:t>0.00 ± 0.00</w:t>
            </w:r>
            <w:r>
              <w:rPr>
                <w:rFonts w:hint="default" w:ascii="Arial Regular" w:hAnsi="Arial Regular" w:eastAsia="等线" w:cs="Arial Regular"/>
                <w:color w:val="000000"/>
                <w:kern w:val="0"/>
                <w:sz w:val="20"/>
                <w:szCs w:val="20"/>
                <w:vertAlign w:val="superscript"/>
                <w:lang w:bidi="ar"/>
              </w:rPr>
              <w:t>d</w:t>
            </w:r>
          </w:p>
        </w:tc>
        <w:tc>
          <w:tcPr>
            <w:tcW w:w="0" w:type="auto"/>
            <w:tcBorders>
              <w:top w:val="single" w:color="auto" w:sz="8" w:space="0"/>
              <w:left w:val="nil"/>
              <w:bottom w:val="nil"/>
              <w:right w:val="nil"/>
            </w:tcBorders>
            <w:shd w:val="clear" w:color="auto" w:fill="auto"/>
            <w:vAlign w:val="center"/>
          </w:tcPr>
          <w:p w14:paraId="750C2EE1">
            <w:pPr>
              <w:widowControl/>
              <w:jc w:val="center"/>
              <w:textAlignment w:val="center"/>
              <w:rPr>
                <w:rFonts w:hint="default" w:ascii="Arial Regular" w:hAnsi="Arial Regular" w:eastAsia="等线" w:cs="Arial Regular"/>
                <w:color w:val="000000"/>
                <w:kern w:val="0"/>
                <w:sz w:val="20"/>
                <w:szCs w:val="20"/>
                <w:lang w:bidi="ar"/>
              </w:rPr>
            </w:pPr>
            <w:r>
              <w:rPr>
                <w:rFonts w:hint="default" w:ascii="Arial Regular" w:hAnsi="Arial Regular" w:eastAsia="等线" w:cs="Arial Regular"/>
                <w:color w:val="000000"/>
                <w:kern w:val="0"/>
                <w:sz w:val="20"/>
                <w:szCs w:val="20"/>
                <w:lang w:bidi="ar"/>
              </w:rPr>
              <w:t>0.51 ± 0.84</w:t>
            </w:r>
            <w:r>
              <w:rPr>
                <w:rFonts w:hint="default" w:ascii="Arial Regular" w:hAnsi="Arial Regular" w:eastAsia="等线" w:cs="Arial Regular"/>
                <w:color w:val="000000"/>
                <w:kern w:val="0"/>
                <w:sz w:val="20"/>
                <w:szCs w:val="20"/>
                <w:vertAlign w:val="superscript"/>
                <w:lang w:bidi="ar"/>
              </w:rPr>
              <w:t>b</w:t>
            </w:r>
          </w:p>
        </w:tc>
        <w:tc>
          <w:tcPr>
            <w:tcW w:w="0" w:type="auto"/>
            <w:tcBorders>
              <w:top w:val="single" w:color="auto" w:sz="8" w:space="0"/>
              <w:left w:val="nil"/>
              <w:bottom w:val="nil"/>
              <w:right w:val="nil"/>
            </w:tcBorders>
            <w:shd w:val="clear" w:color="auto" w:fill="auto"/>
            <w:vAlign w:val="center"/>
          </w:tcPr>
          <w:p w14:paraId="78E5C67C">
            <w:pPr>
              <w:widowControl/>
              <w:jc w:val="center"/>
              <w:textAlignment w:val="center"/>
              <w:rPr>
                <w:rFonts w:hint="default" w:ascii="Arial Regular" w:hAnsi="Arial Regular" w:eastAsia="等线" w:cs="Arial Regular"/>
                <w:color w:val="000000"/>
                <w:kern w:val="0"/>
                <w:sz w:val="20"/>
                <w:szCs w:val="20"/>
                <w:lang w:bidi="ar"/>
              </w:rPr>
            </w:pPr>
            <w:r>
              <w:rPr>
                <w:rFonts w:hint="default" w:ascii="Arial Regular" w:hAnsi="Arial Regular" w:eastAsia="等线" w:cs="Arial Regular"/>
                <w:color w:val="000000"/>
                <w:kern w:val="0"/>
                <w:sz w:val="20"/>
                <w:szCs w:val="20"/>
                <w:lang w:bidi="ar"/>
              </w:rPr>
              <w:t>0.26 ± 0.03</w:t>
            </w:r>
            <w:r>
              <w:rPr>
                <w:rFonts w:hint="default" w:ascii="Arial Regular" w:hAnsi="Arial Regular" w:eastAsia="等线" w:cs="Arial Regular"/>
                <w:color w:val="000000"/>
                <w:kern w:val="0"/>
                <w:sz w:val="20"/>
                <w:szCs w:val="20"/>
                <w:vertAlign w:val="superscript"/>
                <w:lang w:bidi="ar"/>
              </w:rPr>
              <w:t>a</w:t>
            </w:r>
          </w:p>
        </w:tc>
      </w:tr>
      <w:tr w14:paraId="56AC002E">
        <w:trPr>
          <w:trHeight w:val="340" w:hRule="atLeast"/>
          <w:jc w:val="center"/>
        </w:trPr>
        <w:tc>
          <w:tcPr>
            <w:tcW w:w="0" w:type="auto"/>
            <w:tcBorders>
              <w:top w:val="nil"/>
              <w:left w:val="nil"/>
              <w:bottom w:val="nil"/>
              <w:right w:val="nil"/>
            </w:tcBorders>
            <w:shd w:val="clear" w:color="auto" w:fill="auto"/>
            <w:vAlign w:val="center"/>
          </w:tcPr>
          <w:p w14:paraId="299AC3EB">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[Fe(II)]</w:t>
            </w:r>
            <w:r>
              <w:rPr>
                <w:rFonts w:hint="default" w:ascii="Arial Regular" w:hAnsi="Arial Regular" w:eastAsia="等线" w:cs="Arial Regular"/>
                <w:color w:val="000000"/>
                <w:kern w:val="0"/>
                <w:sz w:val="20"/>
                <w:szCs w:val="20"/>
                <w:vertAlign w:val="subscript"/>
                <w:lang w:bidi="ar"/>
              </w:rPr>
              <w:t>0</w:t>
            </w:r>
            <w:r>
              <w:rPr>
                <w:rFonts w:hint="default" w:ascii="Arial Regular" w:hAnsi="Arial Regular" w:eastAsia="等线" w:cs="Arial Regular"/>
                <w:color w:val="000000"/>
                <w:kern w:val="0"/>
                <w:sz w:val="20"/>
                <w:szCs w:val="20"/>
                <w:lang w:bidi="ar"/>
              </w:rPr>
              <w:t>=10 μM</w:t>
            </w:r>
          </w:p>
        </w:tc>
        <w:tc>
          <w:tcPr>
            <w:tcW w:w="0" w:type="auto"/>
            <w:tcBorders>
              <w:top w:val="nil"/>
              <w:left w:val="nil"/>
              <w:bottom w:val="nil"/>
              <w:right w:val="nil"/>
            </w:tcBorders>
            <w:shd w:val="clear" w:color="auto" w:fill="auto"/>
            <w:vAlign w:val="center"/>
          </w:tcPr>
          <w:p w14:paraId="2FA0E404">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0.52 ± 0.03</w:t>
            </w:r>
            <w:r>
              <w:rPr>
                <w:rFonts w:hint="default" w:ascii="Arial Regular" w:hAnsi="Arial Regular" w:eastAsia="等线" w:cs="Arial Regular"/>
                <w:color w:val="000000"/>
                <w:kern w:val="0"/>
                <w:sz w:val="20"/>
                <w:szCs w:val="20"/>
                <w:vertAlign w:val="superscript"/>
                <w:lang w:bidi="ar"/>
              </w:rPr>
              <w:t>c</w:t>
            </w:r>
          </w:p>
        </w:tc>
        <w:tc>
          <w:tcPr>
            <w:tcW w:w="0" w:type="auto"/>
            <w:tcBorders>
              <w:top w:val="nil"/>
              <w:left w:val="nil"/>
              <w:bottom w:val="nil"/>
              <w:right w:val="nil"/>
            </w:tcBorders>
            <w:shd w:val="clear" w:color="auto" w:fill="auto"/>
            <w:vAlign w:val="center"/>
          </w:tcPr>
          <w:p w14:paraId="014EE51A">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2.22 ± 1.72</w:t>
            </w:r>
            <w:r>
              <w:rPr>
                <w:rFonts w:hint="default" w:ascii="Arial Regular" w:hAnsi="Arial Regular" w:eastAsia="等线" w:cs="Arial Regular"/>
                <w:color w:val="000000"/>
                <w:kern w:val="0"/>
                <w:sz w:val="20"/>
                <w:szCs w:val="20"/>
                <w:vertAlign w:val="superscript"/>
                <w:lang w:bidi="ar"/>
              </w:rPr>
              <w:t>ab</w:t>
            </w:r>
          </w:p>
        </w:tc>
        <w:tc>
          <w:tcPr>
            <w:tcW w:w="0" w:type="auto"/>
            <w:tcBorders>
              <w:top w:val="nil"/>
              <w:left w:val="nil"/>
              <w:bottom w:val="nil"/>
              <w:right w:val="nil"/>
            </w:tcBorders>
            <w:shd w:val="clear" w:color="auto" w:fill="auto"/>
            <w:vAlign w:val="center"/>
          </w:tcPr>
          <w:p w14:paraId="5CD70E61">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0.16 ± 0.02</w:t>
            </w:r>
            <w:r>
              <w:rPr>
                <w:rFonts w:hint="default" w:ascii="Arial Regular" w:hAnsi="Arial Regular" w:eastAsia="等线" w:cs="Arial Regular"/>
                <w:color w:val="000000"/>
                <w:kern w:val="0"/>
                <w:sz w:val="20"/>
                <w:szCs w:val="20"/>
                <w:vertAlign w:val="superscript"/>
                <w:lang w:bidi="ar"/>
              </w:rPr>
              <w:t>b</w:t>
            </w:r>
          </w:p>
        </w:tc>
      </w:tr>
      <w:tr w14:paraId="15E570A6">
        <w:trPr>
          <w:trHeight w:val="340" w:hRule="atLeast"/>
          <w:jc w:val="center"/>
        </w:trPr>
        <w:tc>
          <w:tcPr>
            <w:tcW w:w="0" w:type="auto"/>
            <w:tcBorders>
              <w:top w:val="nil"/>
              <w:left w:val="nil"/>
              <w:bottom w:val="nil"/>
              <w:right w:val="nil"/>
            </w:tcBorders>
            <w:shd w:val="clear" w:color="auto" w:fill="auto"/>
            <w:vAlign w:val="center"/>
          </w:tcPr>
          <w:p w14:paraId="1F594A21">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[Fe(II)]</w:t>
            </w:r>
            <w:r>
              <w:rPr>
                <w:rFonts w:hint="default" w:ascii="Arial Regular" w:hAnsi="Arial Regular" w:eastAsia="等线" w:cs="Arial Regular"/>
                <w:color w:val="000000"/>
                <w:kern w:val="0"/>
                <w:sz w:val="20"/>
                <w:szCs w:val="20"/>
                <w:vertAlign w:val="subscript"/>
                <w:lang w:bidi="ar"/>
              </w:rPr>
              <w:t>0</w:t>
            </w:r>
            <w:r>
              <w:rPr>
                <w:rFonts w:hint="default" w:ascii="Arial Regular" w:hAnsi="Arial Regular" w:eastAsia="等线" w:cs="Arial Regular"/>
                <w:color w:val="000000"/>
                <w:kern w:val="0"/>
                <w:sz w:val="20"/>
                <w:szCs w:val="20"/>
                <w:lang w:bidi="ar"/>
              </w:rPr>
              <w:t>=40 μM</w:t>
            </w:r>
          </w:p>
        </w:tc>
        <w:tc>
          <w:tcPr>
            <w:tcW w:w="0" w:type="auto"/>
            <w:tcBorders>
              <w:top w:val="nil"/>
              <w:left w:val="nil"/>
              <w:bottom w:val="nil"/>
              <w:right w:val="nil"/>
            </w:tcBorders>
            <w:shd w:val="clear" w:color="auto" w:fill="auto"/>
            <w:vAlign w:val="center"/>
          </w:tcPr>
          <w:p w14:paraId="3D85B516">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2.02 ± 0.10</w:t>
            </w:r>
            <w:r>
              <w:rPr>
                <w:rFonts w:hint="default" w:ascii="Arial Regular" w:hAnsi="Arial Regular" w:eastAsia="等线" w:cs="Arial Regular"/>
                <w:color w:val="000000"/>
                <w:kern w:val="0"/>
                <w:sz w:val="20"/>
                <w:szCs w:val="20"/>
                <w:vertAlign w:val="superscript"/>
                <w:lang w:bidi="ar"/>
              </w:rPr>
              <w:t>b</w:t>
            </w:r>
          </w:p>
        </w:tc>
        <w:tc>
          <w:tcPr>
            <w:tcW w:w="0" w:type="auto"/>
            <w:tcBorders>
              <w:top w:val="nil"/>
              <w:left w:val="nil"/>
              <w:bottom w:val="nil"/>
              <w:right w:val="nil"/>
            </w:tcBorders>
            <w:shd w:val="clear" w:color="auto" w:fill="auto"/>
            <w:vAlign w:val="center"/>
          </w:tcPr>
          <w:p w14:paraId="1B7318A7">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6.78 ± 3.75</w:t>
            </w:r>
            <w:r>
              <w:rPr>
                <w:rFonts w:hint="default" w:ascii="Arial Regular" w:hAnsi="Arial Regular" w:eastAsia="等线" w:cs="Arial Regular"/>
                <w:color w:val="000000"/>
                <w:kern w:val="0"/>
                <w:sz w:val="20"/>
                <w:szCs w:val="20"/>
                <w:vertAlign w:val="superscript"/>
                <w:lang w:bidi="ar"/>
              </w:rPr>
              <w:t>a</w:t>
            </w:r>
          </w:p>
        </w:tc>
        <w:tc>
          <w:tcPr>
            <w:tcW w:w="0" w:type="auto"/>
            <w:tcBorders>
              <w:top w:val="nil"/>
              <w:left w:val="nil"/>
              <w:bottom w:val="nil"/>
              <w:right w:val="nil"/>
            </w:tcBorders>
            <w:shd w:val="clear" w:color="auto" w:fill="auto"/>
            <w:vAlign w:val="center"/>
          </w:tcPr>
          <w:p w14:paraId="49D83DB8">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0.17 ± 0.02</w:t>
            </w:r>
            <w:r>
              <w:rPr>
                <w:rFonts w:hint="default" w:ascii="Arial Regular" w:hAnsi="Arial Regular" w:eastAsia="等线" w:cs="Arial Regular"/>
                <w:color w:val="000000"/>
                <w:kern w:val="0"/>
                <w:sz w:val="20"/>
                <w:szCs w:val="20"/>
                <w:vertAlign w:val="superscript"/>
                <w:lang w:bidi="ar"/>
              </w:rPr>
              <w:t>b</w:t>
            </w:r>
          </w:p>
        </w:tc>
      </w:tr>
      <w:tr w14:paraId="16474069">
        <w:trPr>
          <w:trHeight w:val="340" w:hRule="atLeast"/>
          <w:jc w:val="center"/>
        </w:trPr>
        <w:tc>
          <w:tcPr>
            <w:tcW w:w="0" w:type="auto"/>
            <w:tcBorders>
              <w:top w:val="nil"/>
              <w:left w:val="nil"/>
              <w:bottom w:val="nil"/>
              <w:right w:val="nil"/>
            </w:tcBorders>
            <w:shd w:val="clear" w:color="auto" w:fill="auto"/>
            <w:vAlign w:val="center"/>
          </w:tcPr>
          <w:p w14:paraId="323516FC">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[Fe(II)]</w:t>
            </w:r>
            <w:r>
              <w:rPr>
                <w:rFonts w:hint="default" w:ascii="Arial Regular" w:hAnsi="Arial Regular" w:eastAsia="等线" w:cs="Arial Regular"/>
                <w:color w:val="000000"/>
                <w:kern w:val="0"/>
                <w:sz w:val="20"/>
                <w:szCs w:val="20"/>
                <w:vertAlign w:val="subscript"/>
                <w:lang w:bidi="ar"/>
              </w:rPr>
              <w:t>0</w:t>
            </w:r>
            <w:r>
              <w:rPr>
                <w:rFonts w:hint="default" w:ascii="Arial Regular" w:hAnsi="Arial Regular" w:eastAsia="等线" w:cs="Arial Regular"/>
                <w:color w:val="000000"/>
                <w:kern w:val="0"/>
                <w:sz w:val="20"/>
                <w:szCs w:val="20"/>
                <w:lang w:bidi="ar"/>
              </w:rPr>
              <w:t>=80 μM</w:t>
            </w:r>
          </w:p>
        </w:tc>
        <w:tc>
          <w:tcPr>
            <w:tcW w:w="0" w:type="auto"/>
            <w:tcBorders>
              <w:top w:val="nil"/>
              <w:left w:val="nil"/>
              <w:bottom w:val="nil"/>
              <w:right w:val="nil"/>
            </w:tcBorders>
            <w:shd w:val="clear" w:color="auto" w:fill="auto"/>
            <w:vAlign w:val="center"/>
          </w:tcPr>
          <w:p w14:paraId="0643FBF3">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2.96 ± 0.13</w:t>
            </w:r>
            <w:r>
              <w:rPr>
                <w:rFonts w:hint="default" w:ascii="Arial Regular" w:hAnsi="Arial Regular" w:eastAsia="等线" w:cs="Arial Regular"/>
                <w:color w:val="000000"/>
                <w:kern w:val="0"/>
                <w:sz w:val="20"/>
                <w:szCs w:val="20"/>
                <w:vertAlign w:val="superscript"/>
                <w:lang w:bidi="ar"/>
              </w:rPr>
              <w:t>a</w:t>
            </w:r>
          </w:p>
        </w:tc>
        <w:tc>
          <w:tcPr>
            <w:tcW w:w="0" w:type="auto"/>
            <w:tcBorders>
              <w:top w:val="nil"/>
              <w:left w:val="nil"/>
              <w:bottom w:val="nil"/>
              <w:right w:val="nil"/>
            </w:tcBorders>
            <w:shd w:val="clear" w:color="auto" w:fill="auto"/>
            <w:vAlign w:val="center"/>
          </w:tcPr>
          <w:p w14:paraId="5654D49D">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6.79 ± 3.55</w:t>
            </w:r>
            <w:r>
              <w:rPr>
                <w:rFonts w:hint="default" w:ascii="Arial Regular" w:hAnsi="Arial Regular" w:eastAsia="等线" w:cs="Arial Regular"/>
                <w:color w:val="000000"/>
                <w:kern w:val="0"/>
                <w:sz w:val="20"/>
                <w:szCs w:val="20"/>
                <w:vertAlign w:val="superscript"/>
                <w:lang w:bidi="ar"/>
              </w:rPr>
              <w:t>a</w:t>
            </w:r>
          </w:p>
        </w:tc>
        <w:tc>
          <w:tcPr>
            <w:tcW w:w="0" w:type="auto"/>
            <w:tcBorders>
              <w:top w:val="nil"/>
              <w:left w:val="nil"/>
              <w:bottom w:val="nil"/>
              <w:right w:val="nil"/>
            </w:tcBorders>
            <w:shd w:val="clear" w:color="auto" w:fill="auto"/>
            <w:vAlign w:val="center"/>
          </w:tcPr>
          <w:p w14:paraId="3E1804C4">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0.18 ± 0.02</w:t>
            </w:r>
            <w:r>
              <w:rPr>
                <w:rFonts w:hint="default" w:ascii="Arial Regular" w:hAnsi="Arial Regular" w:eastAsia="等线" w:cs="Arial Regular"/>
                <w:color w:val="000000"/>
                <w:kern w:val="0"/>
                <w:sz w:val="20"/>
                <w:szCs w:val="20"/>
                <w:vertAlign w:val="superscript"/>
                <w:lang w:bidi="ar"/>
              </w:rPr>
              <w:t>b</w:t>
            </w:r>
          </w:p>
        </w:tc>
      </w:tr>
      <w:tr w14:paraId="1EE5168B">
        <w:trPr>
          <w:trHeight w:val="340" w:hRule="atLeast"/>
          <w:jc w:val="center"/>
        </w:trPr>
        <w:tc>
          <w:tcPr>
            <w:tcW w:w="0" w:type="auto"/>
            <w:tcBorders>
              <w:top w:val="nil"/>
              <w:left w:val="nil"/>
              <w:bottom w:val="single" w:color="auto" w:sz="8" w:space="0"/>
              <w:right w:val="nil"/>
            </w:tcBorders>
            <w:shd w:val="clear" w:color="auto" w:fill="auto"/>
            <w:vAlign w:val="center"/>
          </w:tcPr>
          <w:p w14:paraId="6F821A00">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[Fe(II)]</w:t>
            </w:r>
            <w:r>
              <w:rPr>
                <w:rFonts w:hint="default" w:ascii="Arial Regular" w:hAnsi="Arial Regular" w:eastAsia="等线" w:cs="Arial Regular"/>
                <w:color w:val="000000"/>
                <w:kern w:val="0"/>
                <w:sz w:val="20"/>
                <w:szCs w:val="20"/>
                <w:vertAlign w:val="subscript"/>
                <w:lang w:bidi="ar"/>
              </w:rPr>
              <w:t>0</w:t>
            </w:r>
            <w:r>
              <w:rPr>
                <w:rFonts w:hint="default" w:ascii="Arial Regular" w:hAnsi="Arial Regular" w:eastAsia="等线" w:cs="Arial Regular"/>
                <w:color w:val="000000"/>
                <w:kern w:val="0"/>
                <w:sz w:val="20"/>
                <w:szCs w:val="20"/>
                <w:lang w:bidi="ar"/>
              </w:rPr>
              <w:t>=100 μM</w:t>
            </w:r>
          </w:p>
        </w:tc>
        <w:tc>
          <w:tcPr>
            <w:tcW w:w="0" w:type="auto"/>
            <w:tcBorders>
              <w:top w:val="nil"/>
              <w:left w:val="nil"/>
              <w:bottom w:val="single" w:color="auto" w:sz="8" w:space="0"/>
              <w:right w:val="nil"/>
            </w:tcBorders>
            <w:shd w:val="clear" w:color="auto" w:fill="auto"/>
            <w:vAlign w:val="center"/>
          </w:tcPr>
          <w:p w14:paraId="72A6DA24">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3.02 ± 0.15</w:t>
            </w:r>
            <w:r>
              <w:rPr>
                <w:rFonts w:hint="default" w:ascii="Arial Regular" w:hAnsi="Arial Regular" w:eastAsia="等线" w:cs="Arial Regular"/>
                <w:color w:val="000000"/>
                <w:kern w:val="0"/>
                <w:sz w:val="20"/>
                <w:szCs w:val="20"/>
                <w:vertAlign w:val="superscript"/>
                <w:lang w:bidi="ar"/>
              </w:rPr>
              <w:t>a</w:t>
            </w:r>
          </w:p>
        </w:tc>
        <w:tc>
          <w:tcPr>
            <w:tcW w:w="0" w:type="auto"/>
            <w:tcBorders>
              <w:top w:val="nil"/>
              <w:left w:val="nil"/>
              <w:bottom w:val="single" w:color="auto" w:sz="8" w:space="0"/>
              <w:right w:val="nil"/>
            </w:tcBorders>
            <w:shd w:val="clear" w:color="auto" w:fill="auto"/>
            <w:vAlign w:val="center"/>
          </w:tcPr>
          <w:p w14:paraId="009080FD">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7.33 ± 3.41</w:t>
            </w:r>
            <w:r>
              <w:rPr>
                <w:rFonts w:hint="default" w:ascii="Arial Regular" w:hAnsi="Arial Regular" w:eastAsia="等线" w:cs="Arial Regular"/>
                <w:color w:val="000000"/>
                <w:kern w:val="0"/>
                <w:sz w:val="20"/>
                <w:szCs w:val="20"/>
                <w:vertAlign w:val="superscript"/>
                <w:lang w:bidi="ar"/>
              </w:rPr>
              <w:t>a</w:t>
            </w:r>
          </w:p>
        </w:tc>
        <w:tc>
          <w:tcPr>
            <w:tcW w:w="0" w:type="auto"/>
            <w:tcBorders>
              <w:top w:val="nil"/>
              <w:left w:val="nil"/>
              <w:bottom w:val="single" w:color="auto" w:sz="8" w:space="0"/>
              <w:right w:val="nil"/>
            </w:tcBorders>
            <w:shd w:val="clear" w:color="auto" w:fill="auto"/>
            <w:vAlign w:val="center"/>
          </w:tcPr>
          <w:p w14:paraId="642B8666">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0.16 ± 0.02</w:t>
            </w:r>
            <w:r>
              <w:rPr>
                <w:rFonts w:hint="default" w:ascii="Arial Regular" w:hAnsi="Arial Regular" w:eastAsia="等线" w:cs="Arial Regular"/>
                <w:color w:val="000000"/>
                <w:kern w:val="0"/>
                <w:sz w:val="20"/>
                <w:szCs w:val="20"/>
                <w:vertAlign w:val="superscript"/>
                <w:lang w:bidi="ar"/>
              </w:rPr>
              <w:t>b</w:t>
            </w:r>
          </w:p>
        </w:tc>
      </w:tr>
      <w:tr w14:paraId="0114267F">
        <w:trPr>
          <w:trHeight w:val="340" w:hRule="atLeast"/>
          <w:jc w:val="center"/>
        </w:trPr>
        <w:tc>
          <w:tcPr>
            <w:tcW w:w="0" w:type="auto"/>
            <w:tcBorders>
              <w:top w:val="nil"/>
              <w:left w:val="nil"/>
              <w:bottom w:val="nil"/>
              <w:right w:val="nil"/>
            </w:tcBorders>
            <w:shd w:val="clear" w:color="auto" w:fill="auto"/>
            <w:vAlign w:val="center"/>
          </w:tcPr>
          <w:p w14:paraId="362F7CF9">
            <w:pPr>
              <w:widowControl/>
              <w:jc w:val="center"/>
              <w:textAlignment w:val="center"/>
              <w:rPr>
                <w:rFonts w:hint="default" w:ascii="Arial Regular" w:hAnsi="Arial Regular" w:eastAsia="等线" w:cs="Arial Regular"/>
                <w:color w:val="000000"/>
                <w:kern w:val="0"/>
                <w:sz w:val="20"/>
                <w:szCs w:val="20"/>
                <w:lang w:bidi="ar"/>
              </w:rPr>
            </w:pPr>
            <w:r>
              <w:rPr>
                <w:rFonts w:hint="default" w:ascii="Arial Regular" w:hAnsi="Arial Regular" w:eastAsia="等线" w:cs="Arial Regular"/>
                <w:color w:val="000000"/>
                <w:kern w:val="0"/>
                <w:sz w:val="20"/>
                <w:szCs w:val="20"/>
                <w:lang w:bidi="ar"/>
              </w:rPr>
              <w:t>Control</w:t>
            </w:r>
          </w:p>
        </w:tc>
        <w:tc>
          <w:tcPr>
            <w:tcW w:w="0" w:type="auto"/>
            <w:tcBorders>
              <w:top w:val="nil"/>
              <w:left w:val="nil"/>
              <w:bottom w:val="nil"/>
              <w:right w:val="nil"/>
            </w:tcBorders>
            <w:shd w:val="clear" w:color="auto" w:fill="auto"/>
            <w:vAlign w:val="center"/>
          </w:tcPr>
          <w:p w14:paraId="2A0FE1E7">
            <w:pPr>
              <w:widowControl/>
              <w:jc w:val="center"/>
              <w:textAlignment w:val="center"/>
              <w:rPr>
                <w:rFonts w:hint="default" w:ascii="Arial Regular" w:hAnsi="Arial Regular" w:eastAsia="等线" w:cs="Arial Regular"/>
                <w:color w:val="000000"/>
                <w:kern w:val="0"/>
                <w:sz w:val="20"/>
                <w:szCs w:val="20"/>
                <w:lang w:bidi="ar"/>
              </w:rPr>
            </w:pPr>
            <w:r>
              <w:rPr>
                <w:rFonts w:hint="default" w:ascii="Arial Regular" w:hAnsi="Arial Regular" w:eastAsia="等线" w:cs="Arial Regular"/>
                <w:color w:val="000000"/>
                <w:kern w:val="0"/>
                <w:sz w:val="20"/>
                <w:szCs w:val="20"/>
                <w:lang w:bidi="ar"/>
              </w:rPr>
              <w:t>0.00 ± 0.00</w:t>
            </w:r>
            <w:r>
              <w:rPr>
                <w:rFonts w:hint="default" w:ascii="Arial Regular" w:hAnsi="Arial Regular" w:eastAsia="等线" w:cs="Arial Regular"/>
                <w:color w:val="000000"/>
                <w:kern w:val="0"/>
                <w:sz w:val="20"/>
                <w:szCs w:val="20"/>
                <w:vertAlign w:val="superscript"/>
                <w:lang w:bidi="ar"/>
              </w:rPr>
              <w:t>b</w:t>
            </w:r>
          </w:p>
        </w:tc>
        <w:tc>
          <w:tcPr>
            <w:tcW w:w="0" w:type="auto"/>
            <w:tcBorders>
              <w:top w:val="nil"/>
              <w:left w:val="nil"/>
              <w:bottom w:val="nil"/>
              <w:right w:val="nil"/>
            </w:tcBorders>
            <w:shd w:val="clear" w:color="auto" w:fill="auto"/>
            <w:vAlign w:val="center"/>
          </w:tcPr>
          <w:p w14:paraId="2990DE16">
            <w:pPr>
              <w:widowControl/>
              <w:jc w:val="center"/>
              <w:textAlignment w:val="center"/>
              <w:rPr>
                <w:rFonts w:hint="default" w:ascii="Arial Regular" w:hAnsi="Arial Regular" w:eastAsia="等线" w:cs="Arial Regular"/>
                <w:color w:val="000000"/>
                <w:kern w:val="0"/>
                <w:sz w:val="20"/>
                <w:szCs w:val="20"/>
                <w:lang w:bidi="ar"/>
              </w:rPr>
            </w:pPr>
            <w:r>
              <w:rPr>
                <w:rFonts w:hint="default" w:ascii="Arial Regular" w:hAnsi="Arial Regular" w:eastAsia="等线" w:cs="Arial Regular"/>
                <w:color w:val="000000"/>
                <w:kern w:val="0"/>
                <w:sz w:val="20"/>
                <w:szCs w:val="20"/>
                <w:lang w:bidi="ar"/>
              </w:rPr>
              <w:t>0.51 ± 0.84</w:t>
            </w:r>
            <w:r>
              <w:rPr>
                <w:rFonts w:hint="default" w:ascii="Arial Regular" w:hAnsi="Arial Regular" w:eastAsia="等线" w:cs="Arial Regular"/>
                <w:color w:val="000000"/>
                <w:kern w:val="0"/>
                <w:sz w:val="20"/>
                <w:szCs w:val="20"/>
                <w:vertAlign w:val="superscript"/>
                <w:lang w:bidi="ar"/>
              </w:rPr>
              <w:t>c</w:t>
            </w:r>
          </w:p>
        </w:tc>
        <w:tc>
          <w:tcPr>
            <w:tcW w:w="0" w:type="auto"/>
            <w:tcBorders>
              <w:top w:val="nil"/>
              <w:left w:val="nil"/>
              <w:bottom w:val="nil"/>
              <w:right w:val="nil"/>
            </w:tcBorders>
            <w:shd w:val="clear" w:color="auto" w:fill="auto"/>
            <w:vAlign w:val="center"/>
          </w:tcPr>
          <w:p w14:paraId="13B60B14">
            <w:pPr>
              <w:widowControl/>
              <w:jc w:val="center"/>
              <w:textAlignment w:val="center"/>
              <w:rPr>
                <w:rFonts w:hint="default" w:ascii="Arial Regular" w:hAnsi="Arial Regular" w:eastAsia="等线" w:cs="Arial Regular"/>
                <w:color w:val="000000"/>
                <w:kern w:val="0"/>
                <w:sz w:val="20"/>
                <w:szCs w:val="20"/>
                <w:lang w:bidi="ar"/>
              </w:rPr>
            </w:pPr>
            <w:r>
              <w:rPr>
                <w:rFonts w:hint="default" w:ascii="Arial Regular" w:hAnsi="Arial Regular" w:eastAsia="等线" w:cs="Arial Regular"/>
                <w:color w:val="000000"/>
                <w:kern w:val="0"/>
                <w:sz w:val="20"/>
                <w:szCs w:val="20"/>
                <w:lang w:bidi="ar"/>
              </w:rPr>
              <w:t>0.26 ± 0.03</w:t>
            </w:r>
            <w:r>
              <w:rPr>
                <w:rFonts w:hint="default" w:ascii="Arial Regular" w:hAnsi="Arial Regular" w:eastAsia="等线" w:cs="Arial Regular"/>
                <w:color w:val="000000"/>
                <w:kern w:val="0"/>
                <w:sz w:val="20"/>
                <w:szCs w:val="20"/>
                <w:vertAlign w:val="superscript"/>
                <w:lang w:bidi="ar"/>
              </w:rPr>
              <w:t>a</w:t>
            </w:r>
          </w:p>
        </w:tc>
      </w:tr>
      <w:tr w14:paraId="6AA8C69F">
        <w:trPr>
          <w:trHeight w:val="340" w:hRule="atLeast"/>
          <w:jc w:val="center"/>
        </w:trPr>
        <w:tc>
          <w:tcPr>
            <w:tcW w:w="0" w:type="auto"/>
            <w:tcBorders>
              <w:top w:val="nil"/>
              <w:left w:val="nil"/>
              <w:bottom w:val="nil"/>
              <w:right w:val="nil"/>
            </w:tcBorders>
            <w:shd w:val="clear" w:color="auto" w:fill="auto"/>
            <w:vAlign w:val="center"/>
          </w:tcPr>
          <w:p w14:paraId="3CDFE13E">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[Mn(II)]</w:t>
            </w:r>
            <w:r>
              <w:rPr>
                <w:rFonts w:hint="default" w:ascii="Arial Regular" w:hAnsi="Arial Regular" w:eastAsia="等线" w:cs="Arial Regular"/>
                <w:color w:val="000000"/>
                <w:kern w:val="0"/>
                <w:sz w:val="20"/>
                <w:szCs w:val="20"/>
                <w:vertAlign w:val="subscript"/>
                <w:lang w:bidi="ar"/>
              </w:rPr>
              <w:t>0</w:t>
            </w:r>
            <w:r>
              <w:rPr>
                <w:rFonts w:hint="default" w:ascii="Arial Regular" w:hAnsi="Arial Regular" w:eastAsia="等线" w:cs="Arial Regular"/>
                <w:color w:val="000000"/>
                <w:kern w:val="0"/>
                <w:sz w:val="20"/>
                <w:szCs w:val="20"/>
                <w:lang w:bidi="ar"/>
              </w:rPr>
              <w:t>=10 μM</w:t>
            </w:r>
          </w:p>
        </w:tc>
        <w:tc>
          <w:tcPr>
            <w:tcW w:w="0" w:type="auto"/>
            <w:tcBorders>
              <w:top w:val="nil"/>
              <w:left w:val="nil"/>
              <w:bottom w:val="nil"/>
              <w:right w:val="nil"/>
            </w:tcBorders>
            <w:shd w:val="clear" w:color="auto" w:fill="auto"/>
            <w:vAlign w:val="center"/>
          </w:tcPr>
          <w:p w14:paraId="3673A3CB">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0.23 ± 0.01</w:t>
            </w:r>
            <w:r>
              <w:rPr>
                <w:rFonts w:hint="default" w:ascii="Arial Regular" w:hAnsi="Arial Regular" w:eastAsia="等线" w:cs="Arial Regular"/>
                <w:color w:val="000000"/>
                <w:kern w:val="0"/>
                <w:sz w:val="20"/>
                <w:szCs w:val="20"/>
                <w:vertAlign w:val="superscript"/>
                <w:lang w:bidi="ar"/>
              </w:rPr>
              <w:t>a</w:t>
            </w:r>
          </w:p>
        </w:tc>
        <w:tc>
          <w:tcPr>
            <w:tcW w:w="0" w:type="auto"/>
            <w:tcBorders>
              <w:top w:val="nil"/>
              <w:left w:val="nil"/>
              <w:bottom w:val="nil"/>
              <w:right w:val="nil"/>
            </w:tcBorders>
            <w:shd w:val="clear" w:color="auto" w:fill="auto"/>
            <w:vAlign w:val="center"/>
          </w:tcPr>
          <w:p w14:paraId="5FECA4C5">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1.67 ± 0.12</w:t>
            </w:r>
            <w:r>
              <w:rPr>
                <w:rFonts w:hint="default" w:ascii="Arial Regular" w:hAnsi="Arial Regular" w:eastAsia="等线" w:cs="Arial Regular"/>
                <w:color w:val="000000"/>
                <w:kern w:val="0"/>
                <w:sz w:val="20"/>
                <w:szCs w:val="20"/>
                <w:vertAlign w:val="superscript"/>
                <w:lang w:bidi="ar"/>
              </w:rPr>
              <w:t>c</w:t>
            </w:r>
          </w:p>
        </w:tc>
        <w:tc>
          <w:tcPr>
            <w:tcW w:w="0" w:type="auto"/>
            <w:tcBorders>
              <w:top w:val="nil"/>
              <w:left w:val="nil"/>
              <w:bottom w:val="nil"/>
              <w:right w:val="nil"/>
            </w:tcBorders>
            <w:shd w:val="clear" w:color="auto" w:fill="auto"/>
            <w:vAlign w:val="center"/>
          </w:tcPr>
          <w:p w14:paraId="57E7C05A">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0.14 ± 0.02</w:t>
            </w:r>
            <w:r>
              <w:rPr>
                <w:rFonts w:hint="default" w:ascii="Arial Regular" w:hAnsi="Arial Regular" w:eastAsia="等线" w:cs="Arial Regular"/>
                <w:color w:val="000000"/>
                <w:kern w:val="0"/>
                <w:sz w:val="20"/>
                <w:szCs w:val="20"/>
                <w:vertAlign w:val="superscript"/>
                <w:lang w:bidi="ar"/>
              </w:rPr>
              <w:t>b</w:t>
            </w:r>
          </w:p>
        </w:tc>
      </w:tr>
      <w:tr w14:paraId="68C10B26">
        <w:trPr>
          <w:trHeight w:val="340" w:hRule="atLeast"/>
          <w:jc w:val="center"/>
        </w:trPr>
        <w:tc>
          <w:tcPr>
            <w:tcW w:w="0" w:type="auto"/>
            <w:tcBorders>
              <w:top w:val="nil"/>
              <w:left w:val="nil"/>
              <w:bottom w:val="nil"/>
              <w:right w:val="nil"/>
            </w:tcBorders>
            <w:shd w:val="clear" w:color="auto" w:fill="auto"/>
            <w:vAlign w:val="center"/>
          </w:tcPr>
          <w:p w14:paraId="190195F8">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[Mn(II)]</w:t>
            </w:r>
            <w:r>
              <w:rPr>
                <w:rFonts w:hint="default" w:ascii="Arial Regular" w:hAnsi="Arial Regular" w:eastAsia="等线" w:cs="Arial Regular"/>
                <w:color w:val="000000"/>
                <w:kern w:val="0"/>
                <w:sz w:val="20"/>
                <w:szCs w:val="20"/>
                <w:vertAlign w:val="subscript"/>
                <w:lang w:bidi="ar"/>
              </w:rPr>
              <w:t>0</w:t>
            </w:r>
            <w:r>
              <w:rPr>
                <w:rFonts w:hint="default" w:ascii="Arial Regular" w:hAnsi="Arial Regular" w:eastAsia="等线" w:cs="Arial Regular"/>
                <w:color w:val="000000"/>
                <w:kern w:val="0"/>
                <w:sz w:val="20"/>
                <w:szCs w:val="20"/>
                <w:lang w:bidi="ar"/>
              </w:rPr>
              <w:t>=40 μM</w:t>
            </w:r>
          </w:p>
        </w:tc>
        <w:tc>
          <w:tcPr>
            <w:tcW w:w="0" w:type="auto"/>
            <w:tcBorders>
              <w:top w:val="nil"/>
              <w:left w:val="nil"/>
              <w:bottom w:val="nil"/>
              <w:right w:val="nil"/>
            </w:tcBorders>
            <w:shd w:val="clear" w:color="auto" w:fill="auto"/>
            <w:vAlign w:val="center"/>
          </w:tcPr>
          <w:p w14:paraId="639F9565">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0.25 ± 0.01</w:t>
            </w:r>
            <w:r>
              <w:rPr>
                <w:rFonts w:hint="default" w:ascii="Arial Regular" w:hAnsi="Arial Regular" w:eastAsia="等线" w:cs="Arial Regular"/>
                <w:color w:val="000000"/>
                <w:kern w:val="0"/>
                <w:sz w:val="20"/>
                <w:szCs w:val="20"/>
                <w:vertAlign w:val="superscript"/>
                <w:lang w:bidi="ar"/>
              </w:rPr>
              <w:t>a</w:t>
            </w:r>
          </w:p>
        </w:tc>
        <w:tc>
          <w:tcPr>
            <w:tcW w:w="0" w:type="auto"/>
            <w:tcBorders>
              <w:top w:val="nil"/>
              <w:left w:val="nil"/>
              <w:bottom w:val="nil"/>
              <w:right w:val="nil"/>
            </w:tcBorders>
            <w:shd w:val="clear" w:color="auto" w:fill="auto"/>
            <w:vAlign w:val="center"/>
          </w:tcPr>
          <w:p w14:paraId="43EFB4F5">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5.68 ± 2.69</w:t>
            </w:r>
            <w:r>
              <w:rPr>
                <w:rFonts w:hint="default" w:ascii="Arial Regular" w:hAnsi="Arial Regular" w:eastAsia="等线" w:cs="Arial Regular"/>
                <w:color w:val="000000"/>
                <w:kern w:val="0"/>
                <w:sz w:val="20"/>
                <w:szCs w:val="20"/>
                <w:vertAlign w:val="superscript"/>
                <w:lang w:bidi="ar"/>
              </w:rPr>
              <w:t>b</w:t>
            </w:r>
          </w:p>
        </w:tc>
        <w:tc>
          <w:tcPr>
            <w:tcW w:w="0" w:type="auto"/>
            <w:tcBorders>
              <w:top w:val="nil"/>
              <w:left w:val="nil"/>
              <w:bottom w:val="nil"/>
              <w:right w:val="nil"/>
            </w:tcBorders>
            <w:shd w:val="clear" w:color="auto" w:fill="auto"/>
            <w:vAlign w:val="center"/>
          </w:tcPr>
          <w:p w14:paraId="0E4F0ABC">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0.15 ± 0.01</w:t>
            </w:r>
            <w:r>
              <w:rPr>
                <w:rFonts w:hint="default" w:ascii="Arial Regular" w:hAnsi="Arial Regular" w:eastAsia="等线" w:cs="Arial Regular"/>
                <w:color w:val="000000"/>
                <w:kern w:val="0"/>
                <w:sz w:val="20"/>
                <w:szCs w:val="20"/>
                <w:vertAlign w:val="superscript"/>
                <w:lang w:bidi="ar"/>
              </w:rPr>
              <w:t>b</w:t>
            </w:r>
          </w:p>
        </w:tc>
      </w:tr>
      <w:tr w14:paraId="119E6770">
        <w:trPr>
          <w:trHeight w:val="340" w:hRule="atLeast"/>
          <w:jc w:val="center"/>
        </w:trPr>
        <w:tc>
          <w:tcPr>
            <w:tcW w:w="0" w:type="auto"/>
            <w:tcBorders>
              <w:top w:val="nil"/>
              <w:left w:val="nil"/>
              <w:bottom w:val="nil"/>
              <w:right w:val="nil"/>
            </w:tcBorders>
            <w:shd w:val="clear" w:color="auto" w:fill="auto"/>
            <w:vAlign w:val="center"/>
          </w:tcPr>
          <w:p w14:paraId="608EF08E">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[Mn(II)]</w:t>
            </w:r>
            <w:r>
              <w:rPr>
                <w:rFonts w:hint="default" w:ascii="Arial Regular" w:hAnsi="Arial Regular" w:eastAsia="等线" w:cs="Arial Regular"/>
                <w:color w:val="000000"/>
                <w:kern w:val="0"/>
                <w:sz w:val="20"/>
                <w:szCs w:val="20"/>
                <w:vertAlign w:val="subscript"/>
                <w:lang w:bidi="ar"/>
              </w:rPr>
              <w:t>0</w:t>
            </w:r>
            <w:r>
              <w:rPr>
                <w:rFonts w:hint="default" w:ascii="Arial Regular" w:hAnsi="Arial Regular" w:eastAsia="等线" w:cs="Arial Regular"/>
                <w:color w:val="000000"/>
                <w:kern w:val="0"/>
                <w:sz w:val="20"/>
                <w:szCs w:val="20"/>
                <w:lang w:bidi="ar"/>
              </w:rPr>
              <w:t>=80 μM</w:t>
            </w:r>
          </w:p>
        </w:tc>
        <w:tc>
          <w:tcPr>
            <w:tcW w:w="0" w:type="auto"/>
            <w:tcBorders>
              <w:top w:val="nil"/>
              <w:left w:val="nil"/>
              <w:bottom w:val="nil"/>
              <w:right w:val="nil"/>
            </w:tcBorders>
            <w:shd w:val="clear" w:color="auto" w:fill="auto"/>
            <w:vAlign w:val="center"/>
          </w:tcPr>
          <w:p w14:paraId="2823DFE4">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0.30 ± 0.12</w:t>
            </w:r>
            <w:r>
              <w:rPr>
                <w:rFonts w:hint="default" w:ascii="Arial Regular" w:hAnsi="Arial Regular" w:eastAsia="等线" w:cs="Arial Regular"/>
                <w:color w:val="000000"/>
                <w:kern w:val="0"/>
                <w:sz w:val="20"/>
                <w:szCs w:val="20"/>
                <w:vertAlign w:val="superscript"/>
                <w:lang w:bidi="ar"/>
              </w:rPr>
              <w:t>a</w:t>
            </w:r>
          </w:p>
        </w:tc>
        <w:tc>
          <w:tcPr>
            <w:tcW w:w="0" w:type="auto"/>
            <w:tcBorders>
              <w:top w:val="nil"/>
              <w:left w:val="nil"/>
              <w:bottom w:val="nil"/>
              <w:right w:val="nil"/>
            </w:tcBorders>
            <w:shd w:val="clear" w:color="auto" w:fill="auto"/>
            <w:vAlign w:val="center"/>
          </w:tcPr>
          <w:p w14:paraId="08934418">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9.92 ± 1.85</w:t>
            </w:r>
            <w:r>
              <w:rPr>
                <w:rFonts w:hint="default" w:ascii="Arial Regular" w:hAnsi="Arial Regular" w:eastAsia="等线" w:cs="Arial Regular"/>
                <w:color w:val="000000"/>
                <w:kern w:val="0"/>
                <w:sz w:val="20"/>
                <w:szCs w:val="20"/>
                <w:vertAlign w:val="superscript"/>
                <w:lang w:bidi="ar"/>
              </w:rPr>
              <w:t>a</w:t>
            </w:r>
          </w:p>
        </w:tc>
        <w:tc>
          <w:tcPr>
            <w:tcW w:w="0" w:type="auto"/>
            <w:tcBorders>
              <w:top w:val="nil"/>
              <w:left w:val="nil"/>
              <w:bottom w:val="nil"/>
              <w:right w:val="nil"/>
            </w:tcBorders>
            <w:shd w:val="clear" w:color="auto" w:fill="auto"/>
            <w:vAlign w:val="center"/>
          </w:tcPr>
          <w:p w14:paraId="7E791189">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0.16 ± 0.01</w:t>
            </w:r>
            <w:r>
              <w:rPr>
                <w:rFonts w:hint="default" w:ascii="Arial Regular" w:hAnsi="Arial Regular" w:eastAsia="等线" w:cs="Arial Regular"/>
                <w:color w:val="000000"/>
                <w:kern w:val="0"/>
                <w:sz w:val="20"/>
                <w:szCs w:val="20"/>
                <w:vertAlign w:val="superscript"/>
                <w:lang w:bidi="ar"/>
              </w:rPr>
              <w:t>b</w:t>
            </w:r>
          </w:p>
        </w:tc>
      </w:tr>
      <w:tr w14:paraId="3CD5B60F">
        <w:trPr>
          <w:trHeight w:val="340" w:hRule="atLeast"/>
          <w:jc w:val="center"/>
        </w:trPr>
        <w:tc>
          <w:tcPr>
            <w:tcW w:w="0" w:type="auto"/>
            <w:tcBorders>
              <w:top w:val="nil"/>
              <w:left w:val="nil"/>
              <w:right w:val="nil"/>
            </w:tcBorders>
            <w:shd w:val="clear" w:color="auto" w:fill="auto"/>
            <w:vAlign w:val="center"/>
          </w:tcPr>
          <w:p w14:paraId="080B2828">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[Mn(II)]</w:t>
            </w:r>
            <w:r>
              <w:rPr>
                <w:rFonts w:hint="default" w:ascii="Arial Regular" w:hAnsi="Arial Regular" w:eastAsia="等线" w:cs="Arial Regular"/>
                <w:color w:val="000000"/>
                <w:kern w:val="0"/>
                <w:sz w:val="20"/>
                <w:szCs w:val="20"/>
                <w:vertAlign w:val="subscript"/>
                <w:lang w:bidi="ar"/>
              </w:rPr>
              <w:t>0</w:t>
            </w:r>
            <w:r>
              <w:rPr>
                <w:rFonts w:hint="default" w:ascii="Arial Regular" w:hAnsi="Arial Regular" w:eastAsia="等线" w:cs="Arial Regular"/>
                <w:color w:val="000000"/>
                <w:kern w:val="0"/>
                <w:sz w:val="20"/>
                <w:szCs w:val="20"/>
                <w:lang w:bidi="ar"/>
              </w:rPr>
              <w:t>=100 μM</w:t>
            </w:r>
          </w:p>
        </w:tc>
        <w:tc>
          <w:tcPr>
            <w:tcW w:w="0" w:type="auto"/>
            <w:tcBorders>
              <w:top w:val="nil"/>
              <w:left w:val="nil"/>
              <w:right w:val="nil"/>
            </w:tcBorders>
            <w:shd w:val="clear" w:color="auto" w:fill="auto"/>
            <w:vAlign w:val="center"/>
          </w:tcPr>
          <w:p w14:paraId="07692F27">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0.32 ± 0.02</w:t>
            </w:r>
            <w:r>
              <w:rPr>
                <w:rFonts w:hint="default" w:ascii="Arial Regular" w:hAnsi="Arial Regular" w:eastAsia="等线" w:cs="Arial Regular"/>
                <w:color w:val="000000"/>
                <w:kern w:val="0"/>
                <w:sz w:val="20"/>
                <w:szCs w:val="20"/>
                <w:vertAlign w:val="superscript"/>
                <w:lang w:bidi="ar"/>
              </w:rPr>
              <w:t>a</w:t>
            </w:r>
          </w:p>
        </w:tc>
        <w:tc>
          <w:tcPr>
            <w:tcW w:w="0" w:type="auto"/>
            <w:tcBorders>
              <w:top w:val="nil"/>
              <w:left w:val="nil"/>
              <w:right w:val="nil"/>
            </w:tcBorders>
            <w:shd w:val="clear" w:color="auto" w:fill="auto"/>
            <w:vAlign w:val="center"/>
          </w:tcPr>
          <w:p w14:paraId="34700CF0">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11.13 ± 1.95</w:t>
            </w:r>
            <w:r>
              <w:rPr>
                <w:rFonts w:hint="default" w:ascii="Arial Regular" w:hAnsi="Arial Regular" w:eastAsia="等线" w:cs="Arial Regular"/>
                <w:color w:val="000000"/>
                <w:kern w:val="0"/>
                <w:sz w:val="20"/>
                <w:szCs w:val="20"/>
                <w:vertAlign w:val="superscript"/>
                <w:lang w:bidi="ar"/>
              </w:rPr>
              <w:t>a</w:t>
            </w:r>
          </w:p>
        </w:tc>
        <w:tc>
          <w:tcPr>
            <w:tcW w:w="0" w:type="auto"/>
            <w:tcBorders>
              <w:top w:val="nil"/>
              <w:left w:val="nil"/>
              <w:right w:val="nil"/>
            </w:tcBorders>
            <w:shd w:val="clear" w:color="auto" w:fill="auto"/>
            <w:vAlign w:val="center"/>
          </w:tcPr>
          <w:p w14:paraId="039097E0">
            <w:pPr>
              <w:widowControl/>
              <w:jc w:val="center"/>
              <w:textAlignment w:val="center"/>
              <w:rPr>
                <w:rFonts w:hint="default" w:ascii="Arial Regular" w:hAnsi="Arial Regular" w:eastAsia="等线" w:cs="Arial Regular"/>
                <w:color w:val="000000"/>
                <w:sz w:val="20"/>
                <w:szCs w:val="20"/>
              </w:rPr>
            </w:pPr>
            <w:r>
              <w:rPr>
                <w:rFonts w:hint="default" w:ascii="Arial Regular" w:hAnsi="Arial Regular" w:eastAsia="等线" w:cs="Arial Regular"/>
                <w:color w:val="000000"/>
                <w:kern w:val="0"/>
                <w:sz w:val="20"/>
                <w:szCs w:val="20"/>
                <w:lang w:bidi="ar"/>
              </w:rPr>
              <w:t>0.16 ± 0.01</w:t>
            </w:r>
            <w:r>
              <w:rPr>
                <w:rFonts w:hint="default" w:ascii="Arial Regular" w:hAnsi="Arial Regular" w:eastAsia="等线" w:cs="Arial Regular"/>
                <w:color w:val="000000"/>
                <w:kern w:val="0"/>
                <w:sz w:val="20"/>
                <w:szCs w:val="20"/>
                <w:vertAlign w:val="superscript"/>
                <w:lang w:bidi="ar"/>
              </w:rPr>
              <w:t>b</w:t>
            </w:r>
          </w:p>
        </w:tc>
      </w:tr>
    </w:tbl>
    <w:p w14:paraId="64AC8430">
      <w:pPr>
        <w:rPr>
          <w:rFonts w:hint="default" w:ascii="Arial Regular" w:hAnsi="Arial Regular" w:cs="Arial Regular"/>
          <w:b/>
          <w:sz w:val="20"/>
          <w:szCs w:val="20"/>
        </w:rPr>
        <w:sectPr>
          <w:pgSz w:w="12240" w:h="15840"/>
          <w:pgMar w:top="1440" w:right="1440" w:bottom="1440" w:left="1440" w:header="851" w:footer="992" w:gutter="0"/>
          <w:cols w:space="425" w:num="1"/>
          <w:docGrid w:type="lines" w:linePitch="312" w:charSpace="0"/>
        </w:sectPr>
      </w:pPr>
    </w:p>
    <w:p w14:paraId="6468F6FF">
      <w:pPr>
        <w:pStyle w:val="3"/>
        <w:keepNext/>
        <w:keepLines/>
        <w:pageBreakBefore w:val="0"/>
        <w:widowControl w:val="0"/>
        <w:kinsoku/>
        <w:wordWrap/>
        <w:overflowPunct/>
        <w:topLinePunct w:val="0"/>
        <w:autoSpaceDE/>
        <w:autoSpaceDN/>
        <w:bidi w:val="0"/>
        <w:adjustRightInd/>
        <w:snapToGrid/>
        <w:spacing w:before="0" w:beforeLines="0" w:after="157" w:afterLines="50" w:line="240" w:lineRule="auto"/>
        <w:textAlignment w:val="auto"/>
        <w:rPr>
          <w:rFonts w:hint="default" w:ascii="Arial Regular" w:hAnsi="Arial Regular" w:cs="Arial Regular"/>
          <w:b/>
          <w:sz w:val="20"/>
          <w:szCs w:val="20"/>
        </w:rPr>
      </w:pPr>
      <w:r>
        <w:rPr>
          <w:rFonts w:hint="default" w:ascii="Arial Regular" w:hAnsi="Arial Regular" w:cs="Arial Regular"/>
          <w:b/>
          <w:bCs w:val="0"/>
          <w:sz w:val="20"/>
          <w:szCs w:val="20"/>
        </w:rPr>
        <w:t xml:space="preserve">Supplementary </w:t>
      </w:r>
      <w:r>
        <w:rPr>
          <w:rFonts w:hint="default" w:ascii="Arial Regular" w:hAnsi="Arial Regular" w:cs="Arial Regular"/>
          <w:b/>
          <w:sz w:val="20"/>
          <w:szCs w:val="20"/>
        </w:rPr>
        <w:t xml:space="preserve">Table </w:t>
      </w:r>
      <w:r>
        <w:rPr>
          <w:rFonts w:hint="default" w:ascii="Arial Regular" w:hAnsi="Arial Regular" w:cs="Arial Regular"/>
          <w:b/>
          <w:sz w:val="20"/>
          <w:szCs w:val="20"/>
          <w:lang w:val="en-US" w:eastAsia="zh-CN"/>
        </w:rPr>
        <w:t>6</w:t>
      </w:r>
      <w:r>
        <w:rPr>
          <w:rFonts w:hint="default" w:ascii="Arial Regular" w:hAnsi="Arial Regular" w:cs="Arial Regular"/>
          <w:b/>
          <w:sz w:val="20"/>
          <w:szCs w:val="20"/>
        </w:rPr>
        <w:t>. Assignments of FTIR peaks to functional groups and vibrational modes.</w:t>
      </w:r>
    </w:p>
    <w:tbl>
      <w:tblPr>
        <w:tblStyle w:val="10"/>
        <w:tblW w:w="5000" w:type="pct"/>
        <w:tblInd w:w="0" w:type="dxa"/>
        <w:tblLayout w:type="autofit"/>
        <w:tblCellMar>
          <w:top w:w="0" w:type="dxa"/>
          <w:left w:w="0" w:type="dxa"/>
          <w:bottom w:w="0" w:type="dxa"/>
          <w:right w:w="0" w:type="dxa"/>
        </w:tblCellMar>
      </w:tblPr>
      <w:tblGrid>
        <w:gridCol w:w="2178"/>
        <w:gridCol w:w="4540"/>
        <w:gridCol w:w="6242"/>
      </w:tblGrid>
      <w:tr w14:paraId="48B734DC">
        <w:trPr>
          <w:trHeight w:val="340" w:hRule="atLeast"/>
        </w:trPr>
        <w:tc>
          <w:tcPr>
            <w:tcW w:w="840" w:type="pct"/>
            <w:tcBorders>
              <w:top w:val="single" w:color="000000" w:sz="12" w:space="0"/>
              <w:left w:val="nil"/>
              <w:bottom w:val="single" w:color="auto" w:sz="8" w:space="0"/>
              <w:right w:val="nil"/>
            </w:tcBorders>
            <w:shd w:val="clear" w:color="auto" w:fill="E7E6E6" w:themeFill="background2"/>
            <w:vAlign w:val="center"/>
          </w:tcPr>
          <w:p w14:paraId="22CED297">
            <w:pPr>
              <w:pStyle w:val="42"/>
              <w:jc w:val="center"/>
              <w:rPr>
                <w:rFonts w:hint="default" w:ascii="Arial Regular" w:hAnsi="Arial Regular" w:cs="Arial Regular"/>
                <w:sz w:val="20"/>
                <w:szCs w:val="20"/>
              </w:rPr>
            </w:pPr>
            <w:r>
              <w:rPr>
                <w:rFonts w:hint="default" w:ascii="Arial Regular" w:hAnsi="Arial Regular" w:cs="Arial Regular"/>
                <w:sz w:val="20"/>
                <w:szCs w:val="20"/>
              </w:rPr>
              <w:t>Wavenumber (cm</w:t>
            </w:r>
            <w:r>
              <w:rPr>
                <w:rFonts w:hint="default" w:ascii="Arial Regular" w:hAnsi="Arial Regular" w:cs="Arial Regular"/>
                <w:sz w:val="20"/>
                <w:szCs w:val="20"/>
                <w:vertAlign w:val="superscript"/>
              </w:rPr>
              <w:t>-1</w:t>
            </w:r>
            <w:r>
              <w:rPr>
                <w:rFonts w:hint="default" w:ascii="Arial Regular" w:hAnsi="Arial Regular" w:cs="Arial Regular"/>
                <w:sz w:val="20"/>
                <w:szCs w:val="20"/>
              </w:rPr>
              <w:t>)</w:t>
            </w:r>
          </w:p>
        </w:tc>
        <w:tc>
          <w:tcPr>
            <w:tcW w:w="1751" w:type="pct"/>
            <w:tcBorders>
              <w:top w:val="single" w:color="000000" w:sz="12" w:space="0"/>
              <w:left w:val="nil"/>
              <w:bottom w:val="single" w:color="auto" w:sz="8" w:space="0"/>
              <w:right w:val="nil"/>
            </w:tcBorders>
            <w:shd w:val="clear" w:color="auto" w:fill="E7E6E6" w:themeFill="background2"/>
            <w:vAlign w:val="center"/>
          </w:tcPr>
          <w:p w14:paraId="0073F6D6">
            <w:pPr>
              <w:pStyle w:val="42"/>
              <w:jc w:val="center"/>
              <w:rPr>
                <w:rFonts w:hint="default" w:ascii="Arial Regular" w:hAnsi="Arial Regular" w:cs="Arial Regular"/>
                <w:sz w:val="20"/>
                <w:szCs w:val="20"/>
              </w:rPr>
            </w:pPr>
            <w:r>
              <w:rPr>
                <w:rFonts w:hint="default" w:ascii="Arial Regular" w:hAnsi="Arial Regular" w:cs="Arial Regular"/>
                <w:sz w:val="20"/>
                <w:szCs w:val="20"/>
              </w:rPr>
              <w:t>Functional Group</w:t>
            </w:r>
          </w:p>
        </w:tc>
        <w:tc>
          <w:tcPr>
            <w:tcW w:w="2407" w:type="pct"/>
            <w:tcBorders>
              <w:top w:val="single" w:color="000000" w:sz="12" w:space="0"/>
              <w:left w:val="nil"/>
              <w:bottom w:val="single" w:color="auto" w:sz="8" w:space="0"/>
              <w:right w:val="nil"/>
            </w:tcBorders>
            <w:shd w:val="clear" w:color="auto" w:fill="E7E6E6" w:themeFill="background2"/>
            <w:vAlign w:val="center"/>
          </w:tcPr>
          <w:p w14:paraId="3ED8DE32">
            <w:pPr>
              <w:pStyle w:val="42"/>
              <w:jc w:val="center"/>
              <w:rPr>
                <w:rFonts w:hint="default" w:ascii="Arial Regular" w:hAnsi="Arial Regular" w:cs="Arial Regular"/>
                <w:sz w:val="20"/>
                <w:szCs w:val="20"/>
              </w:rPr>
            </w:pPr>
            <w:r>
              <w:rPr>
                <w:rFonts w:hint="default" w:ascii="Arial Regular" w:hAnsi="Arial Regular" w:cs="Arial Regular"/>
                <w:sz w:val="20"/>
                <w:szCs w:val="20"/>
              </w:rPr>
              <w:t>Vibrational Mode</w:t>
            </w:r>
          </w:p>
        </w:tc>
      </w:tr>
      <w:tr w14:paraId="065D585E">
        <w:trPr>
          <w:trHeight w:val="340" w:hRule="atLeast"/>
        </w:trPr>
        <w:tc>
          <w:tcPr>
            <w:tcW w:w="840" w:type="pct"/>
            <w:tcBorders>
              <w:top w:val="single" w:color="auto" w:sz="8" w:space="0"/>
              <w:left w:val="nil"/>
              <w:bottom w:val="nil"/>
              <w:right w:val="nil"/>
            </w:tcBorders>
            <w:shd w:val="clear" w:color="auto" w:fill="FFFFFF"/>
            <w:vAlign w:val="center"/>
          </w:tcPr>
          <w:p w14:paraId="0FF49611">
            <w:pPr>
              <w:pStyle w:val="42"/>
              <w:jc w:val="center"/>
              <w:rPr>
                <w:rFonts w:hint="default" w:ascii="Arial Regular" w:hAnsi="Arial Regular" w:cs="Arial Regular"/>
                <w:sz w:val="20"/>
                <w:szCs w:val="20"/>
              </w:rPr>
            </w:pPr>
            <w:r>
              <w:rPr>
                <w:rFonts w:hint="default" w:ascii="Arial Regular" w:hAnsi="Arial Regular" w:cs="Arial Regular"/>
                <w:sz w:val="20"/>
                <w:szCs w:val="20"/>
              </w:rPr>
              <w:t>3420</w:t>
            </w:r>
          </w:p>
        </w:tc>
        <w:tc>
          <w:tcPr>
            <w:tcW w:w="1751" w:type="pct"/>
            <w:tcBorders>
              <w:top w:val="single" w:color="auto" w:sz="8" w:space="0"/>
              <w:left w:val="nil"/>
              <w:bottom w:val="nil"/>
              <w:right w:val="nil"/>
            </w:tcBorders>
            <w:shd w:val="clear" w:color="auto" w:fill="FFFFFF"/>
            <w:vAlign w:val="center"/>
          </w:tcPr>
          <w:p w14:paraId="75096212">
            <w:pPr>
              <w:pStyle w:val="42"/>
              <w:jc w:val="center"/>
              <w:rPr>
                <w:rFonts w:hint="default" w:ascii="Arial Regular" w:hAnsi="Arial Regular" w:cs="Arial Regular"/>
                <w:sz w:val="20"/>
                <w:szCs w:val="20"/>
              </w:rPr>
            </w:pPr>
            <w:r>
              <w:rPr>
                <w:rFonts w:hint="default" w:ascii="Arial Regular" w:hAnsi="Arial Regular" w:cs="Arial Regular"/>
                <w:sz w:val="20"/>
                <w:szCs w:val="20"/>
              </w:rPr>
              <w:t>Hydroxyl (O–H)</w:t>
            </w:r>
          </w:p>
        </w:tc>
        <w:tc>
          <w:tcPr>
            <w:tcW w:w="2407" w:type="pct"/>
            <w:tcBorders>
              <w:top w:val="single" w:color="auto" w:sz="8" w:space="0"/>
              <w:left w:val="nil"/>
              <w:bottom w:val="nil"/>
              <w:right w:val="nil"/>
            </w:tcBorders>
            <w:shd w:val="clear" w:color="auto" w:fill="FFFFFF"/>
            <w:vAlign w:val="center"/>
          </w:tcPr>
          <w:p w14:paraId="27FDB6F1">
            <w:pPr>
              <w:pStyle w:val="42"/>
              <w:jc w:val="center"/>
              <w:rPr>
                <w:rFonts w:hint="default" w:ascii="Arial Regular" w:hAnsi="Arial Regular" w:cs="Arial Regular"/>
                <w:sz w:val="20"/>
                <w:szCs w:val="20"/>
              </w:rPr>
            </w:pPr>
            <w:r>
              <w:rPr>
                <w:rFonts w:hint="default" w:ascii="Arial Regular" w:hAnsi="Arial Regular" w:cs="Arial Regular"/>
                <w:sz w:val="20"/>
                <w:szCs w:val="20"/>
              </w:rPr>
              <w:t>O–H stretching (hydrogen-bonded alcohols or phenols)</w:t>
            </w:r>
          </w:p>
        </w:tc>
      </w:tr>
      <w:tr w14:paraId="79BAFC7C">
        <w:trPr>
          <w:trHeight w:val="340" w:hRule="atLeast"/>
        </w:trPr>
        <w:tc>
          <w:tcPr>
            <w:tcW w:w="840" w:type="pct"/>
            <w:tcBorders>
              <w:top w:val="nil"/>
              <w:left w:val="nil"/>
              <w:bottom w:val="nil"/>
              <w:right w:val="nil"/>
            </w:tcBorders>
            <w:shd w:val="clear" w:color="auto" w:fill="FFFFFF"/>
            <w:vAlign w:val="center"/>
          </w:tcPr>
          <w:p w14:paraId="2BD469D8">
            <w:pPr>
              <w:pStyle w:val="42"/>
              <w:jc w:val="center"/>
              <w:rPr>
                <w:rFonts w:hint="default" w:ascii="Arial Regular" w:hAnsi="Arial Regular" w:cs="Arial Regular"/>
                <w:sz w:val="20"/>
                <w:szCs w:val="20"/>
              </w:rPr>
            </w:pPr>
            <w:r>
              <w:rPr>
                <w:rFonts w:hint="default" w:ascii="Arial Regular" w:hAnsi="Arial Regular" w:cs="Arial Regular"/>
                <w:sz w:val="20"/>
                <w:szCs w:val="20"/>
              </w:rPr>
              <w:t>3035</w:t>
            </w:r>
          </w:p>
        </w:tc>
        <w:tc>
          <w:tcPr>
            <w:tcW w:w="1751" w:type="pct"/>
            <w:tcBorders>
              <w:top w:val="nil"/>
              <w:left w:val="nil"/>
              <w:bottom w:val="nil"/>
              <w:right w:val="nil"/>
            </w:tcBorders>
            <w:shd w:val="clear" w:color="auto" w:fill="FFFFFF"/>
            <w:vAlign w:val="center"/>
          </w:tcPr>
          <w:p w14:paraId="6E3FC860">
            <w:pPr>
              <w:pStyle w:val="42"/>
              <w:jc w:val="center"/>
              <w:rPr>
                <w:rFonts w:hint="default" w:ascii="Arial Regular" w:hAnsi="Arial Regular" w:cs="Arial Regular"/>
                <w:sz w:val="20"/>
                <w:szCs w:val="20"/>
              </w:rPr>
            </w:pPr>
            <w:r>
              <w:rPr>
                <w:rFonts w:hint="default" w:ascii="Arial Regular" w:hAnsi="Arial Regular" w:cs="Arial Regular"/>
                <w:sz w:val="20"/>
                <w:szCs w:val="20"/>
              </w:rPr>
              <w:t>Aromatic hydrocarbons (Ar–H)</w:t>
            </w:r>
          </w:p>
        </w:tc>
        <w:tc>
          <w:tcPr>
            <w:tcW w:w="2407" w:type="pct"/>
            <w:tcBorders>
              <w:top w:val="nil"/>
              <w:left w:val="nil"/>
              <w:bottom w:val="nil"/>
              <w:right w:val="nil"/>
            </w:tcBorders>
            <w:shd w:val="clear" w:color="auto" w:fill="FFFFFF"/>
            <w:vAlign w:val="center"/>
          </w:tcPr>
          <w:p w14:paraId="21DD0E3C">
            <w:pPr>
              <w:pStyle w:val="42"/>
              <w:jc w:val="center"/>
              <w:rPr>
                <w:rFonts w:hint="default" w:ascii="Arial Regular" w:hAnsi="Arial Regular" w:cs="Arial Regular"/>
                <w:sz w:val="20"/>
                <w:szCs w:val="20"/>
              </w:rPr>
            </w:pPr>
            <w:r>
              <w:rPr>
                <w:rFonts w:hint="default" w:ascii="Arial Regular" w:hAnsi="Arial Regular" w:cs="Arial Regular"/>
                <w:sz w:val="20"/>
                <w:szCs w:val="20"/>
              </w:rPr>
              <w:t>Aromatic C–H stretching</w:t>
            </w:r>
          </w:p>
        </w:tc>
      </w:tr>
      <w:tr w14:paraId="1E9C92F2">
        <w:trPr>
          <w:trHeight w:val="340" w:hRule="atLeast"/>
        </w:trPr>
        <w:tc>
          <w:tcPr>
            <w:tcW w:w="840" w:type="pct"/>
            <w:tcBorders>
              <w:top w:val="nil"/>
              <w:left w:val="nil"/>
              <w:bottom w:val="nil"/>
              <w:right w:val="nil"/>
            </w:tcBorders>
            <w:shd w:val="clear" w:color="auto" w:fill="FFFFFF"/>
            <w:vAlign w:val="center"/>
          </w:tcPr>
          <w:p w14:paraId="28873F38">
            <w:pPr>
              <w:pStyle w:val="42"/>
              <w:jc w:val="center"/>
              <w:rPr>
                <w:rFonts w:hint="default" w:ascii="Arial Regular" w:hAnsi="Arial Regular" w:cs="Arial Regular"/>
                <w:sz w:val="20"/>
                <w:szCs w:val="20"/>
              </w:rPr>
            </w:pPr>
            <w:r>
              <w:rPr>
                <w:rFonts w:hint="default" w:ascii="Arial Regular" w:hAnsi="Arial Regular" w:cs="Arial Regular"/>
                <w:sz w:val="20"/>
                <w:szCs w:val="20"/>
              </w:rPr>
              <w:t>2927</w:t>
            </w:r>
          </w:p>
        </w:tc>
        <w:tc>
          <w:tcPr>
            <w:tcW w:w="1751" w:type="pct"/>
            <w:tcBorders>
              <w:top w:val="nil"/>
              <w:left w:val="nil"/>
              <w:bottom w:val="nil"/>
              <w:right w:val="nil"/>
            </w:tcBorders>
            <w:shd w:val="clear" w:color="auto" w:fill="FFFFFF"/>
            <w:vAlign w:val="center"/>
          </w:tcPr>
          <w:p w14:paraId="71479F0E">
            <w:pPr>
              <w:pStyle w:val="42"/>
              <w:jc w:val="center"/>
              <w:rPr>
                <w:rFonts w:hint="default" w:ascii="Arial Regular" w:hAnsi="Arial Regular" w:cs="Arial Regular"/>
                <w:sz w:val="20"/>
                <w:szCs w:val="20"/>
              </w:rPr>
            </w:pPr>
            <w:r>
              <w:rPr>
                <w:rFonts w:hint="default" w:ascii="Arial Regular" w:hAnsi="Arial Regular" w:cs="Arial Regular"/>
                <w:sz w:val="20"/>
                <w:szCs w:val="20"/>
              </w:rPr>
              <w:t>Aliphatic hydrocarbons (C–H)</w:t>
            </w:r>
          </w:p>
        </w:tc>
        <w:tc>
          <w:tcPr>
            <w:tcW w:w="2407" w:type="pct"/>
            <w:tcBorders>
              <w:top w:val="nil"/>
              <w:left w:val="nil"/>
              <w:bottom w:val="nil"/>
              <w:right w:val="nil"/>
            </w:tcBorders>
            <w:shd w:val="clear" w:color="auto" w:fill="FFFFFF"/>
            <w:vAlign w:val="center"/>
          </w:tcPr>
          <w:p w14:paraId="1FDC9B09">
            <w:pPr>
              <w:pStyle w:val="42"/>
              <w:jc w:val="center"/>
              <w:rPr>
                <w:rFonts w:hint="default" w:ascii="Arial Regular" w:hAnsi="Arial Regular" w:cs="Arial Regular"/>
                <w:sz w:val="20"/>
                <w:szCs w:val="20"/>
              </w:rPr>
            </w:pPr>
            <w:r>
              <w:rPr>
                <w:rFonts w:hint="default" w:ascii="Arial Regular" w:hAnsi="Arial Regular" w:cs="Arial Regular"/>
                <w:sz w:val="20"/>
                <w:szCs w:val="20"/>
              </w:rPr>
              <w:t>CH₂/CH₃ symmetric and asymmetric stretching</w:t>
            </w:r>
          </w:p>
        </w:tc>
      </w:tr>
      <w:tr w14:paraId="5B5A5174">
        <w:trPr>
          <w:trHeight w:val="340" w:hRule="atLeast"/>
        </w:trPr>
        <w:tc>
          <w:tcPr>
            <w:tcW w:w="840" w:type="pct"/>
            <w:tcBorders>
              <w:top w:val="nil"/>
              <w:left w:val="nil"/>
              <w:bottom w:val="nil"/>
              <w:right w:val="nil"/>
            </w:tcBorders>
            <w:shd w:val="clear" w:color="auto" w:fill="FFFFFF"/>
            <w:vAlign w:val="center"/>
          </w:tcPr>
          <w:p w14:paraId="641AE30E">
            <w:pPr>
              <w:pStyle w:val="42"/>
              <w:jc w:val="center"/>
              <w:rPr>
                <w:rFonts w:hint="default" w:ascii="Arial Regular" w:hAnsi="Arial Regular" w:cs="Arial Regular"/>
                <w:sz w:val="20"/>
                <w:szCs w:val="20"/>
              </w:rPr>
            </w:pPr>
            <w:r>
              <w:rPr>
                <w:rFonts w:hint="default" w:ascii="Arial Regular" w:hAnsi="Arial Regular" w:cs="Arial Regular"/>
                <w:sz w:val="20"/>
                <w:szCs w:val="20"/>
              </w:rPr>
              <w:t>1803</w:t>
            </w:r>
          </w:p>
        </w:tc>
        <w:tc>
          <w:tcPr>
            <w:tcW w:w="1751" w:type="pct"/>
            <w:tcBorders>
              <w:top w:val="nil"/>
              <w:left w:val="nil"/>
              <w:bottom w:val="nil"/>
              <w:right w:val="nil"/>
            </w:tcBorders>
            <w:shd w:val="clear" w:color="auto" w:fill="FFFFFF"/>
            <w:vAlign w:val="center"/>
          </w:tcPr>
          <w:p w14:paraId="3F4FA563">
            <w:pPr>
              <w:pStyle w:val="42"/>
              <w:jc w:val="center"/>
              <w:rPr>
                <w:rFonts w:hint="default" w:ascii="Arial Regular" w:hAnsi="Arial Regular" w:cs="Arial Regular"/>
                <w:sz w:val="20"/>
                <w:szCs w:val="20"/>
              </w:rPr>
            </w:pPr>
            <w:r>
              <w:rPr>
                <w:rFonts w:hint="default" w:ascii="Arial Regular" w:hAnsi="Arial Regular" w:cs="Arial Regular"/>
                <w:sz w:val="20"/>
                <w:szCs w:val="20"/>
              </w:rPr>
              <w:t>Carbonyl (C=O)</w:t>
            </w:r>
          </w:p>
        </w:tc>
        <w:tc>
          <w:tcPr>
            <w:tcW w:w="2407" w:type="pct"/>
            <w:tcBorders>
              <w:top w:val="nil"/>
              <w:left w:val="nil"/>
              <w:bottom w:val="nil"/>
              <w:right w:val="nil"/>
            </w:tcBorders>
            <w:shd w:val="clear" w:color="auto" w:fill="FFFFFF"/>
            <w:vAlign w:val="center"/>
          </w:tcPr>
          <w:p w14:paraId="1EEFBF54">
            <w:pPr>
              <w:pStyle w:val="42"/>
              <w:jc w:val="center"/>
              <w:rPr>
                <w:rFonts w:hint="default" w:ascii="Arial Regular" w:hAnsi="Arial Regular" w:cs="Arial Regular"/>
                <w:sz w:val="20"/>
                <w:szCs w:val="20"/>
              </w:rPr>
            </w:pPr>
            <w:r>
              <w:rPr>
                <w:rFonts w:hint="default" w:ascii="Arial Regular" w:hAnsi="Arial Regular" w:cs="Arial Regular"/>
                <w:sz w:val="20"/>
                <w:szCs w:val="20"/>
              </w:rPr>
              <w:t>C=O stretching</w:t>
            </w:r>
          </w:p>
        </w:tc>
      </w:tr>
      <w:tr w14:paraId="1495CB07">
        <w:trPr>
          <w:trHeight w:val="340" w:hRule="atLeast"/>
        </w:trPr>
        <w:tc>
          <w:tcPr>
            <w:tcW w:w="840" w:type="pct"/>
            <w:tcBorders>
              <w:top w:val="nil"/>
              <w:left w:val="nil"/>
              <w:bottom w:val="nil"/>
              <w:right w:val="nil"/>
            </w:tcBorders>
            <w:shd w:val="clear" w:color="auto" w:fill="FFFFFF"/>
            <w:vAlign w:val="center"/>
          </w:tcPr>
          <w:p w14:paraId="0D526A78">
            <w:pPr>
              <w:pStyle w:val="42"/>
              <w:jc w:val="center"/>
              <w:rPr>
                <w:rFonts w:hint="default" w:ascii="Arial Regular" w:hAnsi="Arial Regular" w:cs="Arial Regular"/>
                <w:sz w:val="20"/>
                <w:szCs w:val="20"/>
              </w:rPr>
            </w:pPr>
            <w:r>
              <w:rPr>
                <w:rFonts w:hint="default" w:ascii="Arial Regular" w:hAnsi="Arial Regular" w:cs="Arial Regular"/>
                <w:sz w:val="20"/>
                <w:szCs w:val="20"/>
              </w:rPr>
              <w:t>1628</w:t>
            </w:r>
          </w:p>
        </w:tc>
        <w:tc>
          <w:tcPr>
            <w:tcW w:w="1751" w:type="pct"/>
            <w:tcBorders>
              <w:top w:val="nil"/>
              <w:left w:val="nil"/>
              <w:bottom w:val="nil"/>
              <w:right w:val="nil"/>
            </w:tcBorders>
            <w:shd w:val="clear" w:color="auto" w:fill="FFFFFF"/>
            <w:vAlign w:val="center"/>
          </w:tcPr>
          <w:p w14:paraId="4DDAC361">
            <w:pPr>
              <w:pStyle w:val="42"/>
              <w:jc w:val="center"/>
              <w:rPr>
                <w:rFonts w:hint="default" w:ascii="Arial Regular" w:hAnsi="Arial Regular" w:cs="Arial Regular"/>
                <w:sz w:val="20"/>
                <w:szCs w:val="20"/>
              </w:rPr>
            </w:pPr>
            <w:r>
              <w:rPr>
                <w:rFonts w:hint="default" w:ascii="Arial Regular" w:hAnsi="Arial Regular" w:cs="Arial Regular"/>
                <w:sz w:val="20"/>
                <w:szCs w:val="20"/>
              </w:rPr>
              <w:t>Carbonyl (C=O) or C=C</w:t>
            </w:r>
          </w:p>
        </w:tc>
        <w:tc>
          <w:tcPr>
            <w:tcW w:w="2407" w:type="pct"/>
            <w:tcBorders>
              <w:top w:val="nil"/>
              <w:left w:val="nil"/>
              <w:bottom w:val="nil"/>
              <w:right w:val="nil"/>
            </w:tcBorders>
            <w:shd w:val="clear" w:color="auto" w:fill="FFFFFF"/>
            <w:vAlign w:val="center"/>
          </w:tcPr>
          <w:p w14:paraId="12F8CB00">
            <w:pPr>
              <w:pStyle w:val="42"/>
              <w:jc w:val="center"/>
              <w:rPr>
                <w:rFonts w:hint="default" w:ascii="Arial Regular" w:hAnsi="Arial Regular" w:cs="Arial Regular"/>
                <w:sz w:val="20"/>
                <w:szCs w:val="20"/>
              </w:rPr>
            </w:pPr>
            <w:r>
              <w:rPr>
                <w:rFonts w:hint="default" w:ascii="Arial Regular" w:hAnsi="Arial Regular" w:cs="Arial Regular"/>
                <w:sz w:val="20"/>
                <w:szCs w:val="20"/>
              </w:rPr>
              <w:t>C=O stretching (amide I band) or C=C stretching</w:t>
            </w:r>
          </w:p>
        </w:tc>
      </w:tr>
      <w:tr w14:paraId="3759305F">
        <w:trPr>
          <w:trHeight w:val="340" w:hRule="atLeast"/>
        </w:trPr>
        <w:tc>
          <w:tcPr>
            <w:tcW w:w="840" w:type="pct"/>
            <w:tcBorders>
              <w:top w:val="nil"/>
              <w:left w:val="nil"/>
              <w:bottom w:val="nil"/>
              <w:right w:val="nil"/>
            </w:tcBorders>
            <w:shd w:val="clear" w:color="auto" w:fill="FFFFFF"/>
            <w:vAlign w:val="center"/>
          </w:tcPr>
          <w:p w14:paraId="0BE2D6B7">
            <w:pPr>
              <w:pStyle w:val="42"/>
              <w:jc w:val="center"/>
              <w:rPr>
                <w:rFonts w:hint="default" w:ascii="Arial Regular" w:hAnsi="Arial Regular" w:cs="Arial Regular"/>
                <w:sz w:val="20"/>
                <w:szCs w:val="20"/>
              </w:rPr>
            </w:pPr>
            <w:r>
              <w:rPr>
                <w:rFonts w:hint="default" w:ascii="Arial Regular" w:hAnsi="Arial Regular" w:cs="Arial Regular"/>
                <w:sz w:val="20"/>
                <w:szCs w:val="20"/>
              </w:rPr>
              <w:t>1502</w:t>
            </w:r>
          </w:p>
        </w:tc>
        <w:tc>
          <w:tcPr>
            <w:tcW w:w="1751" w:type="pct"/>
            <w:tcBorders>
              <w:top w:val="nil"/>
              <w:left w:val="nil"/>
              <w:bottom w:val="nil"/>
              <w:right w:val="nil"/>
            </w:tcBorders>
            <w:shd w:val="clear" w:color="auto" w:fill="FFFFFF"/>
            <w:vAlign w:val="center"/>
          </w:tcPr>
          <w:p w14:paraId="010B745F">
            <w:pPr>
              <w:pStyle w:val="42"/>
              <w:jc w:val="center"/>
              <w:rPr>
                <w:rFonts w:hint="default" w:ascii="Arial Regular" w:hAnsi="Arial Regular" w:cs="Arial Regular"/>
                <w:sz w:val="20"/>
                <w:szCs w:val="20"/>
              </w:rPr>
            </w:pPr>
            <w:r>
              <w:rPr>
                <w:rFonts w:hint="default" w:ascii="Arial Regular" w:hAnsi="Arial Regular" w:cs="Arial Regular"/>
                <w:sz w:val="20"/>
                <w:szCs w:val="20"/>
              </w:rPr>
              <w:t>Aromatic ring (C=C)</w:t>
            </w:r>
          </w:p>
        </w:tc>
        <w:tc>
          <w:tcPr>
            <w:tcW w:w="2407" w:type="pct"/>
            <w:tcBorders>
              <w:top w:val="nil"/>
              <w:left w:val="nil"/>
              <w:bottom w:val="nil"/>
              <w:right w:val="nil"/>
            </w:tcBorders>
            <w:shd w:val="clear" w:color="auto" w:fill="FFFFFF"/>
            <w:vAlign w:val="center"/>
          </w:tcPr>
          <w:p w14:paraId="1099EC38">
            <w:pPr>
              <w:pStyle w:val="42"/>
              <w:jc w:val="center"/>
              <w:rPr>
                <w:rFonts w:hint="default" w:ascii="Arial Regular" w:hAnsi="Arial Regular" w:cs="Arial Regular"/>
                <w:sz w:val="20"/>
                <w:szCs w:val="20"/>
              </w:rPr>
            </w:pPr>
            <w:r>
              <w:rPr>
                <w:rFonts w:hint="default" w:ascii="Arial Regular" w:hAnsi="Arial Regular" w:cs="Arial Regular"/>
                <w:sz w:val="20"/>
                <w:szCs w:val="20"/>
              </w:rPr>
              <w:t>Aromatic C=C skeletal vibration</w:t>
            </w:r>
          </w:p>
        </w:tc>
      </w:tr>
      <w:tr w14:paraId="42E592FE">
        <w:trPr>
          <w:trHeight w:val="340" w:hRule="atLeast"/>
        </w:trPr>
        <w:tc>
          <w:tcPr>
            <w:tcW w:w="840" w:type="pct"/>
            <w:tcBorders>
              <w:top w:val="nil"/>
              <w:left w:val="nil"/>
              <w:bottom w:val="nil"/>
              <w:right w:val="nil"/>
            </w:tcBorders>
            <w:shd w:val="clear" w:color="auto" w:fill="FFFFFF"/>
            <w:vAlign w:val="center"/>
          </w:tcPr>
          <w:p w14:paraId="08D155C8">
            <w:pPr>
              <w:pStyle w:val="42"/>
              <w:jc w:val="center"/>
              <w:rPr>
                <w:rFonts w:hint="default" w:ascii="Arial Regular" w:hAnsi="Arial Regular" w:cs="Arial Regular"/>
                <w:sz w:val="20"/>
                <w:szCs w:val="20"/>
              </w:rPr>
            </w:pPr>
            <w:r>
              <w:rPr>
                <w:rFonts w:hint="default" w:ascii="Arial Regular" w:hAnsi="Arial Regular" w:cs="Arial Regular"/>
                <w:sz w:val="20"/>
                <w:szCs w:val="20"/>
              </w:rPr>
              <w:t>1395</w:t>
            </w:r>
          </w:p>
        </w:tc>
        <w:tc>
          <w:tcPr>
            <w:tcW w:w="1751" w:type="pct"/>
            <w:tcBorders>
              <w:top w:val="nil"/>
              <w:left w:val="nil"/>
              <w:bottom w:val="nil"/>
              <w:right w:val="nil"/>
            </w:tcBorders>
            <w:shd w:val="clear" w:color="auto" w:fill="FFFFFF"/>
            <w:vAlign w:val="center"/>
          </w:tcPr>
          <w:p w14:paraId="02172A70">
            <w:pPr>
              <w:pStyle w:val="42"/>
              <w:jc w:val="center"/>
              <w:rPr>
                <w:rFonts w:hint="default" w:ascii="Arial Regular" w:hAnsi="Arial Regular" w:cs="Arial Regular"/>
                <w:sz w:val="20"/>
                <w:szCs w:val="20"/>
              </w:rPr>
            </w:pPr>
            <w:r>
              <w:rPr>
                <w:rFonts w:hint="default" w:ascii="Arial Regular" w:hAnsi="Arial Regular" w:cs="Arial Regular"/>
                <w:sz w:val="20"/>
                <w:szCs w:val="20"/>
              </w:rPr>
              <w:t>Carboxylic acid (O–H) or CH</w:t>
            </w:r>
            <w:r>
              <w:rPr>
                <w:rFonts w:hint="default" w:ascii="Arial Regular" w:hAnsi="Arial Regular" w:cs="Arial Regular"/>
                <w:sz w:val="20"/>
                <w:szCs w:val="20"/>
                <w:vertAlign w:val="subscript"/>
              </w:rPr>
              <w:t>3</w:t>
            </w:r>
            <w:r>
              <w:rPr>
                <w:rFonts w:hint="default" w:ascii="Arial Regular" w:hAnsi="Arial Regular" w:cs="Arial Regular"/>
                <w:sz w:val="20"/>
                <w:szCs w:val="20"/>
              </w:rPr>
              <w:t xml:space="preserve"> deformation</w:t>
            </w:r>
          </w:p>
        </w:tc>
        <w:tc>
          <w:tcPr>
            <w:tcW w:w="2407" w:type="pct"/>
            <w:tcBorders>
              <w:top w:val="nil"/>
              <w:left w:val="nil"/>
              <w:bottom w:val="nil"/>
              <w:right w:val="nil"/>
            </w:tcBorders>
            <w:shd w:val="clear" w:color="auto" w:fill="FFFFFF"/>
            <w:vAlign w:val="center"/>
          </w:tcPr>
          <w:p w14:paraId="177A001E">
            <w:pPr>
              <w:pStyle w:val="42"/>
              <w:jc w:val="center"/>
              <w:rPr>
                <w:rFonts w:hint="default" w:ascii="Arial Regular" w:hAnsi="Arial Regular" w:cs="Arial Regular"/>
                <w:sz w:val="20"/>
                <w:szCs w:val="20"/>
              </w:rPr>
            </w:pPr>
            <w:r>
              <w:rPr>
                <w:rFonts w:hint="default" w:ascii="Arial Regular" w:hAnsi="Arial Regular" w:cs="Arial Regular"/>
                <w:sz w:val="20"/>
                <w:szCs w:val="20"/>
              </w:rPr>
              <w:t>O–H in-plane bending or CH</w:t>
            </w:r>
            <w:r>
              <w:rPr>
                <w:rFonts w:hint="default" w:ascii="Arial Regular" w:hAnsi="Arial Regular" w:cs="Arial Regular"/>
                <w:sz w:val="20"/>
                <w:szCs w:val="20"/>
                <w:vertAlign w:val="subscript"/>
              </w:rPr>
              <w:t>3</w:t>
            </w:r>
            <w:r>
              <w:rPr>
                <w:rFonts w:hint="default" w:ascii="Arial Regular" w:hAnsi="Arial Regular" w:cs="Arial Regular"/>
                <w:sz w:val="20"/>
                <w:szCs w:val="20"/>
              </w:rPr>
              <w:t xml:space="preserve"> symmetric deformation</w:t>
            </w:r>
          </w:p>
        </w:tc>
      </w:tr>
      <w:tr w14:paraId="6F904885">
        <w:trPr>
          <w:trHeight w:val="340" w:hRule="atLeast"/>
        </w:trPr>
        <w:tc>
          <w:tcPr>
            <w:tcW w:w="840" w:type="pct"/>
            <w:tcBorders>
              <w:top w:val="nil"/>
              <w:left w:val="nil"/>
              <w:bottom w:val="nil"/>
              <w:right w:val="nil"/>
            </w:tcBorders>
            <w:shd w:val="clear" w:color="auto" w:fill="FFFFFF"/>
            <w:vAlign w:val="center"/>
          </w:tcPr>
          <w:p w14:paraId="19D004AF">
            <w:pPr>
              <w:pStyle w:val="42"/>
              <w:jc w:val="center"/>
              <w:rPr>
                <w:rFonts w:hint="default" w:ascii="Arial Regular" w:hAnsi="Arial Regular" w:cs="Arial Regular"/>
                <w:sz w:val="20"/>
                <w:szCs w:val="20"/>
              </w:rPr>
            </w:pPr>
            <w:r>
              <w:rPr>
                <w:rFonts w:hint="default" w:ascii="Arial Regular" w:hAnsi="Arial Regular" w:cs="Arial Regular"/>
                <w:sz w:val="20"/>
                <w:szCs w:val="20"/>
              </w:rPr>
              <w:t>1260</w:t>
            </w:r>
          </w:p>
        </w:tc>
        <w:tc>
          <w:tcPr>
            <w:tcW w:w="1751" w:type="pct"/>
            <w:tcBorders>
              <w:top w:val="nil"/>
              <w:left w:val="nil"/>
              <w:bottom w:val="nil"/>
              <w:right w:val="nil"/>
            </w:tcBorders>
            <w:shd w:val="clear" w:color="auto" w:fill="FFFFFF"/>
            <w:vAlign w:val="center"/>
          </w:tcPr>
          <w:p w14:paraId="14670C24">
            <w:pPr>
              <w:pStyle w:val="42"/>
              <w:jc w:val="center"/>
              <w:rPr>
                <w:rFonts w:hint="default" w:ascii="Arial Regular" w:hAnsi="Arial Regular" w:cs="Arial Regular"/>
                <w:sz w:val="20"/>
                <w:szCs w:val="20"/>
              </w:rPr>
            </w:pPr>
            <w:r>
              <w:rPr>
                <w:rFonts w:hint="default" w:ascii="Arial Regular" w:hAnsi="Arial Regular" w:cs="Arial Regular"/>
                <w:sz w:val="20"/>
                <w:szCs w:val="20"/>
              </w:rPr>
              <w:t>Ether (C–O–C) or ester (C–O)</w:t>
            </w:r>
          </w:p>
        </w:tc>
        <w:tc>
          <w:tcPr>
            <w:tcW w:w="2407" w:type="pct"/>
            <w:tcBorders>
              <w:top w:val="nil"/>
              <w:left w:val="nil"/>
              <w:bottom w:val="nil"/>
              <w:right w:val="nil"/>
            </w:tcBorders>
            <w:shd w:val="clear" w:color="auto" w:fill="FFFFFF"/>
            <w:vAlign w:val="center"/>
          </w:tcPr>
          <w:p w14:paraId="63D0CE01">
            <w:pPr>
              <w:pStyle w:val="42"/>
              <w:jc w:val="center"/>
              <w:rPr>
                <w:rFonts w:hint="default" w:ascii="Arial Regular" w:hAnsi="Arial Regular" w:cs="Arial Regular"/>
                <w:sz w:val="20"/>
                <w:szCs w:val="20"/>
              </w:rPr>
            </w:pPr>
            <w:r>
              <w:rPr>
                <w:rFonts w:hint="default" w:ascii="Arial Regular" w:hAnsi="Arial Regular" w:cs="Arial Regular"/>
                <w:sz w:val="20"/>
                <w:szCs w:val="20"/>
              </w:rPr>
              <w:t>C–O stretching (ethers or esters)</w:t>
            </w:r>
          </w:p>
        </w:tc>
      </w:tr>
      <w:tr w14:paraId="472D3C95">
        <w:trPr>
          <w:trHeight w:val="340" w:hRule="atLeast"/>
        </w:trPr>
        <w:tc>
          <w:tcPr>
            <w:tcW w:w="840" w:type="pct"/>
            <w:tcBorders>
              <w:top w:val="nil"/>
              <w:left w:val="nil"/>
              <w:bottom w:val="nil"/>
              <w:right w:val="nil"/>
            </w:tcBorders>
            <w:shd w:val="clear" w:color="auto" w:fill="FFFFFF"/>
            <w:vAlign w:val="center"/>
          </w:tcPr>
          <w:p w14:paraId="486811EA">
            <w:pPr>
              <w:pStyle w:val="42"/>
              <w:jc w:val="center"/>
              <w:rPr>
                <w:rFonts w:hint="default" w:ascii="Arial Regular" w:hAnsi="Arial Regular" w:cs="Arial Regular"/>
                <w:sz w:val="20"/>
                <w:szCs w:val="20"/>
              </w:rPr>
            </w:pPr>
            <w:r>
              <w:rPr>
                <w:rFonts w:hint="default" w:ascii="Arial Regular" w:hAnsi="Arial Regular" w:cs="Arial Regular"/>
                <w:sz w:val="20"/>
                <w:szCs w:val="20"/>
              </w:rPr>
              <w:t>1063</w:t>
            </w:r>
          </w:p>
        </w:tc>
        <w:tc>
          <w:tcPr>
            <w:tcW w:w="1751" w:type="pct"/>
            <w:tcBorders>
              <w:top w:val="nil"/>
              <w:left w:val="nil"/>
              <w:bottom w:val="nil"/>
              <w:right w:val="nil"/>
            </w:tcBorders>
            <w:shd w:val="clear" w:color="auto" w:fill="FFFFFF"/>
            <w:vAlign w:val="center"/>
          </w:tcPr>
          <w:p w14:paraId="0F1A4717">
            <w:pPr>
              <w:pStyle w:val="42"/>
              <w:jc w:val="center"/>
              <w:rPr>
                <w:rFonts w:hint="default" w:ascii="Arial Regular" w:hAnsi="Arial Regular" w:cs="Arial Regular"/>
                <w:sz w:val="20"/>
                <w:szCs w:val="20"/>
              </w:rPr>
            </w:pPr>
            <w:r>
              <w:rPr>
                <w:rFonts w:hint="default" w:ascii="Arial Regular" w:hAnsi="Arial Regular" w:cs="Arial Regular"/>
                <w:sz w:val="20"/>
                <w:szCs w:val="20"/>
              </w:rPr>
              <w:t>Ether (C–O–C) or alcohol (C–O)</w:t>
            </w:r>
          </w:p>
        </w:tc>
        <w:tc>
          <w:tcPr>
            <w:tcW w:w="2407" w:type="pct"/>
            <w:tcBorders>
              <w:top w:val="nil"/>
              <w:left w:val="nil"/>
              <w:bottom w:val="nil"/>
              <w:right w:val="nil"/>
            </w:tcBorders>
            <w:shd w:val="clear" w:color="auto" w:fill="FFFFFF"/>
            <w:vAlign w:val="center"/>
          </w:tcPr>
          <w:p w14:paraId="57621F7C">
            <w:pPr>
              <w:pStyle w:val="42"/>
              <w:jc w:val="center"/>
              <w:rPr>
                <w:rFonts w:hint="default" w:ascii="Arial Regular" w:hAnsi="Arial Regular" w:cs="Arial Regular"/>
                <w:sz w:val="20"/>
                <w:szCs w:val="20"/>
              </w:rPr>
            </w:pPr>
            <w:r>
              <w:rPr>
                <w:rFonts w:hint="default" w:ascii="Arial Regular" w:hAnsi="Arial Regular" w:cs="Arial Regular"/>
                <w:sz w:val="20"/>
                <w:szCs w:val="20"/>
              </w:rPr>
              <w:t>C–O stretching (aliphatic ethers or alcohols)</w:t>
            </w:r>
          </w:p>
        </w:tc>
      </w:tr>
      <w:tr w14:paraId="435C26C9">
        <w:trPr>
          <w:trHeight w:val="340" w:hRule="atLeast"/>
        </w:trPr>
        <w:tc>
          <w:tcPr>
            <w:tcW w:w="840" w:type="pct"/>
            <w:tcBorders>
              <w:top w:val="nil"/>
              <w:left w:val="nil"/>
              <w:bottom w:val="nil"/>
              <w:right w:val="nil"/>
            </w:tcBorders>
            <w:shd w:val="clear" w:color="auto" w:fill="FFFFFF"/>
            <w:vAlign w:val="center"/>
          </w:tcPr>
          <w:p w14:paraId="0CA5FC1E">
            <w:pPr>
              <w:pStyle w:val="42"/>
              <w:jc w:val="center"/>
              <w:rPr>
                <w:rFonts w:hint="default" w:ascii="Arial Regular" w:hAnsi="Arial Regular" w:cs="Arial Regular"/>
                <w:sz w:val="20"/>
                <w:szCs w:val="20"/>
              </w:rPr>
            </w:pPr>
            <w:r>
              <w:rPr>
                <w:rFonts w:hint="default" w:ascii="Arial Regular" w:hAnsi="Arial Regular" w:cs="Arial Regular"/>
                <w:sz w:val="20"/>
                <w:szCs w:val="20"/>
              </w:rPr>
              <w:t>947</w:t>
            </w:r>
          </w:p>
        </w:tc>
        <w:tc>
          <w:tcPr>
            <w:tcW w:w="1751" w:type="pct"/>
            <w:tcBorders>
              <w:top w:val="nil"/>
              <w:left w:val="nil"/>
              <w:bottom w:val="nil"/>
              <w:right w:val="nil"/>
            </w:tcBorders>
            <w:shd w:val="clear" w:color="auto" w:fill="FFFFFF"/>
            <w:vAlign w:val="center"/>
          </w:tcPr>
          <w:p w14:paraId="486594D6">
            <w:pPr>
              <w:pStyle w:val="42"/>
              <w:jc w:val="center"/>
              <w:rPr>
                <w:rFonts w:hint="default" w:ascii="Arial Regular" w:hAnsi="Arial Regular" w:cs="Arial Regular"/>
                <w:sz w:val="20"/>
                <w:szCs w:val="20"/>
              </w:rPr>
            </w:pPr>
            <w:r>
              <w:rPr>
                <w:rFonts w:hint="default" w:ascii="Arial Regular" w:hAnsi="Arial Regular" w:cs="Arial Regular"/>
                <w:sz w:val="20"/>
                <w:szCs w:val="20"/>
              </w:rPr>
              <w:t>Carboxylic acid (O–H)</w:t>
            </w:r>
          </w:p>
        </w:tc>
        <w:tc>
          <w:tcPr>
            <w:tcW w:w="2407" w:type="pct"/>
            <w:tcBorders>
              <w:top w:val="nil"/>
              <w:left w:val="nil"/>
              <w:bottom w:val="nil"/>
              <w:right w:val="nil"/>
            </w:tcBorders>
            <w:shd w:val="clear" w:color="auto" w:fill="FFFFFF"/>
            <w:vAlign w:val="center"/>
          </w:tcPr>
          <w:p w14:paraId="5A4BD4E7">
            <w:pPr>
              <w:pStyle w:val="42"/>
              <w:jc w:val="center"/>
              <w:rPr>
                <w:rFonts w:hint="default" w:ascii="Arial Regular" w:hAnsi="Arial Regular" w:cs="Arial Regular"/>
                <w:sz w:val="20"/>
                <w:szCs w:val="20"/>
              </w:rPr>
            </w:pPr>
            <w:r>
              <w:rPr>
                <w:rFonts w:hint="default" w:ascii="Arial Regular" w:hAnsi="Arial Regular" w:cs="Arial Regular"/>
                <w:sz w:val="20"/>
                <w:szCs w:val="20"/>
              </w:rPr>
              <w:t>O–H out-of-plane bending</w:t>
            </w:r>
          </w:p>
        </w:tc>
      </w:tr>
      <w:tr w14:paraId="59270A64">
        <w:trPr>
          <w:trHeight w:val="340" w:hRule="atLeast"/>
        </w:trPr>
        <w:tc>
          <w:tcPr>
            <w:tcW w:w="840" w:type="pct"/>
            <w:tcBorders>
              <w:top w:val="nil"/>
              <w:left w:val="nil"/>
              <w:bottom w:val="nil"/>
              <w:right w:val="nil"/>
            </w:tcBorders>
            <w:shd w:val="clear" w:color="auto" w:fill="FFFFFF"/>
            <w:vAlign w:val="center"/>
          </w:tcPr>
          <w:p w14:paraId="3B7AD8F3">
            <w:pPr>
              <w:pStyle w:val="42"/>
              <w:jc w:val="center"/>
              <w:rPr>
                <w:rFonts w:hint="default" w:ascii="Arial Regular" w:hAnsi="Arial Regular" w:cs="Arial Regular"/>
                <w:sz w:val="20"/>
                <w:szCs w:val="20"/>
              </w:rPr>
            </w:pPr>
            <w:r>
              <w:rPr>
                <w:rFonts w:hint="default" w:ascii="Arial Regular" w:hAnsi="Arial Regular" w:cs="Arial Regular"/>
                <w:sz w:val="20"/>
                <w:szCs w:val="20"/>
              </w:rPr>
              <w:t>878</w:t>
            </w:r>
          </w:p>
        </w:tc>
        <w:tc>
          <w:tcPr>
            <w:tcW w:w="1751" w:type="pct"/>
            <w:vMerge w:val="restart"/>
            <w:tcBorders>
              <w:top w:val="nil"/>
              <w:left w:val="nil"/>
              <w:right w:val="nil"/>
            </w:tcBorders>
            <w:shd w:val="clear" w:color="auto" w:fill="FFFFFF"/>
            <w:vAlign w:val="center"/>
          </w:tcPr>
          <w:p w14:paraId="25C07BA7">
            <w:pPr>
              <w:pStyle w:val="42"/>
              <w:jc w:val="center"/>
              <w:rPr>
                <w:rFonts w:hint="default" w:ascii="Arial Regular" w:hAnsi="Arial Regular" w:cs="Arial Regular"/>
                <w:sz w:val="20"/>
                <w:szCs w:val="20"/>
              </w:rPr>
            </w:pPr>
            <w:r>
              <w:rPr>
                <w:rFonts w:hint="default" w:ascii="Arial Regular" w:hAnsi="Arial Regular" w:cs="Arial Regular"/>
                <w:sz w:val="20"/>
                <w:szCs w:val="20"/>
              </w:rPr>
              <w:t>Aromatic hydrocarbons (C–H)</w:t>
            </w:r>
          </w:p>
        </w:tc>
        <w:tc>
          <w:tcPr>
            <w:tcW w:w="2407" w:type="pct"/>
            <w:vMerge w:val="restart"/>
            <w:tcBorders>
              <w:top w:val="nil"/>
              <w:left w:val="nil"/>
              <w:right w:val="nil"/>
            </w:tcBorders>
            <w:shd w:val="clear" w:color="auto" w:fill="FFFFFF"/>
            <w:vAlign w:val="center"/>
          </w:tcPr>
          <w:p w14:paraId="0ACB0B7F">
            <w:pPr>
              <w:pStyle w:val="42"/>
              <w:jc w:val="center"/>
              <w:rPr>
                <w:rFonts w:hint="default" w:ascii="Arial Regular" w:hAnsi="Arial Regular" w:cs="Arial Regular"/>
                <w:sz w:val="20"/>
                <w:szCs w:val="20"/>
              </w:rPr>
            </w:pPr>
            <w:r>
              <w:rPr>
                <w:rFonts w:hint="default" w:ascii="Arial Regular" w:hAnsi="Arial Regular" w:cs="Arial Regular"/>
                <w:sz w:val="20"/>
                <w:szCs w:val="20"/>
              </w:rPr>
              <w:t>Aromatic C–H out-of-plane bending</w:t>
            </w:r>
          </w:p>
        </w:tc>
      </w:tr>
      <w:tr w14:paraId="2B477FAF">
        <w:trPr>
          <w:trHeight w:val="340" w:hRule="atLeast"/>
        </w:trPr>
        <w:tc>
          <w:tcPr>
            <w:tcW w:w="840" w:type="pct"/>
            <w:tcBorders>
              <w:top w:val="nil"/>
              <w:left w:val="nil"/>
              <w:bottom w:val="nil"/>
              <w:right w:val="nil"/>
            </w:tcBorders>
            <w:shd w:val="clear" w:color="auto" w:fill="FFFFFF"/>
            <w:vAlign w:val="center"/>
          </w:tcPr>
          <w:p w14:paraId="25AD3B3B">
            <w:pPr>
              <w:pStyle w:val="42"/>
              <w:jc w:val="center"/>
              <w:rPr>
                <w:rFonts w:hint="default" w:ascii="Arial Regular" w:hAnsi="Arial Regular" w:cs="Arial Regular"/>
                <w:sz w:val="20"/>
                <w:szCs w:val="20"/>
              </w:rPr>
            </w:pPr>
            <w:r>
              <w:rPr>
                <w:rFonts w:hint="default" w:ascii="Arial Regular" w:hAnsi="Arial Regular" w:cs="Arial Regular"/>
                <w:sz w:val="20"/>
                <w:szCs w:val="20"/>
              </w:rPr>
              <w:t>800</w:t>
            </w:r>
          </w:p>
        </w:tc>
        <w:tc>
          <w:tcPr>
            <w:tcW w:w="1751" w:type="pct"/>
            <w:vMerge w:val="continue"/>
            <w:tcBorders>
              <w:left w:val="nil"/>
              <w:bottom w:val="nil"/>
              <w:right w:val="nil"/>
            </w:tcBorders>
            <w:shd w:val="clear" w:color="auto" w:fill="FFFFFF"/>
            <w:vAlign w:val="center"/>
          </w:tcPr>
          <w:p w14:paraId="24916CF9">
            <w:pPr>
              <w:pStyle w:val="42"/>
              <w:jc w:val="center"/>
              <w:rPr>
                <w:rFonts w:hint="default" w:ascii="Arial Regular" w:hAnsi="Arial Regular" w:cs="Arial Regular"/>
                <w:sz w:val="20"/>
                <w:szCs w:val="20"/>
              </w:rPr>
            </w:pPr>
          </w:p>
        </w:tc>
        <w:tc>
          <w:tcPr>
            <w:tcW w:w="2407" w:type="pct"/>
            <w:vMerge w:val="continue"/>
            <w:tcBorders>
              <w:left w:val="nil"/>
              <w:bottom w:val="nil"/>
              <w:right w:val="nil"/>
            </w:tcBorders>
            <w:shd w:val="clear" w:color="auto" w:fill="FFFFFF"/>
            <w:vAlign w:val="center"/>
          </w:tcPr>
          <w:p w14:paraId="0037BF47">
            <w:pPr>
              <w:pStyle w:val="42"/>
              <w:jc w:val="center"/>
              <w:rPr>
                <w:rFonts w:hint="default" w:ascii="Arial Regular" w:hAnsi="Arial Regular" w:cs="Arial Regular"/>
                <w:sz w:val="20"/>
                <w:szCs w:val="20"/>
              </w:rPr>
            </w:pPr>
          </w:p>
        </w:tc>
      </w:tr>
      <w:tr w14:paraId="766B3622">
        <w:trPr>
          <w:trHeight w:val="340" w:hRule="atLeast"/>
        </w:trPr>
        <w:tc>
          <w:tcPr>
            <w:tcW w:w="840" w:type="pct"/>
            <w:tcBorders>
              <w:top w:val="nil"/>
              <w:left w:val="nil"/>
              <w:bottom w:val="nil"/>
              <w:right w:val="nil"/>
            </w:tcBorders>
            <w:shd w:val="clear" w:color="auto" w:fill="FFFFFF"/>
            <w:vAlign w:val="center"/>
          </w:tcPr>
          <w:p w14:paraId="2BC80ED5">
            <w:pPr>
              <w:pStyle w:val="42"/>
              <w:jc w:val="center"/>
              <w:rPr>
                <w:rFonts w:hint="default" w:ascii="Arial Regular" w:hAnsi="Arial Regular" w:cs="Arial Regular"/>
                <w:sz w:val="20"/>
                <w:szCs w:val="20"/>
              </w:rPr>
            </w:pPr>
            <w:r>
              <w:rPr>
                <w:rFonts w:hint="default" w:ascii="Arial Regular" w:hAnsi="Arial Regular" w:cs="Arial Regular"/>
                <w:sz w:val="20"/>
                <w:szCs w:val="20"/>
              </w:rPr>
              <w:t>720</w:t>
            </w:r>
          </w:p>
        </w:tc>
        <w:tc>
          <w:tcPr>
            <w:tcW w:w="1751" w:type="pct"/>
            <w:tcBorders>
              <w:top w:val="nil"/>
              <w:left w:val="nil"/>
              <w:bottom w:val="nil"/>
              <w:right w:val="nil"/>
            </w:tcBorders>
            <w:shd w:val="clear" w:color="auto" w:fill="FFFFFF"/>
            <w:vAlign w:val="center"/>
          </w:tcPr>
          <w:p w14:paraId="6D669A12">
            <w:pPr>
              <w:pStyle w:val="42"/>
              <w:jc w:val="center"/>
              <w:rPr>
                <w:rFonts w:hint="default" w:ascii="Arial Regular" w:hAnsi="Arial Regular" w:cs="Arial Regular"/>
                <w:sz w:val="20"/>
                <w:szCs w:val="20"/>
              </w:rPr>
            </w:pPr>
            <w:r>
              <w:rPr>
                <w:rFonts w:hint="default" w:ascii="Arial Regular" w:hAnsi="Arial Regular" w:cs="Arial Regular"/>
                <w:sz w:val="20"/>
                <w:szCs w:val="20"/>
              </w:rPr>
              <w:t xml:space="preserve">Aliphatic hydrocarbons (C–H) </w:t>
            </w:r>
          </w:p>
        </w:tc>
        <w:tc>
          <w:tcPr>
            <w:tcW w:w="2407" w:type="pct"/>
            <w:tcBorders>
              <w:top w:val="nil"/>
              <w:left w:val="nil"/>
              <w:bottom w:val="nil"/>
              <w:right w:val="nil"/>
            </w:tcBorders>
            <w:shd w:val="clear" w:color="auto" w:fill="FFFFFF"/>
            <w:vAlign w:val="center"/>
          </w:tcPr>
          <w:p w14:paraId="65527545">
            <w:pPr>
              <w:pStyle w:val="42"/>
              <w:jc w:val="center"/>
              <w:rPr>
                <w:rFonts w:hint="default" w:ascii="Arial Regular" w:hAnsi="Arial Regular" w:cs="Arial Regular"/>
                <w:sz w:val="20"/>
                <w:szCs w:val="20"/>
              </w:rPr>
            </w:pPr>
            <w:r>
              <w:rPr>
                <w:rFonts w:hint="default" w:ascii="Arial Regular" w:hAnsi="Arial Regular" w:cs="Arial Regular"/>
                <w:sz w:val="20"/>
                <w:szCs w:val="20"/>
              </w:rPr>
              <w:t>CH</w:t>
            </w:r>
            <w:r>
              <w:rPr>
                <w:rFonts w:hint="default" w:ascii="Arial Regular" w:hAnsi="Arial Regular" w:cs="Arial Regular"/>
                <w:sz w:val="20"/>
                <w:szCs w:val="20"/>
                <w:vertAlign w:val="subscript"/>
              </w:rPr>
              <w:t>2</w:t>
            </w:r>
            <w:r>
              <w:rPr>
                <w:rFonts w:hint="default" w:ascii="Arial Regular" w:hAnsi="Arial Regular" w:cs="Arial Regular"/>
                <w:sz w:val="20"/>
                <w:szCs w:val="20"/>
              </w:rPr>
              <w:t xml:space="preserve"> rocking (long-chain alkanes)</w:t>
            </w:r>
          </w:p>
        </w:tc>
      </w:tr>
      <w:tr w14:paraId="1C81C579">
        <w:trPr>
          <w:trHeight w:val="340" w:hRule="atLeast"/>
        </w:trPr>
        <w:tc>
          <w:tcPr>
            <w:tcW w:w="840" w:type="pct"/>
            <w:tcBorders>
              <w:top w:val="nil"/>
              <w:left w:val="nil"/>
              <w:bottom w:val="nil"/>
              <w:right w:val="nil"/>
            </w:tcBorders>
            <w:shd w:val="clear" w:color="auto" w:fill="FFFFFF"/>
            <w:vAlign w:val="center"/>
          </w:tcPr>
          <w:p w14:paraId="128FB8BA">
            <w:pPr>
              <w:pStyle w:val="42"/>
              <w:jc w:val="center"/>
              <w:rPr>
                <w:rFonts w:hint="default" w:ascii="Arial Regular" w:hAnsi="Arial Regular" w:cs="Arial Regular"/>
                <w:sz w:val="20"/>
                <w:szCs w:val="20"/>
              </w:rPr>
            </w:pPr>
            <w:r>
              <w:rPr>
                <w:rFonts w:hint="default" w:ascii="Arial Regular" w:hAnsi="Arial Regular" w:cs="Arial Regular"/>
                <w:sz w:val="20"/>
                <w:szCs w:val="20"/>
              </w:rPr>
              <w:t>680</w:t>
            </w:r>
          </w:p>
        </w:tc>
        <w:tc>
          <w:tcPr>
            <w:tcW w:w="1751" w:type="pct"/>
            <w:tcBorders>
              <w:top w:val="nil"/>
              <w:left w:val="nil"/>
              <w:bottom w:val="nil"/>
              <w:right w:val="nil"/>
            </w:tcBorders>
            <w:shd w:val="clear" w:color="auto" w:fill="FFFFFF"/>
            <w:vAlign w:val="center"/>
          </w:tcPr>
          <w:p w14:paraId="2A5F8773">
            <w:pPr>
              <w:pStyle w:val="42"/>
              <w:jc w:val="center"/>
              <w:rPr>
                <w:rFonts w:hint="default" w:ascii="Arial Regular" w:hAnsi="Arial Regular" w:cs="Arial Regular"/>
                <w:sz w:val="20"/>
                <w:szCs w:val="20"/>
              </w:rPr>
            </w:pPr>
            <w:r>
              <w:rPr>
                <w:rFonts w:hint="default" w:ascii="Arial Regular" w:hAnsi="Arial Regular" w:cs="Arial Regular"/>
                <w:sz w:val="20"/>
                <w:szCs w:val="20"/>
              </w:rPr>
              <w:t>Aromatic hydrocarbons (C–H)</w:t>
            </w:r>
          </w:p>
        </w:tc>
        <w:tc>
          <w:tcPr>
            <w:tcW w:w="2407" w:type="pct"/>
            <w:tcBorders>
              <w:top w:val="nil"/>
              <w:left w:val="nil"/>
              <w:bottom w:val="nil"/>
              <w:right w:val="nil"/>
            </w:tcBorders>
            <w:shd w:val="clear" w:color="auto" w:fill="FFFFFF"/>
            <w:vAlign w:val="center"/>
          </w:tcPr>
          <w:p w14:paraId="21605EF9">
            <w:pPr>
              <w:pStyle w:val="42"/>
              <w:jc w:val="center"/>
              <w:rPr>
                <w:rFonts w:hint="default" w:ascii="Arial Regular" w:hAnsi="Arial Regular" w:cs="Arial Regular"/>
                <w:sz w:val="20"/>
                <w:szCs w:val="20"/>
              </w:rPr>
            </w:pPr>
            <w:r>
              <w:rPr>
                <w:rFonts w:hint="default" w:ascii="Arial Regular" w:hAnsi="Arial Regular" w:cs="Arial Regular"/>
                <w:sz w:val="20"/>
                <w:szCs w:val="20"/>
              </w:rPr>
              <w:t>Aromatic C–H out-of-plane bending</w:t>
            </w:r>
          </w:p>
        </w:tc>
      </w:tr>
      <w:tr w14:paraId="67BB96F8">
        <w:trPr>
          <w:trHeight w:val="340" w:hRule="atLeast"/>
        </w:trPr>
        <w:tc>
          <w:tcPr>
            <w:tcW w:w="840" w:type="pct"/>
            <w:tcBorders>
              <w:top w:val="nil"/>
              <w:left w:val="nil"/>
              <w:bottom w:val="nil"/>
              <w:right w:val="nil"/>
            </w:tcBorders>
            <w:shd w:val="clear" w:color="auto" w:fill="FFFFFF"/>
            <w:vAlign w:val="center"/>
          </w:tcPr>
          <w:p w14:paraId="56D1924D">
            <w:pPr>
              <w:pStyle w:val="42"/>
              <w:jc w:val="center"/>
              <w:rPr>
                <w:rFonts w:hint="default" w:ascii="Arial Regular" w:hAnsi="Arial Regular" w:cs="Arial Regular"/>
                <w:sz w:val="20"/>
                <w:szCs w:val="20"/>
              </w:rPr>
            </w:pPr>
            <w:r>
              <w:rPr>
                <w:rFonts w:hint="default" w:ascii="Arial Regular" w:hAnsi="Arial Regular" w:cs="Arial Regular"/>
                <w:sz w:val="20"/>
                <w:szCs w:val="20"/>
              </w:rPr>
              <w:t>559</w:t>
            </w:r>
          </w:p>
        </w:tc>
        <w:tc>
          <w:tcPr>
            <w:tcW w:w="1751" w:type="pct"/>
            <w:vMerge w:val="restart"/>
            <w:tcBorders>
              <w:top w:val="nil"/>
              <w:left w:val="nil"/>
              <w:right w:val="nil"/>
            </w:tcBorders>
            <w:shd w:val="clear" w:color="auto" w:fill="FFFFFF"/>
            <w:vAlign w:val="center"/>
          </w:tcPr>
          <w:p w14:paraId="0DD2C6AE">
            <w:pPr>
              <w:pStyle w:val="42"/>
              <w:jc w:val="center"/>
              <w:rPr>
                <w:rFonts w:hint="default" w:ascii="Arial Regular" w:hAnsi="Arial Regular" w:cs="Arial Regular"/>
                <w:sz w:val="20"/>
                <w:szCs w:val="20"/>
              </w:rPr>
            </w:pPr>
            <w:r>
              <w:rPr>
                <w:rFonts w:hint="default" w:ascii="Arial Regular" w:hAnsi="Arial Regular" w:cs="Arial Regular"/>
                <w:sz w:val="20"/>
                <w:szCs w:val="20"/>
              </w:rPr>
              <w:t>Metal–oxygen bond (M–O)</w:t>
            </w:r>
          </w:p>
        </w:tc>
        <w:tc>
          <w:tcPr>
            <w:tcW w:w="2407" w:type="pct"/>
            <w:vMerge w:val="restart"/>
            <w:tcBorders>
              <w:top w:val="nil"/>
              <w:left w:val="nil"/>
              <w:right w:val="nil"/>
            </w:tcBorders>
            <w:shd w:val="clear" w:color="auto" w:fill="FFFFFF"/>
            <w:vAlign w:val="center"/>
          </w:tcPr>
          <w:p w14:paraId="124AF113">
            <w:pPr>
              <w:pStyle w:val="42"/>
              <w:jc w:val="center"/>
              <w:rPr>
                <w:rFonts w:hint="default" w:ascii="Arial Regular" w:hAnsi="Arial Regular" w:cs="Arial Regular"/>
                <w:sz w:val="20"/>
                <w:szCs w:val="20"/>
              </w:rPr>
            </w:pPr>
            <w:r>
              <w:rPr>
                <w:rFonts w:hint="default" w:ascii="Arial Regular" w:hAnsi="Arial Regular" w:cs="Arial Regular"/>
                <w:sz w:val="20"/>
                <w:szCs w:val="20"/>
              </w:rPr>
              <w:t>M–O stretching</w:t>
            </w:r>
          </w:p>
        </w:tc>
      </w:tr>
      <w:tr w14:paraId="0147E786">
        <w:trPr>
          <w:trHeight w:val="340" w:hRule="atLeast"/>
        </w:trPr>
        <w:tc>
          <w:tcPr>
            <w:tcW w:w="840" w:type="pct"/>
            <w:tcBorders>
              <w:top w:val="nil"/>
              <w:left w:val="nil"/>
              <w:bottom w:val="single" w:color="auto" w:sz="12" w:space="0"/>
              <w:right w:val="nil"/>
            </w:tcBorders>
            <w:shd w:val="clear" w:color="auto" w:fill="FFFFFF"/>
            <w:vAlign w:val="center"/>
          </w:tcPr>
          <w:p w14:paraId="6BF6EB5D">
            <w:pPr>
              <w:pStyle w:val="42"/>
              <w:jc w:val="center"/>
              <w:rPr>
                <w:rFonts w:hint="default" w:ascii="Arial Regular" w:hAnsi="Arial Regular" w:cs="Arial Regular"/>
                <w:sz w:val="20"/>
                <w:szCs w:val="20"/>
              </w:rPr>
            </w:pPr>
            <w:r>
              <w:rPr>
                <w:rFonts w:hint="default" w:ascii="Arial Regular" w:hAnsi="Arial Regular" w:cs="Arial Regular"/>
                <w:sz w:val="20"/>
                <w:szCs w:val="20"/>
              </w:rPr>
              <w:t>400</w:t>
            </w:r>
          </w:p>
        </w:tc>
        <w:tc>
          <w:tcPr>
            <w:tcW w:w="1751" w:type="pct"/>
            <w:vMerge w:val="continue"/>
            <w:tcBorders>
              <w:left w:val="nil"/>
              <w:bottom w:val="single" w:color="auto" w:sz="12" w:space="0"/>
              <w:right w:val="nil"/>
            </w:tcBorders>
            <w:shd w:val="clear" w:color="auto" w:fill="FFFFFF"/>
            <w:vAlign w:val="center"/>
          </w:tcPr>
          <w:p w14:paraId="7BE4B3ED">
            <w:pPr>
              <w:pStyle w:val="42"/>
              <w:jc w:val="center"/>
              <w:rPr>
                <w:rFonts w:hint="default" w:ascii="Arial Regular" w:hAnsi="Arial Regular" w:cs="Arial Regular"/>
                <w:b/>
                <w:sz w:val="20"/>
                <w:szCs w:val="20"/>
              </w:rPr>
            </w:pPr>
          </w:p>
        </w:tc>
        <w:tc>
          <w:tcPr>
            <w:tcW w:w="2407" w:type="pct"/>
            <w:vMerge w:val="continue"/>
            <w:tcBorders>
              <w:left w:val="nil"/>
              <w:bottom w:val="single" w:color="auto" w:sz="12" w:space="0"/>
              <w:right w:val="nil"/>
            </w:tcBorders>
            <w:shd w:val="clear" w:color="auto" w:fill="FFFFFF"/>
            <w:vAlign w:val="center"/>
          </w:tcPr>
          <w:p w14:paraId="1DFDE4CB">
            <w:pPr>
              <w:pStyle w:val="42"/>
              <w:jc w:val="center"/>
              <w:rPr>
                <w:rFonts w:hint="default" w:ascii="Arial Regular" w:hAnsi="Arial Regular" w:cs="Arial Regular"/>
                <w:b/>
                <w:sz w:val="20"/>
                <w:szCs w:val="20"/>
              </w:rPr>
            </w:pPr>
          </w:p>
        </w:tc>
      </w:tr>
    </w:tbl>
    <w:p w14:paraId="515E4141">
      <w:pPr>
        <w:rPr>
          <w:rFonts w:hint="default" w:ascii="Arial Regular" w:hAnsi="Arial Regular" w:cs="Arial Regular"/>
          <w:b/>
          <w:sz w:val="20"/>
          <w:szCs w:val="20"/>
        </w:rPr>
      </w:pPr>
      <w:r>
        <w:rPr>
          <w:rFonts w:hint="default" w:ascii="Arial Regular" w:hAnsi="Arial Regular" w:cs="Arial Regular"/>
          <w:b/>
          <w:sz w:val="20"/>
          <w:szCs w:val="20"/>
        </w:rPr>
        <w:br w:type="page"/>
      </w:r>
    </w:p>
    <w:p w14:paraId="52740D11">
      <w:pPr>
        <w:pStyle w:val="3"/>
        <w:keepNext/>
        <w:keepLines/>
        <w:pageBreakBefore w:val="0"/>
        <w:widowControl w:val="0"/>
        <w:kinsoku/>
        <w:wordWrap/>
        <w:overflowPunct/>
        <w:topLinePunct w:val="0"/>
        <w:autoSpaceDE/>
        <w:autoSpaceDN/>
        <w:bidi w:val="0"/>
        <w:adjustRightInd/>
        <w:snapToGrid/>
        <w:spacing w:before="0" w:beforeLines="0" w:after="157" w:afterLines="50" w:line="240" w:lineRule="auto"/>
        <w:textAlignment w:val="auto"/>
        <w:rPr>
          <w:rFonts w:hint="default" w:ascii="Arial Regular" w:hAnsi="Arial Regular" w:cs="Arial Regular"/>
          <w:b/>
          <w:sz w:val="20"/>
          <w:szCs w:val="20"/>
        </w:rPr>
      </w:pPr>
      <w:r>
        <w:rPr>
          <w:rFonts w:hint="default" w:ascii="Arial Regular" w:hAnsi="Arial Regular" w:cs="Arial Regular"/>
          <w:b/>
          <w:bCs w:val="0"/>
          <w:sz w:val="20"/>
          <w:szCs w:val="20"/>
        </w:rPr>
        <w:t xml:space="preserve">Supplementary </w:t>
      </w:r>
      <w:r>
        <w:rPr>
          <w:rFonts w:hint="default" w:ascii="Arial Regular" w:hAnsi="Arial Regular" w:cs="Arial Regular"/>
          <w:b/>
          <w:sz w:val="20"/>
          <w:szCs w:val="20"/>
        </w:rPr>
        <w:t xml:space="preserve">Table </w:t>
      </w:r>
      <w:r>
        <w:rPr>
          <w:rFonts w:hint="default" w:ascii="Arial Regular" w:hAnsi="Arial Regular" w:cs="Arial Regular"/>
          <w:b/>
          <w:sz w:val="20"/>
          <w:szCs w:val="20"/>
          <w:lang w:val="en-US" w:eastAsia="zh-CN"/>
        </w:rPr>
        <w:t>7</w:t>
      </w:r>
      <w:r>
        <w:rPr>
          <w:rFonts w:hint="default" w:ascii="Arial Regular" w:hAnsi="Arial Regular" w:cs="Arial Regular"/>
          <w:b/>
          <w:sz w:val="20"/>
          <w:szCs w:val="20"/>
        </w:rPr>
        <w:t xml:space="preserve">. Calculated synchronous and asynchronous 2D correlation spectra of </w:t>
      </w:r>
      <w:r>
        <w:rPr>
          <w:rFonts w:hint="default" w:ascii="Arial Regular" w:hAnsi="Arial Regular" w:cs="Arial Regular"/>
          <w:b/>
          <w:i/>
          <w:iCs/>
          <w:sz w:val="20"/>
          <w:szCs w:val="20"/>
        </w:rPr>
        <w:t>A.niger</w:t>
      </w:r>
      <w:r>
        <w:rPr>
          <w:rFonts w:hint="default" w:ascii="Arial Regular" w:hAnsi="Arial Regular" w:cs="Arial Regular"/>
          <w:b/>
          <w:sz w:val="20"/>
          <w:szCs w:val="20"/>
        </w:rPr>
        <w:t xml:space="preserve"> spores after Co(II) complexation.</w:t>
      </w:r>
    </w:p>
    <w:tbl>
      <w:tblPr>
        <w:tblStyle w:val="10"/>
        <w:tblW w:w="0" w:type="auto"/>
        <w:tblInd w:w="0" w:type="dxa"/>
        <w:tblLayout w:type="autofit"/>
        <w:tblCellMar>
          <w:top w:w="0" w:type="dxa"/>
          <w:left w:w="0" w:type="dxa"/>
          <w:bottom w:w="0" w:type="dxa"/>
          <w:right w:w="0" w:type="dxa"/>
        </w:tblCellMar>
      </w:tblPr>
      <w:tblGrid>
        <w:gridCol w:w="516"/>
        <w:gridCol w:w="703"/>
        <w:gridCol w:w="3508"/>
        <w:gridCol w:w="454"/>
        <w:gridCol w:w="454"/>
        <w:gridCol w:w="454"/>
        <w:gridCol w:w="454"/>
        <w:gridCol w:w="454"/>
        <w:gridCol w:w="454"/>
        <w:gridCol w:w="454"/>
        <w:gridCol w:w="461"/>
        <w:gridCol w:w="461"/>
        <w:gridCol w:w="461"/>
        <w:gridCol w:w="461"/>
        <w:gridCol w:w="461"/>
        <w:gridCol w:w="461"/>
        <w:gridCol w:w="461"/>
        <w:gridCol w:w="461"/>
        <w:gridCol w:w="461"/>
        <w:gridCol w:w="461"/>
        <w:gridCol w:w="461"/>
      </w:tblGrid>
      <w:tr w14:paraId="581E78EB">
        <w:trPr>
          <w:trHeight w:val="23" w:hRule="atLeast"/>
        </w:trPr>
        <w:tc>
          <w:tcPr>
            <w:tcW w:w="0" w:type="auto"/>
            <w:tcBorders>
              <w:top w:val="single" w:color="000000" w:sz="12" w:space="0"/>
              <w:left w:val="nil"/>
              <w:bottom w:val="nil"/>
              <w:right w:val="nil"/>
            </w:tcBorders>
            <w:shd w:val="clear" w:color="auto" w:fill="E7E6E6" w:themeFill="background2"/>
            <w:tcMar>
              <w:top w:w="8" w:type="dxa"/>
              <w:left w:w="8" w:type="dxa"/>
              <w:bottom w:w="0" w:type="dxa"/>
              <w:right w:w="8" w:type="dxa"/>
            </w:tcMar>
            <w:vAlign w:val="center"/>
          </w:tcPr>
          <w:p w14:paraId="08381FF1">
            <w:pPr>
              <w:pStyle w:val="42"/>
              <w:jc w:val="center"/>
              <w:rPr>
                <w:rFonts w:hint="default" w:ascii="Arial Regular" w:hAnsi="Arial Regular" w:cs="Arial Regular"/>
                <w:sz w:val="20"/>
                <w:szCs w:val="20"/>
              </w:rPr>
            </w:pPr>
          </w:p>
        </w:tc>
        <w:tc>
          <w:tcPr>
            <w:tcW w:w="0" w:type="auto"/>
            <w:vMerge w:val="restart"/>
            <w:tcBorders>
              <w:top w:val="single" w:color="000000" w:sz="12" w:space="0"/>
              <w:left w:val="nil"/>
              <w:right w:val="nil"/>
            </w:tcBorders>
            <w:shd w:val="clear" w:color="auto" w:fill="E7E6E6" w:themeFill="background2"/>
            <w:tcMar>
              <w:top w:w="8" w:type="dxa"/>
              <w:left w:w="8" w:type="dxa"/>
              <w:bottom w:w="0" w:type="dxa"/>
              <w:right w:w="8" w:type="dxa"/>
            </w:tcMar>
            <w:vAlign w:val="center"/>
          </w:tcPr>
          <w:p w14:paraId="5D343CB1">
            <w:pPr>
              <w:pStyle w:val="42"/>
              <w:jc w:val="center"/>
              <w:rPr>
                <w:rFonts w:hint="default" w:ascii="Arial Regular" w:hAnsi="Arial Regular" w:cs="Arial Regular"/>
                <w:sz w:val="20"/>
                <w:szCs w:val="20"/>
              </w:rPr>
            </w:pPr>
            <w:r>
              <w:rPr>
                <w:rFonts w:hint="default" w:ascii="Arial Regular" w:hAnsi="Arial Regular" w:cs="Arial Regular"/>
                <w:i/>
                <w:iCs/>
                <w:sz w:val="20"/>
                <w:szCs w:val="20"/>
                <w:vertAlign w:val="baseline"/>
              </w:rPr>
              <w:t>ν</w:t>
            </w:r>
            <w:r>
              <w:rPr>
                <w:rFonts w:hint="default" w:ascii="Arial Regular" w:hAnsi="Arial Regular" w:cs="Arial Regular"/>
                <w:sz w:val="20"/>
                <w:szCs w:val="20"/>
                <w:vertAlign w:val="subscript"/>
              </w:rPr>
              <w:t>1</w:t>
            </w:r>
            <w:r>
              <w:rPr>
                <w:rFonts w:hint="default" w:ascii="Arial Regular" w:hAnsi="Arial Regular" w:cs="Arial Regular"/>
                <w:sz w:val="20"/>
                <w:szCs w:val="20"/>
              </w:rPr>
              <w:t>(cm</w:t>
            </w:r>
            <w:r>
              <w:rPr>
                <w:rFonts w:hint="default" w:ascii="Arial Regular" w:hAnsi="Arial Regular" w:cs="Arial Regular"/>
                <w:sz w:val="20"/>
                <w:szCs w:val="20"/>
                <w:vertAlign w:val="superscript"/>
              </w:rPr>
              <w:t>-1</w:t>
            </w:r>
            <w:r>
              <w:rPr>
                <w:rFonts w:hint="default" w:ascii="Arial Regular" w:hAnsi="Arial Regular" w:cs="Arial Regular"/>
                <w:sz w:val="20"/>
                <w:szCs w:val="20"/>
              </w:rPr>
              <w:t>)</w:t>
            </w:r>
          </w:p>
        </w:tc>
        <w:tc>
          <w:tcPr>
            <w:tcW w:w="0" w:type="auto"/>
            <w:vMerge w:val="restart"/>
            <w:tcBorders>
              <w:top w:val="single" w:color="000000" w:sz="12" w:space="0"/>
              <w:left w:val="nil"/>
              <w:bottom w:val="single" w:color="000000" w:sz="4" w:space="0"/>
              <w:right w:val="nil"/>
            </w:tcBorders>
            <w:shd w:val="clear" w:color="auto" w:fill="E7E6E6" w:themeFill="background2"/>
            <w:tcMar>
              <w:top w:w="8" w:type="dxa"/>
              <w:left w:w="8" w:type="dxa"/>
              <w:bottom w:w="0" w:type="dxa"/>
              <w:right w:w="8" w:type="dxa"/>
            </w:tcMar>
            <w:vAlign w:val="center"/>
          </w:tcPr>
          <w:p w14:paraId="5558631E">
            <w:pPr>
              <w:pStyle w:val="42"/>
              <w:jc w:val="center"/>
              <w:rPr>
                <w:rFonts w:hint="default" w:ascii="Arial Regular" w:hAnsi="Arial Regular" w:cs="Arial Regular"/>
                <w:sz w:val="20"/>
                <w:szCs w:val="20"/>
              </w:rPr>
            </w:pPr>
            <w:r>
              <w:rPr>
                <w:rFonts w:hint="default" w:ascii="Arial Regular" w:hAnsi="Arial Regular" w:cs="Arial Regular"/>
                <w:sz w:val="20"/>
                <w:szCs w:val="20"/>
              </w:rPr>
              <w:t>Functional Group</w:t>
            </w:r>
          </w:p>
        </w:tc>
        <w:tc>
          <w:tcPr>
            <w:tcW w:w="0" w:type="auto"/>
            <w:gridSpan w:val="18"/>
            <w:tcBorders>
              <w:top w:val="single" w:color="000000" w:sz="12" w:space="0"/>
              <w:left w:val="nil"/>
              <w:bottom w:val="single" w:color="000000" w:sz="4" w:space="0"/>
              <w:right w:val="nil"/>
            </w:tcBorders>
            <w:shd w:val="clear" w:color="auto" w:fill="E7E6E6" w:themeFill="background2"/>
            <w:tcMar>
              <w:top w:w="8" w:type="dxa"/>
              <w:left w:w="8" w:type="dxa"/>
              <w:bottom w:w="0" w:type="dxa"/>
              <w:right w:w="8" w:type="dxa"/>
            </w:tcMar>
            <w:vAlign w:val="center"/>
          </w:tcPr>
          <w:p w14:paraId="7AED9083">
            <w:pPr>
              <w:pStyle w:val="42"/>
              <w:jc w:val="center"/>
              <w:rPr>
                <w:rFonts w:hint="default" w:ascii="Arial Regular" w:hAnsi="Arial Regular" w:cs="Arial Regular"/>
                <w:sz w:val="20"/>
                <w:szCs w:val="20"/>
              </w:rPr>
            </w:pPr>
            <w:r>
              <w:rPr>
                <w:rFonts w:hint="default" w:ascii="Arial Regular" w:hAnsi="Arial Regular" w:cs="Arial Regular"/>
                <w:i/>
                <w:iCs/>
                <w:sz w:val="20"/>
                <w:szCs w:val="20"/>
                <w:vertAlign w:val="baseline"/>
              </w:rPr>
              <w:t>ν</w:t>
            </w:r>
            <w:r>
              <w:rPr>
                <w:rFonts w:hint="default" w:ascii="Arial Regular" w:hAnsi="Arial Regular" w:cs="Arial Regular"/>
                <w:sz w:val="20"/>
                <w:szCs w:val="20"/>
                <w:vertAlign w:val="subscript"/>
              </w:rPr>
              <w:t>2</w:t>
            </w:r>
            <w:r>
              <w:rPr>
                <w:rFonts w:hint="default" w:ascii="Arial Regular" w:hAnsi="Arial Regular" w:cs="Arial Regular"/>
                <w:sz w:val="20"/>
                <w:szCs w:val="20"/>
              </w:rPr>
              <w:t>(cm</w:t>
            </w:r>
            <w:r>
              <w:rPr>
                <w:rFonts w:hint="default" w:ascii="Arial Regular" w:hAnsi="Arial Regular" w:cs="Arial Regular"/>
                <w:sz w:val="20"/>
                <w:szCs w:val="20"/>
                <w:vertAlign w:val="superscript"/>
              </w:rPr>
              <w:t>-1</w:t>
            </w:r>
            <w:r>
              <w:rPr>
                <w:rFonts w:hint="default" w:ascii="Arial Regular" w:hAnsi="Arial Regular" w:cs="Arial Regular"/>
                <w:sz w:val="20"/>
                <w:szCs w:val="20"/>
              </w:rPr>
              <w:t>)</w:t>
            </w:r>
          </w:p>
        </w:tc>
      </w:tr>
      <w:tr w14:paraId="3A1AA342">
        <w:trPr>
          <w:trHeight w:val="23" w:hRule="atLeast"/>
        </w:trPr>
        <w:tc>
          <w:tcPr>
            <w:tcW w:w="0" w:type="auto"/>
            <w:tcBorders>
              <w:top w:val="nil"/>
              <w:left w:val="nil"/>
              <w:bottom w:val="single" w:color="auto" w:sz="8" w:space="0"/>
              <w:right w:val="nil"/>
            </w:tcBorders>
            <w:shd w:val="clear" w:color="auto" w:fill="E7E6E6" w:themeFill="background2"/>
            <w:tcMar>
              <w:top w:w="8" w:type="dxa"/>
              <w:left w:w="8" w:type="dxa"/>
              <w:bottom w:w="0" w:type="dxa"/>
              <w:right w:w="8" w:type="dxa"/>
            </w:tcMar>
            <w:vAlign w:val="center"/>
          </w:tcPr>
          <w:p w14:paraId="5B171C48">
            <w:pPr>
              <w:pStyle w:val="42"/>
              <w:jc w:val="center"/>
              <w:rPr>
                <w:rFonts w:hint="default" w:ascii="Arial Regular" w:hAnsi="Arial Regular" w:cs="Arial Regular"/>
                <w:sz w:val="20"/>
                <w:szCs w:val="20"/>
              </w:rPr>
            </w:pPr>
          </w:p>
        </w:tc>
        <w:tc>
          <w:tcPr>
            <w:tcW w:w="0" w:type="auto"/>
            <w:vMerge w:val="continue"/>
            <w:tcBorders>
              <w:left w:val="nil"/>
              <w:bottom w:val="single" w:color="auto" w:sz="8" w:space="0"/>
              <w:right w:val="nil"/>
            </w:tcBorders>
            <w:shd w:val="clear" w:color="auto" w:fill="E7E6E6" w:themeFill="background2"/>
            <w:tcMar>
              <w:top w:w="8" w:type="dxa"/>
              <w:left w:w="8" w:type="dxa"/>
              <w:bottom w:w="0" w:type="dxa"/>
              <w:right w:w="8" w:type="dxa"/>
            </w:tcMar>
            <w:vAlign w:val="center"/>
          </w:tcPr>
          <w:p w14:paraId="741F02BB">
            <w:pPr>
              <w:pStyle w:val="42"/>
              <w:jc w:val="center"/>
              <w:rPr>
                <w:rFonts w:hint="default" w:ascii="Arial Regular" w:hAnsi="Arial Regular" w:cs="Arial Regular"/>
                <w:sz w:val="20"/>
                <w:szCs w:val="20"/>
              </w:rPr>
            </w:pPr>
          </w:p>
        </w:tc>
        <w:tc>
          <w:tcPr>
            <w:tcW w:w="0" w:type="auto"/>
            <w:vMerge w:val="continue"/>
            <w:tcBorders>
              <w:top w:val="single" w:color="000000" w:sz="12" w:space="0"/>
              <w:left w:val="nil"/>
              <w:bottom w:val="single" w:color="auto" w:sz="8" w:space="0"/>
              <w:right w:val="nil"/>
            </w:tcBorders>
            <w:shd w:val="clear" w:color="auto" w:fill="E7E6E6" w:themeFill="background2"/>
            <w:vAlign w:val="center"/>
          </w:tcPr>
          <w:p w14:paraId="053E4372">
            <w:pPr>
              <w:pStyle w:val="42"/>
              <w:jc w:val="center"/>
              <w:rPr>
                <w:rFonts w:hint="default" w:ascii="Arial Regular" w:hAnsi="Arial Regular" w:cs="Arial Regular"/>
                <w:sz w:val="20"/>
                <w:szCs w:val="20"/>
              </w:rPr>
            </w:pPr>
          </w:p>
        </w:tc>
        <w:tc>
          <w:tcPr>
            <w:tcW w:w="0" w:type="auto"/>
            <w:tcBorders>
              <w:top w:val="single" w:color="auto" w:sz="8"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0E36883C">
            <w:pPr>
              <w:pStyle w:val="42"/>
              <w:jc w:val="center"/>
              <w:rPr>
                <w:rFonts w:hint="default" w:ascii="Arial Regular" w:hAnsi="Arial Regular" w:cs="Arial Regular"/>
                <w:sz w:val="20"/>
                <w:szCs w:val="20"/>
              </w:rPr>
            </w:pPr>
            <w:r>
              <w:rPr>
                <w:rFonts w:hint="default" w:ascii="Arial Regular" w:hAnsi="Arial Regular" w:cs="Arial Regular"/>
                <w:sz w:val="20"/>
                <w:szCs w:val="20"/>
              </w:rPr>
              <w:t>400</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74A4E391">
            <w:pPr>
              <w:pStyle w:val="42"/>
              <w:jc w:val="center"/>
              <w:rPr>
                <w:rFonts w:hint="default" w:ascii="Arial Regular" w:hAnsi="Arial Regular" w:cs="Arial Regular"/>
                <w:sz w:val="20"/>
                <w:szCs w:val="20"/>
              </w:rPr>
            </w:pPr>
            <w:r>
              <w:rPr>
                <w:rFonts w:hint="default" w:ascii="Arial Regular" w:hAnsi="Arial Regular" w:cs="Arial Regular"/>
                <w:sz w:val="20"/>
                <w:szCs w:val="20"/>
              </w:rPr>
              <w:t>559</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18C9DB3B">
            <w:pPr>
              <w:pStyle w:val="42"/>
              <w:jc w:val="center"/>
              <w:rPr>
                <w:rFonts w:hint="default" w:ascii="Arial Regular" w:hAnsi="Arial Regular" w:cs="Arial Regular"/>
                <w:sz w:val="20"/>
                <w:szCs w:val="20"/>
              </w:rPr>
            </w:pPr>
            <w:r>
              <w:rPr>
                <w:rFonts w:hint="default" w:ascii="Arial Regular" w:hAnsi="Arial Regular" w:cs="Arial Regular"/>
                <w:sz w:val="20"/>
                <w:szCs w:val="20"/>
              </w:rPr>
              <w:t>680</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05898CFF">
            <w:pPr>
              <w:pStyle w:val="42"/>
              <w:jc w:val="center"/>
              <w:rPr>
                <w:rFonts w:hint="default" w:ascii="Arial Regular" w:hAnsi="Arial Regular" w:cs="Arial Regular"/>
                <w:sz w:val="20"/>
                <w:szCs w:val="20"/>
              </w:rPr>
            </w:pPr>
            <w:r>
              <w:rPr>
                <w:rFonts w:hint="default" w:ascii="Arial Regular" w:hAnsi="Arial Regular" w:cs="Arial Regular"/>
                <w:sz w:val="20"/>
                <w:szCs w:val="20"/>
              </w:rPr>
              <w:t>720</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7F5F38D8">
            <w:pPr>
              <w:pStyle w:val="42"/>
              <w:jc w:val="center"/>
              <w:rPr>
                <w:rFonts w:hint="default" w:ascii="Arial Regular" w:hAnsi="Arial Regular" w:cs="Arial Regular"/>
                <w:sz w:val="20"/>
                <w:szCs w:val="20"/>
              </w:rPr>
            </w:pPr>
            <w:r>
              <w:rPr>
                <w:rFonts w:hint="default" w:ascii="Arial Regular" w:hAnsi="Arial Regular" w:cs="Arial Regular"/>
                <w:sz w:val="20"/>
                <w:szCs w:val="20"/>
              </w:rPr>
              <w:t>800</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4A411F7D">
            <w:pPr>
              <w:pStyle w:val="42"/>
              <w:jc w:val="center"/>
              <w:rPr>
                <w:rFonts w:hint="default" w:ascii="Arial Regular" w:hAnsi="Arial Regular" w:cs="Arial Regular"/>
                <w:sz w:val="20"/>
                <w:szCs w:val="20"/>
              </w:rPr>
            </w:pPr>
            <w:r>
              <w:rPr>
                <w:rFonts w:hint="default" w:ascii="Arial Regular" w:hAnsi="Arial Regular" w:cs="Arial Regular"/>
                <w:sz w:val="20"/>
                <w:szCs w:val="20"/>
              </w:rPr>
              <w:t>878</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5B2225CA">
            <w:pPr>
              <w:pStyle w:val="42"/>
              <w:jc w:val="center"/>
              <w:rPr>
                <w:rFonts w:hint="default" w:ascii="Arial Regular" w:hAnsi="Arial Regular" w:cs="Arial Regular"/>
                <w:sz w:val="20"/>
                <w:szCs w:val="20"/>
              </w:rPr>
            </w:pPr>
            <w:r>
              <w:rPr>
                <w:rFonts w:hint="default" w:ascii="Arial Regular" w:hAnsi="Arial Regular" w:cs="Arial Regular"/>
                <w:sz w:val="20"/>
                <w:szCs w:val="20"/>
              </w:rPr>
              <w:t>947</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66A9D81B">
            <w:pPr>
              <w:pStyle w:val="42"/>
              <w:jc w:val="center"/>
              <w:rPr>
                <w:rFonts w:hint="default" w:ascii="Arial Regular" w:hAnsi="Arial Regular" w:cs="Arial Regular"/>
                <w:sz w:val="20"/>
                <w:szCs w:val="20"/>
              </w:rPr>
            </w:pPr>
            <w:r>
              <w:rPr>
                <w:rFonts w:hint="default" w:ascii="Arial Regular" w:hAnsi="Arial Regular" w:cs="Arial Regular"/>
                <w:sz w:val="20"/>
                <w:szCs w:val="20"/>
              </w:rPr>
              <w:t>1063</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5FB699B3">
            <w:pPr>
              <w:pStyle w:val="42"/>
              <w:jc w:val="center"/>
              <w:rPr>
                <w:rFonts w:hint="default" w:ascii="Arial Regular" w:hAnsi="Arial Regular" w:cs="Arial Regular"/>
                <w:sz w:val="20"/>
                <w:szCs w:val="20"/>
              </w:rPr>
            </w:pPr>
            <w:r>
              <w:rPr>
                <w:rFonts w:hint="default" w:ascii="Arial Regular" w:hAnsi="Arial Regular" w:cs="Arial Regular"/>
                <w:sz w:val="20"/>
                <w:szCs w:val="20"/>
              </w:rPr>
              <w:t>1260</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7615BE30">
            <w:pPr>
              <w:pStyle w:val="42"/>
              <w:jc w:val="center"/>
              <w:rPr>
                <w:rFonts w:hint="default" w:ascii="Arial Regular" w:hAnsi="Arial Regular" w:cs="Arial Regular"/>
                <w:sz w:val="20"/>
                <w:szCs w:val="20"/>
              </w:rPr>
            </w:pPr>
            <w:r>
              <w:rPr>
                <w:rFonts w:hint="default" w:ascii="Arial Regular" w:hAnsi="Arial Regular" w:cs="Arial Regular"/>
                <w:sz w:val="20"/>
                <w:szCs w:val="20"/>
              </w:rPr>
              <w:t>1395</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2411D428">
            <w:pPr>
              <w:pStyle w:val="42"/>
              <w:jc w:val="center"/>
              <w:rPr>
                <w:rFonts w:hint="default" w:ascii="Arial Regular" w:hAnsi="Arial Regular" w:cs="Arial Regular"/>
                <w:sz w:val="20"/>
                <w:szCs w:val="20"/>
              </w:rPr>
            </w:pPr>
            <w:r>
              <w:rPr>
                <w:rFonts w:hint="default" w:ascii="Arial Regular" w:hAnsi="Arial Regular" w:cs="Arial Regular"/>
                <w:sz w:val="20"/>
                <w:szCs w:val="20"/>
              </w:rPr>
              <w:t>1502</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2DAF49CB">
            <w:pPr>
              <w:pStyle w:val="42"/>
              <w:jc w:val="center"/>
              <w:rPr>
                <w:rFonts w:hint="default" w:ascii="Arial Regular" w:hAnsi="Arial Regular" w:cs="Arial Regular"/>
                <w:sz w:val="20"/>
                <w:szCs w:val="20"/>
              </w:rPr>
            </w:pPr>
            <w:r>
              <w:rPr>
                <w:rFonts w:hint="default" w:ascii="Arial Regular" w:hAnsi="Arial Regular" w:cs="Arial Regular"/>
                <w:sz w:val="20"/>
                <w:szCs w:val="20"/>
              </w:rPr>
              <w:t>1628</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5CFCDA80">
            <w:pPr>
              <w:pStyle w:val="42"/>
              <w:jc w:val="center"/>
              <w:rPr>
                <w:rFonts w:hint="default" w:ascii="Arial Regular" w:hAnsi="Arial Regular" w:cs="Arial Regular"/>
                <w:sz w:val="20"/>
                <w:szCs w:val="20"/>
              </w:rPr>
            </w:pPr>
            <w:r>
              <w:rPr>
                <w:rFonts w:hint="default" w:ascii="Arial Regular" w:hAnsi="Arial Regular" w:cs="Arial Regular"/>
                <w:sz w:val="20"/>
                <w:szCs w:val="20"/>
              </w:rPr>
              <w:t>1803</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38ACED68">
            <w:pPr>
              <w:pStyle w:val="42"/>
              <w:jc w:val="center"/>
              <w:rPr>
                <w:rFonts w:hint="default" w:ascii="Arial Regular" w:hAnsi="Arial Regular" w:cs="Arial Regular"/>
                <w:sz w:val="20"/>
                <w:szCs w:val="20"/>
              </w:rPr>
            </w:pPr>
            <w:r>
              <w:rPr>
                <w:rFonts w:hint="default" w:ascii="Arial Regular" w:hAnsi="Arial Regular" w:cs="Arial Regular"/>
                <w:sz w:val="20"/>
                <w:szCs w:val="20"/>
              </w:rPr>
              <w:t>2009</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31FEB60B">
            <w:pPr>
              <w:pStyle w:val="42"/>
              <w:jc w:val="center"/>
              <w:rPr>
                <w:rFonts w:hint="default" w:ascii="Arial Regular" w:hAnsi="Arial Regular" w:cs="Arial Regular"/>
                <w:sz w:val="20"/>
                <w:szCs w:val="20"/>
              </w:rPr>
            </w:pPr>
            <w:r>
              <w:rPr>
                <w:rFonts w:hint="default" w:ascii="Arial Regular" w:hAnsi="Arial Regular" w:cs="Arial Regular"/>
                <w:sz w:val="20"/>
                <w:szCs w:val="20"/>
              </w:rPr>
              <w:t>2018</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4D3B3C91">
            <w:pPr>
              <w:pStyle w:val="42"/>
              <w:jc w:val="center"/>
              <w:rPr>
                <w:rFonts w:hint="default" w:ascii="Arial Regular" w:hAnsi="Arial Regular" w:cs="Arial Regular"/>
                <w:sz w:val="20"/>
                <w:szCs w:val="20"/>
              </w:rPr>
            </w:pPr>
            <w:r>
              <w:rPr>
                <w:rFonts w:hint="default" w:ascii="Arial Regular" w:hAnsi="Arial Regular" w:cs="Arial Regular"/>
                <w:sz w:val="20"/>
                <w:szCs w:val="20"/>
              </w:rPr>
              <w:t>2927</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0F64DBAD">
            <w:pPr>
              <w:pStyle w:val="42"/>
              <w:jc w:val="center"/>
              <w:rPr>
                <w:rFonts w:hint="default" w:ascii="Arial Regular" w:hAnsi="Arial Regular" w:cs="Arial Regular"/>
                <w:sz w:val="20"/>
                <w:szCs w:val="20"/>
              </w:rPr>
            </w:pPr>
            <w:r>
              <w:rPr>
                <w:rFonts w:hint="default" w:ascii="Arial Regular" w:hAnsi="Arial Regular" w:cs="Arial Regular"/>
                <w:sz w:val="20"/>
                <w:szCs w:val="20"/>
              </w:rPr>
              <w:t>3035</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54624BC5">
            <w:pPr>
              <w:pStyle w:val="42"/>
              <w:jc w:val="center"/>
              <w:rPr>
                <w:rFonts w:hint="default" w:ascii="Arial Regular" w:hAnsi="Arial Regular" w:cs="Arial Regular"/>
                <w:sz w:val="20"/>
                <w:szCs w:val="20"/>
              </w:rPr>
            </w:pPr>
            <w:r>
              <w:rPr>
                <w:rFonts w:hint="default" w:ascii="Arial Regular" w:hAnsi="Arial Regular" w:cs="Arial Regular"/>
                <w:sz w:val="20"/>
                <w:szCs w:val="20"/>
              </w:rPr>
              <w:t>3420</w:t>
            </w:r>
          </w:p>
        </w:tc>
      </w:tr>
      <w:tr w14:paraId="1F8075F2">
        <w:trPr>
          <w:trHeight w:val="23" w:hRule="atLeast"/>
        </w:trPr>
        <w:tc>
          <w:tcPr>
            <w:tcW w:w="0" w:type="auto"/>
            <w:vMerge w:val="restart"/>
            <w:tcBorders>
              <w:top w:val="single" w:color="auto" w:sz="8" w:space="0"/>
              <w:left w:val="nil"/>
              <w:bottom w:val="single" w:color="000000" w:sz="12" w:space="0"/>
              <w:right w:val="nil"/>
            </w:tcBorders>
            <w:shd w:val="clear" w:color="auto" w:fill="auto"/>
            <w:tcMar>
              <w:top w:w="8" w:type="dxa"/>
              <w:left w:w="8" w:type="dxa"/>
              <w:bottom w:w="0" w:type="dxa"/>
              <w:right w:w="8" w:type="dxa"/>
            </w:tcMar>
            <w:vAlign w:val="center"/>
          </w:tcPr>
          <w:p w14:paraId="08E91746">
            <w:pPr>
              <w:pStyle w:val="42"/>
              <w:jc w:val="center"/>
              <w:rPr>
                <w:rFonts w:hint="default" w:ascii="Arial Regular" w:hAnsi="Arial Regular" w:cs="Arial Regular"/>
                <w:sz w:val="20"/>
                <w:szCs w:val="20"/>
              </w:rPr>
            </w:pPr>
            <w:r>
              <w:rPr>
                <w:rFonts w:hint="default" w:ascii="Arial Regular" w:hAnsi="Arial Regular" w:cs="Arial Regular"/>
                <w:sz w:val="20"/>
                <w:szCs w:val="20"/>
              </w:rPr>
              <w:t>Co(II)</w:t>
            </w:r>
          </w:p>
        </w:tc>
        <w:tc>
          <w:tcPr>
            <w:tcW w:w="0" w:type="auto"/>
            <w:tcBorders>
              <w:top w:val="single" w:color="auto" w:sz="8" w:space="0"/>
              <w:left w:val="nil"/>
              <w:bottom w:val="nil"/>
              <w:right w:val="nil"/>
            </w:tcBorders>
            <w:shd w:val="clear" w:color="auto" w:fill="auto"/>
            <w:tcMar>
              <w:top w:w="8" w:type="dxa"/>
              <w:left w:w="8" w:type="dxa"/>
              <w:bottom w:w="0" w:type="dxa"/>
              <w:right w:w="8" w:type="dxa"/>
            </w:tcMar>
            <w:vAlign w:val="center"/>
          </w:tcPr>
          <w:p w14:paraId="0EB5E91D">
            <w:pPr>
              <w:pStyle w:val="42"/>
              <w:jc w:val="center"/>
              <w:rPr>
                <w:rFonts w:hint="default" w:ascii="Arial Regular" w:hAnsi="Arial Regular" w:cs="Arial Regular"/>
                <w:sz w:val="20"/>
                <w:szCs w:val="20"/>
              </w:rPr>
            </w:pPr>
            <w:r>
              <w:rPr>
                <w:rFonts w:hint="default" w:ascii="Arial Regular" w:hAnsi="Arial Regular" w:cs="Arial Regular"/>
                <w:sz w:val="20"/>
                <w:szCs w:val="20"/>
              </w:rPr>
              <w:t>400</w:t>
            </w:r>
          </w:p>
        </w:tc>
        <w:tc>
          <w:tcPr>
            <w:tcW w:w="0" w:type="auto"/>
            <w:vMerge w:val="restart"/>
            <w:tcBorders>
              <w:top w:val="single" w:color="auto" w:sz="8" w:space="0"/>
              <w:left w:val="nil"/>
              <w:right w:val="nil"/>
            </w:tcBorders>
            <w:shd w:val="clear" w:color="auto" w:fill="auto"/>
            <w:tcMar>
              <w:top w:w="8" w:type="dxa"/>
              <w:left w:w="8" w:type="dxa"/>
              <w:bottom w:w="0" w:type="dxa"/>
              <w:right w:w="8" w:type="dxa"/>
            </w:tcMar>
            <w:vAlign w:val="center"/>
          </w:tcPr>
          <w:p w14:paraId="78954E1E">
            <w:pPr>
              <w:pStyle w:val="42"/>
              <w:jc w:val="center"/>
              <w:rPr>
                <w:rFonts w:hint="default" w:ascii="Arial Regular" w:hAnsi="Arial Regular" w:cs="Arial Regular"/>
                <w:sz w:val="20"/>
                <w:szCs w:val="20"/>
              </w:rPr>
            </w:pPr>
            <w:r>
              <w:rPr>
                <w:rFonts w:hint="default" w:ascii="Arial Regular" w:hAnsi="Arial Regular" w:cs="Arial Regular"/>
                <w:sz w:val="20"/>
                <w:szCs w:val="20"/>
              </w:rPr>
              <w:t>Metal–oxygen bond (M–O)</w:t>
            </w:r>
          </w:p>
        </w:tc>
        <w:tc>
          <w:tcPr>
            <w:tcW w:w="454"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4B02CA7C">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54"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4200637C">
            <w:pPr>
              <w:pStyle w:val="42"/>
              <w:jc w:val="center"/>
              <w:rPr>
                <w:rFonts w:hint="default" w:ascii="Arial Regular" w:hAnsi="Arial Regular" w:cs="Arial Regular"/>
                <w:sz w:val="20"/>
                <w:szCs w:val="20"/>
              </w:rPr>
            </w:pPr>
          </w:p>
        </w:tc>
        <w:tc>
          <w:tcPr>
            <w:tcW w:w="454"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4A2190FA">
            <w:pPr>
              <w:pStyle w:val="42"/>
              <w:jc w:val="center"/>
              <w:rPr>
                <w:rFonts w:hint="default" w:ascii="Arial Regular" w:hAnsi="Arial Regular" w:cs="Arial Regular"/>
                <w:sz w:val="20"/>
                <w:szCs w:val="20"/>
              </w:rPr>
            </w:pPr>
          </w:p>
        </w:tc>
        <w:tc>
          <w:tcPr>
            <w:tcW w:w="454"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1C3A3DCC">
            <w:pPr>
              <w:pStyle w:val="42"/>
              <w:jc w:val="center"/>
              <w:rPr>
                <w:rFonts w:hint="default" w:ascii="Arial Regular" w:hAnsi="Arial Regular" w:cs="Arial Regular"/>
                <w:sz w:val="20"/>
                <w:szCs w:val="20"/>
              </w:rPr>
            </w:pPr>
          </w:p>
        </w:tc>
        <w:tc>
          <w:tcPr>
            <w:tcW w:w="454"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5C2FCA1C">
            <w:pPr>
              <w:pStyle w:val="42"/>
              <w:jc w:val="center"/>
              <w:rPr>
                <w:rFonts w:hint="default" w:ascii="Arial Regular" w:hAnsi="Arial Regular" w:cs="Arial Regular"/>
                <w:sz w:val="20"/>
                <w:szCs w:val="20"/>
              </w:rPr>
            </w:pPr>
          </w:p>
        </w:tc>
        <w:tc>
          <w:tcPr>
            <w:tcW w:w="454"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2565B115">
            <w:pPr>
              <w:pStyle w:val="42"/>
              <w:jc w:val="center"/>
              <w:rPr>
                <w:rFonts w:hint="default" w:ascii="Arial Regular" w:hAnsi="Arial Regular" w:cs="Arial Regular"/>
                <w:sz w:val="20"/>
                <w:szCs w:val="20"/>
              </w:rPr>
            </w:pPr>
          </w:p>
        </w:tc>
        <w:tc>
          <w:tcPr>
            <w:tcW w:w="454"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4142BB43">
            <w:pPr>
              <w:pStyle w:val="42"/>
              <w:jc w:val="center"/>
              <w:rPr>
                <w:rFonts w:hint="default" w:ascii="Arial Regular" w:hAnsi="Arial Regular" w:cs="Arial Regular"/>
                <w:sz w:val="20"/>
                <w:szCs w:val="20"/>
              </w:rPr>
            </w:pPr>
          </w:p>
        </w:tc>
        <w:tc>
          <w:tcPr>
            <w:tcW w:w="454"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3877206E">
            <w:pPr>
              <w:pStyle w:val="42"/>
              <w:jc w:val="center"/>
              <w:rPr>
                <w:rFonts w:hint="default" w:ascii="Arial Regular" w:hAnsi="Arial Regular" w:cs="Arial Regular"/>
                <w:sz w:val="20"/>
                <w:szCs w:val="20"/>
              </w:rPr>
            </w:pPr>
          </w:p>
        </w:tc>
        <w:tc>
          <w:tcPr>
            <w:tcW w:w="454"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7BBBE682">
            <w:pPr>
              <w:pStyle w:val="42"/>
              <w:jc w:val="center"/>
              <w:rPr>
                <w:rFonts w:hint="default" w:ascii="Arial Regular" w:hAnsi="Arial Regular" w:cs="Arial Regular"/>
                <w:sz w:val="20"/>
                <w:szCs w:val="20"/>
              </w:rPr>
            </w:pPr>
          </w:p>
        </w:tc>
        <w:tc>
          <w:tcPr>
            <w:tcW w:w="454"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642DDB14">
            <w:pPr>
              <w:pStyle w:val="42"/>
              <w:jc w:val="center"/>
              <w:rPr>
                <w:rFonts w:hint="default" w:ascii="Arial Regular" w:hAnsi="Arial Regular" w:cs="Arial Regular"/>
                <w:sz w:val="20"/>
                <w:szCs w:val="20"/>
              </w:rPr>
            </w:pPr>
          </w:p>
        </w:tc>
        <w:tc>
          <w:tcPr>
            <w:tcW w:w="454"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4819B475">
            <w:pPr>
              <w:pStyle w:val="42"/>
              <w:jc w:val="center"/>
              <w:rPr>
                <w:rFonts w:hint="default" w:ascii="Arial Regular" w:hAnsi="Arial Regular" w:cs="Arial Regular"/>
                <w:sz w:val="20"/>
                <w:szCs w:val="20"/>
              </w:rPr>
            </w:pPr>
          </w:p>
        </w:tc>
        <w:tc>
          <w:tcPr>
            <w:tcW w:w="454"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62FAA204">
            <w:pPr>
              <w:pStyle w:val="42"/>
              <w:jc w:val="center"/>
              <w:rPr>
                <w:rFonts w:hint="default" w:ascii="Arial Regular" w:hAnsi="Arial Regular" w:cs="Arial Regular"/>
                <w:sz w:val="20"/>
                <w:szCs w:val="20"/>
              </w:rPr>
            </w:pPr>
          </w:p>
        </w:tc>
        <w:tc>
          <w:tcPr>
            <w:tcW w:w="436"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019EC995">
            <w:pPr>
              <w:pStyle w:val="42"/>
              <w:jc w:val="center"/>
              <w:rPr>
                <w:rFonts w:hint="default" w:ascii="Arial Regular" w:hAnsi="Arial Regular" w:cs="Arial Regular"/>
                <w:sz w:val="20"/>
                <w:szCs w:val="20"/>
              </w:rPr>
            </w:pPr>
          </w:p>
        </w:tc>
        <w:tc>
          <w:tcPr>
            <w:tcW w:w="436"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56F47F7D">
            <w:pPr>
              <w:pStyle w:val="42"/>
              <w:jc w:val="center"/>
              <w:rPr>
                <w:rFonts w:hint="default" w:ascii="Arial Regular" w:hAnsi="Arial Regular" w:cs="Arial Regular"/>
                <w:sz w:val="20"/>
                <w:szCs w:val="20"/>
              </w:rPr>
            </w:pPr>
          </w:p>
        </w:tc>
        <w:tc>
          <w:tcPr>
            <w:tcW w:w="436"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6931CC5F">
            <w:pPr>
              <w:pStyle w:val="42"/>
              <w:jc w:val="center"/>
              <w:rPr>
                <w:rFonts w:hint="default" w:ascii="Arial Regular" w:hAnsi="Arial Regular" w:cs="Arial Regular"/>
                <w:sz w:val="20"/>
                <w:szCs w:val="20"/>
              </w:rPr>
            </w:pPr>
          </w:p>
        </w:tc>
        <w:tc>
          <w:tcPr>
            <w:tcW w:w="436"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5BEE0272">
            <w:pPr>
              <w:pStyle w:val="42"/>
              <w:jc w:val="center"/>
              <w:rPr>
                <w:rFonts w:hint="default" w:ascii="Arial Regular" w:hAnsi="Arial Regular" w:cs="Arial Regular"/>
                <w:sz w:val="20"/>
                <w:szCs w:val="20"/>
              </w:rPr>
            </w:pPr>
          </w:p>
        </w:tc>
        <w:tc>
          <w:tcPr>
            <w:tcW w:w="436"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06A65804">
            <w:pPr>
              <w:pStyle w:val="42"/>
              <w:jc w:val="center"/>
              <w:rPr>
                <w:rFonts w:hint="default" w:ascii="Arial Regular" w:hAnsi="Arial Regular" w:cs="Arial Regular"/>
                <w:sz w:val="20"/>
                <w:szCs w:val="20"/>
              </w:rPr>
            </w:pPr>
          </w:p>
        </w:tc>
        <w:tc>
          <w:tcPr>
            <w:tcW w:w="436"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55B246EB">
            <w:pPr>
              <w:pStyle w:val="42"/>
              <w:jc w:val="center"/>
              <w:rPr>
                <w:rFonts w:hint="default" w:ascii="Arial Regular" w:hAnsi="Arial Regular" w:cs="Arial Regular"/>
                <w:sz w:val="20"/>
                <w:szCs w:val="20"/>
              </w:rPr>
            </w:pPr>
          </w:p>
        </w:tc>
      </w:tr>
      <w:tr w14:paraId="06DA48AE">
        <w:trPr>
          <w:trHeight w:val="23" w:hRule="atLeast"/>
        </w:trPr>
        <w:tc>
          <w:tcPr>
            <w:tcW w:w="0" w:type="auto"/>
            <w:vMerge w:val="continue"/>
            <w:tcBorders>
              <w:top w:val="single" w:color="000000" w:sz="4" w:space="0"/>
              <w:left w:val="nil"/>
              <w:bottom w:val="single" w:color="000000" w:sz="12" w:space="0"/>
              <w:right w:val="nil"/>
            </w:tcBorders>
            <w:vAlign w:val="center"/>
          </w:tcPr>
          <w:p w14:paraId="2089D3DE">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507BCDA4">
            <w:pPr>
              <w:pStyle w:val="42"/>
              <w:jc w:val="center"/>
              <w:rPr>
                <w:rFonts w:hint="default" w:ascii="Arial Regular" w:hAnsi="Arial Regular" w:cs="Arial Regular"/>
                <w:sz w:val="20"/>
                <w:szCs w:val="20"/>
              </w:rPr>
            </w:pPr>
            <w:r>
              <w:rPr>
                <w:rFonts w:hint="default" w:ascii="Arial Regular" w:hAnsi="Arial Regular" w:cs="Arial Regular"/>
                <w:sz w:val="20"/>
                <w:szCs w:val="20"/>
              </w:rPr>
              <w:t>559</w:t>
            </w:r>
          </w:p>
        </w:tc>
        <w:tc>
          <w:tcPr>
            <w:tcW w:w="0" w:type="auto"/>
            <w:vMerge w:val="continue"/>
            <w:tcBorders>
              <w:left w:val="nil"/>
              <w:bottom w:val="nil"/>
              <w:right w:val="nil"/>
            </w:tcBorders>
            <w:shd w:val="clear" w:color="auto" w:fill="auto"/>
            <w:tcMar>
              <w:top w:w="8" w:type="dxa"/>
              <w:left w:w="8" w:type="dxa"/>
              <w:bottom w:w="0" w:type="dxa"/>
              <w:right w:w="8" w:type="dxa"/>
            </w:tcMar>
            <w:vAlign w:val="center"/>
          </w:tcPr>
          <w:p w14:paraId="3730B97A">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DF52920">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EEE5470">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E77F766">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87C1DA6">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4C57025">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58BB548">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B2E5F51">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D55194D">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3FDCC47">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4C4C2F9">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E1C9A53">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4D6B6A4">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77316A98">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19E5E65B">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3141E93A">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6E3DFB7F">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3B87826E">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7CEFFEE9">
            <w:pPr>
              <w:pStyle w:val="42"/>
              <w:jc w:val="center"/>
              <w:rPr>
                <w:rFonts w:hint="default" w:ascii="Arial Regular" w:hAnsi="Arial Regular" w:cs="Arial Regular"/>
                <w:sz w:val="20"/>
                <w:szCs w:val="20"/>
              </w:rPr>
            </w:pPr>
          </w:p>
        </w:tc>
      </w:tr>
      <w:tr w14:paraId="33C9C742">
        <w:trPr>
          <w:trHeight w:val="23" w:hRule="atLeast"/>
        </w:trPr>
        <w:tc>
          <w:tcPr>
            <w:tcW w:w="0" w:type="auto"/>
            <w:vMerge w:val="continue"/>
            <w:tcBorders>
              <w:top w:val="single" w:color="000000" w:sz="4" w:space="0"/>
              <w:left w:val="nil"/>
              <w:bottom w:val="single" w:color="000000" w:sz="12" w:space="0"/>
              <w:right w:val="nil"/>
            </w:tcBorders>
            <w:vAlign w:val="center"/>
          </w:tcPr>
          <w:p w14:paraId="7D73E9F1">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5B657FB9">
            <w:pPr>
              <w:pStyle w:val="42"/>
              <w:jc w:val="center"/>
              <w:rPr>
                <w:rFonts w:hint="default" w:ascii="Arial Regular" w:hAnsi="Arial Regular" w:cs="Arial Regular"/>
                <w:sz w:val="20"/>
                <w:szCs w:val="20"/>
              </w:rPr>
            </w:pPr>
            <w:r>
              <w:rPr>
                <w:rFonts w:hint="default" w:ascii="Arial Regular" w:hAnsi="Arial Regular" w:cs="Arial Regular"/>
                <w:sz w:val="20"/>
                <w:szCs w:val="20"/>
              </w:rPr>
              <w:t>680</w:t>
            </w: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638CBC97">
            <w:pPr>
              <w:pStyle w:val="42"/>
              <w:jc w:val="center"/>
              <w:rPr>
                <w:rFonts w:hint="default" w:ascii="Arial Regular" w:hAnsi="Arial Regular" w:cs="Arial Regular"/>
                <w:sz w:val="20"/>
                <w:szCs w:val="20"/>
              </w:rPr>
            </w:pPr>
            <w:r>
              <w:rPr>
                <w:rFonts w:hint="default" w:ascii="Arial Regular" w:hAnsi="Arial Regular" w:cs="Arial Regular"/>
                <w:sz w:val="20"/>
                <w:szCs w:val="20"/>
              </w:rPr>
              <w:t>Aromatic hydrocarbons (C–H)</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C531FEE">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17BB41B">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12E995B">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B06CD53">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3A6AC70">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5BE1A85">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8FBCC38">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E58C4CF">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FFAF70A">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497EDC9">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B1F829C">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B518A19">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02DEDC07">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48811629">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456A1548">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5263F49E">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578C6D42">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1211E0B6">
            <w:pPr>
              <w:pStyle w:val="42"/>
              <w:jc w:val="center"/>
              <w:rPr>
                <w:rFonts w:hint="default" w:ascii="Arial Regular" w:hAnsi="Arial Regular" w:cs="Arial Regular"/>
                <w:sz w:val="20"/>
                <w:szCs w:val="20"/>
              </w:rPr>
            </w:pPr>
          </w:p>
        </w:tc>
      </w:tr>
      <w:tr w14:paraId="71804DA7">
        <w:trPr>
          <w:trHeight w:val="23" w:hRule="atLeast"/>
        </w:trPr>
        <w:tc>
          <w:tcPr>
            <w:tcW w:w="0" w:type="auto"/>
            <w:vMerge w:val="continue"/>
            <w:tcBorders>
              <w:top w:val="single" w:color="000000" w:sz="4" w:space="0"/>
              <w:left w:val="nil"/>
              <w:bottom w:val="single" w:color="000000" w:sz="12" w:space="0"/>
              <w:right w:val="nil"/>
            </w:tcBorders>
            <w:vAlign w:val="center"/>
          </w:tcPr>
          <w:p w14:paraId="59B8C3DE">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1C7CEDF7">
            <w:pPr>
              <w:pStyle w:val="42"/>
              <w:jc w:val="center"/>
              <w:rPr>
                <w:rFonts w:hint="default" w:ascii="Arial Regular" w:hAnsi="Arial Regular" w:cs="Arial Regular"/>
                <w:sz w:val="20"/>
                <w:szCs w:val="20"/>
              </w:rPr>
            </w:pPr>
            <w:r>
              <w:rPr>
                <w:rFonts w:hint="default" w:ascii="Arial Regular" w:hAnsi="Arial Regular" w:cs="Arial Regular"/>
                <w:sz w:val="20"/>
                <w:szCs w:val="20"/>
              </w:rPr>
              <w:t>720</w:t>
            </w: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387A93D3">
            <w:pPr>
              <w:pStyle w:val="42"/>
              <w:jc w:val="center"/>
              <w:rPr>
                <w:rFonts w:hint="default" w:ascii="Arial Regular" w:hAnsi="Arial Regular" w:cs="Arial Regular"/>
                <w:sz w:val="20"/>
                <w:szCs w:val="20"/>
              </w:rPr>
            </w:pPr>
            <w:r>
              <w:rPr>
                <w:rFonts w:hint="default" w:ascii="Arial Regular" w:hAnsi="Arial Regular" w:cs="Arial Regular"/>
                <w:sz w:val="20"/>
                <w:szCs w:val="20"/>
              </w:rPr>
              <w:t>Aliphatic hydrocarbons (C–H)</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1239642">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261E017">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A73A3A9">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E5C936E">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B2EBC43">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F4E17D7">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EC54420">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6BE9EFE">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F9E7E05">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F69734A">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83BD148">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2B56E71">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722E7F5E">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13672EFE">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42C9077F">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020666CA">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0B74891A">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60EE98AA">
            <w:pPr>
              <w:pStyle w:val="42"/>
              <w:jc w:val="center"/>
              <w:rPr>
                <w:rFonts w:hint="default" w:ascii="Arial Regular" w:hAnsi="Arial Regular" w:cs="Arial Regular"/>
                <w:sz w:val="20"/>
                <w:szCs w:val="20"/>
              </w:rPr>
            </w:pPr>
          </w:p>
        </w:tc>
      </w:tr>
      <w:tr w14:paraId="259BEC4F">
        <w:trPr>
          <w:trHeight w:val="23" w:hRule="atLeast"/>
        </w:trPr>
        <w:tc>
          <w:tcPr>
            <w:tcW w:w="0" w:type="auto"/>
            <w:vMerge w:val="continue"/>
            <w:tcBorders>
              <w:top w:val="single" w:color="000000" w:sz="4" w:space="0"/>
              <w:left w:val="nil"/>
              <w:bottom w:val="single" w:color="000000" w:sz="12" w:space="0"/>
              <w:right w:val="nil"/>
            </w:tcBorders>
            <w:vAlign w:val="center"/>
          </w:tcPr>
          <w:p w14:paraId="7D8922CC">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57180F2E">
            <w:pPr>
              <w:pStyle w:val="42"/>
              <w:jc w:val="center"/>
              <w:rPr>
                <w:rFonts w:hint="default" w:ascii="Arial Regular" w:hAnsi="Arial Regular" w:cs="Arial Regular"/>
                <w:sz w:val="20"/>
                <w:szCs w:val="20"/>
              </w:rPr>
            </w:pPr>
            <w:r>
              <w:rPr>
                <w:rFonts w:hint="default" w:ascii="Arial Regular" w:hAnsi="Arial Regular" w:cs="Arial Regular"/>
                <w:sz w:val="20"/>
                <w:szCs w:val="20"/>
              </w:rPr>
              <w:t>800</w:t>
            </w:r>
          </w:p>
        </w:tc>
        <w:tc>
          <w:tcPr>
            <w:tcW w:w="0" w:type="auto"/>
            <w:vMerge w:val="restart"/>
            <w:tcBorders>
              <w:top w:val="nil"/>
              <w:left w:val="nil"/>
              <w:right w:val="nil"/>
            </w:tcBorders>
            <w:shd w:val="clear" w:color="auto" w:fill="auto"/>
            <w:tcMar>
              <w:top w:w="8" w:type="dxa"/>
              <w:left w:w="8" w:type="dxa"/>
              <w:bottom w:w="0" w:type="dxa"/>
              <w:right w:w="8" w:type="dxa"/>
            </w:tcMar>
            <w:vAlign w:val="center"/>
          </w:tcPr>
          <w:p w14:paraId="7096B823">
            <w:pPr>
              <w:pStyle w:val="42"/>
              <w:jc w:val="center"/>
              <w:rPr>
                <w:rFonts w:hint="default" w:ascii="Arial Regular" w:hAnsi="Arial Regular" w:cs="Arial Regular"/>
                <w:sz w:val="20"/>
                <w:szCs w:val="20"/>
              </w:rPr>
            </w:pPr>
            <w:r>
              <w:rPr>
                <w:rFonts w:hint="default" w:ascii="Arial Regular" w:hAnsi="Arial Regular" w:cs="Arial Regular"/>
                <w:sz w:val="20"/>
                <w:szCs w:val="20"/>
              </w:rPr>
              <w:t>Aromatic hydrocarbons (C–H)</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1E38326">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80C30F1">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3223D49">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A40915B">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CD8F343">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7C925D0">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B7DD15C">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80F3E94">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2138DB0">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4164E6F">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95605A7">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1A74983">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72E0907A">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36ECEAB1">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512A6388">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2183B83C">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0932457D">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3F8839E8">
            <w:pPr>
              <w:pStyle w:val="42"/>
              <w:jc w:val="center"/>
              <w:rPr>
                <w:rFonts w:hint="default" w:ascii="Arial Regular" w:hAnsi="Arial Regular" w:cs="Arial Regular"/>
                <w:sz w:val="20"/>
                <w:szCs w:val="20"/>
              </w:rPr>
            </w:pPr>
          </w:p>
        </w:tc>
      </w:tr>
      <w:tr w14:paraId="6E73259E">
        <w:trPr>
          <w:trHeight w:val="23" w:hRule="atLeast"/>
        </w:trPr>
        <w:tc>
          <w:tcPr>
            <w:tcW w:w="0" w:type="auto"/>
            <w:vMerge w:val="continue"/>
            <w:tcBorders>
              <w:top w:val="single" w:color="000000" w:sz="4" w:space="0"/>
              <w:left w:val="nil"/>
              <w:bottom w:val="single" w:color="000000" w:sz="12" w:space="0"/>
              <w:right w:val="nil"/>
            </w:tcBorders>
            <w:vAlign w:val="center"/>
          </w:tcPr>
          <w:p w14:paraId="30487546">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672B89EB">
            <w:pPr>
              <w:pStyle w:val="42"/>
              <w:jc w:val="center"/>
              <w:rPr>
                <w:rFonts w:hint="default" w:ascii="Arial Regular" w:hAnsi="Arial Regular" w:cs="Arial Regular"/>
                <w:sz w:val="20"/>
                <w:szCs w:val="20"/>
              </w:rPr>
            </w:pPr>
            <w:r>
              <w:rPr>
                <w:rFonts w:hint="default" w:ascii="Arial Regular" w:hAnsi="Arial Regular" w:cs="Arial Regular"/>
                <w:sz w:val="20"/>
                <w:szCs w:val="20"/>
              </w:rPr>
              <w:t>878</w:t>
            </w:r>
          </w:p>
        </w:tc>
        <w:tc>
          <w:tcPr>
            <w:tcW w:w="0" w:type="auto"/>
            <w:vMerge w:val="continue"/>
            <w:tcBorders>
              <w:left w:val="nil"/>
              <w:bottom w:val="nil"/>
              <w:right w:val="nil"/>
            </w:tcBorders>
            <w:shd w:val="clear" w:color="auto" w:fill="auto"/>
            <w:tcMar>
              <w:top w:w="8" w:type="dxa"/>
              <w:left w:w="8" w:type="dxa"/>
              <w:bottom w:w="0" w:type="dxa"/>
              <w:right w:w="8" w:type="dxa"/>
            </w:tcMar>
            <w:vAlign w:val="center"/>
          </w:tcPr>
          <w:p w14:paraId="37C5FD8B">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CCFCD0E">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36B4A5D">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71EBF29">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32F104B">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D351962">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F747659">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E4E9A01">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38BD33D">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6051675">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4A458C3">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852EFCB">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E48CD2B">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27CC8D66">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1454875F">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002904D8">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661DC1E9">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18E4C415">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12E337D0">
            <w:pPr>
              <w:pStyle w:val="42"/>
              <w:jc w:val="center"/>
              <w:rPr>
                <w:rFonts w:hint="default" w:ascii="Arial Regular" w:hAnsi="Arial Regular" w:cs="Arial Regular"/>
                <w:sz w:val="20"/>
                <w:szCs w:val="20"/>
              </w:rPr>
            </w:pPr>
          </w:p>
        </w:tc>
      </w:tr>
      <w:tr w14:paraId="03298AE6">
        <w:trPr>
          <w:trHeight w:val="23" w:hRule="atLeast"/>
        </w:trPr>
        <w:tc>
          <w:tcPr>
            <w:tcW w:w="0" w:type="auto"/>
            <w:vMerge w:val="continue"/>
            <w:tcBorders>
              <w:top w:val="single" w:color="000000" w:sz="4" w:space="0"/>
              <w:left w:val="nil"/>
              <w:bottom w:val="single" w:color="000000" w:sz="12" w:space="0"/>
              <w:right w:val="nil"/>
            </w:tcBorders>
            <w:vAlign w:val="center"/>
          </w:tcPr>
          <w:p w14:paraId="5D606A31">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68FFACED">
            <w:pPr>
              <w:pStyle w:val="42"/>
              <w:jc w:val="center"/>
              <w:rPr>
                <w:rFonts w:hint="default" w:ascii="Arial Regular" w:hAnsi="Arial Regular" w:cs="Arial Regular"/>
                <w:sz w:val="20"/>
                <w:szCs w:val="20"/>
              </w:rPr>
            </w:pPr>
            <w:r>
              <w:rPr>
                <w:rFonts w:hint="default" w:ascii="Arial Regular" w:hAnsi="Arial Regular" w:cs="Arial Regular"/>
                <w:sz w:val="20"/>
                <w:szCs w:val="20"/>
              </w:rPr>
              <w:t>947</w:t>
            </w: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504759CC">
            <w:pPr>
              <w:pStyle w:val="42"/>
              <w:jc w:val="center"/>
              <w:rPr>
                <w:rFonts w:hint="default" w:ascii="Arial Regular" w:hAnsi="Arial Regular" w:cs="Arial Regular"/>
                <w:sz w:val="20"/>
                <w:szCs w:val="20"/>
              </w:rPr>
            </w:pPr>
            <w:r>
              <w:rPr>
                <w:rFonts w:hint="default" w:ascii="Arial Regular" w:hAnsi="Arial Regular" w:cs="Arial Regular"/>
                <w:sz w:val="20"/>
                <w:szCs w:val="20"/>
              </w:rPr>
              <w:t>Carboxylic acid (O–H)</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EAD3D31">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050DBE5">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DA3E1B3">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66DA05B">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5741275">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4893C4C">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1171BDF">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A5FF2C3">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893A722">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AD0FDFF">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A43D438">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A0182CD">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282FB6FE">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0AAF4404">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35046942">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7B056C70">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7C4FBD29">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47FF672A">
            <w:pPr>
              <w:pStyle w:val="42"/>
              <w:jc w:val="center"/>
              <w:rPr>
                <w:rFonts w:hint="default" w:ascii="Arial Regular" w:hAnsi="Arial Regular" w:cs="Arial Regular"/>
                <w:sz w:val="20"/>
                <w:szCs w:val="20"/>
              </w:rPr>
            </w:pPr>
          </w:p>
        </w:tc>
      </w:tr>
      <w:tr w14:paraId="6F8B3473">
        <w:trPr>
          <w:trHeight w:val="23" w:hRule="atLeast"/>
        </w:trPr>
        <w:tc>
          <w:tcPr>
            <w:tcW w:w="0" w:type="auto"/>
            <w:vMerge w:val="continue"/>
            <w:tcBorders>
              <w:top w:val="single" w:color="000000" w:sz="4" w:space="0"/>
              <w:left w:val="nil"/>
              <w:bottom w:val="single" w:color="000000" w:sz="12" w:space="0"/>
              <w:right w:val="nil"/>
            </w:tcBorders>
            <w:vAlign w:val="center"/>
          </w:tcPr>
          <w:p w14:paraId="0D936B1D">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182EAAFE">
            <w:pPr>
              <w:pStyle w:val="42"/>
              <w:jc w:val="center"/>
              <w:rPr>
                <w:rFonts w:hint="default" w:ascii="Arial Regular" w:hAnsi="Arial Regular" w:cs="Arial Regular"/>
                <w:sz w:val="20"/>
                <w:szCs w:val="20"/>
              </w:rPr>
            </w:pPr>
            <w:r>
              <w:rPr>
                <w:rFonts w:hint="default" w:ascii="Arial Regular" w:hAnsi="Arial Regular" w:cs="Arial Regular"/>
                <w:sz w:val="20"/>
                <w:szCs w:val="20"/>
              </w:rPr>
              <w:t>1063</w:t>
            </w: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384CB255">
            <w:pPr>
              <w:pStyle w:val="42"/>
              <w:jc w:val="center"/>
              <w:rPr>
                <w:rFonts w:hint="default" w:ascii="Arial Regular" w:hAnsi="Arial Regular" w:cs="Arial Regular"/>
                <w:sz w:val="20"/>
                <w:szCs w:val="20"/>
              </w:rPr>
            </w:pPr>
            <w:r>
              <w:rPr>
                <w:rFonts w:hint="default" w:ascii="Arial Regular" w:hAnsi="Arial Regular" w:cs="Arial Regular"/>
                <w:sz w:val="20"/>
                <w:szCs w:val="20"/>
              </w:rPr>
              <w:t>Ether (C–O–C) or alcohol (C–O)</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182CD6D">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50A364A">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79B1068">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BD6AB54">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E287451">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65A4258">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04AA93A">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1444283">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EEB5895">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E3618CB">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3C61F40">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B27CAB8">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2501CDB2">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43CF858D">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2B506178">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32C5B1E4">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1BAE2B26">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0B4D339A">
            <w:pPr>
              <w:pStyle w:val="42"/>
              <w:jc w:val="center"/>
              <w:rPr>
                <w:rFonts w:hint="default" w:ascii="Arial Regular" w:hAnsi="Arial Regular" w:cs="Arial Regular"/>
                <w:sz w:val="20"/>
                <w:szCs w:val="20"/>
              </w:rPr>
            </w:pPr>
          </w:p>
        </w:tc>
      </w:tr>
      <w:tr w14:paraId="3B66AC88">
        <w:trPr>
          <w:trHeight w:val="23" w:hRule="atLeast"/>
        </w:trPr>
        <w:tc>
          <w:tcPr>
            <w:tcW w:w="0" w:type="auto"/>
            <w:vMerge w:val="continue"/>
            <w:tcBorders>
              <w:top w:val="single" w:color="000000" w:sz="4" w:space="0"/>
              <w:left w:val="nil"/>
              <w:bottom w:val="single" w:color="000000" w:sz="12" w:space="0"/>
              <w:right w:val="nil"/>
            </w:tcBorders>
            <w:vAlign w:val="center"/>
          </w:tcPr>
          <w:p w14:paraId="07AAE8FA">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7AFEC009">
            <w:pPr>
              <w:pStyle w:val="42"/>
              <w:jc w:val="center"/>
              <w:rPr>
                <w:rFonts w:hint="default" w:ascii="Arial Regular" w:hAnsi="Arial Regular" w:cs="Arial Regular"/>
                <w:sz w:val="20"/>
                <w:szCs w:val="20"/>
              </w:rPr>
            </w:pPr>
            <w:r>
              <w:rPr>
                <w:rFonts w:hint="default" w:ascii="Arial Regular" w:hAnsi="Arial Regular" w:cs="Arial Regular"/>
                <w:sz w:val="20"/>
                <w:szCs w:val="20"/>
              </w:rPr>
              <w:t>1260</w:t>
            </w: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36F6872B">
            <w:pPr>
              <w:pStyle w:val="42"/>
              <w:jc w:val="center"/>
              <w:rPr>
                <w:rFonts w:hint="default" w:ascii="Arial Regular" w:hAnsi="Arial Regular" w:cs="Arial Regular"/>
                <w:sz w:val="20"/>
                <w:szCs w:val="20"/>
              </w:rPr>
            </w:pPr>
            <w:r>
              <w:rPr>
                <w:rFonts w:hint="default" w:ascii="Arial Regular" w:hAnsi="Arial Regular" w:cs="Arial Regular"/>
                <w:sz w:val="20"/>
                <w:szCs w:val="20"/>
              </w:rPr>
              <w:t>Ether (C–O–C) or ester (C–O)</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67D9B41">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DAA0262">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5DE5B05">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EF32AAC">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5DB3F7E">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A7D58AE">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CAFB8AD">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A5C3690">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877A3AB">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02136D9">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F96C880">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7F6E8AD">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445696AB">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17654BF5">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491A466D">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10D864AE">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1FFC6BA0">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38B3E8A0">
            <w:pPr>
              <w:pStyle w:val="42"/>
              <w:jc w:val="center"/>
              <w:rPr>
                <w:rFonts w:hint="default" w:ascii="Arial Regular" w:hAnsi="Arial Regular" w:cs="Arial Regular"/>
                <w:sz w:val="20"/>
                <w:szCs w:val="20"/>
              </w:rPr>
            </w:pPr>
          </w:p>
        </w:tc>
      </w:tr>
      <w:tr w14:paraId="552635C4">
        <w:trPr>
          <w:trHeight w:val="23" w:hRule="atLeast"/>
        </w:trPr>
        <w:tc>
          <w:tcPr>
            <w:tcW w:w="0" w:type="auto"/>
            <w:vMerge w:val="continue"/>
            <w:tcBorders>
              <w:top w:val="single" w:color="000000" w:sz="4" w:space="0"/>
              <w:left w:val="nil"/>
              <w:bottom w:val="single" w:color="000000" w:sz="12" w:space="0"/>
              <w:right w:val="nil"/>
            </w:tcBorders>
            <w:vAlign w:val="center"/>
          </w:tcPr>
          <w:p w14:paraId="5469B587">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2805C552">
            <w:pPr>
              <w:pStyle w:val="42"/>
              <w:jc w:val="center"/>
              <w:rPr>
                <w:rFonts w:hint="default" w:ascii="Arial Regular" w:hAnsi="Arial Regular" w:cs="Arial Regular"/>
                <w:sz w:val="20"/>
                <w:szCs w:val="20"/>
              </w:rPr>
            </w:pPr>
            <w:r>
              <w:rPr>
                <w:rFonts w:hint="default" w:ascii="Arial Regular" w:hAnsi="Arial Regular" w:cs="Arial Regular"/>
                <w:sz w:val="20"/>
                <w:szCs w:val="20"/>
              </w:rPr>
              <w:t>1395</w:t>
            </w: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788F3711">
            <w:pPr>
              <w:pStyle w:val="42"/>
              <w:jc w:val="center"/>
              <w:rPr>
                <w:rFonts w:hint="default" w:ascii="Arial Regular" w:hAnsi="Arial Regular" w:cs="Arial Regular"/>
                <w:sz w:val="20"/>
                <w:szCs w:val="20"/>
              </w:rPr>
            </w:pPr>
            <w:r>
              <w:rPr>
                <w:rFonts w:hint="default" w:ascii="Arial Regular" w:hAnsi="Arial Regular" w:cs="Arial Regular"/>
                <w:sz w:val="20"/>
                <w:szCs w:val="20"/>
              </w:rPr>
              <w:t>Carboxylic acid (O–H) or CH</w:t>
            </w:r>
            <w:r>
              <w:rPr>
                <w:rFonts w:hint="default" w:ascii="Arial Regular" w:hAnsi="Arial Regular" w:cs="Arial Regular"/>
                <w:sz w:val="20"/>
                <w:szCs w:val="20"/>
                <w:vertAlign w:val="subscript"/>
              </w:rPr>
              <w:t>3</w:t>
            </w:r>
            <w:r>
              <w:rPr>
                <w:rFonts w:hint="default" w:ascii="Arial Regular" w:hAnsi="Arial Regular" w:cs="Arial Regular"/>
                <w:sz w:val="20"/>
                <w:szCs w:val="20"/>
              </w:rPr>
              <w:t xml:space="preserve"> deformation</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568DFA4">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3FC1AE1">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7D39866">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CCA5C80">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249DB3E">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72B574E">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0365F80">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724933C">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3A0DDA0">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88EB644">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CD6E77B">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B5841D9">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5D66F39A">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2DEEDFE1">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0039C937">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75FAD6EF">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2489BC75">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388C7CB2">
            <w:pPr>
              <w:pStyle w:val="42"/>
              <w:jc w:val="center"/>
              <w:rPr>
                <w:rFonts w:hint="default" w:ascii="Arial Regular" w:hAnsi="Arial Regular" w:cs="Arial Regular"/>
                <w:sz w:val="20"/>
                <w:szCs w:val="20"/>
              </w:rPr>
            </w:pPr>
          </w:p>
        </w:tc>
      </w:tr>
      <w:tr w14:paraId="42CE51D5">
        <w:trPr>
          <w:trHeight w:val="23" w:hRule="atLeast"/>
        </w:trPr>
        <w:tc>
          <w:tcPr>
            <w:tcW w:w="0" w:type="auto"/>
            <w:vMerge w:val="continue"/>
            <w:tcBorders>
              <w:top w:val="single" w:color="000000" w:sz="4" w:space="0"/>
              <w:left w:val="nil"/>
              <w:bottom w:val="single" w:color="000000" w:sz="12" w:space="0"/>
              <w:right w:val="nil"/>
            </w:tcBorders>
            <w:vAlign w:val="center"/>
          </w:tcPr>
          <w:p w14:paraId="6A623978">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3C54025E">
            <w:pPr>
              <w:pStyle w:val="42"/>
              <w:jc w:val="center"/>
              <w:rPr>
                <w:rFonts w:hint="default" w:ascii="Arial Regular" w:hAnsi="Arial Regular" w:cs="Arial Regular"/>
                <w:sz w:val="20"/>
                <w:szCs w:val="20"/>
              </w:rPr>
            </w:pPr>
            <w:r>
              <w:rPr>
                <w:rFonts w:hint="default" w:ascii="Arial Regular" w:hAnsi="Arial Regular" w:cs="Arial Regular"/>
                <w:sz w:val="20"/>
                <w:szCs w:val="20"/>
              </w:rPr>
              <w:t>1502</w:t>
            </w: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68A2E025">
            <w:pPr>
              <w:pStyle w:val="42"/>
              <w:jc w:val="center"/>
              <w:rPr>
                <w:rFonts w:hint="default" w:ascii="Arial Regular" w:hAnsi="Arial Regular" w:cs="Arial Regular"/>
                <w:sz w:val="20"/>
                <w:szCs w:val="20"/>
              </w:rPr>
            </w:pPr>
            <w:r>
              <w:rPr>
                <w:rFonts w:hint="default" w:ascii="Arial Regular" w:hAnsi="Arial Regular" w:cs="Arial Regular"/>
                <w:sz w:val="20"/>
                <w:szCs w:val="20"/>
              </w:rPr>
              <w:t>Aromatic ring (C=C)</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527B41D">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9601216">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4CC75D2">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0CA2B70">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6F7C368">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AEEA1E3">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61AB46A">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26BCA31">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5AF35A8">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7577E1E">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B2CE74C">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11EC799">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72A2DE27">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3DF1556F">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7F1AF0CC">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3D7D12B0">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306B64C8">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6119D1B7">
            <w:pPr>
              <w:pStyle w:val="42"/>
              <w:jc w:val="center"/>
              <w:rPr>
                <w:rFonts w:hint="default" w:ascii="Arial Regular" w:hAnsi="Arial Regular" w:cs="Arial Regular"/>
                <w:sz w:val="20"/>
                <w:szCs w:val="20"/>
              </w:rPr>
            </w:pPr>
          </w:p>
        </w:tc>
      </w:tr>
      <w:tr w14:paraId="79480BF8">
        <w:trPr>
          <w:trHeight w:val="23" w:hRule="atLeast"/>
        </w:trPr>
        <w:tc>
          <w:tcPr>
            <w:tcW w:w="0" w:type="auto"/>
            <w:vMerge w:val="continue"/>
            <w:tcBorders>
              <w:top w:val="single" w:color="000000" w:sz="4" w:space="0"/>
              <w:left w:val="nil"/>
              <w:bottom w:val="single" w:color="000000" w:sz="12" w:space="0"/>
              <w:right w:val="nil"/>
            </w:tcBorders>
            <w:vAlign w:val="center"/>
          </w:tcPr>
          <w:p w14:paraId="3B7062F9">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5571048A">
            <w:pPr>
              <w:pStyle w:val="42"/>
              <w:jc w:val="center"/>
              <w:rPr>
                <w:rFonts w:hint="default" w:ascii="Arial Regular" w:hAnsi="Arial Regular" w:cs="Arial Regular"/>
                <w:sz w:val="20"/>
                <w:szCs w:val="20"/>
              </w:rPr>
            </w:pPr>
            <w:r>
              <w:rPr>
                <w:rFonts w:hint="default" w:ascii="Arial Regular" w:hAnsi="Arial Regular" w:cs="Arial Regular"/>
                <w:sz w:val="20"/>
                <w:szCs w:val="20"/>
              </w:rPr>
              <w:t>1628</w:t>
            </w: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19D7AACB">
            <w:pPr>
              <w:pStyle w:val="42"/>
              <w:jc w:val="center"/>
              <w:rPr>
                <w:rFonts w:hint="default" w:ascii="Arial Regular" w:hAnsi="Arial Regular" w:cs="Arial Regular"/>
                <w:sz w:val="20"/>
                <w:szCs w:val="20"/>
              </w:rPr>
            </w:pPr>
            <w:r>
              <w:rPr>
                <w:rFonts w:hint="default" w:ascii="Arial Regular" w:hAnsi="Arial Regular" w:cs="Arial Regular"/>
                <w:sz w:val="20"/>
                <w:szCs w:val="20"/>
              </w:rPr>
              <w:t>Carbonyl (C=O) or C=C</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46FBFF6">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48EC34E">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EB5EA32">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4BF6995">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DDDB80F">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7ED3BF1">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DA1904A">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FFAB70C">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0A10585">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E461CF4">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26957CC">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1C539AB">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62780853">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0ABD3E04">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434A8604">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72F45C15">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6EDFD2BF">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201A51B2">
            <w:pPr>
              <w:pStyle w:val="42"/>
              <w:jc w:val="center"/>
              <w:rPr>
                <w:rFonts w:hint="default" w:ascii="Arial Regular" w:hAnsi="Arial Regular" w:cs="Arial Regular"/>
                <w:sz w:val="20"/>
                <w:szCs w:val="20"/>
              </w:rPr>
            </w:pPr>
          </w:p>
        </w:tc>
      </w:tr>
      <w:tr w14:paraId="49995212">
        <w:trPr>
          <w:trHeight w:val="23" w:hRule="atLeast"/>
        </w:trPr>
        <w:tc>
          <w:tcPr>
            <w:tcW w:w="0" w:type="auto"/>
            <w:vMerge w:val="continue"/>
            <w:tcBorders>
              <w:top w:val="single" w:color="000000" w:sz="4" w:space="0"/>
              <w:left w:val="nil"/>
              <w:bottom w:val="single" w:color="000000" w:sz="12" w:space="0"/>
              <w:right w:val="nil"/>
            </w:tcBorders>
            <w:vAlign w:val="center"/>
          </w:tcPr>
          <w:p w14:paraId="067050E8">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0A3B003F">
            <w:pPr>
              <w:pStyle w:val="42"/>
              <w:jc w:val="center"/>
              <w:rPr>
                <w:rFonts w:hint="default" w:ascii="Arial Regular" w:hAnsi="Arial Regular" w:cs="Arial Regular"/>
                <w:sz w:val="20"/>
                <w:szCs w:val="20"/>
              </w:rPr>
            </w:pPr>
            <w:r>
              <w:rPr>
                <w:rFonts w:hint="default" w:ascii="Arial Regular" w:hAnsi="Arial Regular" w:cs="Arial Regular"/>
                <w:sz w:val="20"/>
                <w:szCs w:val="20"/>
              </w:rPr>
              <w:t>1803</w:t>
            </w: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4392D2CE">
            <w:pPr>
              <w:pStyle w:val="42"/>
              <w:jc w:val="center"/>
              <w:rPr>
                <w:rFonts w:hint="default" w:ascii="Arial Regular" w:hAnsi="Arial Regular" w:cs="Arial Regular"/>
                <w:sz w:val="20"/>
                <w:szCs w:val="20"/>
              </w:rPr>
            </w:pPr>
            <w:r>
              <w:rPr>
                <w:rFonts w:hint="default" w:ascii="Arial Regular" w:hAnsi="Arial Regular" w:cs="Arial Regular"/>
                <w:sz w:val="20"/>
                <w:szCs w:val="20"/>
              </w:rPr>
              <w:t>Carbonyl (C=O)</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9AFDFA8">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AEAFFCC">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9E42C51">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D6B4D17">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C200FE4">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CD709DB">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D4BC064">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BC5B3A5">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6B0FA35">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07AC1F6">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32A0493">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6C8FAE8">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35A4525C">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4D1B77B6">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3109C0A9">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6A0F47EA">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7CCF8AB6">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226A5CF6">
            <w:pPr>
              <w:pStyle w:val="42"/>
              <w:jc w:val="center"/>
              <w:rPr>
                <w:rFonts w:hint="default" w:ascii="Arial Regular" w:hAnsi="Arial Regular" w:cs="Arial Regular"/>
                <w:sz w:val="20"/>
                <w:szCs w:val="20"/>
              </w:rPr>
            </w:pPr>
          </w:p>
        </w:tc>
      </w:tr>
      <w:tr w14:paraId="7500A2C0">
        <w:trPr>
          <w:trHeight w:val="23" w:hRule="atLeast"/>
        </w:trPr>
        <w:tc>
          <w:tcPr>
            <w:tcW w:w="0" w:type="auto"/>
            <w:vMerge w:val="continue"/>
            <w:tcBorders>
              <w:top w:val="single" w:color="000000" w:sz="4" w:space="0"/>
              <w:left w:val="nil"/>
              <w:bottom w:val="single" w:color="000000" w:sz="12" w:space="0"/>
              <w:right w:val="nil"/>
            </w:tcBorders>
            <w:vAlign w:val="center"/>
          </w:tcPr>
          <w:p w14:paraId="149F9320">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465EFEC1">
            <w:pPr>
              <w:pStyle w:val="42"/>
              <w:jc w:val="center"/>
              <w:rPr>
                <w:rFonts w:hint="default" w:ascii="Arial Regular" w:hAnsi="Arial Regular" w:cs="Arial Regular"/>
                <w:sz w:val="20"/>
                <w:szCs w:val="20"/>
              </w:rPr>
            </w:pPr>
            <w:r>
              <w:rPr>
                <w:rFonts w:hint="default" w:ascii="Arial Regular" w:hAnsi="Arial Regular" w:cs="Arial Regular"/>
                <w:sz w:val="20"/>
                <w:szCs w:val="20"/>
              </w:rPr>
              <w:t>2009</w:t>
            </w:r>
          </w:p>
        </w:tc>
        <w:tc>
          <w:tcPr>
            <w:tcW w:w="0" w:type="auto"/>
            <w:vMerge w:val="restart"/>
            <w:tcBorders>
              <w:top w:val="nil"/>
              <w:left w:val="nil"/>
              <w:bottom w:val="nil"/>
              <w:right w:val="nil"/>
            </w:tcBorders>
            <w:shd w:val="clear" w:color="auto" w:fill="auto"/>
            <w:tcMar>
              <w:top w:w="8" w:type="dxa"/>
              <w:left w:w="8" w:type="dxa"/>
              <w:bottom w:w="0" w:type="dxa"/>
              <w:right w:w="8" w:type="dxa"/>
            </w:tcMar>
            <w:vAlign w:val="center"/>
          </w:tcPr>
          <w:p w14:paraId="45D3ECB5">
            <w:pPr>
              <w:pStyle w:val="42"/>
              <w:jc w:val="center"/>
              <w:rPr>
                <w:rFonts w:hint="default" w:ascii="Arial Regular" w:hAnsi="Arial Regular" w:cs="Arial Regular" w:eastAsiaTheme="minorEastAsia"/>
                <w:sz w:val="20"/>
                <w:szCs w:val="20"/>
                <w:lang w:eastAsia="zh-CN"/>
              </w:rPr>
            </w:pPr>
            <w:r>
              <w:rPr>
                <w:rFonts w:hint="default" w:ascii="Arial Regular" w:hAnsi="Arial Regular" w:cs="Arial Regular"/>
                <w:sz w:val="20"/>
                <w:szCs w:val="20"/>
                <w:lang w:val="en-US" w:eastAsia="zh-CN"/>
              </w:rPr>
              <w:t>Unassigned</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94BDA23">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E567227">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A316D2A">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A2C8FC6">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A744DA8">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522D72E">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CEDFCC9">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91391AE">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5CF2E95">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6FF518F">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DAB4486">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3573248">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0642F1E0">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281C51EB">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6F880C48">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1356B4C6">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158CD0C2">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3517DF60">
            <w:pPr>
              <w:pStyle w:val="42"/>
              <w:jc w:val="center"/>
              <w:rPr>
                <w:rFonts w:hint="default" w:ascii="Arial Regular" w:hAnsi="Arial Regular" w:cs="Arial Regular"/>
                <w:sz w:val="20"/>
                <w:szCs w:val="20"/>
              </w:rPr>
            </w:pPr>
          </w:p>
        </w:tc>
      </w:tr>
      <w:tr w14:paraId="330A1941">
        <w:trPr>
          <w:trHeight w:val="23" w:hRule="atLeast"/>
        </w:trPr>
        <w:tc>
          <w:tcPr>
            <w:tcW w:w="0" w:type="auto"/>
            <w:vMerge w:val="continue"/>
            <w:tcBorders>
              <w:top w:val="single" w:color="000000" w:sz="4" w:space="0"/>
              <w:left w:val="nil"/>
              <w:bottom w:val="single" w:color="000000" w:sz="12" w:space="0"/>
              <w:right w:val="nil"/>
            </w:tcBorders>
            <w:vAlign w:val="center"/>
          </w:tcPr>
          <w:p w14:paraId="044DB826">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17C43FCD">
            <w:pPr>
              <w:pStyle w:val="42"/>
              <w:jc w:val="center"/>
              <w:rPr>
                <w:rFonts w:hint="default" w:ascii="Arial Regular" w:hAnsi="Arial Regular" w:cs="Arial Regular"/>
                <w:sz w:val="20"/>
                <w:szCs w:val="20"/>
              </w:rPr>
            </w:pPr>
            <w:r>
              <w:rPr>
                <w:rFonts w:hint="default" w:ascii="Arial Regular" w:hAnsi="Arial Regular" w:cs="Arial Regular"/>
                <w:sz w:val="20"/>
                <w:szCs w:val="20"/>
              </w:rPr>
              <w:t>2018</w:t>
            </w:r>
          </w:p>
        </w:tc>
        <w:tc>
          <w:tcPr>
            <w:tcW w:w="0" w:type="auto"/>
            <w:vMerge w:val="continue"/>
            <w:tcBorders>
              <w:top w:val="nil"/>
              <w:left w:val="nil"/>
              <w:bottom w:val="nil"/>
              <w:right w:val="nil"/>
            </w:tcBorders>
            <w:vAlign w:val="center"/>
          </w:tcPr>
          <w:p w14:paraId="3060DA6A">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94DDF1B">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F09F6C7">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59E9113">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4D2FD5A">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D4BCB12">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DBFCFEB">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B4E80CF">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0EB8D83">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748F8C2">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C512E47">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B12F0A6">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B5E11A2">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6E17C8FD">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4A8D2141">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04AAF6B8">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6280D4B2">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40CD9177">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2F9D482B">
            <w:pPr>
              <w:pStyle w:val="42"/>
              <w:jc w:val="center"/>
              <w:rPr>
                <w:rFonts w:hint="default" w:ascii="Arial Regular" w:hAnsi="Arial Regular" w:cs="Arial Regular"/>
                <w:sz w:val="20"/>
                <w:szCs w:val="20"/>
              </w:rPr>
            </w:pPr>
          </w:p>
        </w:tc>
      </w:tr>
      <w:tr w14:paraId="1D5BE713">
        <w:trPr>
          <w:trHeight w:val="23" w:hRule="atLeast"/>
        </w:trPr>
        <w:tc>
          <w:tcPr>
            <w:tcW w:w="0" w:type="auto"/>
            <w:vMerge w:val="continue"/>
            <w:tcBorders>
              <w:top w:val="single" w:color="000000" w:sz="4" w:space="0"/>
              <w:left w:val="nil"/>
              <w:bottom w:val="single" w:color="000000" w:sz="12" w:space="0"/>
              <w:right w:val="nil"/>
            </w:tcBorders>
            <w:vAlign w:val="center"/>
          </w:tcPr>
          <w:p w14:paraId="7C3C97BE">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4DDC5909">
            <w:pPr>
              <w:pStyle w:val="42"/>
              <w:jc w:val="center"/>
              <w:rPr>
                <w:rFonts w:hint="default" w:ascii="Arial Regular" w:hAnsi="Arial Regular" w:cs="Arial Regular"/>
                <w:sz w:val="20"/>
                <w:szCs w:val="20"/>
              </w:rPr>
            </w:pPr>
            <w:r>
              <w:rPr>
                <w:rFonts w:hint="default" w:ascii="Arial Regular" w:hAnsi="Arial Regular" w:cs="Arial Regular"/>
                <w:sz w:val="20"/>
                <w:szCs w:val="20"/>
              </w:rPr>
              <w:t>2927</w:t>
            </w: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627E5D11">
            <w:pPr>
              <w:pStyle w:val="42"/>
              <w:jc w:val="center"/>
              <w:rPr>
                <w:rFonts w:hint="default" w:ascii="Arial Regular" w:hAnsi="Arial Regular" w:cs="Arial Regular"/>
                <w:sz w:val="20"/>
                <w:szCs w:val="20"/>
              </w:rPr>
            </w:pPr>
            <w:r>
              <w:rPr>
                <w:rFonts w:hint="default" w:ascii="Arial Regular" w:hAnsi="Arial Regular" w:cs="Arial Regular"/>
                <w:sz w:val="20"/>
                <w:szCs w:val="20"/>
              </w:rPr>
              <w:t>Aliphatic hydrocarbons (C–H)</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142790D">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5C611D1">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16581BE">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B329AA5">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C5FD936">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04192D5">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CE832C7">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3562967">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057DB74">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6515BE0">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D6A7032">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CD437EA">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27951149">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50C52985">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0FF7BF6C">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2B1AEB9C">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5F929319">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3ED5724A">
            <w:pPr>
              <w:pStyle w:val="42"/>
              <w:jc w:val="center"/>
              <w:rPr>
                <w:rFonts w:hint="default" w:ascii="Arial Regular" w:hAnsi="Arial Regular" w:cs="Arial Regular"/>
                <w:sz w:val="20"/>
                <w:szCs w:val="20"/>
              </w:rPr>
            </w:pPr>
          </w:p>
        </w:tc>
      </w:tr>
      <w:tr w14:paraId="628D1F65">
        <w:trPr>
          <w:trHeight w:val="23" w:hRule="atLeast"/>
        </w:trPr>
        <w:tc>
          <w:tcPr>
            <w:tcW w:w="0" w:type="auto"/>
            <w:vMerge w:val="continue"/>
            <w:tcBorders>
              <w:top w:val="single" w:color="000000" w:sz="4" w:space="0"/>
              <w:left w:val="nil"/>
              <w:bottom w:val="single" w:color="000000" w:sz="12" w:space="0"/>
              <w:right w:val="nil"/>
            </w:tcBorders>
            <w:vAlign w:val="center"/>
          </w:tcPr>
          <w:p w14:paraId="57953995">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066B5E1D">
            <w:pPr>
              <w:pStyle w:val="42"/>
              <w:jc w:val="center"/>
              <w:rPr>
                <w:rFonts w:hint="default" w:ascii="Arial Regular" w:hAnsi="Arial Regular" w:cs="Arial Regular"/>
                <w:sz w:val="20"/>
                <w:szCs w:val="20"/>
              </w:rPr>
            </w:pPr>
            <w:r>
              <w:rPr>
                <w:rFonts w:hint="default" w:ascii="Arial Regular" w:hAnsi="Arial Regular" w:cs="Arial Regular"/>
                <w:sz w:val="20"/>
                <w:szCs w:val="20"/>
              </w:rPr>
              <w:t>3035</w:t>
            </w: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7EBB34D5">
            <w:pPr>
              <w:pStyle w:val="42"/>
              <w:jc w:val="center"/>
              <w:rPr>
                <w:rFonts w:hint="default" w:ascii="Arial Regular" w:hAnsi="Arial Regular" w:cs="Arial Regular"/>
                <w:sz w:val="20"/>
                <w:szCs w:val="20"/>
              </w:rPr>
            </w:pPr>
            <w:r>
              <w:rPr>
                <w:rFonts w:hint="default" w:ascii="Arial Regular" w:hAnsi="Arial Regular" w:cs="Arial Regular"/>
                <w:sz w:val="20"/>
                <w:szCs w:val="20"/>
              </w:rPr>
              <w:t>Aromatic hydrocarbons (Ar–H)</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07AA0F3">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39BC3EC">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54BB0DF">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F377B04">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387946B">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F6D6247">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885283D">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C4993B4">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E689983">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746E960">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45CF314">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DB309C8">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1B63625E">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7550948E">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1415E22E">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2603BF71">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3B96C55B">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28F70CB6">
            <w:pPr>
              <w:pStyle w:val="42"/>
              <w:jc w:val="center"/>
              <w:rPr>
                <w:rFonts w:hint="default" w:ascii="Arial Regular" w:hAnsi="Arial Regular" w:cs="Arial Regular"/>
                <w:sz w:val="20"/>
                <w:szCs w:val="20"/>
              </w:rPr>
            </w:pPr>
          </w:p>
        </w:tc>
      </w:tr>
      <w:tr w14:paraId="58C725F0">
        <w:trPr>
          <w:trHeight w:val="23" w:hRule="atLeast"/>
        </w:trPr>
        <w:tc>
          <w:tcPr>
            <w:tcW w:w="0" w:type="auto"/>
            <w:vMerge w:val="continue"/>
            <w:tcBorders>
              <w:top w:val="single" w:color="000000" w:sz="4" w:space="0"/>
              <w:left w:val="nil"/>
              <w:bottom w:val="single" w:color="000000" w:sz="12" w:space="0"/>
              <w:right w:val="nil"/>
            </w:tcBorders>
            <w:vAlign w:val="center"/>
          </w:tcPr>
          <w:p w14:paraId="6044496A">
            <w:pPr>
              <w:pStyle w:val="42"/>
              <w:jc w:val="center"/>
              <w:rPr>
                <w:rFonts w:hint="default" w:ascii="Arial Regular" w:hAnsi="Arial Regular" w:cs="Arial Regular"/>
                <w:sz w:val="20"/>
                <w:szCs w:val="20"/>
              </w:rPr>
            </w:pPr>
          </w:p>
        </w:tc>
        <w:tc>
          <w:tcPr>
            <w:tcW w:w="0" w:type="auto"/>
            <w:tcBorders>
              <w:top w:val="nil"/>
              <w:left w:val="nil"/>
              <w:bottom w:val="single" w:color="000000" w:sz="12" w:space="0"/>
              <w:right w:val="nil"/>
            </w:tcBorders>
            <w:shd w:val="clear" w:color="auto" w:fill="auto"/>
            <w:tcMar>
              <w:top w:w="8" w:type="dxa"/>
              <w:left w:w="8" w:type="dxa"/>
              <w:bottom w:w="0" w:type="dxa"/>
              <w:right w:w="8" w:type="dxa"/>
            </w:tcMar>
            <w:vAlign w:val="center"/>
          </w:tcPr>
          <w:p w14:paraId="29573994">
            <w:pPr>
              <w:pStyle w:val="42"/>
              <w:jc w:val="center"/>
              <w:rPr>
                <w:rFonts w:hint="default" w:ascii="Arial Regular" w:hAnsi="Arial Regular" w:cs="Arial Regular"/>
                <w:sz w:val="20"/>
                <w:szCs w:val="20"/>
              </w:rPr>
            </w:pPr>
            <w:r>
              <w:rPr>
                <w:rFonts w:hint="default" w:ascii="Arial Regular" w:hAnsi="Arial Regular" w:cs="Arial Regular"/>
                <w:sz w:val="20"/>
                <w:szCs w:val="20"/>
              </w:rPr>
              <w:t>3420</w:t>
            </w:r>
          </w:p>
        </w:tc>
        <w:tc>
          <w:tcPr>
            <w:tcW w:w="0" w:type="auto"/>
            <w:tcBorders>
              <w:top w:val="nil"/>
              <w:left w:val="nil"/>
              <w:bottom w:val="single" w:color="000000" w:sz="12" w:space="0"/>
              <w:right w:val="nil"/>
            </w:tcBorders>
            <w:shd w:val="clear" w:color="auto" w:fill="auto"/>
            <w:tcMar>
              <w:top w:w="8" w:type="dxa"/>
              <w:left w:w="8" w:type="dxa"/>
              <w:bottom w:w="0" w:type="dxa"/>
              <w:right w:w="8" w:type="dxa"/>
            </w:tcMar>
            <w:vAlign w:val="center"/>
          </w:tcPr>
          <w:p w14:paraId="6231146A">
            <w:pPr>
              <w:pStyle w:val="42"/>
              <w:jc w:val="center"/>
              <w:rPr>
                <w:rFonts w:hint="default" w:ascii="Arial Regular" w:hAnsi="Arial Regular" w:cs="Arial Regular"/>
                <w:sz w:val="20"/>
                <w:szCs w:val="20"/>
              </w:rPr>
            </w:pPr>
            <w:r>
              <w:rPr>
                <w:rFonts w:hint="default" w:ascii="Arial Regular" w:hAnsi="Arial Regular" w:cs="Arial Regular"/>
                <w:sz w:val="20"/>
                <w:szCs w:val="20"/>
              </w:rPr>
              <w:t>Hydroxyl (O–H)</w:t>
            </w:r>
          </w:p>
        </w:tc>
        <w:tc>
          <w:tcPr>
            <w:tcW w:w="454"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67829E89">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56E96C60">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0B594EAD">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680F2791">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072BA36F">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5F9D8BFD">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1E8092D9">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7EA5C893">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6C7E2F7E">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431908D0">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500E0638">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6FF673BE">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459D025A">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699D8F6F">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4372451F">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696A8FED">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24CB5484">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604C6BC4">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r>
    </w:tbl>
    <w:p w14:paraId="5D1A7DE3">
      <w:pPr>
        <w:rPr>
          <w:rFonts w:hint="default" w:ascii="Arial Regular" w:hAnsi="Arial Regular" w:cs="Arial Regular"/>
          <w:b/>
          <w:sz w:val="20"/>
          <w:szCs w:val="20"/>
        </w:rPr>
      </w:pPr>
      <w:r>
        <w:rPr>
          <w:rFonts w:hint="default" w:ascii="Arial Regular" w:hAnsi="Arial Regular" w:cs="Arial Regular"/>
          <w:b/>
          <w:sz w:val="20"/>
          <w:szCs w:val="20"/>
        </w:rPr>
        <w:br w:type="page"/>
      </w:r>
    </w:p>
    <w:p w14:paraId="72CCA613">
      <w:pPr>
        <w:pStyle w:val="3"/>
        <w:keepNext/>
        <w:keepLines/>
        <w:pageBreakBefore w:val="0"/>
        <w:widowControl w:val="0"/>
        <w:kinsoku/>
        <w:wordWrap/>
        <w:overflowPunct/>
        <w:topLinePunct w:val="0"/>
        <w:autoSpaceDE/>
        <w:autoSpaceDN/>
        <w:bidi w:val="0"/>
        <w:adjustRightInd/>
        <w:snapToGrid/>
        <w:spacing w:before="0" w:beforeLines="0" w:after="157" w:afterLines="50" w:line="240" w:lineRule="auto"/>
        <w:textAlignment w:val="auto"/>
        <w:rPr>
          <w:rFonts w:hint="default" w:ascii="Arial Regular" w:hAnsi="Arial Regular" w:cs="Arial Regular"/>
          <w:b/>
          <w:sz w:val="20"/>
          <w:szCs w:val="20"/>
        </w:rPr>
      </w:pPr>
      <w:r>
        <w:rPr>
          <w:rFonts w:hint="default" w:ascii="Arial Regular" w:hAnsi="Arial Regular" w:cs="Arial Regular"/>
          <w:b/>
          <w:bCs w:val="0"/>
          <w:sz w:val="20"/>
          <w:szCs w:val="20"/>
        </w:rPr>
        <w:t xml:space="preserve">Supplementary </w:t>
      </w:r>
      <w:r>
        <w:rPr>
          <w:rFonts w:hint="default" w:ascii="Arial Regular" w:hAnsi="Arial Regular" w:cs="Arial Regular"/>
          <w:b/>
          <w:sz w:val="20"/>
          <w:szCs w:val="20"/>
        </w:rPr>
        <w:t xml:space="preserve">Table </w:t>
      </w:r>
      <w:r>
        <w:rPr>
          <w:rFonts w:hint="default" w:ascii="Arial Regular" w:hAnsi="Arial Regular" w:cs="Arial Regular"/>
          <w:b/>
          <w:sz w:val="20"/>
          <w:szCs w:val="20"/>
          <w:lang w:val="en-US" w:eastAsia="zh-CN"/>
        </w:rPr>
        <w:t>8</w:t>
      </w:r>
      <w:r>
        <w:rPr>
          <w:rFonts w:hint="default" w:ascii="Arial Regular" w:hAnsi="Arial Regular" w:cs="Arial Regular"/>
          <w:b/>
          <w:sz w:val="20"/>
          <w:szCs w:val="20"/>
        </w:rPr>
        <w:t xml:space="preserve">. Calculated synchronous and asynchronous 2D correlation spectra of </w:t>
      </w:r>
      <w:r>
        <w:rPr>
          <w:rFonts w:hint="default" w:ascii="Arial Regular" w:hAnsi="Arial Regular" w:cs="Arial Regular"/>
          <w:b/>
          <w:i/>
          <w:iCs/>
          <w:sz w:val="20"/>
          <w:szCs w:val="20"/>
        </w:rPr>
        <w:t>A.niger</w:t>
      </w:r>
      <w:r>
        <w:rPr>
          <w:rFonts w:hint="default" w:ascii="Arial Regular" w:hAnsi="Arial Regular" w:cs="Arial Regular"/>
          <w:b/>
          <w:sz w:val="20"/>
          <w:szCs w:val="20"/>
        </w:rPr>
        <w:t xml:space="preserve"> spores after Cu(II) complexation.</w:t>
      </w:r>
    </w:p>
    <w:tbl>
      <w:tblPr>
        <w:tblStyle w:val="10"/>
        <w:tblW w:w="0" w:type="auto"/>
        <w:tblInd w:w="0" w:type="dxa"/>
        <w:tblLayout w:type="autofit"/>
        <w:tblCellMar>
          <w:top w:w="0" w:type="dxa"/>
          <w:left w:w="0" w:type="dxa"/>
          <w:bottom w:w="0" w:type="dxa"/>
          <w:right w:w="0" w:type="dxa"/>
        </w:tblCellMar>
      </w:tblPr>
      <w:tblGrid>
        <w:gridCol w:w="516"/>
        <w:gridCol w:w="703"/>
        <w:gridCol w:w="3508"/>
        <w:gridCol w:w="454"/>
        <w:gridCol w:w="454"/>
        <w:gridCol w:w="454"/>
        <w:gridCol w:w="454"/>
        <w:gridCol w:w="454"/>
        <w:gridCol w:w="454"/>
        <w:gridCol w:w="454"/>
        <w:gridCol w:w="461"/>
        <w:gridCol w:w="461"/>
        <w:gridCol w:w="461"/>
        <w:gridCol w:w="461"/>
        <w:gridCol w:w="461"/>
        <w:gridCol w:w="461"/>
        <w:gridCol w:w="461"/>
        <w:gridCol w:w="461"/>
        <w:gridCol w:w="461"/>
        <w:gridCol w:w="461"/>
        <w:gridCol w:w="461"/>
      </w:tblGrid>
      <w:tr w14:paraId="6A8C0E48">
        <w:trPr>
          <w:trHeight w:val="23" w:hRule="atLeast"/>
        </w:trPr>
        <w:tc>
          <w:tcPr>
            <w:tcW w:w="0" w:type="auto"/>
            <w:tcBorders>
              <w:top w:val="single" w:color="000000" w:sz="12" w:space="0"/>
              <w:left w:val="nil"/>
              <w:bottom w:val="nil"/>
              <w:right w:val="nil"/>
            </w:tcBorders>
            <w:shd w:val="clear" w:color="auto" w:fill="E7E6E6" w:themeFill="background2"/>
            <w:tcMar>
              <w:top w:w="8" w:type="dxa"/>
              <w:left w:w="8" w:type="dxa"/>
              <w:bottom w:w="0" w:type="dxa"/>
              <w:right w:w="8" w:type="dxa"/>
            </w:tcMar>
            <w:vAlign w:val="center"/>
          </w:tcPr>
          <w:p w14:paraId="25501B38">
            <w:pPr>
              <w:pStyle w:val="42"/>
              <w:jc w:val="center"/>
              <w:rPr>
                <w:rFonts w:hint="default" w:ascii="Arial Regular" w:hAnsi="Arial Regular" w:cs="Arial Regular"/>
                <w:sz w:val="20"/>
                <w:szCs w:val="20"/>
              </w:rPr>
            </w:pPr>
          </w:p>
        </w:tc>
        <w:tc>
          <w:tcPr>
            <w:tcW w:w="0" w:type="auto"/>
            <w:vMerge w:val="restart"/>
            <w:tcBorders>
              <w:top w:val="single" w:color="000000" w:sz="12" w:space="0"/>
              <w:left w:val="nil"/>
              <w:right w:val="nil"/>
            </w:tcBorders>
            <w:shd w:val="clear" w:color="auto" w:fill="E7E6E6" w:themeFill="background2"/>
            <w:tcMar>
              <w:top w:w="8" w:type="dxa"/>
              <w:left w:w="8" w:type="dxa"/>
              <w:bottom w:w="0" w:type="dxa"/>
              <w:right w:w="8" w:type="dxa"/>
            </w:tcMar>
            <w:vAlign w:val="center"/>
          </w:tcPr>
          <w:p w14:paraId="79CD1F5C">
            <w:pPr>
              <w:pStyle w:val="42"/>
              <w:jc w:val="center"/>
              <w:rPr>
                <w:rFonts w:hint="default" w:ascii="Arial Regular" w:hAnsi="Arial Regular" w:cs="Arial Regular"/>
                <w:sz w:val="20"/>
                <w:szCs w:val="20"/>
              </w:rPr>
            </w:pPr>
            <w:r>
              <w:rPr>
                <w:rFonts w:hint="default" w:ascii="Arial Regular" w:hAnsi="Arial Regular" w:cs="Arial Regular"/>
                <w:i/>
                <w:iCs/>
                <w:sz w:val="20"/>
                <w:szCs w:val="20"/>
                <w:vertAlign w:val="baseline"/>
              </w:rPr>
              <w:t>ν</w:t>
            </w:r>
            <w:r>
              <w:rPr>
                <w:rFonts w:hint="default" w:ascii="Arial Regular" w:hAnsi="Arial Regular" w:cs="Arial Regular"/>
                <w:sz w:val="20"/>
                <w:szCs w:val="20"/>
                <w:vertAlign w:val="subscript"/>
              </w:rPr>
              <w:t>1</w:t>
            </w:r>
            <w:r>
              <w:rPr>
                <w:rFonts w:hint="default" w:ascii="Arial Regular" w:hAnsi="Arial Regular" w:cs="Arial Regular"/>
                <w:sz w:val="20"/>
                <w:szCs w:val="20"/>
              </w:rPr>
              <w:t>(cm</w:t>
            </w:r>
            <w:r>
              <w:rPr>
                <w:rFonts w:hint="default" w:ascii="Arial Regular" w:hAnsi="Arial Regular" w:cs="Arial Regular"/>
                <w:sz w:val="20"/>
                <w:szCs w:val="20"/>
                <w:vertAlign w:val="superscript"/>
              </w:rPr>
              <w:t>-1</w:t>
            </w:r>
            <w:r>
              <w:rPr>
                <w:rFonts w:hint="default" w:ascii="Arial Regular" w:hAnsi="Arial Regular" w:cs="Arial Regular"/>
                <w:sz w:val="20"/>
                <w:szCs w:val="20"/>
              </w:rPr>
              <w:t>)</w:t>
            </w:r>
          </w:p>
        </w:tc>
        <w:tc>
          <w:tcPr>
            <w:tcW w:w="0" w:type="auto"/>
            <w:vMerge w:val="restart"/>
            <w:tcBorders>
              <w:top w:val="single" w:color="000000" w:sz="12" w:space="0"/>
              <w:left w:val="nil"/>
              <w:bottom w:val="single" w:color="000000" w:sz="4" w:space="0"/>
              <w:right w:val="nil"/>
            </w:tcBorders>
            <w:shd w:val="clear" w:color="auto" w:fill="E7E6E6" w:themeFill="background2"/>
            <w:tcMar>
              <w:top w:w="8" w:type="dxa"/>
              <w:left w:w="8" w:type="dxa"/>
              <w:bottom w:w="0" w:type="dxa"/>
              <w:right w:w="8" w:type="dxa"/>
            </w:tcMar>
            <w:vAlign w:val="center"/>
          </w:tcPr>
          <w:p w14:paraId="2F459A03">
            <w:pPr>
              <w:pStyle w:val="42"/>
              <w:jc w:val="center"/>
              <w:rPr>
                <w:rFonts w:hint="default" w:ascii="Arial Regular" w:hAnsi="Arial Regular" w:cs="Arial Regular"/>
                <w:sz w:val="20"/>
                <w:szCs w:val="20"/>
              </w:rPr>
            </w:pPr>
            <w:r>
              <w:rPr>
                <w:rFonts w:hint="default" w:ascii="Arial Regular" w:hAnsi="Arial Regular" w:cs="Arial Regular"/>
                <w:sz w:val="20"/>
                <w:szCs w:val="20"/>
              </w:rPr>
              <w:t>Functional Group</w:t>
            </w:r>
          </w:p>
        </w:tc>
        <w:tc>
          <w:tcPr>
            <w:tcW w:w="0" w:type="auto"/>
            <w:gridSpan w:val="18"/>
            <w:tcBorders>
              <w:top w:val="single" w:color="000000" w:sz="12" w:space="0"/>
              <w:left w:val="nil"/>
              <w:bottom w:val="single" w:color="000000" w:sz="4" w:space="0"/>
              <w:right w:val="nil"/>
            </w:tcBorders>
            <w:shd w:val="clear" w:color="auto" w:fill="E7E6E6" w:themeFill="background2"/>
            <w:tcMar>
              <w:top w:w="8" w:type="dxa"/>
              <w:left w:w="8" w:type="dxa"/>
              <w:bottom w:w="0" w:type="dxa"/>
              <w:right w:w="8" w:type="dxa"/>
            </w:tcMar>
            <w:vAlign w:val="center"/>
          </w:tcPr>
          <w:p w14:paraId="57DF1A79">
            <w:pPr>
              <w:pStyle w:val="42"/>
              <w:jc w:val="center"/>
              <w:rPr>
                <w:rFonts w:hint="default" w:ascii="Arial Regular" w:hAnsi="Arial Regular" w:cs="Arial Regular"/>
                <w:sz w:val="20"/>
                <w:szCs w:val="20"/>
              </w:rPr>
            </w:pPr>
            <w:r>
              <w:rPr>
                <w:rFonts w:hint="default" w:ascii="Arial Regular" w:hAnsi="Arial Regular" w:cs="Arial Regular"/>
                <w:i/>
                <w:iCs/>
                <w:sz w:val="20"/>
                <w:szCs w:val="20"/>
                <w:vertAlign w:val="baseline"/>
              </w:rPr>
              <w:t>ν</w:t>
            </w:r>
            <w:r>
              <w:rPr>
                <w:rFonts w:hint="default" w:ascii="Arial Regular" w:hAnsi="Arial Regular" w:cs="Arial Regular"/>
                <w:sz w:val="20"/>
                <w:szCs w:val="20"/>
                <w:vertAlign w:val="subscript"/>
              </w:rPr>
              <w:t>2</w:t>
            </w:r>
            <w:r>
              <w:rPr>
                <w:rFonts w:hint="default" w:ascii="Arial Regular" w:hAnsi="Arial Regular" w:cs="Arial Regular"/>
                <w:sz w:val="20"/>
                <w:szCs w:val="20"/>
              </w:rPr>
              <w:t>(cm</w:t>
            </w:r>
            <w:r>
              <w:rPr>
                <w:rFonts w:hint="default" w:ascii="Arial Regular" w:hAnsi="Arial Regular" w:cs="Arial Regular"/>
                <w:sz w:val="20"/>
                <w:szCs w:val="20"/>
                <w:vertAlign w:val="superscript"/>
              </w:rPr>
              <w:t>-1</w:t>
            </w:r>
            <w:r>
              <w:rPr>
                <w:rFonts w:hint="default" w:ascii="Arial Regular" w:hAnsi="Arial Regular" w:cs="Arial Regular"/>
                <w:sz w:val="20"/>
                <w:szCs w:val="20"/>
              </w:rPr>
              <w:t>)</w:t>
            </w:r>
          </w:p>
        </w:tc>
      </w:tr>
      <w:tr w14:paraId="2562FC40">
        <w:trPr>
          <w:trHeight w:val="23" w:hRule="atLeast"/>
        </w:trPr>
        <w:tc>
          <w:tcPr>
            <w:tcW w:w="0" w:type="auto"/>
            <w:tcBorders>
              <w:top w:val="nil"/>
              <w:left w:val="nil"/>
              <w:bottom w:val="single" w:color="auto" w:sz="8" w:space="0"/>
              <w:right w:val="nil"/>
            </w:tcBorders>
            <w:shd w:val="clear" w:color="auto" w:fill="E7E6E6" w:themeFill="background2"/>
            <w:tcMar>
              <w:top w:w="8" w:type="dxa"/>
              <w:left w:w="8" w:type="dxa"/>
              <w:bottom w:w="0" w:type="dxa"/>
              <w:right w:w="8" w:type="dxa"/>
            </w:tcMar>
            <w:vAlign w:val="center"/>
          </w:tcPr>
          <w:p w14:paraId="23B6EA7C">
            <w:pPr>
              <w:pStyle w:val="42"/>
              <w:jc w:val="center"/>
              <w:rPr>
                <w:rFonts w:hint="default" w:ascii="Arial Regular" w:hAnsi="Arial Regular" w:cs="Arial Regular"/>
                <w:sz w:val="20"/>
                <w:szCs w:val="20"/>
              </w:rPr>
            </w:pPr>
          </w:p>
        </w:tc>
        <w:tc>
          <w:tcPr>
            <w:tcW w:w="0" w:type="auto"/>
            <w:vMerge w:val="continue"/>
            <w:tcBorders>
              <w:left w:val="nil"/>
              <w:bottom w:val="single" w:color="auto" w:sz="8" w:space="0"/>
              <w:right w:val="nil"/>
            </w:tcBorders>
            <w:shd w:val="clear" w:color="auto" w:fill="E7E6E6" w:themeFill="background2"/>
            <w:tcMar>
              <w:top w:w="8" w:type="dxa"/>
              <w:left w:w="8" w:type="dxa"/>
              <w:bottom w:w="0" w:type="dxa"/>
              <w:right w:w="8" w:type="dxa"/>
            </w:tcMar>
            <w:vAlign w:val="center"/>
          </w:tcPr>
          <w:p w14:paraId="66095010">
            <w:pPr>
              <w:pStyle w:val="42"/>
              <w:jc w:val="center"/>
              <w:rPr>
                <w:rFonts w:hint="default" w:ascii="Arial Regular" w:hAnsi="Arial Regular" w:cs="Arial Regular"/>
                <w:sz w:val="20"/>
                <w:szCs w:val="20"/>
              </w:rPr>
            </w:pPr>
          </w:p>
        </w:tc>
        <w:tc>
          <w:tcPr>
            <w:tcW w:w="0" w:type="auto"/>
            <w:vMerge w:val="continue"/>
            <w:tcBorders>
              <w:top w:val="single" w:color="000000" w:sz="12" w:space="0"/>
              <w:left w:val="nil"/>
              <w:bottom w:val="single" w:color="auto" w:sz="8" w:space="0"/>
              <w:right w:val="nil"/>
            </w:tcBorders>
            <w:shd w:val="clear" w:color="auto" w:fill="E7E6E6" w:themeFill="background2"/>
            <w:vAlign w:val="center"/>
          </w:tcPr>
          <w:p w14:paraId="5F54701C">
            <w:pPr>
              <w:pStyle w:val="42"/>
              <w:jc w:val="center"/>
              <w:rPr>
                <w:rFonts w:hint="default" w:ascii="Arial Regular" w:hAnsi="Arial Regular" w:cs="Arial Regular"/>
                <w:sz w:val="20"/>
                <w:szCs w:val="20"/>
              </w:rPr>
            </w:pPr>
          </w:p>
        </w:tc>
        <w:tc>
          <w:tcPr>
            <w:tcW w:w="0" w:type="auto"/>
            <w:tcBorders>
              <w:top w:val="single" w:color="auto" w:sz="8"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26781817">
            <w:pPr>
              <w:pStyle w:val="42"/>
              <w:jc w:val="center"/>
              <w:rPr>
                <w:rFonts w:hint="default" w:ascii="Arial Regular" w:hAnsi="Arial Regular" w:cs="Arial Regular"/>
                <w:sz w:val="20"/>
                <w:szCs w:val="20"/>
              </w:rPr>
            </w:pPr>
            <w:r>
              <w:rPr>
                <w:rFonts w:hint="default" w:ascii="Arial Regular" w:hAnsi="Arial Regular" w:cs="Arial Regular"/>
                <w:sz w:val="20"/>
                <w:szCs w:val="20"/>
              </w:rPr>
              <w:t>400</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11F9F62F">
            <w:pPr>
              <w:pStyle w:val="42"/>
              <w:jc w:val="center"/>
              <w:rPr>
                <w:rFonts w:hint="default" w:ascii="Arial Regular" w:hAnsi="Arial Regular" w:cs="Arial Regular"/>
                <w:sz w:val="20"/>
                <w:szCs w:val="20"/>
              </w:rPr>
            </w:pPr>
            <w:r>
              <w:rPr>
                <w:rFonts w:hint="default" w:ascii="Arial Regular" w:hAnsi="Arial Regular" w:cs="Arial Regular"/>
                <w:sz w:val="20"/>
                <w:szCs w:val="20"/>
              </w:rPr>
              <w:t>559</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5A38095D">
            <w:pPr>
              <w:pStyle w:val="42"/>
              <w:jc w:val="center"/>
              <w:rPr>
                <w:rFonts w:hint="default" w:ascii="Arial Regular" w:hAnsi="Arial Regular" w:cs="Arial Regular"/>
                <w:sz w:val="20"/>
                <w:szCs w:val="20"/>
              </w:rPr>
            </w:pPr>
            <w:r>
              <w:rPr>
                <w:rFonts w:hint="default" w:ascii="Arial Regular" w:hAnsi="Arial Regular" w:cs="Arial Regular"/>
                <w:sz w:val="20"/>
                <w:szCs w:val="20"/>
              </w:rPr>
              <w:t>680</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75B723D7">
            <w:pPr>
              <w:pStyle w:val="42"/>
              <w:jc w:val="center"/>
              <w:rPr>
                <w:rFonts w:hint="default" w:ascii="Arial Regular" w:hAnsi="Arial Regular" w:cs="Arial Regular"/>
                <w:sz w:val="20"/>
                <w:szCs w:val="20"/>
              </w:rPr>
            </w:pPr>
            <w:r>
              <w:rPr>
                <w:rFonts w:hint="default" w:ascii="Arial Regular" w:hAnsi="Arial Regular" w:cs="Arial Regular"/>
                <w:sz w:val="20"/>
                <w:szCs w:val="20"/>
              </w:rPr>
              <w:t>720</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4C7283F6">
            <w:pPr>
              <w:pStyle w:val="42"/>
              <w:jc w:val="center"/>
              <w:rPr>
                <w:rFonts w:hint="default" w:ascii="Arial Regular" w:hAnsi="Arial Regular" w:cs="Arial Regular"/>
                <w:sz w:val="20"/>
                <w:szCs w:val="20"/>
              </w:rPr>
            </w:pPr>
            <w:r>
              <w:rPr>
                <w:rFonts w:hint="default" w:ascii="Arial Regular" w:hAnsi="Arial Regular" w:cs="Arial Regular"/>
                <w:sz w:val="20"/>
                <w:szCs w:val="20"/>
              </w:rPr>
              <w:t>800</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34BAF3AD">
            <w:pPr>
              <w:pStyle w:val="42"/>
              <w:jc w:val="center"/>
              <w:rPr>
                <w:rFonts w:hint="default" w:ascii="Arial Regular" w:hAnsi="Arial Regular" w:cs="Arial Regular"/>
                <w:sz w:val="20"/>
                <w:szCs w:val="20"/>
              </w:rPr>
            </w:pPr>
            <w:r>
              <w:rPr>
                <w:rFonts w:hint="default" w:ascii="Arial Regular" w:hAnsi="Arial Regular" w:cs="Arial Regular"/>
                <w:sz w:val="20"/>
                <w:szCs w:val="20"/>
              </w:rPr>
              <w:t>878</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4BDA610B">
            <w:pPr>
              <w:pStyle w:val="42"/>
              <w:jc w:val="center"/>
              <w:rPr>
                <w:rFonts w:hint="default" w:ascii="Arial Regular" w:hAnsi="Arial Regular" w:cs="Arial Regular"/>
                <w:sz w:val="20"/>
                <w:szCs w:val="20"/>
              </w:rPr>
            </w:pPr>
            <w:r>
              <w:rPr>
                <w:rFonts w:hint="default" w:ascii="Arial Regular" w:hAnsi="Arial Regular" w:cs="Arial Regular"/>
                <w:sz w:val="20"/>
                <w:szCs w:val="20"/>
              </w:rPr>
              <w:t>947</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4A56EC40">
            <w:pPr>
              <w:pStyle w:val="42"/>
              <w:jc w:val="center"/>
              <w:rPr>
                <w:rFonts w:hint="default" w:ascii="Arial Regular" w:hAnsi="Arial Regular" w:cs="Arial Regular"/>
                <w:sz w:val="20"/>
                <w:szCs w:val="20"/>
              </w:rPr>
            </w:pPr>
            <w:r>
              <w:rPr>
                <w:rFonts w:hint="default" w:ascii="Arial Regular" w:hAnsi="Arial Regular" w:cs="Arial Regular"/>
                <w:sz w:val="20"/>
                <w:szCs w:val="20"/>
              </w:rPr>
              <w:t>1063</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5E69A1FA">
            <w:pPr>
              <w:pStyle w:val="42"/>
              <w:jc w:val="center"/>
              <w:rPr>
                <w:rFonts w:hint="default" w:ascii="Arial Regular" w:hAnsi="Arial Regular" w:cs="Arial Regular"/>
                <w:sz w:val="20"/>
                <w:szCs w:val="20"/>
              </w:rPr>
            </w:pPr>
            <w:r>
              <w:rPr>
                <w:rFonts w:hint="default" w:ascii="Arial Regular" w:hAnsi="Arial Regular" w:cs="Arial Regular"/>
                <w:sz w:val="20"/>
                <w:szCs w:val="20"/>
              </w:rPr>
              <w:t>1260</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5A87D931">
            <w:pPr>
              <w:pStyle w:val="42"/>
              <w:jc w:val="center"/>
              <w:rPr>
                <w:rFonts w:hint="default" w:ascii="Arial Regular" w:hAnsi="Arial Regular" w:cs="Arial Regular"/>
                <w:sz w:val="20"/>
                <w:szCs w:val="20"/>
              </w:rPr>
            </w:pPr>
            <w:r>
              <w:rPr>
                <w:rFonts w:hint="default" w:ascii="Arial Regular" w:hAnsi="Arial Regular" w:cs="Arial Regular"/>
                <w:sz w:val="20"/>
                <w:szCs w:val="20"/>
              </w:rPr>
              <w:t>1395</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05E82B88">
            <w:pPr>
              <w:pStyle w:val="42"/>
              <w:jc w:val="center"/>
              <w:rPr>
                <w:rFonts w:hint="default" w:ascii="Arial Regular" w:hAnsi="Arial Regular" w:cs="Arial Regular"/>
                <w:sz w:val="20"/>
                <w:szCs w:val="20"/>
              </w:rPr>
            </w:pPr>
            <w:r>
              <w:rPr>
                <w:rFonts w:hint="default" w:ascii="Arial Regular" w:hAnsi="Arial Regular" w:cs="Arial Regular"/>
                <w:sz w:val="20"/>
                <w:szCs w:val="20"/>
              </w:rPr>
              <w:t>1502</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09079F9D">
            <w:pPr>
              <w:pStyle w:val="42"/>
              <w:jc w:val="center"/>
              <w:rPr>
                <w:rFonts w:hint="default" w:ascii="Arial Regular" w:hAnsi="Arial Regular" w:cs="Arial Regular"/>
                <w:sz w:val="20"/>
                <w:szCs w:val="20"/>
              </w:rPr>
            </w:pPr>
            <w:r>
              <w:rPr>
                <w:rFonts w:hint="default" w:ascii="Arial Regular" w:hAnsi="Arial Regular" w:cs="Arial Regular"/>
                <w:sz w:val="20"/>
                <w:szCs w:val="20"/>
              </w:rPr>
              <w:t>1628</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61FBE762">
            <w:pPr>
              <w:pStyle w:val="42"/>
              <w:jc w:val="center"/>
              <w:rPr>
                <w:rFonts w:hint="default" w:ascii="Arial Regular" w:hAnsi="Arial Regular" w:cs="Arial Regular"/>
                <w:sz w:val="20"/>
                <w:szCs w:val="20"/>
              </w:rPr>
            </w:pPr>
            <w:r>
              <w:rPr>
                <w:rFonts w:hint="default" w:ascii="Arial Regular" w:hAnsi="Arial Regular" w:cs="Arial Regular"/>
                <w:sz w:val="20"/>
                <w:szCs w:val="20"/>
              </w:rPr>
              <w:t>1803</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7BF4E96D">
            <w:pPr>
              <w:pStyle w:val="42"/>
              <w:jc w:val="center"/>
              <w:rPr>
                <w:rFonts w:hint="default" w:ascii="Arial Regular" w:hAnsi="Arial Regular" w:cs="Arial Regular"/>
                <w:sz w:val="20"/>
                <w:szCs w:val="20"/>
              </w:rPr>
            </w:pPr>
            <w:r>
              <w:rPr>
                <w:rFonts w:hint="default" w:ascii="Arial Regular" w:hAnsi="Arial Regular" w:cs="Arial Regular"/>
                <w:sz w:val="20"/>
                <w:szCs w:val="20"/>
              </w:rPr>
              <w:t>2009</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1CDE9FFB">
            <w:pPr>
              <w:pStyle w:val="42"/>
              <w:jc w:val="center"/>
              <w:rPr>
                <w:rFonts w:hint="default" w:ascii="Arial Regular" w:hAnsi="Arial Regular" w:cs="Arial Regular"/>
                <w:sz w:val="20"/>
                <w:szCs w:val="20"/>
              </w:rPr>
            </w:pPr>
            <w:r>
              <w:rPr>
                <w:rFonts w:hint="default" w:ascii="Arial Regular" w:hAnsi="Arial Regular" w:cs="Arial Regular"/>
                <w:sz w:val="20"/>
                <w:szCs w:val="20"/>
              </w:rPr>
              <w:t>2018</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69088F77">
            <w:pPr>
              <w:pStyle w:val="42"/>
              <w:jc w:val="center"/>
              <w:rPr>
                <w:rFonts w:hint="default" w:ascii="Arial Regular" w:hAnsi="Arial Regular" w:cs="Arial Regular"/>
                <w:sz w:val="20"/>
                <w:szCs w:val="20"/>
              </w:rPr>
            </w:pPr>
            <w:r>
              <w:rPr>
                <w:rFonts w:hint="default" w:ascii="Arial Regular" w:hAnsi="Arial Regular" w:cs="Arial Regular"/>
                <w:sz w:val="20"/>
                <w:szCs w:val="20"/>
              </w:rPr>
              <w:t>2927</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532C00CB">
            <w:pPr>
              <w:pStyle w:val="42"/>
              <w:jc w:val="center"/>
              <w:rPr>
                <w:rFonts w:hint="default" w:ascii="Arial Regular" w:hAnsi="Arial Regular" w:cs="Arial Regular"/>
                <w:sz w:val="20"/>
                <w:szCs w:val="20"/>
              </w:rPr>
            </w:pPr>
            <w:r>
              <w:rPr>
                <w:rFonts w:hint="default" w:ascii="Arial Regular" w:hAnsi="Arial Regular" w:cs="Arial Regular"/>
                <w:sz w:val="20"/>
                <w:szCs w:val="20"/>
              </w:rPr>
              <w:t>3035</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0F8D263E">
            <w:pPr>
              <w:pStyle w:val="42"/>
              <w:jc w:val="center"/>
              <w:rPr>
                <w:rFonts w:hint="default" w:ascii="Arial Regular" w:hAnsi="Arial Regular" w:cs="Arial Regular"/>
                <w:sz w:val="20"/>
                <w:szCs w:val="20"/>
              </w:rPr>
            </w:pPr>
            <w:r>
              <w:rPr>
                <w:rFonts w:hint="default" w:ascii="Arial Regular" w:hAnsi="Arial Regular" w:cs="Arial Regular"/>
                <w:sz w:val="20"/>
                <w:szCs w:val="20"/>
              </w:rPr>
              <w:t>3420</w:t>
            </w:r>
          </w:p>
        </w:tc>
      </w:tr>
      <w:tr w14:paraId="07B14528">
        <w:trPr>
          <w:trHeight w:val="23" w:hRule="atLeast"/>
        </w:trPr>
        <w:tc>
          <w:tcPr>
            <w:tcW w:w="0" w:type="auto"/>
            <w:vMerge w:val="restart"/>
            <w:tcBorders>
              <w:top w:val="single" w:color="auto" w:sz="8" w:space="0"/>
              <w:left w:val="nil"/>
              <w:bottom w:val="single" w:color="000000" w:sz="12" w:space="0"/>
              <w:right w:val="nil"/>
            </w:tcBorders>
            <w:shd w:val="clear" w:color="auto" w:fill="auto"/>
            <w:tcMar>
              <w:top w:w="8" w:type="dxa"/>
              <w:left w:w="8" w:type="dxa"/>
              <w:bottom w:w="0" w:type="dxa"/>
              <w:right w:w="8" w:type="dxa"/>
            </w:tcMar>
            <w:vAlign w:val="center"/>
          </w:tcPr>
          <w:p w14:paraId="1FFDC273">
            <w:pPr>
              <w:pStyle w:val="42"/>
              <w:jc w:val="center"/>
              <w:rPr>
                <w:rFonts w:hint="default" w:ascii="Arial Regular" w:hAnsi="Arial Regular" w:cs="Arial Regular"/>
                <w:sz w:val="20"/>
                <w:szCs w:val="20"/>
              </w:rPr>
            </w:pPr>
            <w:r>
              <w:rPr>
                <w:rFonts w:hint="default" w:ascii="Arial Regular" w:hAnsi="Arial Regular" w:cs="Arial Regular"/>
                <w:sz w:val="20"/>
                <w:szCs w:val="20"/>
              </w:rPr>
              <w:t>Cu(II)</w:t>
            </w:r>
          </w:p>
        </w:tc>
        <w:tc>
          <w:tcPr>
            <w:tcW w:w="0" w:type="auto"/>
            <w:tcBorders>
              <w:top w:val="single" w:color="auto" w:sz="8" w:space="0"/>
              <w:left w:val="nil"/>
              <w:bottom w:val="nil"/>
              <w:right w:val="nil"/>
            </w:tcBorders>
            <w:shd w:val="clear" w:color="auto" w:fill="auto"/>
            <w:tcMar>
              <w:top w:w="8" w:type="dxa"/>
              <w:left w:w="8" w:type="dxa"/>
              <w:bottom w:w="0" w:type="dxa"/>
              <w:right w:w="8" w:type="dxa"/>
            </w:tcMar>
            <w:vAlign w:val="center"/>
          </w:tcPr>
          <w:p w14:paraId="568301CB">
            <w:pPr>
              <w:pStyle w:val="42"/>
              <w:jc w:val="center"/>
              <w:rPr>
                <w:rFonts w:hint="default" w:ascii="Arial Regular" w:hAnsi="Arial Regular" w:cs="Arial Regular"/>
                <w:sz w:val="20"/>
                <w:szCs w:val="20"/>
              </w:rPr>
            </w:pPr>
            <w:r>
              <w:rPr>
                <w:rFonts w:hint="default" w:ascii="Arial Regular" w:hAnsi="Arial Regular" w:cs="Arial Regular"/>
                <w:sz w:val="20"/>
                <w:szCs w:val="20"/>
              </w:rPr>
              <w:t>400</w:t>
            </w:r>
          </w:p>
        </w:tc>
        <w:tc>
          <w:tcPr>
            <w:tcW w:w="0" w:type="auto"/>
            <w:vMerge w:val="restart"/>
            <w:tcBorders>
              <w:top w:val="single" w:color="auto" w:sz="8" w:space="0"/>
              <w:left w:val="nil"/>
              <w:right w:val="nil"/>
            </w:tcBorders>
            <w:shd w:val="clear" w:color="auto" w:fill="auto"/>
            <w:tcMar>
              <w:top w:w="8" w:type="dxa"/>
              <w:left w:w="8" w:type="dxa"/>
              <w:bottom w:w="0" w:type="dxa"/>
              <w:right w:w="8" w:type="dxa"/>
            </w:tcMar>
            <w:vAlign w:val="center"/>
          </w:tcPr>
          <w:p w14:paraId="34B71C8B">
            <w:pPr>
              <w:pStyle w:val="42"/>
              <w:jc w:val="center"/>
              <w:rPr>
                <w:rFonts w:hint="default" w:ascii="Arial Regular" w:hAnsi="Arial Regular" w:cs="Arial Regular"/>
                <w:sz w:val="20"/>
                <w:szCs w:val="20"/>
              </w:rPr>
            </w:pPr>
            <w:r>
              <w:rPr>
                <w:rFonts w:hint="default" w:ascii="Arial Regular" w:hAnsi="Arial Regular" w:cs="Arial Regular"/>
                <w:sz w:val="20"/>
                <w:szCs w:val="20"/>
              </w:rPr>
              <w:t>Metal–oxygen bond (M–O)</w:t>
            </w:r>
          </w:p>
        </w:tc>
        <w:tc>
          <w:tcPr>
            <w:tcW w:w="454"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609DF420">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54"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2D6CA5D8">
            <w:pPr>
              <w:pStyle w:val="42"/>
              <w:jc w:val="center"/>
              <w:rPr>
                <w:rFonts w:hint="default" w:ascii="Arial Regular" w:hAnsi="Arial Regular" w:cs="Arial Regular"/>
                <w:sz w:val="20"/>
                <w:szCs w:val="20"/>
              </w:rPr>
            </w:pPr>
          </w:p>
        </w:tc>
        <w:tc>
          <w:tcPr>
            <w:tcW w:w="454"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55E7A92F">
            <w:pPr>
              <w:pStyle w:val="42"/>
              <w:jc w:val="center"/>
              <w:rPr>
                <w:rFonts w:hint="default" w:ascii="Arial Regular" w:hAnsi="Arial Regular" w:cs="Arial Regular"/>
                <w:sz w:val="20"/>
                <w:szCs w:val="20"/>
              </w:rPr>
            </w:pPr>
          </w:p>
        </w:tc>
        <w:tc>
          <w:tcPr>
            <w:tcW w:w="454"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1C8BC2DC">
            <w:pPr>
              <w:pStyle w:val="42"/>
              <w:jc w:val="center"/>
              <w:rPr>
                <w:rFonts w:hint="default" w:ascii="Arial Regular" w:hAnsi="Arial Regular" w:cs="Arial Regular"/>
                <w:sz w:val="20"/>
                <w:szCs w:val="20"/>
              </w:rPr>
            </w:pPr>
          </w:p>
        </w:tc>
        <w:tc>
          <w:tcPr>
            <w:tcW w:w="454"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038F2638">
            <w:pPr>
              <w:pStyle w:val="42"/>
              <w:jc w:val="center"/>
              <w:rPr>
                <w:rFonts w:hint="default" w:ascii="Arial Regular" w:hAnsi="Arial Regular" w:cs="Arial Regular"/>
                <w:sz w:val="20"/>
                <w:szCs w:val="20"/>
              </w:rPr>
            </w:pPr>
          </w:p>
        </w:tc>
        <w:tc>
          <w:tcPr>
            <w:tcW w:w="454"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6A4F8675">
            <w:pPr>
              <w:pStyle w:val="42"/>
              <w:jc w:val="center"/>
              <w:rPr>
                <w:rFonts w:hint="default" w:ascii="Arial Regular" w:hAnsi="Arial Regular" w:cs="Arial Regular"/>
                <w:sz w:val="20"/>
                <w:szCs w:val="20"/>
              </w:rPr>
            </w:pPr>
          </w:p>
        </w:tc>
        <w:tc>
          <w:tcPr>
            <w:tcW w:w="454"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47B73829">
            <w:pPr>
              <w:pStyle w:val="42"/>
              <w:jc w:val="center"/>
              <w:rPr>
                <w:rFonts w:hint="default" w:ascii="Arial Regular" w:hAnsi="Arial Regular" w:cs="Arial Regular"/>
                <w:sz w:val="20"/>
                <w:szCs w:val="20"/>
              </w:rPr>
            </w:pPr>
          </w:p>
        </w:tc>
        <w:tc>
          <w:tcPr>
            <w:tcW w:w="454"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5C394469">
            <w:pPr>
              <w:pStyle w:val="42"/>
              <w:jc w:val="center"/>
              <w:rPr>
                <w:rFonts w:hint="default" w:ascii="Arial Regular" w:hAnsi="Arial Regular" w:cs="Arial Regular"/>
                <w:sz w:val="20"/>
                <w:szCs w:val="20"/>
              </w:rPr>
            </w:pPr>
          </w:p>
        </w:tc>
        <w:tc>
          <w:tcPr>
            <w:tcW w:w="454"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57DEA3E6">
            <w:pPr>
              <w:pStyle w:val="42"/>
              <w:jc w:val="center"/>
              <w:rPr>
                <w:rFonts w:hint="default" w:ascii="Arial Regular" w:hAnsi="Arial Regular" w:cs="Arial Regular"/>
                <w:sz w:val="20"/>
                <w:szCs w:val="20"/>
              </w:rPr>
            </w:pPr>
          </w:p>
        </w:tc>
        <w:tc>
          <w:tcPr>
            <w:tcW w:w="454"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530DCCC4">
            <w:pPr>
              <w:pStyle w:val="42"/>
              <w:jc w:val="center"/>
              <w:rPr>
                <w:rFonts w:hint="default" w:ascii="Arial Regular" w:hAnsi="Arial Regular" w:cs="Arial Regular"/>
                <w:sz w:val="20"/>
                <w:szCs w:val="20"/>
              </w:rPr>
            </w:pPr>
          </w:p>
        </w:tc>
        <w:tc>
          <w:tcPr>
            <w:tcW w:w="454"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06107176">
            <w:pPr>
              <w:pStyle w:val="42"/>
              <w:jc w:val="center"/>
              <w:rPr>
                <w:rFonts w:hint="default" w:ascii="Arial Regular" w:hAnsi="Arial Regular" w:cs="Arial Regular"/>
                <w:sz w:val="20"/>
                <w:szCs w:val="20"/>
              </w:rPr>
            </w:pPr>
          </w:p>
        </w:tc>
        <w:tc>
          <w:tcPr>
            <w:tcW w:w="454"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2E776852">
            <w:pPr>
              <w:pStyle w:val="42"/>
              <w:jc w:val="center"/>
              <w:rPr>
                <w:rFonts w:hint="default" w:ascii="Arial Regular" w:hAnsi="Arial Regular" w:cs="Arial Regular"/>
                <w:sz w:val="20"/>
                <w:szCs w:val="20"/>
              </w:rPr>
            </w:pPr>
          </w:p>
        </w:tc>
        <w:tc>
          <w:tcPr>
            <w:tcW w:w="436"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3D3B3DF3">
            <w:pPr>
              <w:pStyle w:val="42"/>
              <w:jc w:val="center"/>
              <w:rPr>
                <w:rFonts w:hint="default" w:ascii="Arial Regular" w:hAnsi="Arial Regular" w:cs="Arial Regular"/>
                <w:sz w:val="20"/>
                <w:szCs w:val="20"/>
              </w:rPr>
            </w:pPr>
          </w:p>
        </w:tc>
        <w:tc>
          <w:tcPr>
            <w:tcW w:w="436"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00DC49D9">
            <w:pPr>
              <w:pStyle w:val="42"/>
              <w:jc w:val="center"/>
              <w:rPr>
                <w:rFonts w:hint="default" w:ascii="Arial Regular" w:hAnsi="Arial Regular" w:cs="Arial Regular"/>
                <w:sz w:val="20"/>
                <w:szCs w:val="20"/>
              </w:rPr>
            </w:pPr>
          </w:p>
        </w:tc>
        <w:tc>
          <w:tcPr>
            <w:tcW w:w="436"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3971C9AA">
            <w:pPr>
              <w:pStyle w:val="42"/>
              <w:jc w:val="center"/>
              <w:rPr>
                <w:rFonts w:hint="default" w:ascii="Arial Regular" w:hAnsi="Arial Regular" w:cs="Arial Regular"/>
                <w:sz w:val="20"/>
                <w:szCs w:val="20"/>
              </w:rPr>
            </w:pPr>
          </w:p>
        </w:tc>
        <w:tc>
          <w:tcPr>
            <w:tcW w:w="436"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69D61AA3">
            <w:pPr>
              <w:pStyle w:val="42"/>
              <w:jc w:val="center"/>
              <w:rPr>
                <w:rFonts w:hint="default" w:ascii="Arial Regular" w:hAnsi="Arial Regular" w:cs="Arial Regular"/>
                <w:sz w:val="20"/>
                <w:szCs w:val="20"/>
              </w:rPr>
            </w:pPr>
          </w:p>
        </w:tc>
        <w:tc>
          <w:tcPr>
            <w:tcW w:w="436"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3D375F08">
            <w:pPr>
              <w:pStyle w:val="42"/>
              <w:jc w:val="center"/>
              <w:rPr>
                <w:rFonts w:hint="default" w:ascii="Arial Regular" w:hAnsi="Arial Regular" w:cs="Arial Regular"/>
                <w:sz w:val="20"/>
                <w:szCs w:val="20"/>
              </w:rPr>
            </w:pPr>
          </w:p>
        </w:tc>
        <w:tc>
          <w:tcPr>
            <w:tcW w:w="436"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6BC3F7DB">
            <w:pPr>
              <w:pStyle w:val="42"/>
              <w:jc w:val="center"/>
              <w:rPr>
                <w:rFonts w:hint="default" w:ascii="Arial Regular" w:hAnsi="Arial Regular" w:cs="Arial Regular"/>
                <w:sz w:val="20"/>
                <w:szCs w:val="20"/>
              </w:rPr>
            </w:pPr>
          </w:p>
        </w:tc>
      </w:tr>
      <w:tr w14:paraId="4E571686">
        <w:trPr>
          <w:trHeight w:val="23" w:hRule="atLeast"/>
        </w:trPr>
        <w:tc>
          <w:tcPr>
            <w:tcW w:w="0" w:type="auto"/>
            <w:vMerge w:val="continue"/>
            <w:tcBorders>
              <w:top w:val="single" w:color="000000" w:sz="4" w:space="0"/>
              <w:left w:val="nil"/>
              <w:bottom w:val="single" w:color="000000" w:sz="12" w:space="0"/>
              <w:right w:val="nil"/>
            </w:tcBorders>
            <w:vAlign w:val="center"/>
          </w:tcPr>
          <w:p w14:paraId="583C63C9">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727C6D76">
            <w:pPr>
              <w:pStyle w:val="42"/>
              <w:jc w:val="center"/>
              <w:rPr>
                <w:rFonts w:hint="default" w:ascii="Arial Regular" w:hAnsi="Arial Regular" w:cs="Arial Regular"/>
                <w:sz w:val="20"/>
                <w:szCs w:val="20"/>
              </w:rPr>
            </w:pPr>
            <w:r>
              <w:rPr>
                <w:rFonts w:hint="default" w:ascii="Arial Regular" w:hAnsi="Arial Regular" w:cs="Arial Regular"/>
                <w:sz w:val="20"/>
                <w:szCs w:val="20"/>
              </w:rPr>
              <w:t>559</w:t>
            </w:r>
          </w:p>
        </w:tc>
        <w:tc>
          <w:tcPr>
            <w:tcW w:w="0" w:type="auto"/>
            <w:vMerge w:val="continue"/>
            <w:tcBorders>
              <w:left w:val="nil"/>
              <w:bottom w:val="nil"/>
              <w:right w:val="nil"/>
            </w:tcBorders>
            <w:shd w:val="clear" w:color="auto" w:fill="auto"/>
            <w:tcMar>
              <w:top w:w="8" w:type="dxa"/>
              <w:left w:w="8" w:type="dxa"/>
              <w:bottom w:w="0" w:type="dxa"/>
              <w:right w:w="8" w:type="dxa"/>
            </w:tcMar>
            <w:vAlign w:val="center"/>
          </w:tcPr>
          <w:p w14:paraId="528ECDB7">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A7A9971">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1E248E0">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DFB87FA">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8001EA7">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6511B90">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121124B">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375B838">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BA00DC5">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2C1F66C">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3192E0F">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F4CE4F0">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2AE44A2">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63745567">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5BCEB22C">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5A1A3B50">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496ADF3D">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709E7EBF">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24E901B9">
            <w:pPr>
              <w:pStyle w:val="42"/>
              <w:jc w:val="center"/>
              <w:rPr>
                <w:rFonts w:hint="default" w:ascii="Arial Regular" w:hAnsi="Arial Regular" w:cs="Arial Regular"/>
                <w:sz w:val="20"/>
                <w:szCs w:val="20"/>
              </w:rPr>
            </w:pPr>
          </w:p>
        </w:tc>
      </w:tr>
      <w:tr w14:paraId="01130C8D">
        <w:trPr>
          <w:trHeight w:val="23" w:hRule="atLeast"/>
        </w:trPr>
        <w:tc>
          <w:tcPr>
            <w:tcW w:w="0" w:type="auto"/>
            <w:vMerge w:val="continue"/>
            <w:tcBorders>
              <w:top w:val="single" w:color="000000" w:sz="4" w:space="0"/>
              <w:left w:val="nil"/>
              <w:bottom w:val="single" w:color="000000" w:sz="12" w:space="0"/>
              <w:right w:val="nil"/>
            </w:tcBorders>
            <w:vAlign w:val="center"/>
          </w:tcPr>
          <w:p w14:paraId="46A1D033">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722C9601">
            <w:pPr>
              <w:pStyle w:val="42"/>
              <w:jc w:val="center"/>
              <w:rPr>
                <w:rFonts w:hint="default" w:ascii="Arial Regular" w:hAnsi="Arial Regular" w:cs="Arial Regular"/>
                <w:sz w:val="20"/>
                <w:szCs w:val="20"/>
              </w:rPr>
            </w:pPr>
            <w:r>
              <w:rPr>
                <w:rFonts w:hint="default" w:ascii="Arial Regular" w:hAnsi="Arial Regular" w:cs="Arial Regular"/>
                <w:sz w:val="20"/>
                <w:szCs w:val="20"/>
              </w:rPr>
              <w:t>680</w:t>
            </w: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52BE167F">
            <w:pPr>
              <w:pStyle w:val="42"/>
              <w:jc w:val="center"/>
              <w:rPr>
                <w:rFonts w:hint="default" w:ascii="Arial Regular" w:hAnsi="Arial Regular" w:cs="Arial Regular"/>
                <w:sz w:val="20"/>
                <w:szCs w:val="20"/>
              </w:rPr>
            </w:pPr>
            <w:r>
              <w:rPr>
                <w:rFonts w:hint="default" w:ascii="Arial Regular" w:hAnsi="Arial Regular" w:cs="Arial Regular"/>
                <w:sz w:val="20"/>
                <w:szCs w:val="20"/>
              </w:rPr>
              <w:t>Aromatic hydrocarbons (C–H)</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7B9F84D">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79C1DAE">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B593AF1">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2CF494D">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E273C33">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C0972EF">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8653A12">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D9C973B">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8AFCF85">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B20795E">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4043E6E">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935E24C">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359FDBFE">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4B49F111">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6060C5F3">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17008EDF">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1CFFA74B">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30B4D686">
            <w:pPr>
              <w:pStyle w:val="42"/>
              <w:jc w:val="center"/>
              <w:rPr>
                <w:rFonts w:hint="default" w:ascii="Arial Regular" w:hAnsi="Arial Regular" w:cs="Arial Regular"/>
                <w:sz w:val="20"/>
                <w:szCs w:val="20"/>
              </w:rPr>
            </w:pPr>
          </w:p>
        </w:tc>
      </w:tr>
      <w:tr w14:paraId="26A09E28">
        <w:trPr>
          <w:trHeight w:val="23" w:hRule="atLeast"/>
        </w:trPr>
        <w:tc>
          <w:tcPr>
            <w:tcW w:w="0" w:type="auto"/>
            <w:vMerge w:val="continue"/>
            <w:tcBorders>
              <w:top w:val="single" w:color="000000" w:sz="4" w:space="0"/>
              <w:left w:val="nil"/>
              <w:bottom w:val="single" w:color="000000" w:sz="12" w:space="0"/>
              <w:right w:val="nil"/>
            </w:tcBorders>
            <w:vAlign w:val="center"/>
          </w:tcPr>
          <w:p w14:paraId="356030D2">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58345F10">
            <w:pPr>
              <w:pStyle w:val="42"/>
              <w:jc w:val="center"/>
              <w:rPr>
                <w:rFonts w:hint="default" w:ascii="Arial Regular" w:hAnsi="Arial Regular" w:cs="Arial Regular"/>
                <w:sz w:val="20"/>
                <w:szCs w:val="20"/>
              </w:rPr>
            </w:pPr>
            <w:r>
              <w:rPr>
                <w:rFonts w:hint="default" w:ascii="Arial Regular" w:hAnsi="Arial Regular" w:cs="Arial Regular"/>
                <w:sz w:val="20"/>
                <w:szCs w:val="20"/>
              </w:rPr>
              <w:t>720</w:t>
            </w: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36BAAF4F">
            <w:pPr>
              <w:pStyle w:val="42"/>
              <w:jc w:val="center"/>
              <w:rPr>
                <w:rFonts w:hint="default" w:ascii="Arial Regular" w:hAnsi="Arial Regular" w:cs="Arial Regular"/>
                <w:sz w:val="20"/>
                <w:szCs w:val="20"/>
              </w:rPr>
            </w:pPr>
            <w:r>
              <w:rPr>
                <w:rFonts w:hint="default" w:ascii="Arial Regular" w:hAnsi="Arial Regular" w:cs="Arial Regular"/>
                <w:sz w:val="20"/>
                <w:szCs w:val="20"/>
              </w:rPr>
              <w:t>Aliphatic hydrocarbons (C–H)</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34BAE39">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B157368">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2932597">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EB2BB32">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2410266">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207D56F">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D0EE1C8">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6B0BB50">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C2E9715">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3204C49">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E1EEF02">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3055CB0">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53A3B70B">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3CBD9FD4">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18B1BFFF">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2295753C">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2C6B3ECB">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7F118C83">
            <w:pPr>
              <w:pStyle w:val="42"/>
              <w:jc w:val="center"/>
              <w:rPr>
                <w:rFonts w:hint="default" w:ascii="Arial Regular" w:hAnsi="Arial Regular" w:cs="Arial Regular"/>
                <w:sz w:val="20"/>
                <w:szCs w:val="20"/>
              </w:rPr>
            </w:pPr>
          </w:p>
        </w:tc>
      </w:tr>
      <w:tr w14:paraId="16195348">
        <w:trPr>
          <w:trHeight w:val="23" w:hRule="atLeast"/>
        </w:trPr>
        <w:tc>
          <w:tcPr>
            <w:tcW w:w="0" w:type="auto"/>
            <w:vMerge w:val="continue"/>
            <w:tcBorders>
              <w:top w:val="single" w:color="000000" w:sz="4" w:space="0"/>
              <w:left w:val="nil"/>
              <w:bottom w:val="single" w:color="000000" w:sz="12" w:space="0"/>
              <w:right w:val="nil"/>
            </w:tcBorders>
            <w:vAlign w:val="center"/>
          </w:tcPr>
          <w:p w14:paraId="5A1D9707">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559F6D8D">
            <w:pPr>
              <w:pStyle w:val="42"/>
              <w:jc w:val="center"/>
              <w:rPr>
                <w:rFonts w:hint="default" w:ascii="Arial Regular" w:hAnsi="Arial Regular" w:cs="Arial Regular"/>
                <w:sz w:val="20"/>
                <w:szCs w:val="20"/>
              </w:rPr>
            </w:pPr>
            <w:r>
              <w:rPr>
                <w:rFonts w:hint="default" w:ascii="Arial Regular" w:hAnsi="Arial Regular" w:cs="Arial Regular"/>
                <w:sz w:val="20"/>
                <w:szCs w:val="20"/>
              </w:rPr>
              <w:t>800</w:t>
            </w:r>
          </w:p>
        </w:tc>
        <w:tc>
          <w:tcPr>
            <w:tcW w:w="0" w:type="auto"/>
            <w:vMerge w:val="restart"/>
            <w:tcBorders>
              <w:top w:val="nil"/>
              <w:left w:val="nil"/>
              <w:right w:val="nil"/>
            </w:tcBorders>
            <w:shd w:val="clear" w:color="auto" w:fill="auto"/>
            <w:tcMar>
              <w:top w:w="8" w:type="dxa"/>
              <w:left w:w="8" w:type="dxa"/>
              <w:bottom w:w="0" w:type="dxa"/>
              <w:right w:w="8" w:type="dxa"/>
            </w:tcMar>
            <w:vAlign w:val="center"/>
          </w:tcPr>
          <w:p w14:paraId="6C5089BE">
            <w:pPr>
              <w:pStyle w:val="42"/>
              <w:jc w:val="center"/>
              <w:rPr>
                <w:rFonts w:hint="default" w:ascii="Arial Regular" w:hAnsi="Arial Regular" w:cs="Arial Regular"/>
                <w:sz w:val="20"/>
                <w:szCs w:val="20"/>
              </w:rPr>
            </w:pPr>
            <w:r>
              <w:rPr>
                <w:rFonts w:hint="default" w:ascii="Arial Regular" w:hAnsi="Arial Regular" w:cs="Arial Regular"/>
                <w:sz w:val="20"/>
                <w:szCs w:val="20"/>
              </w:rPr>
              <w:t>Aromatic hydrocarbons (C–H)</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423107D">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365A1BC">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AB7B6F5">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A17DC69">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6027357">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7A1203C">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73E486C">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D47DB0B">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824D84E">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4E523B3">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A0EFAA8">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4517256">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3813BF4F">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3CCDE0F9">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37116A09">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52055027">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4FB64408">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706850A9">
            <w:pPr>
              <w:pStyle w:val="42"/>
              <w:jc w:val="center"/>
              <w:rPr>
                <w:rFonts w:hint="default" w:ascii="Arial Regular" w:hAnsi="Arial Regular" w:cs="Arial Regular"/>
                <w:sz w:val="20"/>
                <w:szCs w:val="20"/>
              </w:rPr>
            </w:pPr>
          </w:p>
        </w:tc>
      </w:tr>
      <w:tr w14:paraId="37182D6D">
        <w:trPr>
          <w:trHeight w:val="23" w:hRule="atLeast"/>
        </w:trPr>
        <w:tc>
          <w:tcPr>
            <w:tcW w:w="0" w:type="auto"/>
            <w:vMerge w:val="continue"/>
            <w:tcBorders>
              <w:top w:val="single" w:color="000000" w:sz="4" w:space="0"/>
              <w:left w:val="nil"/>
              <w:bottom w:val="single" w:color="000000" w:sz="12" w:space="0"/>
              <w:right w:val="nil"/>
            </w:tcBorders>
            <w:vAlign w:val="center"/>
          </w:tcPr>
          <w:p w14:paraId="79832D65">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12050395">
            <w:pPr>
              <w:pStyle w:val="42"/>
              <w:jc w:val="center"/>
              <w:rPr>
                <w:rFonts w:hint="default" w:ascii="Arial Regular" w:hAnsi="Arial Regular" w:cs="Arial Regular"/>
                <w:sz w:val="20"/>
                <w:szCs w:val="20"/>
              </w:rPr>
            </w:pPr>
            <w:r>
              <w:rPr>
                <w:rFonts w:hint="default" w:ascii="Arial Regular" w:hAnsi="Arial Regular" w:cs="Arial Regular"/>
                <w:sz w:val="20"/>
                <w:szCs w:val="20"/>
              </w:rPr>
              <w:t>878</w:t>
            </w:r>
          </w:p>
        </w:tc>
        <w:tc>
          <w:tcPr>
            <w:tcW w:w="0" w:type="auto"/>
            <w:vMerge w:val="continue"/>
            <w:tcBorders>
              <w:left w:val="nil"/>
              <w:bottom w:val="nil"/>
              <w:right w:val="nil"/>
            </w:tcBorders>
            <w:shd w:val="clear" w:color="auto" w:fill="auto"/>
            <w:tcMar>
              <w:top w:w="8" w:type="dxa"/>
              <w:left w:w="8" w:type="dxa"/>
              <w:bottom w:w="0" w:type="dxa"/>
              <w:right w:w="8" w:type="dxa"/>
            </w:tcMar>
            <w:vAlign w:val="center"/>
          </w:tcPr>
          <w:p w14:paraId="5FD91BE1">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D19394A">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DC09A0B">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85CE23C">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1166ACB">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1C3F45B">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CC3E7D8">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AAD4D39">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C92773D">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D6B3C0D">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E6FC7DC">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2BF347C">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48F706D">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6B7C782F">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0191FC07">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7682D75D">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5FDD88A9">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0BF3BD8E">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79AA7FDF">
            <w:pPr>
              <w:pStyle w:val="42"/>
              <w:jc w:val="center"/>
              <w:rPr>
                <w:rFonts w:hint="default" w:ascii="Arial Regular" w:hAnsi="Arial Regular" w:cs="Arial Regular"/>
                <w:sz w:val="20"/>
                <w:szCs w:val="20"/>
              </w:rPr>
            </w:pPr>
          </w:p>
        </w:tc>
      </w:tr>
      <w:tr w14:paraId="13EDB4B9">
        <w:trPr>
          <w:trHeight w:val="23" w:hRule="atLeast"/>
        </w:trPr>
        <w:tc>
          <w:tcPr>
            <w:tcW w:w="0" w:type="auto"/>
            <w:vMerge w:val="continue"/>
            <w:tcBorders>
              <w:top w:val="single" w:color="000000" w:sz="4" w:space="0"/>
              <w:left w:val="nil"/>
              <w:bottom w:val="single" w:color="000000" w:sz="12" w:space="0"/>
              <w:right w:val="nil"/>
            </w:tcBorders>
            <w:vAlign w:val="center"/>
          </w:tcPr>
          <w:p w14:paraId="009993AC">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05ABAA05">
            <w:pPr>
              <w:pStyle w:val="42"/>
              <w:jc w:val="center"/>
              <w:rPr>
                <w:rFonts w:hint="default" w:ascii="Arial Regular" w:hAnsi="Arial Regular" w:cs="Arial Regular"/>
                <w:sz w:val="20"/>
                <w:szCs w:val="20"/>
              </w:rPr>
            </w:pPr>
            <w:r>
              <w:rPr>
                <w:rFonts w:hint="default" w:ascii="Arial Regular" w:hAnsi="Arial Regular" w:cs="Arial Regular"/>
                <w:sz w:val="20"/>
                <w:szCs w:val="20"/>
              </w:rPr>
              <w:t>947</w:t>
            </w: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554BEB65">
            <w:pPr>
              <w:pStyle w:val="42"/>
              <w:jc w:val="center"/>
              <w:rPr>
                <w:rFonts w:hint="default" w:ascii="Arial Regular" w:hAnsi="Arial Regular" w:cs="Arial Regular"/>
                <w:sz w:val="20"/>
                <w:szCs w:val="20"/>
              </w:rPr>
            </w:pPr>
            <w:r>
              <w:rPr>
                <w:rFonts w:hint="default" w:ascii="Arial Regular" w:hAnsi="Arial Regular" w:cs="Arial Regular"/>
                <w:sz w:val="20"/>
                <w:szCs w:val="20"/>
              </w:rPr>
              <w:t>Carboxylic acid (O–H)</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298450B">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872B4F8">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6692FAF">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06D4194">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B625647">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97AC509">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00CCED6">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80D2A51">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2A36C21">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92DC455">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FCEEB06">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6BB139A">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043A63BD">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16BFB175">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3C7A68CA">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0E16A68A">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0B5132C7">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4A4FA3AB">
            <w:pPr>
              <w:pStyle w:val="42"/>
              <w:jc w:val="center"/>
              <w:rPr>
                <w:rFonts w:hint="default" w:ascii="Arial Regular" w:hAnsi="Arial Regular" w:cs="Arial Regular"/>
                <w:sz w:val="20"/>
                <w:szCs w:val="20"/>
              </w:rPr>
            </w:pPr>
          </w:p>
        </w:tc>
      </w:tr>
      <w:tr w14:paraId="743BC161">
        <w:trPr>
          <w:trHeight w:val="23" w:hRule="atLeast"/>
        </w:trPr>
        <w:tc>
          <w:tcPr>
            <w:tcW w:w="0" w:type="auto"/>
            <w:vMerge w:val="continue"/>
            <w:tcBorders>
              <w:top w:val="single" w:color="000000" w:sz="4" w:space="0"/>
              <w:left w:val="nil"/>
              <w:bottom w:val="single" w:color="000000" w:sz="12" w:space="0"/>
              <w:right w:val="nil"/>
            </w:tcBorders>
            <w:vAlign w:val="center"/>
          </w:tcPr>
          <w:p w14:paraId="0A0432E9">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5D2EA924">
            <w:pPr>
              <w:pStyle w:val="42"/>
              <w:jc w:val="center"/>
              <w:rPr>
                <w:rFonts w:hint="default" w:ascii="Arial Regular" w:hAnsi="Arial Regular" w:cs="Arial Regular"/>
                <w:sz w:val="20"/>
                <w:szCs w:val="20"/>
              </w:rPr>
            </w:pPr>
            <w:r>
              <w:rPr>
                <w:rFonts w:hint="default" w:ascii="Arial Regular" w:hAnsi="Arial Regular" w:cs="Arial Regular"/>
                <w:sz w:val="20"/>
                <w:szCs w:val="20"/>
              </w:rPr>
              <w:t>1063</w:t>
            </w: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7B30A2D8">
            <w:pPr>
              <w:pStyle w:val="42"/>
              <w:jc w:val="center"/>
              <w:rPr>
                <w:rFonts w:hint="default" w:ascii="Arial Regular" w:hAnsi="Arial Regular" w:cs="Arial Regular"/>
                <w:sz w:val="20"/>
                <w:szCs w:val="20"/>
              </w:rPr>
            </w:pPr>
            <w:r>
              <w:rPr>
                <w:rFonts w:hint="default" w:ascii="Arial Regular" w:hAnsi="Arial Regular" w:cs="Arial Regular"/>
                <w:sz w:val="20"/>
                <w:szCs w:val="20"/>
              </w:rPr>
              <w:t>Ether (C–O–C) or alcohol (C–O)</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78D685A">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F80C622">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315D454">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6DE91C6">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DD08238">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B281F09">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A275A3C">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C338A58">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8588DA1">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5DCBE7B">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D3B2014">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A2CA587">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05566BE5">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3A5FEE73">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2DC8F99C">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74DF7E52">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12436D81">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67371B46">
            <w:pPr>
              <w:pStyle w:val="42"/>
              <w:jc w:val="center"/>
              <w:rPr>
                <w:rFonts w:hint="default" w:ascii="Arial Regular" w:hAnsi="Arial Regular" w:cs="Arial Regular"/>
                <w:sz w:val="20"/>
                <w:szCs w:val="20"/>
              </w:rPr>
            </w:pPr>
          </w:p>
        </w:tc>
      </w:tr>
      <w:tr w14:paraId="106D4903">
        <w:trPr>
          <w:trHeight w:val="23" w:hRule="atLeast"/>
        </w:trPr>
        <w:tc>
          <w:tcPr>
            <w:tcW w:w="0" w:type="auto"/>
            <w:vMerge w:val="continue"/>
            <w:tcBorders>
              <w:top w:val="single" w:color="000000" w:sz="4" w:space="0"/>
              <w:left w:val="nil"/>
              <w:bottom w:val="single" w:color="000000" w:sz="12" w:space="0"/>
              <w:right w:val="nil"/>
            </w:tcBorders>
            <w:vAlign w:val="center"/>
          </w:tcPr>
          <w:p w14:paraId="0777BEF5">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5C359FF4">
            <w:pPr>
              <w:pStyle w:val="42"/>
              <w:jc w:val="center"/>
              <w:rPr>
                <w:rFonts w:hint="default" w:ascii="Arial Regular" w:hAnsi="Arial Regular" w:cs="Arial Regular"/>
                <w:sz w:val="20"/>
                <w:szCs w:val="20"/>
              </w:rPr>
            </w:pPr>
            <w:r>
              <w:rPr>
                <w:rFonts w:hint="default" w:ascii="Arial Regular" w:hAnsi="Arial Regular" w:cs="Arial Regular"/>
                <w:sz w:val="20"/>
                <w:szCs w:val="20"/>
              </w:rPr>
              <w:t>1260</w:t>
            </w: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71CAC03F">
            <w:pPr>
              <w:pStyle w:val="42"/>
              <w:jc w:val="center"/>
              <w:rPr>
                <w:rFonts w:hint="default" w:ascii="Arial Regular" w:hAnsi="Arial Regular" w:cs="Arial Regular"/>
                <w:sz w:val="20"/>
                <w:szCs w:val="20"/>
              </w:rPr>
            </w:pPr>
            <w:r>
              <w:rPr>
                <w:rFonts w:hint="default" w:ascii="Arial Regular" w:hAnsi="Arial Regular" w:cs="Arial Regular"/>
                <w:sz w:val="20"/>
                <w:szCs w:val="20"/>
              </w:rPr>
              <w:t>Ether (C–O–C) or ester (C–O)</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7A94D9E">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5638A26">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3215696">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A8D0170">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F77C84E">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7C78392">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99E7F73">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A94247B">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198ABA7">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06830C2">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52E20A6">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2A96915">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72B6748F">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33757F54">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78E99AB9">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2B140D74">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7502B72B">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2A71AFB8">
            <w:pPr>
              <w:pStyle w:val="42"/>
              <w:jc w:val="center"/>
              <w:rPr>
                <w:rFonts w:hint="default" w:ascii="Arial Regular" w:hAnsi="Arial Regular" w:cs="Arial Regular"/>
                <w:sz w:val="20"/>
                <w:szCs w:val="20"/>
              </w:rPr>
            </w:pPr>
          </w:p>
        </w:tc>
      </w:tr>
      <w:tr w14:paraId="49467384">
        <w:trPr>
          <w:trHeight w:val="23" w:hRule="atLeast"/>
        </w:trPr>
        <w:tc>
          <w:tcPr>
            <w:tcW w:w="0" w:type="auto"/>
            <w:vMerge w:val="continue"/>
            <w:tcBorders>
              <w:top w:val="single" w:color="000000" w:sz="4" w:space="0"/>
              <w:left w:val="nil"/>
              <w:bottom w:val="single" w:color="000000" w:sz="12" w:space="0"/>
              <w:right w:val="nil"/>
            </w:tcBorders>
            <w:vAlign w:val="center"/>
          </w:tcPr>
          <w:p w14:paraId="15A7305E">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42D45E46">
            <w:pPr>
              <w:pStyle w:val="42"/>
              <w:jc w:val="center"/>
              <w:rPr>
                <w:rFonts w:hint="default" w:ascii="Arial Regular" w:hAnsi="Arial Regular" w:cs="Arial Regular"/>
                <w:sz w:val="20"/>
                <w:szCs w:val="20"/>
              </w:rPr>
            </w:pPr>
            <w:r>
              <w:rPr>
                <w:rFonts w:hint="default" w:ascii="Arial Regular" w:hAnsi="Arial Regular" w:cs="Arial Regular"/>
                <w:sz w:val="20"/>
                <w:szCs w:val="20"/>
              </w:rPr>
              <w:t>1395</w:t>
            </w: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18ABB78C">
            <w:pPr>
              <w:pStyle w:val="42"/>
              <w:jc w:val="center"/>
              <w:rPr>
                <w:rFonts w:hint="default" w:ascii="Arial Regular" w:hAnsi="Arial Regular" w:cs="Arial Regular"/>
                <w:sz w:val="20"/>
                <w:szCs w:val="20"/>
              </w:rPr>
            </w:pPr>
            <w:r>
              <w:rPr>
                <w:rFonts w:hint="default" w:ascii="Arial Regular" w:hAnsi="Arial Regular" w:cs="Arial Regular"/>
                <w:sz w:val="20"/>
                <w:szCs w:val="20"/>
              </w:rPr>
              <w:t>Carboxylic acid (O–H) or CH</w:t>
            </w:r>
            <w:r>
              <w:rPr>
                <w:rFonts w:hint="default" w:ascii="Arial Regular" w:hAnsi="Arial Regular" w:cs="Arial Regular"/>
                <w:sz w:val="20"/>
                <w:szCs w:val="20"/>
                <w:vertAlign w:val="subscript"/>
              </w:rPr>
              <w:t>3</w:t>
            </w:r>
            <w:r>
              <w:rPr>
                <w:rFonts w:hint="default" w:ascii="Arial Regular" w:hAnsi="Arial Regular" w:cs="Arial Regular"/>
                <w:sz w:val="20"/>
                <w:szCs w:val="20"/>
              </w:rPr>
              <w:t xml:space="preserve"> deformation</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971D4A9">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FF378FD">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72203AD">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7577A0F">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BFD4584">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A6D5329">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CF74869">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7189035">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3D2125F">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0B34BB4">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449CA86">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C1C6905">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196C1C74">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4E9F4427">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63BEC784">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69A71F99">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03001820">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735A6EEA">
            <w:pPr>
              <w:pStyle w:val="42"/>
              <w:jc w:val="center"/>
              <w:rPr>
                <w:rFonts w:hint="default" w:ascii="Arial Regular" w:hAnsi="Arial Regular" w:cs="Arial Regular"/>
                <w:sz w:val="20"/>
                <w:szCs w:val="20"/>
              </w:rPr>
            </w:pPr>
          </w:p>
        </w:tc>
      </w:tr>
      <w:tr w14:paraId="327C999C">
        <w:trPr>
          <w:trHeight w:val="23" w:hRule="atLeast"/>
        </w:trPr>
        <w:tc>
          <w:tcPr>
            <w:tcW w:w="0" w:type="auto"/>
            <w:vMerge w:val="continue"/>
            <w:tcBorders>
              <w:top w:val="single" w:color="000000" w:sz="4" w:space="0"/>
              <w:left w:val="nil"/>
              <w:bottom w:val="single" w:color="000000" w:sz="12" w:space="0"/>
              <w:right w:val="nil"/>
            </w:tcBorders>
            <w:vAlign w:val="center"/>
          </w:tcPr>
          <w:p w14:paraId="5DCD05BB">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38CDA43C">
            <w:pPr>
              <w:pStyle w:val="42"/>
              <w:jc w:val="center"/>
              <w:rPr>
                <w:rFonts w:hint="default" w:ascii="Arial Regular" w:hAnsi="Arial Regular" w:cs="Arial Regular"/>
                <w:sz w:val="20"/>
                <w:szCs w:val="20"/>
              </w:rPr>
            </w:pPr>
            <w:r>
              <w:rPr>
                <w:rFonts w:hint="default" w:ascii="Arial Regular" w:hAnsi="Arial Regular" w:cs="Arial Regular"/>
                <w:sz w:val="20"/>
                <w:szCs w:val="20"/>
              </w:rPr>
              <w:t>1502</w:t>
            </w: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655966B0">
            <w:pPr>
              <w:pStyle w:val="42"/>
              <w:jc w:val="center"/>
              <w:rPr>
                <w:rFonts w:hint="default" w:ascii="Arial Regular" w:hAnsi="Arial Regular" w:cs="Arial Regular"/>
                <w:sz w:val="20"/>
                <w:szCs w:val="20"/>
              </w:rPr>
            </w:pPr>
            <w:r>
              <w:rPr>
                <w:rFonts w:hint="default" w:ascii="Arial Regular" w:hAnsi="Arial Regular" w:cs="Arial Regular"/>
                <w:sz w:val="20"/>
                <w:szCs w:val="20"/>
              </w:rPr>
              <w:t>Aromatic ring (C=C)</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6738FA3">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FA4A135">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4BE9A89">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9BC9BC1">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AC3EA70">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ACEEC0A">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F6840CF">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48DF60B">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6925142">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13476AD">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5A95E5A">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31B9567">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434771CD">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5B0E458A">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161D2173">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2340EBE2">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2D8DEFCB">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589AA311">
            <w:pPr>
              <w:pStyle w:val="42"/>
              <w:jc w:val="center"/>
              <w:rPr>
                <w:rFonts w:hint="default" w:ascii="Arial Regular" w:hAnsi="Arial Regular" w:cs="Arial Regular"/>
                <w:sz w:val="20"/>
                <w:szCs w:val="20"/>
              </w:rPr>
            </w:pPr>
          </w:p>
        </w:tc>
      </w:tr>
      <w:tr w14:paraId="79155BED">
        <w:trPr>
          <w:trHeight w:val="23" w:hRule="atLeast"/>
        </w:trPr>
        <w:tc>
          <w:tcPr>
            <w:tcW w:w="0" w:type="auto"/>
            <w:vMerge w:val="continue"/>
            <w:tcBorders>
              <w:top w:val="single" w:color="000000" w:sz="4" w:space="0"/>
              <w:left w:val="nil"/>
              <w:bottom w:val="single" w:color="000000" w:sz="12" w:space="0"/>
              <w:right w:val="nil"/>
            </w:tcBorders>
            <w:vAlign w:val="center"/>
          </w:tcPr>
          <w:p w14:paraId="1AAF466C">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6315B134">
            <w:pPr>
              <w:pStyle w:val="42"/>
              <w:jc w:val="center"/>
              <w:rPr>
                <w:rFonts w:hint="default" w:ascii="Arial Regular" w:hAnsi="Arial Regular" w:cs="Arial Regular"/>
                <w:sz w:val="20"/>
                <w:szCs w:val="20"/>
              </w:rPr>
            </w:pPr>
            <w:r>
              <w:rPr>
                <w:rFonts w:hint="default" w:ascii="Arial Regular" w:hAnsi="Arial Regular" w:cs="Arial Regular"/>
                <w:sz w:val="20"/>
                <w:szCs w:val="20"/>
              </w:rPr>
              <w:t>1628</w:t>
            </w: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2DC9064C">
            <w:pPr>
              <w:pStyle w:val="42"/>
              <w:jc w:val="center"/>
              <w:rPr>
                <w:rFonts w:hint="default" w:ascii="Arial Regular" w:hAnsi="Arial Regular" w:cs="Arial Regular"/>
                <w:sz w:val="20"/>
                <w:szCs w:val="20"/>
              </w:rPr>
            </w:pPr>
            <w:r>
              <w:rPr>
                <w:rFonts w:hint="default" w:ascii="Arial Regular" w:hAnsi="Arial Regular" w:cs="Arial Regular"/>
                <w:sz w:val="20"/>
                <w:szCs w:val="20"/>
              </w:rPr>
              <w:t>Carbonyl (C=O) or C=C</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FB6C307">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D2E768B">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136E49B">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BDB9678">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D012F78">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0553524">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A7B599C">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AB6F1E8">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DA3F71F">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1E92D89">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3975B07">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FC4AA73">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69FAA452">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410E01C6">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250A75FF">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5DFDF895">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4124C01D">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2CB18E1F">
            <w:pPr>
              <w:pStyle w:val="42"/>
              <w:jc w:val="center"/>
              <w:rPr>
                <w:rFonts w:hint="default" w:ascii="Arial Regular" w:hAnsi="Arial Regular" w:cs="Arial Regular"/>
                <w:sz w:val="20"/>
                <w:szCs w:val="20"/>
              </w:rPr>
            </w:pPr>
          </w:p>
        </w:tc>
      </w:tr>
      <w:tr w14:paraId="72A02B98">
        <w:trPr>
          <w:trHeight w:val="23" w:hRule="atLeast"/>
        </w:trPr>
        <w:tc>
          <w:tcPr>
            <w:tcW w:w="0" w:type="auto"/>
            <w:vMerge w:val="continue"/>
            <w:tcBorders>
              <w:top w:val="single" w:color="000000" w:sz="4" w:space="0"/>
              <w:left w:val="nil"/>
              <w:bottom w:val="single" w:color="000000" w:sz="12" w:space="0"/>
              <w:right w:val="nil"/>
            </w:tcBorders>
            <w:vAlign w:val="center"/>
          </w:tcPr>
          <w:p w14:paraId="23A9147E">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61DF81B1">
            <w:pPr>
              <w:pStyle w:val="42"/>
              <w:jc w:val="center"/>
              <w:rPr>
                <w:rFonts w:hint="default" w:ascii="Arial Regular" w:hAnsi="Arial Regular" w:cs="Arial Regular"/>
                <w:sz w:val="20"/>
                <w:szCs w:val="20"/>
              </w:rPr>
            </w:pPr>
            <w:r>
              <w:rPr>
                <w:rFonts w:hint="default" w:ascii="Arial Regular" w:hAnsi="Arial Regular" w:cs="Arial Regular"/>
                <w:sz w:val="20"/>
                <w:szCs w:val="20"/>
              </w:rPr>
              <w:t>1803</w:t>
            </w: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60915077">
            <w:pPr>
              <w:pStyle w:val="42"/>
              <w:jc w:val="center"/>
              <w:rPr>
                <w:rFonts w:hint="default" w:ascii="Arial Regular" w:hAnsi="Arial Regular" w:cs="Arial Regular"/>
                <w:sz w:val="20"/>
                <w:szCs w:val="20"/>
              </w:rPr>
            </w:pPr>
            <w:r>
              <w:rPr>
                <w:rFonts w:hint="default" w:ascii="Arial Regular" w:hAnsi="Arial Regular" w:cs="Arial Regular"/>
                <w:sz w:val="20"/>
                <w:szCs w:val="20"/>
              </w:rPr>
              <w:t>Carbonyl (C=O)</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0B6381A">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89C16AB">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E2EB10D">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C31AE6B">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2D9CDBD">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9F1DC92">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1BC267B">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B94D144">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A55B362">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2D97C2C">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5D8BD3D">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997BA2E">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56357818">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57C824B2">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20BAF718">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16DBF036">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1DE6B771">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67EE9694">
            <w:pPr>
              <w:pStyle w:val="42"/>
              <w:jc w:val="center"/>
              <w:rPr>
                <w:rFonts w:hint="default" w:ascii="Arial Regular" w:hAnsi="Arial Regular" w:cs="Arial Regular"/>
                <w:sz w:val="20"/>
                <w:szCs w:val="20"/>
              </w:rPr>
            </w:pPr>
          </w:p>
        </w:tc>
      </w:tr>
      <w:tr w14:paraId="5926442D">
        <w:trPr>
          <w:trHeight w:val="23" w:hRule="atLeast"/>
        </w:trPr>
        <w:tc>
          <w:tcPr>
            <w:tcW w:w="0" w:type="auto"/>
            <w:vMerge w:val="continue"/>
            <w:tcBorders>
              <w:top w:val="single" w:color="000000" w:sz="4" w:space="0"/>
              <w:left w:val="nil"/>
              <w:bottom w:val="single" w:color="000000" w:sz="12" w:space="0"/>
              <w:right w:val="nil"/>
            </w:tcBorders>
            <w:vAlign w:val="center"/>
          </w:tcPr>
          <w:p w14:paraId="6D71AD6A">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75954EBF">
            <w:pPr>
              <w:pStyle w:val="42"/>
              <w:jc w:val="center"/>
              <w:rPr>
                <w:rFonts w:hint="default" w:ascii="Arial Regular" w:hAnsi="Arial Regular" w:cs="Arial Regular"/>
                <w:sz w:val="20"/>
                <w:szCs w:val="20"/>
              </w:rPr>
            </w:pPr>
            <w:r>
              <w:rPr>
                <w:rFonts w:hint="default" w:ascii="Arial Regular" w:hAnsi="Arial Regular" w:cs="Arial Regular"/>
                <w:sz w:val="20"/>
                <w:szCs w:val="20"/>
              </w:rPr>
              <w:t>2009</w:t>
            </w:r>
          </w:p>
        </w:tc>
        <w:tc>
          <w:tcPr>
            <w:tcW w:w="0" w:type="auto"/>
            <w:vMerge w:val="restart"/>
            <w:tcBorders>
              <w:top w:val="nil"/>
              <w:left w:val="nil"/>
              <w:bottom w:val="nil"/>
              <w:right w:val="nil"/>
            </w:tcBorders>
            <w:shd w:val="clear" w:color="auto" w:fill="auto"/>
            <w:tcMar>
              <w:top w:w="8" w:type="dxa"/>
              <w:left w:w="8" w:type="dxa"/>
              <w:bottom w:w="0" w:type="dxa"/>
              <w:right w:w="8" w:type="dxa"/>
            </w:tcMar>
            <w:vAlign w:val="center"/>
          </w:tcPr>
          <w:p w14:paraId="6CEACB8C">
            <w:pPr>
              <w:pStyle w:val="42"/>
              <w:jc w:val="center"/>
              <w:rPr>
                <w:rFonts w:hint="default" w:ascii="Arial Regular" w:hAnsi="Arial Regular" w:cs="Arial Regular"/>
                <w:sz w:val="20"/>
                <w:szCs w:val="20"/>
              </w:rPr>
            </w:pPr>
            <w:r>
              <w:rPr>
                <w:rFonts w:hint="default" w:ascii="Arial Regular" w:hAnsi="Arial Regular" w:cs="Arial Regular"/>
                <w:sz w:val="20"/>
                <w:szCs w:val="20"/>
                <w:lang w:val="en-US" w:eastAsia="zh-CN"/>
              </w:rPr>
              <w:t>Unassigned</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3E7064D">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E64068E">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BA15C18">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0CBA60F">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687ED7F">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7C05BFE">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9F2345A">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1C73631">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FDB2E4F">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EDD29B3">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3591C51">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2DB716D">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62D667D1">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63153060">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5E5DDFBF">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4F606ED2">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1E3C22BC">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7BB2EEC0">
            <w:pPr>
              <w:pStyle w:val="42"/>
              <w:jc w:val="center"/>
              <w:rPr>
                <w:rFonts w:hint="default" w:ascii="Arial Regular" w:hAnsi="Arial Regular" w:cs="Arial Regular"/>
                <w:sz w:val="20"/>
                <w:szCs w:val="20"/>
              </w:rPr>
            </w:pPr>
          </w:p>
        </w:tc>
      </w:tr>
      <w:tr w14:paraId="3ADDAD8C">
        <w:trPr>
          <w:trHeight w:val="23" w:hRule="atLeast"/>
        </w:trPr>
        <w:tc>
          <w:tcPr>
            <w:tcW w:w="0" w:type="auto"/>
            <w:vMerge w:val="continue"/>
            <w:tcBorders>
              <w:top w:val="single" w:color="000000" w:sz="4" w:space="0"/>
              <w:left w:val="nil"/>
              <w:bottom w:val="single" w:color="000000" w:sz="12" w:space="0"/>
              <w:right w:val="nil"/>
            </w:tcBorders>
            <w:vAlign w:val="center"/>
          </w:tcPr>
          <w:p w14:paraId="494DF545">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75B3FF0D">
            <w:pPr>
              <w:pStyle w:val="42"/>
              <w:jc w:val="center"/>
              <w:rPr>
                <w:rFonts w:hint="default" w:ascii="Arial Regular" w:hAnsi="Arial Regular" w:cs="Arial Regular"/>
                <w:sz w:val="20"/>
                <w:szCs w:val="20"/>
              </w:rPr>
            </w:pPr>
            <w:r>
              <w:rPr>
                <w:rFonts w:hint="default" w:ascii="Arial Regular" w:hAnsi="Arial Regular" w:cs="Arial Regular"/>
                <w:sz w:val="20"/>
                <w:szCs w:val="20"/>
              </w:rPr>
              <w:t>2018</w:t>
            </w:r>
          </w:p>
        </w:tc>
        <w:tc>
          <w:tcPr>
            <w:tcW w:w="0" w:type="auto"/>
            <w:vMerge w:val="continue"/>
            <w:tcBorders>
              <w:top w:val="nil"/>
              <w:left w:val="nil"/>
              <w:bottom w:val="nil"/>
              <w:right w:val="nil"/>
            </w:tcBorders>
            <w:vAlign w:val="center"/>
          </w:tcPr>
          <w:p w14:paraId="55F83334">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ED84D66">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41D6386">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6C645EB">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A8C7488">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EFB5FD0">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B6A1FDB">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F055C62">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98A7B7B">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C7EE132">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16CCFC5">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6E0D3F7">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95D398A">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50478AED">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51AC9BB4">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1E424337">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7D79E08C">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1A3D19D8">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3547AFFA">
            <w:pPr>
              <w:pStyle w:val="42"/>
              <w:jc w:val="center"/>
              <w:rPr>
                <w:rFonts w:hint="default" w:ascii="Arial Regular" w:hAnsi="Arial Regular" w:cs="Arial Regular"/>
                <w:sz w:val="20"/>
                <w:szCs w:val="20"/>
              </w:rPr>
            </w:pPr>
          </w:p>
        </w:tc>
      </w:tr>
      <w:tr w14:paraId="15EE14A0">
        <w:trPr>
          <w:trHeight w:val="23" w:hRule="atLeast"/>
        </w:trPr>
        <w:tc>
          <w:tcPr>
            <w:tcW w:w="0" w:type="auto"/>
            <w:vMerge w:val="continue"/>
            <w:tcBorders>
              <w:top w:val="single" w:color="000000" w:sz="4" w:space="0"/>
              <w:left w:val="nil"/>
              <w:bottom w:val="single" w:color="000000" w:sz="12" w:space="0"/>
              <w:right w:val="nil"/>
            </w:tcBorders>
            <w:vAlign w:val="center"/>
          </w:tcPr>
          <w:p w14:paraId="7A996C0D">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02E77200">
            <w:pPr>
              <w:pStyle w:val="42"/>
              <w:jc w:val="center"/>
              <w:rPr>
                <w:rFonts w:hint="default" w:ascii="Arial Regular" w:hAnsi="Arial Regular" w:cs="Arial Regular"/>
                <w:sz w:val="20"/>
                <w:szCs w:val="20"/>
              </w:rPr>
            </w:pPr>
            <w:r>
              <w:rPr>
                <w:rFonts w:hint="default" w:ascii="Arial Regular" w:hAnsi="Arial Regular" w:cs="Arial Regular"/>
                <w:sz w:val="20"/>
                <w:szCs w:val="20"/>
              </w:rPr>
              <w:t>2927</w:t>
            </w: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0F3128EA">
            <w:pPr>
              <w:pStyle w:val="42"/>
              <w:jc w:val="center"/>
              <w:rPr>
                <w:rFonts w:hint="default" w:ascii="Arial Regular" w:hAnsi="Arial Regular" w:cs="Arial Regular"/>
                <w:sz w:val="20"/>
                <w:szCs w:val="20"/>
              </w:rPr>
            </w:pPr>
            <w:r>
              <w:rPr>
                <w:rFonts w:hint="default" w:ascii="Arial Regular" w:hAnsi="Arial Regular" w:cs="Arial Regular"/>
                <w:sz w:val="20"/>
                <w:szCs w:val="20"/>
              </w:rPr>
              <w:t>Aliphatic hydrocarbons (C–H)</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C140E7C">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7193607">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718EAFB">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F9FEA55">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4852784">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FC58390">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0F19401">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97AD87A">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65A3276">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2E51B5D">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3EEEB9E">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1DF951C">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322C67EB">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2E1DAEC3">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415B9DD7">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2EA2B7D5">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3FD2DA1A">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514AFA93">
            <w:pPr>
              <w:pStyle w:val="42"/>
              <w:jc w:val="center"/>
              <w:rPr>
                <w:rFonts w:hint="default" w:ascii="Arial Regular" w:hAnsi="Arial Regular" w:cs="Arial Regular"/>
                <w:sz w:val="20"/>
                <w:szCs w:val="20"/>
              </w:rPr>
            </w:pPr>
          </w:p>
        </w:tc>
      </w:tr>
      <w:tr w14:paraId="76C04378">
        <w:trPr>
          <w:trHeight w:val="23" w:hRule="atLeast"/>
        </w:trPr>
        <w:tc>
          <w:tcPr>
            <w:tcW w:w="0" w:type="auto"/>
            <w:vMerge w:val="continue"/>
            <w:tcBorders>
              <w:top w:val="single" w:color="000000" w:sz="4" w:space="0"/>
              <w:left w:val="nil"/>
              <w:bottom w:val="single" w:color="000000" w:sz="12" w:space="0"/>
              <w:right w:val="nil"/>
            </w:tcBorders>
            <w:vAlign w:val="center"/>
          </w:tcPr>
          <w:p w14:paraId="39A260E4">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72990BED">
            <w:pPr>
              <w:pStyle w:val="42"/>
              <w:jc w:val="center"/>
              <w:rPr>
                <w:rFonts w:hint="default" w:ascii="Arial Regular" w:hAnsi="Arial Regular" w:cs="Arial Regular"/>
                <w:sz w:val="20"/>
                <w:szCs w:val="20"/>
              </w:rPr>
            </w:pPr>
            <w:r>
              <w:rPr>
                <w:rFonts w:hint="default" w:ascii="Arial Regular" w:hAnsi="Arial Regular" w:cs="Arial Regular"/>
                <w:sz w:val="20"/>
                <w:szCs w:val="20"/>
              </w:rPr>
              <w:t>3035</w:t>
            </w: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60DCBF2B">
            <w:pPr>
              <w:pStyle w:val="42"/>
              <w:jc w:val="center"/>
              <w:rPr>
                <w:rFonts w:hint="default" w:ascii="Arial Regular" w:hAnsi="Arial Regular" w:cs="Arial Regular"/>
                <w:sz w:val="20"/>
                <w:szCs w:val="20"/>
              </w:rPr>
            </w:pPr>
            <w:r>
              <w:rPr>
                <w:rFonts w:hint="default" w:ascii="Arial Regular" w:hAnsi="Arial Regular" w:cs="Arial Regular"/>
                <w:sz w:val="20"/>
                <w:szCs w:val="20"/>
              </w:rPr>
              <w:t>Aromatic hydrocarbons (Ar–H)</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7942D9C">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5D7886A">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8B78439">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BFD8F8A">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39F3932">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A0B9B3E">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EC941C2">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3569DE6">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E21406C">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57C5BAB">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9F84DA5">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7405CD1">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52080DB7">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029D7545">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4BD1ABAC">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71606F1B">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04C1F012">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22666C3A">
            <w:pPr>
              <w:pStyle w:val="42"/>
              <w:jc w:val="center"/>
              <w:rPr>
                <w:rFonts w:hint="default" w:ascii="Arial Regular" w:hAnsi="Arial Regular" w:cs="Arial Regular"/>
                <w:sz w:val="20"/>
                <w:szCs w:val="20"/>
              </w:rPr>
            </w:pPr>
          </w:p>
        </w:tc>
      </w:tr>
      <w:tr w14:paraId="53DBE867">
        <w:trPr>
          <w:trHeight w:val="23" w:hRule="atLeast"/>
        </w:trPr>
        <w:tc>
          <w:tcPr>
            <w:tcW w:w="0" w:type="auto"/>
            <w:vMerge w:val="continue"/>
            <w:tcBorders>
              <w:top w:val="single" w:color="000000" w:sz="4" w:space="0"/>
              <w:left w:val="nil"/>
              <w:bottom w:val="single" w:color="000000" w:sz="12" w:space="0"/>
              <w:right w:val="nil"/>
            </w:tcBorders>
            <w:vAlign w:val="center"/>
          </w:tcPr>
          <w:p w14:paraId="1EE89B88">
            <w:pPr>
              <w:pStyle w:val="42"/>
              <w:jc w:val="center"/>
              <w:rPr>
                <w:rFonts w:hint="default" w:ascii="Arial Regular" w:hAnsi="Arial Regular" w:cs="Arial Regular"/>
                <w:sz w:val="20"/>
                <w:szCs w:val="20"/>
              </w:rPr>
            </w:pPr>
          </w:p>
        </w:tc>
        <w:tc>
          <w:tcPr>
            <w:tcW w:w="0" w:type="auto"/>
            <w:tcBorders>
              <w:top w:val="nil"/>
              <w:left w:val="nil"/>
              <w:bottom w:val="single" w:color="000000" w:sz="12" w:space="0"/>
              <w:right w:val="nil"/>
            </w:tcBorders>
            <w:shd w:val="clear" w:color="auto" w:fill="auto"/>
            <w:tcMar>
              <w:top w:w="8" w:type="dxa"/>
              <w:left w:w="8" w:type="dxa"/>
              <w:bottom w:w="0" w:type="dxa"/>
              <w:right w:w="8" w:type="dxa"/>
            </w:tcMar>
            <w:vAlign w:val="center"/>
          </w:tcPr>
          <w:p w14:paraId="6510EAAE">
            <w:pPr>
              <w:pStyle w:val="42"/>
              <w:jc w:val="center"/>
              <w:rPr>
                <w:rFonts w:hint="default" w:ascii="Arial Regular" w:hAnsi="Arial Regular" w:cs="Arial Regular"/>
                <w:sz w:val="20"/>
                <w:szCs w:val="20"/>
              </w:rPr>
            </w:pPr>
            <w:r>
              <w:rPr>
                <w:rFonts w:hint="default" w:ascii="Arial Regular" w:hAnsi="Arial Regular" w:cs="Arial Regular"/>
                <w:sz w:val="20"/>
                <w:szCs w:val="20"/>
              </w:rPr>
              <w:t>3420</w:t>
            </w:r>
          </w:p>
        </w:tc>
        <w:tc>
          <w:tcPr>
            <w:tcW w:w="0" w:type="auto"/>
            <w:tcBorders>
              <w:top w:val="nil"/>
              <w:left w:val="nil"/>
              <w:bottom w:val="single" w:color="000000" w:sz="12" w:space="0"/>
              <w:right w:val="nil"/>
            </w:tcBorders>
            <w:shd w:val="clear" w:color="auto" w:fill="auto"/>
            <w:tcMar>
              <w:top w:w="8" w:type="dxa"/>
              <w:left w:w="8" w:type="dxa"/>
              <w:bottom w:w="0" w:type="dxa"/>
              <w:right w:w="8" w:type="dxa"/>
            </w:tcMar>
            <w:vAlign w:val="center"/>
          </w:tcPr>
          <w:p w14:paraId="7773619D">
            <w:pPr>
              <w:pStyle w:val="42"/>
              <w:jc w:val="center"/>
              <w:rPr>
                <w:rFonts w:hint="default" w:ascii="Arial Regular" w:hAnsi="Arial Regular" w:cs="Arial Regular"/>
                <w:sz w:val="20"/>
                <w:szCs w:val="20"/>
              </w:rPr>
            </w:pPr>
            <w:r>
              <w:rPr>
                <w:rFonts w:hint="default" w:ascii="Arial Regular" w:hAnsi="Arial Regular" w:cs="Arial Regular"/>
                <w:sz w:val="20"/>
                <w:szCs w:val="20"/>
              </w:rPr>
              <w:t>Hydroxyl (O–H)</w:t>
            </w:r>
          </w:p>
        </w:tc>
        <w:tc>
          <w:tcPr>
            <w:tcW w:w="454"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1A41E03C">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6A366B30">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13294FC6">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23F0104A">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32C0CD37">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58D80C22">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0262DF20">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60AEC393">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2D06E5E3">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3A1591B9">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5F725F91">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2B3F5887">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33638073">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1CBA77FF">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6BCDD2E7">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383B2420">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7D94EBAA">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06C75B9B">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r>
    </w:tbl>
    <w:p w14:paraId="0859FD76">
      <w:pPr>
        <w:rPr>
          <w:rFonts w:hint="default" w:ascii="Arial Regular" w:hAnsi="Arial Regular" w:cs="Arial Regular"/>
          <w:b/>
          <w:sz w:val="20"/>
          <w:szCs w:val="20"/>
        </w:rPr>
      </w:pPr>
      <w:r>
        <w:rPr>
          <w:rFonts w:hint="default" w:ascii="Arial Regular" w:hAnsi="Arial Regular" w:cs="Arial Regular"/>
          <w:b/>
          <w:sz w:val="20"/>
          <w:szCs w:val="20"/>
        </w:rPr>
        <w:br w:type="page"/>
      </w:r>
    </w:p>
    <w:p w14:paraId="0D5D2671">
      <w:pPr>
        <w:pStyle w:val="3"/>
        <w:keepNext/>
        <w:keepLines/>
        <w:pageBreakBefore w:val="0"/>
        <w:widowControl w:val="0"/>
        <w:kinsoku/>
        <w:wordWrap/>
        <w:overflowPunct/>
        <w:topLinePunct w:val="0"/>
        <w:autoSpaceDE/>
        <w:autoSpaceDN/>
        <w:bidi w:val="0"/>
        <w:adjustRightInd/>
        <w:snapToGrid/>
        <w:spacing w:before="0" w:beforeLines="0" w:after="157" w:afterLines="50" w:line="240" w:lineRule="auto"/>
        <w:textAlignment w:val="auto"/>
        <w:rPr>
          <w:rFonts w:hint="default" w:ascii="Arial Regular" w:hAnsi="Arial Regular" w:cs="Arial Regular"/>
          <w:b/>
          <w:sz w:val="20"/>
          <w:szCs w:val="20"/>
        </w:rPr>
      </w:pPr>
      <w:r>
        <w:rPr>
          <w:rFonts w:hint="default" w:ascii="Arial Regular" w:hAnsi="Arial Regular" w:cs="Arial Regular"/>
          <w:b/>
          <w:bCs w:val="0"/>
          <w:sz w:val="20"/>
          <w:szCs w:val="20"/>
        </w:rPr>
        <w:t xml:space="preserve">Supplementary </w:t>
      </w:r>
      <w:r>
        <w:rPr>
          <w:rFonts w:hint="default" w:ascii="Arial Regular" w:hAnsi="Arial Regular" w:cs="Arial Regular"/>
          <w:b/>
          <w:sz w:val="20"/>
          <w:szCs w:val="20"/>
        </w:rPr>
        <w:t xml:space="preserve">Table </w:t>
      </w:r>
      <w:r>
        <w:rPr>
          <w:rFonts w:hint="default" w:ascii="Arial Regular" w:hAnsi="Arial Regular" w:cs="Arial Regular"/>
          <w:b/>
          <w:sz w:val="20"/>
          <w:szCs w:val="20"/>
          <w:lang w:val="en-US" w:eastAsia="zh-CN"/>
        </w:rPr>
        <w:t>9</w:t>
      </w:r>
      <w:r>
        <w:rPr>
          <w:rFonts w:hint="default" w:ascii="Arial Regular" w:hAnsi="Arial Regular" w:cs="Arial Regular"/>
          <w:b/>
          <w:sz w:val="20"/>
          <w:szCs w:val="20"/>
        </w:rPr>
        <w:t xml:space="preserve">. Calculated synchronous and asynchronous 2D correlation spectra of </w:t>
      </w:r>
      <w:r>
        <w:rPr>
          <w:rFonts w:hint="default" w:ascii="Arial Regular" w:hAnsi="Arial Regular" w:cs="Arial Regular"/>
          <w:b/>
          <w:i/>
          <w:iCs/>
          <w:sz w:val="20"/>
          <w:szCs w:val="20"/>
        </w:rPr>
        <w:t>A.niger</w:t>
      </w:r>
      <w:r>
        <w:rPr>
          <w:rFonts w:hint="default" w:ascii="Arial Regular" w:hAnsi="Arial Regular" w:cs="Arial Regular"/>
          <w:b/>
          <w:sz w:val="20"/>
          <w:szCs w:val="20"/>
        </w:rPr>
        <w:t xml:space="preserve"> spores after Fe(II) complexation.</w:t>
      </w:r>
    </w:p>
    <w:tbl>
      <w:tblPr>
        <w:tblStyle w:val="10"/>
        <w:tblW w:w="0" w:type="auto"/>
        <w:tblInd w:w="0" w:type="dxa"/>
        <w:tblLayout w:type="autofit"/>
        <w:tblCellMar>
          <w:top w:w="0" w:type="dxa"/>
          <w:left w:w="0" w:type="dxa"/>
          <w:bottom w:w="0" w:type="dxa"/>
          <w:right w:w="0" w:type="dxa"/>
        </w:tblCellMar>
      </w:tblPr>
      <w:tblGrid>
        <w:gridCol w:w="494"/>
        <w:gridCol w:w="703"/>
        <w:gridCol w:w="3530"/>
        <w:gridCol w:w="454"/>
        <w:gridCol w:w="454"/>
        <w:gridCol w:w="454"/>
        <w:gridCol w:w="454"/>
        <w:gridCol w:w="454"/>
        <w:gridCol w:w="454"/>
        <w:gridCol w:w="454"/>
        <w:gridCol w:w="461"/>
        <w:gridCol w:w="461"/>
        <w:gridCol w:w="461"/>
        <w:gridCol w:w="461"/>
        <w:gridCol w:w="461"/>
        <w:gridCol w:w="461"/>
        <w:gridCol w:w="461"/>
        <w:gridCol w:w="461"/>
        <w:gridCol w:w="461"/>
        <w:gridCol w:w="461"/>
        <w:gridCol w:w="461"/>
      </w:tblGrid>
      <w:tr w14:paraId="2DF23D90">
        <w:trPr>
          <w:trHeight w:val="23" w:hRule="atLeast"/>
        </w:trPr>
        <w:tc>
          <w:tcPr>
            <w:tcW w:w="0" w:type="auto"/>
            <w:tcBorders>
              <w:top w:val="single" w:color="000000" w:sz="12" w:space="0"/>
              <w:left w:val="nil"/>
              <w:bottom w:val="nil"/>
              <w:right w:val="nil"/>
            </w:tcBorders>
            <w:shd w:val="clear" w:color="auto" w:fill="E7E6E6" w:themeFill="background2"/>
            <w:tcMar>
              <w:top w:w="8" w:type="dxa"/>
              <w:left w:w="8" w:type="dxa"/>
              <w:bottom w:w="0" w:type="dxa"/>
              <w:right w:w="8" w:type="dxa"/>
            </w:tcMar>
            <w:vAlign w:val="center"/>
          </w:tcPr>
          <w:p w14:paraId="77DEC2D4">
            <w:pPr>
              <w:pStyle w:val="42"/>
              <w:jc w:val="center"/>
              <w:rPr>
                <w:rFonts w:hint="default" w:ascii="Arial Regular" w:hAnsi="Arial Regular" w:cs="Arial Regular"/>
                <w:sz w:val="20"/>
                <w:szCs w:val="20"/>
              </w:rPr>
            </w:pPr>
          </w:p>
        </w:tc>
        <w:tc>
          <w:tcPr>
            <w:tcW w:w="0" w:type="auto"/>
            <w:vMerge w:val="restart"/>
            <w:tcBorders>
              <w:top w:val="single" w:color="000000" w:sz="12" w:space="0"/>
              <w:left w:val="nil"/>
              <w:right w:val="nil"/>
            </w:tcBorders>
            <w:shd w:val="clear" w:color="auto" w:fill="E7E6E6" w:themeFill="background2"/>
            <w:tcMar>
              <w:top w:w="8" w:type="dxa"/>
              <w:left w:w="8" w:type="dxa"/>
              <w:bottom w:w="0" w:type="dxa"/>
              <w:right w:w="8" w:type="dxa"/>
            </w:tcMar>
            <w:vAlign w:val="center"/>
          </w:tcPr>
          <w:p w14:paraId="0D974093">
            <w:pPr>
              <w:pStyle w:val="42"/>
              <w:jc w:val="center"/>
              <w:rPr>
                <w:rFonts w:hint="default" w:ascii="Arial Regular" w:hAnsi="Arial Regular" w:cs="Arial Regular"/>
                <w:sz w:val="20"/>
                <w:szCs w:val="20"/>
              </w:rPr>
            </w:pPr>
            <w:r>
              <w:rPr>
                <w:rFonts w:hint="default" w:ascii="Arial Regular" w:hAnsi="Arial Regular" w:cs="Arial Regular"/>
                <w:i/>
                <w:iCs/>
                <w:sz w:val="20"/>
                <w:szCs w:val="20"/>
                <w:vertAlign w:val="baseline"/>
              </w:rPr>
              <w:t>ν</w:t>
            </w:r>
            <w:r>
              <w:rPr>
                <w:rFonts w:hint="default" w:ascii="Arial Regular" w:hAnsi="Arial Regular" w:cs="Arial Regular"/>
                <w:sz w:val="20"/>
                <w:szCs w:val="20"/>
                <w:vertAlign w:val="subscript"/>
              </w:rPr>
              <w:t>1</w:t>
            </w:r>
            <w:r>
              <w:rPr>
                <w:rFonts w:hint="default" w:ascii="Arial Regular" w:hAnsi="Arial Regular" w:cs="Arial Regular"/>
                <w:sz w:val="20"/>
                <w:szCs w:val="20"/>
              </w:rPr>
              <w:t>(cm</w:t>
            </w:r>
            <w:r>
              <w:rPr>
                <w:rFonts w:hint="default" w:ascii="Arial Regular" w:hAnsi="Arial Regular" w:cs="Arial Regular"/>
                <w:sz w:val="20"/>
                <w:szCs w:val="20"/>
                <w:vertAlign w:val="superscript"/>
              </w:rPr>
              <w:t>-1</w:t>
            </w:r>
            <w:r>
              <w:rPr>
                <w:rFonts w:hint="default" w:ascii="Arial Regular" w:hAnsi="Arial Regular" w:cs="Arial Regular"/>
                <w:sz w:val="20"/>
                <w:szCs w:val="20"/>
              </w:rPr>
              <w:t>)</w:t>
            </w:r>
          </w:p>
        </w:tc>
        <w:tc>
          <w:tcPr>
            <w:tcW w:w="0" w:type="auto"/>
            <w:vMerge w:val="restart"/>
            <w:tcBorders>
              <w:top w:val="single" w:color="000000" w:sz="12" w:space="0"/>
              <w:left w:val="nil"/>
              <w:bottom w:val="single" w:color="000000" w:sz="4" w:space="0"/>
              <w:right w:val="nil"/>
            </w:tcBorders>
            <w:shd w:val="clear" w:color="auto" w:fill="E7E6E6" w:themeFill="background2"/>
            <w:tcMar>
              <w:top w:w="8" w:type="dxa"/>
              <w:left w:w="8" w:type="dxa"/>
              <w:bottom w:w="0" w:type="dxa"/>
              <w:right w:w="8" w:type="dxa"/>
            </w:tcMar>
            <w:vAlign w:val="center"/>
          </w:tcPr>
          <w:p w14:paraId="12C72EC2">
            <w:pPr>
              <w:pStyle w:val="42"/>
              <w:jc w:val="center"/>
              <w:rPr>
                <w:rFonts w:hint="default" w:ascii="Arial Regular" w:hAnsi="Arial Regular" w:cs="Arial Regular"/>
                <w:sz w:val="20"/>
                <w:szCs w:val="20"/>
              </w:rPr>
            </w:pPr>
            <w:r>
              <w:rPr>
                <w:rFonts w:hint="default" w:ascii="Arial Regular" w:hAnsi="Arial Regular" w:cs="Arial Regular"/>
                <w:sz w:val="20"/>
                <w:szCs w:val="20"/>
              </w:rPr>
              <w:t>Functional Group</w:t>
            </w:r>
          </w:p>
        </w:tc>
        <w:tc>
          <w:tcPr>
            <w:tcW w:w="0" w:type="auto"/>
            <w:gridSpan w:val="18"/>
            <w:tcBorders>
              <w:top w:val="single" w:color="000000" w:sz="12" w:space="0"/>
              <w:left w:val="nil"/>
              <w:bottom w:val="single" w:color="000000" w:sz="4" w:space="0"/>
              <w:right w:val="nil"/>
            </w:tcBorders>
            <w:shd w:val="clear" w:color="auto" w:fill="E7E6E6" w:themeFill="background2"/>
            <w:tcMar>
              <w:top w:w="8" w:type="dxa"/>
              <w:left w:w="8" w:type="dxa"/>
              <w:bottom w:w="0" w:type="dxa"/>
              <w:right w:w="8" w:type="dxa"/>
            </w:tcMar>
            <w:vAlign w:val="center"/>
          </w:tcPr>
          <w:p w14:paraId="003E7DA5">
            <w:pPr>
              <w:pStyle w:val="42"/>
              <w:jc w:val="center"/>
              <w:rPr>
                <w:rFonts w:hint="default" w:ascii="Arial Regular" w:hAnsi="Arial Regular" w:cs="Arial Regular"/>
                <w:sz w:val="20"/>
                <w:szCs w:val="20"/>
              </w:rPr>
            </w:pPr>
            <w:r>
              <w:rPr>
                <w:rFonts w:hint="default" w:ascii="Arial Regular" w:hAnsi="Arial Regular" w:cs="Arial Regular"/>
                <w:i/>
                <w:iCs/>
                <w:sz w:val="20"/>
                <w:szCs w:val="20"/>
                <w:vertAlign w:val="baseline"/>
              </w:rPr>
              <w:t>ν</w:t>
            </w:r>
            <w:r>
              <w:rPr>
                <w:rFonts w:hint="default" w:ascii="Arial Regular" w:hAnsi="Arial Regular" w:cs="Arial Regular"/>
                <w:sz w:val="20"/>
                <w:szCs w:val="20"/>
                <w:vertAlign w:val="subscript"/>
              </w:rPr>
              <w:t>2</w:t>
            </w:r>
            <w:r>
              <w:rPr>
                <w:rFonts w:hint="default" w:ascii="Arial Regular" w:hAnsi="Arial Regular" w:cs="Arial Regular"/>
                <w:sz w:val="20"/>
                <w:szCs w:val="20"/>
              </w:rPr>
              <w:t>(cm</w:t>
            </w:r>
            <w:r>
              <w:rPr>
                <w:rFonts w:hint="default" w:ascii="Arial Regular" w:hAnsi="Arial Regular" w:cs="Arial Regular"/>
                <w:sz w:val="20"/>
                <w:szCs w:val="20"/>
                <w:vertAlign w:val="superscript"/>
              </w:rPr>
              <w:t>-1</w:t>
            </w:r>
            <w:r>
              <w:rPr>
                <w:rFonts w:hint="default" w:ascii="Arial Regular" w:hAnsi="Arial Regular" w:cs="Arial Regular"/>
                <w:sz w:val="20"/>
                <w:szCs w:val="20"/>
              </w:rPr>
              <w:t>)</w:t>
            </w:r>
          </w:p>
        </w:tc>
      </w:tr>
      <w:tr w14:paraId="5FB9A2E6">
        <w:trPr>
          <w:trHeight w:val="23" w:hRule="atLeast"/>
        </w:trPr>
        <w:tc>
          <w:tcPr>
            <w:tcW w:w="0" w:type="auto"/>
            <w:tcBorders>
              <w:top w:val="nil"/>
              <w:left w:val="nil"/>
              <w:bottom w:val="single" w:color="auto" w:sz="8" w:space="0"/>
              <w:right w:val="nil"/>
            </w:tcBorders>
            <w:shd w:val="clear" w:color="auto" w:fill="E7E6E6" w:themeFill="background2"/>
            <w:tcMar>
              <w:top w:w="8" w:type="dxa"/>
              <w:left w:w="8" w:type="dxa"/>
              <w:bottom w:w="0" w:type="dxa"/>
              <w:right w:w="8" w:type="dxa"/>
            </w:tcMar>
            <w:vAlign w:val="center"/>
          </w:tcPr>
          <w:p w14:paraId="06D5EF22">
            <w:pPr>
              <w:pStyle w:val="42"/>
              <w:jc w:val="center"/>
              <w:rPr>
                <w:rFonts w:hint="default" w:ascii="Arial Regular" w:hAnsi="Arial Regular" w:cs="Arial Regular"/>
                <w:sz w:val="20"/>
                <w:szCs w:val="20"/>
              </w:rPr>
            </w:pPr>
          </w:p>
        </w:tc>
        <w:tc>
          <w:tcPr>
            <w:tcW w:w="0" w:type="auto"/>
            <w:vMerge w:val="continue"/>
            <w:tcBorders>
              <w:left w:val="nil"/>
              <w:bottom w:val="single" w:color="auto" w:sz="8" w:space="0"/>
              <w:right w:val="nil"/>
            </w:tcBorders>
            <w:shd w:val="clear" w:color="auto" w:fill="E7E6E6" w:themeFill="background2"/>
            <w:tcMar>
              <w:top w:w="8" w:type="dxa"/>
              <w:left w:w="8" w:type="dxa"/>
              <w:bottom w:w="0" w:type="dxa"/>
              <w:right w:w="8" w:type="dxa"/>
            </w:tcMar>
            <w:vAlign w:val="center"/>
          </w:tcPr>
          <w:p w14:paraId="63FA8455">
            <w:pPr>
              <w:pStyle w:val="42"/>
              <w:jc w:val="center"/>
              <w:rPr>
                <w:rFonts w:hint="default" w:ascii="Arial Regular" w:hAnsi="Arial Regular" w:cs="Arial Regular"/>
                <w:sz w:val="20"/>
                <w:szCs w:val="20"/>
              </w:rPr>
            </w:pPr>
          </w:p>
        </w:tc>
        <w:tc>
          <w:tcPr>
            <w:tcW w:w="0" w:type="auto"/>
            <w:vMerge w:val="continue"/>
            <w:tcBorders>
              <w:top w:val="single" w:color="000000" w:sz="12" w:space="0"/>
              <w:left w:val="nil"/>
              <w:bottom w:val="single" w:color="auto" w:sz="8" w:space="0"/>
              <w:right w:val="nil"/>
            </w:tcBorders>
            <w:shd w:val="clear" w:color="auto" w:fill="E7E6E6" w:themeFill="background2"/>
            <w:vAlign w:val="center"/>
          </w:tcPr>
          <w:p w14:paraId="54EE8FFA">
            <w:pPr>
              <w:pStyle w:val="42"/>
              <w:jc w:val="center"/>
              <w:rPr>
                <w:rFonts w:hint="default" w:ascii="Arial Regular" w:hAnsi="Arial Regular" w:cs="Arial Regular"/>
                <w:sz w:val="20"/>
                <w:szCs w:val="20"/>
              </w:rPr>
            </w:pPr>
          </w:p>
        </w:tc>
        <w:tc>
          <w:tcPr>
            <w:tcW w:w="0" w:type="auto"/>
            <w:tcBorders>
              <w:top w:val="single" w:color="auto" w:sz="8"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7FCF07FF">
            <w:pPr>
              <w:pStyle w:val="42"/>
              <w:jc w:val="center"/>
              <w:rPr>
                <w:rFonts w:hint="default" w:ascii="Arial Regular" w:hAnsi="Arial Regular" w:cs="Arial Regular"/>
                <w:sz w:val="20"/>
                <w:szCs w:val="20"/>
              </w:rPr>
            </w:pPr>
            <w:r>
              <w:rPr>
                <w:rFonts w:hint="default" w:ascii="Arial Regular" w:hAnsi="Arial Regular" w:cs="Arial Regular"/>
                <w:sz w:val="20"/>
                <w:szCs w:val="20"/>
              </w:rPr>
              <w:t>400</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4B84253C">
            <w:pPr>
              <w:pStyle w:val="42"/>
              <w:jc w:val="center"/>
              <w:rPr>
                <w:rFonts w:hint="default" w:ascii="Arial Regular" w:hAnsi="Arial Regular" w:cs="Arial Regular"/>
                <w:sz w:val="20"/>
                <w:szCs w:val="20"/>
              </w:rPr>
            </w:pPr>
            <w:r>
              <w:rPr>
                <w:rFonts w:hint="default" w:ascii="Arial Regular" w:hAnsi="Arial Regular" w:cs="Arial Regular"/>
                <w:sz w:val="20"/>
                <w:szCs w:val="20"/>
              </w:rPr>
              <w:t>559</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6DEA94D6">
            <w:pPr>
              <w:pStyle w:val="42"/>
              <w:jc w:val="center"/>
              <w:rPr>
                <w:rFonts w:hint="default" w:ascii="Arial Regular" w:hAnsi="Arial Regular" w:cs="Arial Regular"/>
                <w:sz w:val="20"/>
                <w:szCs w:val="20"/>
              </w:rPr>
            </w:pPr>
            <w:r>
              <w:rPr>
                <w:rFonts w:hint="default" w:ascii="Arial Regular" w:hAnsi="Arial Regular" w:cs="Arial Regular"/>
                <w:sz w:val="20"/>
                <w:szCs w:val="20"/>
              </w:rPr>
              <w:t>680</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2AE0DA15">
            <w:pPr>
              <w:pStyle w:val="42"/>
              <w:jc w:val="center"/>
              <w:rPr>
                <w:rFonts w:hint="default" w:ascii="Arial Regular" w:hAnsi="Arial Regular" w:cs="Arial Regular"/>
                <w:sz w:val="20"/>
                <w:szCs w:val="20"/>
              </w:rPr>
            </w:pPr>
            <w:r>
              <w:rPr>
                <w:rFonts w:hint="default" w:ascii="Arial Regular" w:hAnsi="Arial Regular" w:cs="Arial Regular"/>
                <w:sz w:val="20"/>
                <w:szCs w:val="20"/>
              </w:rPr>
              <w:t>720</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4A55C80E">
            <w:pPr>
              <w:pStyle w:val="42"/>
              <w:jc w:val="center"/>
              <w:rPr>
                <w:rFonts w:hint="default" w:ascii="Arial Regular" w:hAnsi="Arial Regular" w:cs="Arial Regular"/>
                <w:sz w:val="20"/>
                <w:szCs w:val="20"/>
              </w:rPr>
            </w:pPr>
            <w:r>
              <w:rPr>
                <w:rFonts w:hint="default" w:ascii="Arial Regular" w:hAnsi="Arial Regular" w:cs="Arial Regular"/>
                <w:sz w:val="20"/>
                <w:szCs w:val="20"/>
              </w:rPr>
              <w:t>800</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666FAA48">
            <w:pPr>
              <w:pStyle w:val="42"/>
              <w:jc w:val="center"/>
              <w:rPr>
                <w:rFonts w:hint="default" w:ascii="Arial Regular" w:hAnsi="Arial Regular" w:cs="Arial Regular"/>
                <w:sz w:val="20"/>
                <w:szCs w:val="20"/>
              </w:rPr>
            </w:pPr>
            <w:r>
              <w:rPr>
                <w:rFonts w:hint="default" w:ascii="Arial Regular" w:hAnsi="Arial Regular" w:cs="Arial Regular"/>
                <w:sz w:val="20"/>
                <w:szCs w:val="20"/>
              </w:rPr>
              <w:t>878</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362ADD75">
            <w:pPr>
              <w:pStyle w:val="42"/>
              <w:jc w:val="center"/>
              <w:rPr>
                <w:rFonts w:hint="default" w:ascii="Arial Regular" w:hAnsi="Arial Regular" w:cs="Arial Regular"/>
                <w:sz w:val="20"/>
                <w:szCs w:val="20"/>
              </w:rPr>
            </w:pPr>
            <w:r>
              <w:rPr>
                <w:rFonts w:hint="default" w:ascii="Arial Regular" w:hAnsi="Arial Regular" w:cs="Arial Regular"/>
                <w:sz w:val="20"/>
                <w:szCs w:val="20"/>
              </w:rPr>
              <w:t>947</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0E4321E5">
            <w:pPr>
              <w:pStyle w:val="42"/>
              <w:jc w:val="center"/>
              <w:rPr>
                <w:rFonts w:hint="default" w:ascii="Arial Regular" w:hAnsi="Arial Regular" w:cs="Arial Regular"/>
                <w:sz w:val="20"/>
                <w:szCs w:val="20"/>
              </w:rPr>
            </w:pPr>
            <w:r>
              <w:rPr>
                <w:rFonts w:hint="default" w:ascii="Arial Regular" w:hAnsi="Arial Regular" w:cs="Arial Regular"/>
                <w:sz w:val="20"/>
                <w:szCs w:val="20"/>
              </w:rPr>
              <w:t>1063</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6F9D9FD7">
            <w:pPr>
              <w:pStyle w:val="42"/>
              <w:jc w:val="center"/>
              <w:rPr>
                <w:rFonts w:hint="default" w:ascii="Arial Regular" w:hAnsi="Arial Regular" w:cs="Arial Regular"/>
                <w:sz w:val="20"/>
                <w:szCs w:val="20"/>
              </w:rPr>
            </w:pPr>
            <w:r>
              <w:rPr>
                <w:rFonts w:hint="default" w:ascii="Arial Regular" w:hAnsi="Arial Regular" w:cs="Arial Regular"/>
                <w:sz w:val="20"/>
                <w:szCs w:val="20"/>
              </w:rPr>
              <w:t>1260</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00BFCCA9">
            <w:pPr>
              <w:pStyle w:val="42"/>
              <w:jc w:val="center"/>
              <w:rPr>
                <w:rFonts w:hint="default" w:ascii="Arial Regular" w:hAnsi="Arial Regular" w:cs="Arial Regular"/>
                <w:sz w:val="20"/>
                <w:szCs w:val="20"/>
              </w:rPr>
            </w:pPr>
            <w:r>
              <w:rPr>
                <w:rFonts w:hint="default" w:ascii="Arial Regular" w:hAnsi="Arial Regular" w:cs="Arial Regular"/>
                <w:sz w:val="20"/>
                <w:szCs w:val="20"/>
              </w:rPr>
              <w:t>1395</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7FF1ED3B">
            <w:pPr>
              <w:pStyle w:val="42"/>
              <w:jc w:val="center"/>
              <w:rPr>
                <w:rFonts w:hint="default" w:ascii="Arial Regular" w:hAnsi="Arial Regular" w:cs="Arial Regular"/>
                <w:sz w:val="20"/>
                <w:szCs w:val="20"/>
              </w:rPr>
            </w:pPr>
            <w:r>
              <w:rPr>
                <w:rFonts w:hint="default" w:ascii="Arial Regular" w:hAnsi="Arial Regular" w:cs="Arial Regular"/>
                <w:sz w:val="20"/>
                <w:szCs w:val="20"/>
              </w:rPr>
              <w:t>1502</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535EB21A">
            <w:pPr>
              <w:pStyle w:val="42"/>
              <w:jc w:val="center"/>
              <w:rPr>
                <w:rFonts w:hint="default" w:ascii="Arial Regular" w:hAnsi="Arial Regular" w:cs="Arial Regular"/>
                <w:sz w:val="20"/>
                <w:szCs w:val="20"/>
              </w:rPr>
            </w:pPr>
            <w:r>
              <w:rPr>
                <w:rFonts w:hint="default" w:ascii="Arial Regular" w:hAnsi="Arial Regular" w:cs="Arial Regular"/>
                <w:sz w:val="20"/>
                <w:szCs w:val="20"/>
              </w:rPr>
              <w:t>1628</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71D8D0DD">
            <w:pPr>
              <w:pStyle w:val="42"/>
              <w:jc w:val="center"/>
              <w:rPr>
                <w:rFonts w:hint="default" w:ascii="Arial Regular" w:hAnsi="Arial Regular" w:cs="Arial Regular"/>
                <w:sz w:val="20"/>
                <w:szCs w:val="20"/>
              </w:rPr>
            </w:pPr>
            <w:r>
              <w:rPr>
                <w:rFonts w:hint="default" w:ascii="Arial Regular" w:hAnsi="Arial Regular" w:cs="Arial Regular"/>
                <w:sz w:val="20"/>
                <w:szCs w:val="20"/>
              </w:rPr>
              <w:t>1803</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707DA6A8">
            <w:pPr>
              <w:pStyle w:val="42"/>
              <w:jc w:val="center"/>
              <w:rPr>
                <w:rFonts w:hint="default" w:ascii="Arial Regular" w:hAnsi="Arial Regular" w:cs="Arial Regular"/>
                <w:sz w:val="20"/>
                <w:szCs w:val="20"/>
              </w:rPr>
            </w:pPr>
            <w:r>
              <w:rPr>
                <w:rFonts w:hint="default" w:ascii="Arial Regular" w:hAnsi="Arial Regular" w:cs="Arial Regular"/>
                <w:sz w:val="20"/>
                <w:szCs w:val="20"/>
              </w:rPr>
              <w:t>2009</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058E9B92">
            <w:pPr>
              <w:pStyle w:val="42"/>
              <w:jc w:val="center"/>
              <w:rPr>
                <w:rFonts w:hint="default" w:ascii="Arial Regular" w:hAnsi="Arial Regular" w:cs="Arial Regular"/>
                <w:sz w:val="20"/>
                <w:szCs w:val="20"/>
              </w:rPr>
            </w:pPr>
            <w:r>
              <w:rPr>
                <w:rFonts w:hint="default" w:ascii="Arial Regular" w:hAnsi="Arial Regular" w:cs="Arial Regular"/>
                <w:sz w:val="20"/>
                <w:szCs w:val="20"/>
              </w:rPr>
              <w:t>2018</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0B17EA9C">
            <w:pPr>
              <w:pStyle w:val="42"/>
              <w:jc w:val="center"/>
              <w:rPr>
                <w:rFonts w:hint="default" w:ascii="Arial Regular" w:hAnsi="Arial Regular" w:cs="Arial Regular"/>
                <w:sz w:val="20"/>
                <w:szCs w:val="20"/>
              </w:rPr>
            </w:pPr>
            <w:r>
              <w:rPr>
                <w:rFonts w:hint="default" w:ascii="Arial Regular" w:hAnsi="Arial Regular" w:cs="Arial Regular"/>
                <w:sz w:val="20"/>
                <w:szCs w:val="20"/>
              </w:rPr>
              <w:t>2927</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356A560D">
            <w:pPr>
              <w:pStyle w:val="42"/>
              <w:jc w:val="center"/>
              <w:rPr>
                <w:rFonts w:hint="default" w:ascii="Arial Regular" w:hAnsi="Arial Regular" w:cs="Arial Regular"/>
                <w:sz w:val="20"/>
                <w:szCs w:val="20"/>
              </w:rPr>
            </w:pPr>
            <w:r>
              <w:rPr>
                <w:rFonts w:hint="default" w:ascii="Arial Regular" w:hAnsi="Arial Regular" w:cs="Arial Regular"/>
                <w:sz w:val="20"/>
                <w:szCs w:val="20"/>
              </w:rPr>
              <w:t>3035</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7131AA4C">
            <w:pPr>
              <w:pStyle w:val="42"/>
              <w:jc w:val="center"/>
              <w:rPr>
                <w:rFonts w:hint="default" w:ascii="Arial Regular" w:hAnsi="Arial Regular" w:cs="Arial Regular"/>
                <w:sz w:val="20"/>
                <w:szCs w:val="20"/>
              </w:rPr>
            </w:pPr>
            <w:r>
              <w:rPr>
                <w:rFonts w:hint="default" w:ascii="Arial Regular" w:hAnsi="Arial Regular" w:cs="Arial Regular"/>
                <w:sz w:val="20"/>
                <w:szCs w:val="20"/>
              </w:rPr>
              <w:t>3420</w:t>
            </w:r>
          </w:p>
        </w:tc>
      </w:tr>
      <w:tr w14:paraId="6993F5C2">
        <w:trPr>
          <w:trHeight w:val="23" w:hRule="atLeast"/>
        </w:trPr>
        <w:tc>
          <w:tcPr>
            <w:tcW w:w="0" w:type="auto"/>
            <w:vMerge w:val="restart"/>
            <w:tcBorders>
              <w:top w:val="single" w:color="auto" w:sz="8" w:space="0"/>
              <w:left w:val="nil"/>
              <w:bottom w:val="single" w:color="000000" w:sz="12" w:space="0"/>
              <w:right w:val="nil"/>
            </w:tcBorders>
            <w:shd w:val="clear" w:color="auto" w:fill="auto"/>
            <w:tcMar>
              <w:top w:w="8" w:type="dxa"/>
              <w:left w:w="8" w:type="dxa"/>
              <w:bottom w:w="0" w:type="dxa"/>
              <w:right w:w="8" w:type="dxa"/>
            </w:tcMar>
            <w:vAlign w:val="center"/>
          </w:tcPr>
          <w:p w14:paraId="4DFF42D5">
            <w:pPr>
              <w:pStyle w:val="42"/>
              <w:jc w:val="center"/>
              <w:rPr>
                <w:rFonts w:hint="default" w:ascii="Arial Regular" w:hAnsi="Arial Regular" w:cs="Arial Regular"/>
                <w:sz w:val="20"/>
                <w:szCs w:val="20"/>
              </w:rPr>
            </w:pPr>
            <w:r>
              <w:rPr>
                <w:rFonts w:hint="default" w:ascii="Arial Regular" w:hAnsi="Arial Regular" w:cs="Arial Regular"/>
                <w:sz w:val="20"/>
                <w:szCs w:val="20"/>
              </w:rPr>
              <w:t>Fe(II)</w:t>
            </w:r>
          </w:p>
        </w:tc>
        <w:tc>
          <w:tcPr>
            <w:tcW w:w="0" w:type="auto"/>
            <w:tcBorders>
              <w:top w:val="single" w:color="auto" w:sz="8" w:space="0"/>
              <w:left w:val="nil"/>
              <w:bottom w:val="nil"/>
              <w:right w:val="nil"/>
            </w:tcBorders>
            <w:shd w:val="clear" w:color="auto" w:fill="auto"/>
            <w:tcMar>
              <w:top w:w="8" w:type="dxa"/>
              <w:left w:w="8" w:type="dxa"/>
              <w:bottom w:w="0" w:type="dxa"/>
              <w:right w:w="8" w:type="dxa"/>
            </w:tcMar>
            <w:vAlign w:val="center"/>
          </w:tcPr>
          <w:p w14:paraId="2B261736">
            <w:pPr>
              <w:pStyle w:val="42"/>
              <w:jc w:val="center"/>
              <w:rPr>
                <w:rFonts w:hint="default" w:ascii="Arial Regular" w:hAnsi="Arial Regular" w:cs="Arial Regular"/>
                <w:sz w:val="20"/>
                <w:szCs w:val="20"/>
              </w:rPr>
            </w:pPr>
            <w:r>
              <w:rPr>
                <w:rFonts w:hint="default" w:ascii="Arial Regular" w:hAnsi="Arial Regular" w:cs="Arial Regular"/>
                <w:sz w:val="20"/>
                <w:szCs w:val="20"/>
              </w:rPr>
              <w:t>400</w:t>
            </w:r>
          </w:p>
        </w:tc>
        <w:tc>
          <w:tcPr>
            <w:tcW w:w="0" w:type="auto"/>
            <w:vMerge w:val="restart"/>
            <w:tcBorders>
              <w:top w:val="single" w:color="auto" w:sz="8" w:space="0"/>
              <w:left w:val="nil"/>
              <w:right w:val="nil"/>
            </w:tcBorders>
            <w:shd w:val="clear" w:color="auto" w:fill="auto"/>
            <w:tcMar>
              <w:top w:w="8" w:type="dxa"/>
              <w:left w:w="8" w:type="dxa"/>
              <w:bottom w:w="0" w:type="dxa"/>
              <w:right w:w="8" w:type="dxa"/>
            </w:tcMar>
            <w:vAlign w:val="center"/>
          </w:tcPr>
          <w:p w14:paraId="159451FF">
            <w:pPr>
              <w:pStyle w:val="42"/>
              <w:jc w:val="center"/>
              <w:rPr>
                <w:rFonts w:hint="default" w:ascii="Arial Regular" w:hAnsi="Arial Regular" w:cs="Arial Regular"/>
                <w:sz w:val="20"/>
                <w:szCs w:val="20"/>
              </w:rPr>
            </w:pPr>
            <w:r>
              <w:rPr>
                <w:rFonts w:hint="default" w:ascii="Arial Regular" w:hAnsi="Arial Regular" w:cs="Arial Regular"/>
                <w:sz w:val="20"/>
                <w:szCs w:val="20"/>
              </w:rPr>
              <w:t>Metal–oxygen bond (M–O)</w:t>
            </w:r>
          </w:p>
        </w:tc>
        <w:tc>
          <w:tcPr>
            <w:tcW w:w="454"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5F481646">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54"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67B5C770">
            <w:pPr>
              <w:pStyle w:val="42"/>
              <w:jc w:val="center"/>
              <w:rPr>
                <w:rFonts w:hint="default" w:ascii="Arial Regular" w:hAnsi="Arial Regular" w:cs="Arial Regular"/>
                <w:sz w:val="20"/>
                <w:szCs w:val="20"/>
              </w:rPr>
            </w:pPr>
          </w:p>
        </w:tc>
        <w:tc>
          <w:tcPr>
            <w:tcW w:w="454"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3253E183">
            <w:pPr>
              <w:pStyle w:val="42"/>
              <w:jc w:val="center"/>
              <w:rPr>
                <w:rFonts w:hint="default" w:ascii="Arial Regular" w:hAnsi="Arial Regular" w:cs="Arial Regular"/>
                <w:sz w:val="20"/>
                <w:szCs w:val="20"/>
              </w:rPr>
            </w:pPr>
          </w:p>
        </w:tc>
        <w:tc>
          <w:tcPr>
            <w:tcW w:w="454"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0570BF3A">
            <w:pPr>
              <w:pStyle w:val="42"/>
              <w:jc w:val="center"/>
              <w:rPr>
                <w:rFonts w:hint="default" w:ascii="Arial Regular" w:hAnsi="Arial Regular" w:cs="Arial Regular"/>
                <w:sz w:val="20"/>
                <w:szCs w:val="20"/>
              </w:rPr>
            </w:pPr>
          </w:p>
        </w:tc>
        <w:tc>
          <w:tcPr>
            <w:tcW w:w="454"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6B6DE07F">
            <w:pPr>
              <w:pStyle w:val="42"/>
              <w:jc w:val="center"/>
              <w:rPr>
                <w:rFonts w:hint="default" w:ascii="Arial Regular" w:hAnsi="Arial Regular" w:cs="Arial Regular"/>
                <w:sz w:val="20"/>
                <w:szCs w:val="20"/>
              </w:rPr>
            </w:pPr>
          </w:p>
        </w:tc>
        <w:tc>
          <w:tcPr>
            <w:tcW w:w="454"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21EAD22C">
            <w:pPr>
              <w:pStyle w:val="42"/>
              <w:jc w:val="center"/>
              <w:rPr>
                <w:rFonts w:hint="default" w:ascii="Arial Regular" w:hAnsi="Arial Regular" w:cs="Arial Regular"/>
                <w:sz w:val="20"/>
                <w:szCs w:val="20"/>
              </w:rPr>
            </w:pPr>
          </w:p>
        </w:tc>
        <w:tc>
          <w:tcPr>
            <w:tcW w:w="454"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0021D327">
            <w:pPr>
              <w:pStyle w:val="42"/>
              <w:jc w:val="center"/>
              <w:rPr>
                <w:rFonts w:hint="default" w:ascii="Arial Regular" w:hAnsi="Arial Regular" w:cs="Arial Regular"/>
                <w:sz w:val="20"/>
                <w:szCs w:val="20"/>
              </w:rPr>
            </w:pPr>
          </w:p>
        </w:tc>
        <w:tc>
          <w:tcPr>
            <w:tcW w:w="454"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645FEEBF">
            <w:pPr>
              <w:pStyle w:val="42"/>
              <w:jc w:val="center"/>
              <w:rPr>
                <w:rFonts w:hint="default" w:ascii="Arial Regular" w:hAnsi="Arial Regular" w:cs="Arial Regular"/>
                <w:sz w:val="20"/>
                <w:szCs w:val="20"/>
              </w:rPr>
            </w:pPr>
          </w:p>
        </w:tc>
        <w:tc>
          <w:tcPr>
            <w:tcW w:w="454"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4222BBFF">
            <w:pPr>
              <w:pStyle w:val="42"/>
              <w:jc w:val="center"/>
              <w:rPr>
                <w:rFonts w:hint="default" w:ascii="Arial Regular" w:hAnsi="Arial Regular" w:cs="Arial Regular"/>
                <w:sz w:val="20"/>
                <w:szCs w:val="20"/>
              </w:rPr>
            </w:pPr>
          </w:p>
        </w:tc>
        <w:tc>
          <w:tcPr>
            <w:tcW w:w="454"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069BA89A">
            <w:pPr>
              <w:pStyle w:val="42"/>
              <w:jc w:val="center"/>
              <w:rPr>
                <w:rFonts w:hint="default" w:ascii="Arial Regular" w:hAnsi="Arial Regular" w:cs="Arial Regular"/>
                <w:sz w:val="20"/>
                <w:szCs w:val="20"/>
              </w:rPr>
            </w:pPr>
          </w:p>
        </w:tc>
        <w:tc>
          <w:tcPr>
            <w:tcW w:w="454"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49C948E2">
            <w:pPr>
              <w:pStyle w:val="42"/>
              <w:jc w:val="center"/>
              <w:rPr>
                <w:rFonts w:hint="default" w:ascii="Arial Regular" w:hAnsi="Arial Regular" w:cs="Arial Regular"/>
                <w:sz w:val="20"/>
                <w:szCs w:val="20"/>
              </w:rPr>
            </w:pPr>
          </w:p>
        </w:tc>
        <w:tc>
          <w:tcPr>
            <w:tcW w:w="454"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707D489F">
            <w:pPr>
              <w:pStyle w:val="42"/>
              <w:jc w:val="center"/>
              <w:rPr>
                <w:rFonts w:hint="default" w:ascii="Arial Regular" w:hAnsi="Arial Regular" w:cs="Arial Regular"/>
                <w:sz w:val="20"/>
                <w:szCs w:val="20"/>
              </w:rPr>
            </w:pPr>
          </w:p>
        </w:tc>
        <w:tc>
          <w:tcPr>
            <w:tcW w:w="436"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528FEEF8">
            <w:pPr>
              <w:pStyle w:val="42"/>
              <w:jc w:val="center"/>
              <w:rPr>
                <w:rFonts w:hint="default" w:ascii="Arial Regular" w:hAnsi="Arial Regular" w:cs="Arial Regular"/>
                <w:sz w:val="20"/>
                <w:szCs w:val="20"/>
              </w:rPr>
            </w:pPr>
          </w:p>
        </w:tc>
        <w:tc>
          <w:tcPr>
            <w:tcW w:w="436"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05E516F0">
            <w:pPr>
              <w:pStyle w:val="42"/>
              <w:jc w:val="center"/>
              <w:rPr>
                <w:rFonts w:hint="default" w:ascii="Arial Regular" w:hAnsi="Arial Regular" w:cs="Arial Regular"/>
                <w:sz w:val="20"/>
                <w:szCs w:val="20"/>
              </w:rPr>
            </w:pPr>
          </w:p>
        </w:tc>
        <w:tc>
          <w:tcPr>
            <w:tcW w:w="436"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2E3F5727">
            <w:pPr>
              <w:pStyle w:val="42"/>
              <w:jc w:val="center"/>
              <w:rPr>
                <w:rFonts w:hint="default" w:ascii="Arial Regular" w:hAnsi="Arial Regular" w:cs="Arial Regular"/>
                <w:sz w:val="20"/>
                <w:szCs w:val="20"/>
              </w:rPr>
            </w:pPr>
          </w:p>
        </w:tc>
        <w:tc>
          <w:tcPr>
            <w:tcW w:w="436"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4B46AA4B">
            <w:pPr>
              <w:pStyle w:val="42"/>
              <w:jc w:val="center"/>
              <w:rPr>
                <w:rFonts w:hint="default" w:ascii="Arial Regular" w:hAnsi="Arial Regular" w:cs="Arial Regular"/>
                <w:sz w:val="20"/>
                <w:szCs w:val="20"/>
              </w:rPr>
            </w:pPr>
          </w:p>
        </w:tc>
        <w:tc>
          <w:tcPr>
            <w:tcW w:w="436"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5A19B26C">
            <w:pPr>
              <w:pStyle w:val="42"/>
              <w:jc w:val="center"/>
              <w:rPr>
                <w:rFonts w:hint="default" w:ascii="Arial Regular" w:hAnsi="Arial Regular" w:cs="Arial Regular"/>
                <w:sz w:val="20"/>
                <w:szCs w:val="20"/>
              </w:rPr>
            </w:pPr>
          </w:p>
        </w:tc>
        <w:tc>
          <w:tcPr>
            <w:tcW w:w="436"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1151B649">
            <w:pPr>
              <w:pStyle w:val="42"/>
              <w:jc w:val="center"/>
              <w:rPr>
                <w:rFonts w:hint="default" w:ascii="Arial Regular" w:hAnsi="Arial Regular" w:cs="Arial Regular"/>
                <w:sz w:val="20"/>
                <w:szCs w:val="20"/>
              </w:rPr>
            </w:pPr>
          </w:p>
        </w:tc>
      </w:tr>
      <w:tr w14:paraId="7201D852">
        <w:trPr>
          <w:trHeight w:val="23" w:hRule="atLeast"/>
        </w:trPr>
        <w:tc>
          <w:tcPr>
            <w:tcW w:w="0" w:type="auto"/>
            <w:vMerge w:val="continue"/>
            <w:tcBorders>
              <w:top w:val="single" w:color="000000" w:sz="4" w:space="0"/>
              <w:left w:val="nil"/>
              <w:bottom w:val="single" w:color="000000" w:sz="12" w:space="0"/>
              <w:right w:val="nil"/>
            </w:tcBorders>
            <w:vAlign w:val="center"/>
          </w:tcPr>
          <w:p w14:paraId="1C32E869">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5077635C">
            <w:pPr>
              <w:pStyle w:val="42"/>
              <w:jc w:val="center"/>
              <w:rPr>
                <w:rFonts w:hint="default" w:ascii="Arial Regular" w:hAnsi="Arial Regular" w:cs="Arial Regular"/>
                <w:sz w:val="20"/>
                <w:szCs w:val="20"/>
              </w:rPr>
            </w:pPr>
            <w:r>
              <w:rPr>
                <w:rFonts w:hint="default" w:ascii="Arial Regular" w:hAnsi="Arial Regular" w:cs="Arial Regular"/>
                <w:sz w:val="20"/>
                <w:szCs w:val="20"/>
              </w:rPr>
              <w:t>559</w:t>
            </w:r>
          </w:p>
        </w:tc>
        <w:tc>
          <w:tcPr>
            <w:tcW w:w="0" w:type="auto"/>
            <w:vMerge w:val="continue"/>
            <w:tcBorders>
              <w:left w:val="nil"/>
              <w:bottom w:val="nil"/>
              <w:right w:val="nil"/>
            </w:tcBorders>
            <w:shd w:val="clear" w:color="auto" w:fill="auto"/>
            <w:tcMar>
              <w:top w:w="8" w:type="dxa"/>
              <w:left w:w="8" w:type="dxa"/>
              <w:bottom w:w="0" w:type="dxa"/>
              <w:right w:w="8" w:type="dxa"/>
            </w:tcMar>
            <w:vAlign w:val="center"/>
          </w:tcPr>
          <w:p w14:paraId="4AA530C4">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0165A8D">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271EBCA">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4F44233">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592E8B1">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A1FD127">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9F6FA82">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A6436FD">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F452A4F">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A601566">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6708390">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9012A15">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F36FDD3">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55C7A1B5">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651F1D82">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5B1726BB">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011303D5">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3430274F">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17E1FDF5">
            <w:pPr>
              <w:pStyle w:val="42"/>
              <w:jc w:val="center"/>
              <w:rPr>
                <w:rFonts w:hint="default" w:ascii="Arial Regular" w:hAnsi="Arial Regular" w:cs="Arial Regular"/>
                <w:sz w:val="20"/>
                <w:szCs w:val="20"/>
              </w:rPr>
            </w:pPr>
          </w:p>
        </w:tc>
      </w:tr>
      <w:tr w14:paraId="63A72FF7">
        <w:trPr>
          <w:trHeight w:val="23" w:hRule="atLeast"/>
        </w:trPr>
        <w:tc>
          <w:tcPr>
            <w:tcW w:w="0" w:type="auto"/>
            <w:vMerge w:val="continue"/>
            <w:tcBorders>
              <w:top w:val="single" w:color="000000" w:sz="4" w:space="0"/>
              <w:left w:val="nil"/>
              <w:bottom w:val="single" w:color="000000" w:sz="12" w:space="0"/>
              <w:right w:val="nil"/>
            </w:tcBorders>
            <w:vAlign w:val="center"/>
          </w:tcPr>
          <w:p w14:paraId="5C452EF6">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092BF255">
            <w:pPr>
              <w:pStyle w:val="42"/>
              <w:jc w:val="center"/>
              <w:rPr>
                <w:rFonts w:hint="default" w:ascii="Arial Regular" w:hAnsi="Arial Regular" w:cs="Arial Regular"/>
                <w:sz w:val="20"/>
                <w:szCs w:val="20"/>
              </w:rPr>
            </w:pPr>
            <w:r>
              <w:rPr>
                <w:rFonts w:hint="default" w:ascii="Arial Regular" w:hAnsi="Arial Regular" w:cs="Arial Regular"/>
                <w:sz w:val="20"/>
                <w:szCs w:val="20"/>
              </w:rPr>
              <w:t>680</w:t>
            </w: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053D246B">
            <w:pPr>
              <w:pStyle w:val="42"/>
              <w:jc w:val="center"/>
              <w:rPr>
                <w:rFonts w:hint="default" w:ascii="Arial Regular" w:hAnsi="Arial Regular" w:cs="Arial Regular"/>
                <w:sz w:val="20"/>
                <w:szCs w:val="20"/>
              </w:rPr>
            </w:pPr>
            <w:r>
              <w:rPr>
                <w:rFonts w:hint="default" w:ascii="Arial Regular" w:hAnsi="Arial Regular" w:cs="Arial Regular"/>
                <w:sz w:val="20"/>
                <w:szCs w:val="20"/>
              </w:rPr>
              <w:t>Aromatic hydrocarbons (C–H)</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BA01B4D">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018BDA9">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C420889">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74C8794">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68A11FB">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2493E24">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8F68AB1">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62B40F2">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2914091">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AA5BD14">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34E913B">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E7C882A">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6ED4F737">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689BD37B">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2F4CE14A">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226D224D">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2562BF4E">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3FEDC176">
            <w:pPr>
              <w:pStyle w:val="42"/>
              <w:jc w:val="center"/>
              <w:rPr>
                <w:rFonts w:hint="default" w:ascii="Arial Regular" w:hAnsi="Arial Regular" w:cs="Arial Regular"/>
                <w:sz w:val="20"/>
                <w:szCs w:val="20"/>
              </w:rPr>
            </w:pPr>
          </w:p>
        </w:tc>
      </w:tr>
      <w:tr w14:paraId="493ACB35">
        <w:trPr>
          <w:trHeight w:val="23" w:hRule="atLeast"/>
        </w:trPr>
        <w:tc>
          <w:tcPr>
            <w:tcW w:w="0" w:type="auto"/>
            <w:vMerge w:val="continue"/>
            <w:tcBorders>
              <w:top w:val="single" w:color="000000" w:sz="4" w:space="0"/>
              <w:left w:val="nil"/>
              <w:bottom w:val="single" w:color="000000" w:sz="12" w:space="0"/>
              <w:right w:val="nil"/>
            </w:tcBorders>
            <w:vAlign w:val="center"/>
          </w:tcPr>
          <w:p w14:paraId="223C0656">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42D07E13">
            <w:pPr>
              <w:pStyle w:val="42"/>
              <w:jc w:val="center"/>
              <w:rPr>
                <w:rFonts w:hint="default" w:ascii="Arial Regular" w:hAnsi="Arial Regular" w:cs="Arial Regular"/>
                <w:sz w:val="20"/>
                <w:szCs w:val="20"/>
              </w:rPr>
            </w:pPr>
            <w:r>
              <w:rPr>
                <w:rFonts w:hint="default" w:ascii="Arial Regular" w:hAnsi="Arial Regular" w:cs="Arial Regular"/>
                <w:sz w:val="20"/>
                <w:szCs w:val="20"/>
              </w:rPr>
              <w:t>720</w:t>
            </w: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466F7856">
            <w:pPr>
              <w:pStyle w:val="42"/>
              <w:jc w:val="center"/>
              <w:rPr>
                <w:rFonts w:hint="default" w:ascii="Arial Regular" w:hAnsi="Arial Regular" w:cs="Arial Regular"/>
                <w:sz w:val="20"/>
                <w:szCs w:val="20"/>
              </w:rPr>
            </w:pPr>
            <w:r>
              <w:rPr>
                <w:rFonts w:hint="default" w:ascii="Arial Regular" w:hAnsi="Arial Regular" w:cs="Arial Regular"/>
                <w:sz w:val="20"/>
                <w:szCs w:val="20"/>
              </w:rPr>
              <w:t>Aliphatic hydrocarbons (C–H)</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CB53D27">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AA31D9D">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59775F9">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3E42F52">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52C4D04">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C7E74C3">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7C4B08C">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631BAB3">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7AA1877">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52F47E0">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A674DE8">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4F31742">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51DBB68F">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62B7F99A">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5DE2E71B">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37DC0AE5">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28749A9F">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385C5FE7">
            <w:pPr>
              <w:pStyle w:val="42"/>
              <w:jc w:val="center"/>
              <w:rPr>
                <w:rFonts w:hint="default" w:ascii="Arial Regular" w:hAnsi="Arial Regular" w:cs="Arial Regular"/>
                <w:sz w:val="20"/>
                <w:szCs w:val="20"/>
              </w:rPr>
            </w:pPr>
          </w:p>
        </w:tc>
      </w:tr>
      <w:tr w14:paraId="3C790F94">
        <w:trPr>
          <w:trHeight w:val="23" w:hRule="atLeast"/>
        </w:trPr>
        <w:tc>
          <w:tcPr>
            <w:tcW w:w="0" w:type="auto"/>
            <w:vMerge w:val="continue"/>
            <w:tcBorders>
              <w:top w:val="single" w:color="000000" w:sz="4" w:space="0"/>
              <w:left w:val="nil"/>
              <w:bottom w:val="single" w:color="000000" w:sz="12" w:space="0"/>
              <w:right w:val="nil"/>
            </w:tcBorders>
            <w:vAlign w:val="center"/>
          </w:tcPr>
          <w:p w14:paraId="290288F5">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5070C3AB">
            <w:pPr>
              <w:pStyle w:val="42"/>
              <w:jc w:val="center"/>
              <w:rPr>
                <w:rFonts w:hint="default" w:ascii="Arial Regular" w:hAnsi="Arial Regular" w:cs="Arial Regular"/>
                <w:sz w:val="20"/>
                <w:szCs w:val="20"/>
              </w:rPr>
            </w:pPr>
            <w:r>
              <w:rPr>
                <w:rFonts w:hint="default" w:ascii="Arial Regular" w:hAnsi="Arial Regular" w:cs="Arial Regular"/>
                <w:sz w:val="20"/>
                <w:szCs w:val="20"/>
              </w:rPr>
              <w:t>800</w:t>
            </w:r>
          </w:p>
        </w:tc>
        <w:tc>
          <w:tcPr>
            <w:tcW w:w="0" w:type="auto"/>
            <w:vMerge w:val="restart"/>
            <w:tcBorders>
              <w:top w:val="nil"/>
              <w:left w:val="nil"/>
              <w:right w:val="nil"/>
            </w:tcBorders>
            <w:shd w:val="clear" w:color="auto" w:fill="auto"/>
            <w:tcMar>
              <w:top w:w="8" w:type="dxa"/>
              <w:left w:w="8" w:type="dxa"/>
              <w:bottom w:w="0" w:type="dxa"/>
              <w:right w:w="8" w:type="dxa"/>
            </w:tcMar>
            <w:vAlign w:val="center"/>
          </w:tcPr>
          <w:p w14:paraId="2A19C4EC">
            <w:pPr>
              <w:pStyle w:val="42"/>
              <w:jc w:val="center"/>
              <w:rPr>
                <w:rFonts w:hint="default" w:ascii="Arial Regular" w:hAnsi="Arial Regular" w:cs="Arial Regular"/>
                <w:sz w:val="20"/>
                <w:szCs w:val="20"/>
              </w:rPr>
            </w:pPr>
            <w:r>
              <w:rPr>
                <w:rFonts w:hint="default" w:ascii="Arial Regular" w:hAnsi="Arial Regular" w:cs="Arial Regular"/>
                <w:sz w:val="20"/>
                <w:szCs w:val="20"/>
              </w:rPr>
              <w:t>Aromatic hydrocarbons (C–H)</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3F72BBE">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56304AE">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C964A2A">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84F6205">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47EA800">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476E1CB">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7558560">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403F8A5">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4469972">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416D5D4">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46648A5">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59F73BE">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050C470C">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6F3F2341">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4B5F1C18">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36B76354">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1A127117">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48E88129">
            <w:pPr>
              <w:pStyle w:val="42"/>
              <w:jc w:val="center"/>
              <w:rPr>
                <w:rFonts w:hint="default" w:ascii="Arial Regular" w:hAnsi="Arial Regular" w:cs="Arial Regular"/>
                <w:sz w:val="20"/>
                <w:szCs w:val="20"/>
              </w:rPr>
            </w:pPr>
          </w:p>
        </w:tc>
      </w:tr>
      <w:tr w14:paraId="42E31F14">
        <w:trPr>
          <w:trHeight w:val="23" w:hRule="atLeast"/>
        </w:trPr>
        <w:tc>
          <w:tcPr>
            <w:tcW w:w="0" w:type="auto"/>
            <w:vMerge w:val="continue"/>
            <w:tcBorders>
              <w:top w:val="single" w:color="000000" w:sz="4" w:space="0"/>
              <w:left w:val="nil"/>
              <w:bottom w:val="single" w:color="000000" w:sz="12" w:space="0"/>
              <w:right w:val="nil"/>
            </w:tcBorders>
            <w:vAlign w:val="center"/>
          </w:tcPr>
          <w:p w14:paraId="6E888D6B">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595BD593">
            <w:pPr>
              <w:pStyle w:val="42"/>
              <w:jc w:val="center"/>
              <w:rPr>
                <w:rFonts w:hint="default" w:ascii="Arial Regular" w:hAnsi="Arial Regular" w:cs="Arial Regular"/>
                <w:sz w:val="20"/>
                <w:szCs w:val="20"/>
              </w:rPr>
            </w:pPr>
            <w:r>
              <w:rPr>
                <w:rFonts w:hint="default" w:ascii="Arial Regular" w:hAnsi="Arial Regular" w:cs="Arial Regular"/>
                <w:sz w:val="20"/>
                <w:szCs w:val="20"/>
              </w:rPr>
              <w:t>878</w:t>
            </w:r>
          </w:p>
        </w:tc>
        <w:tc>
          <w:tcPr>
            <w:tcW w:w="0" w:type="auto"/>
            <w:vMerge w:val="continue"/>
            <w:tcBorders>
              <w:left w:val="nil"/>
              <w:bottom w:val="nil"/>
              <w:right w:val="nil"/>
            </w:tcBorders>
            <w:shd w:val="clear" w:color="auto" w:fill="auto"/>
            <w:tcMar>
              <w:top w:w="8" w:type="dxa"/>
              <w:left w:w="8" w:type="dxa"/>
              <w:bottom w:w="0" w:type="dxa"/>
              <w:right w:w="8" w:type="dxa"/>
            </w:tcMar>
            <w:vAlign w:val="center"/>
          </w:tcPr>
          <w:p w14:paraId="607F4D4A">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B5E29E3">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56BF738">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75CCD0B">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2E17D9B">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38049B2">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CE168C4">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39A92E9">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E720E4C">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437F778">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5D7DAC6">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E53AE8B">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394FEE2">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72ABF17A">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4101A2CB">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16BF82C9">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5FB7D08E">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4FC57B3B">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3B7EA6AD">
            <w:pPr>
              <w:pStyle w:val="42"/>
              <w:jc w:val="center"/>
              <w:rPr>
                <w:rFonts w:hint="default" w:ascii="Arial Regular" w:hAnsi="Arial Regular" w:cs="Arial Regular"/>
                <w:sz w:val="20"/>
                <w:szCs w:val="20"/>
              </w:rPr>
            </w:pPr>
          </w:p>
        </w:tc>
      </w:tr>
      <w:tr w14:paraId="06A8DD23">
        <w:trPr>
          <w:trHeight w:val="23" w:hRule="atLeast"/>
        </w:trPr>
        <w:tc>
          <w:tcPr>
            <w:tcW w:w="0" w:type="auto"/>
            <w:vMerge w:val="continue"/>
            <w:tcBorders>
              <w:top w:val="single" w:color="000000" w:sz="4" w:space="0"/>
              <w:left w:val="nil"/>
              <w:bottom w:val="single" w:color="000000" w:sz="12" w:space="0"/>
              <w:right w:val="nil"/>
            </w:tcBorders>
            <w:vAlign w:val="center"/>
          </w:tcPr>
          <w:p w14:paraId="5912BB24">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05D384F8">
            <w:pPr>
              <w:pStyle w:val="42"/>
              <w:jc w:val="center"/>
              <w:rPr>
                <w:rFonts w:hint="default" w:ascii="Arial Regular" w:hAnsi="Arial Regular" w:cs="Arial Regular"/>
                <w:sz w:val="20"/>
                <w:szCs w:val="20"/>
              </w:rPr>
            </w:pPr>
            <w:r>
              <w:rPr>
                <w:rFonts w:hint="default" w:ascii="Arial Regular" w:hAnsi="Arial Regular" w:cs="Arial Regular"/>
                <w:sz w:val="20"/>
                <w:szCs w:val="20"/>
              </w:rPr>
              <w:t>947</w:t>
            </w: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31504155">
            <w:pPr>
              <w:pStyle w:val="42"/>
              <w:jc w:val="center"/>
              <w:rPr>
                <w:rFonts w:hint="default" w:ascii="Arial Regular" w:hAnsi="Arial Regular" w:cs="Arial Regular"/>
                <w:sz w:val="20"/>
                <w:szCs w:val="20"/>
              </w:rPr>
            </w:pPr>
            <w:r>
              <w:rPr>
                <w:rFonts w:hint="default" w:ascii="Arial Regular" w:hAnsi="Arial Regular" w:cs="Arial Regular"/>
                <w:sz w:val="20"/>
                <w:szCs w:val="20"/>
              </w:rPr>
              <w:t>Carboxylic acid (O–H)</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0CBF5C6">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F677D66">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DEF0D40">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DDAE101">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3DC1769">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2D8687B">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4A36407">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D44F9C1">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5793CF5">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7701B91">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B63195A">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56EDC9A">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7666A1E8">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244E2450">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4C06D4F2">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0CDF94F4">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2082C76E">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2FE7F107">
            <w:pPr>
              <w:pStyle w:val="42"/>
              <w:jc w:val="center"/>
              <w:rPr>
                <w:rFonts w:hint="default" w:ascii="Arial Regular" w:hAnsi="Arial Regular" w:cs="Arial Regular"/>
                <w:sz w:val="20"/>
                <w:szCs w:val="20"/>
              </w:rPr>
            </w:pPr>
          </w:p>
        </w:tc>
      </w:tr>
      <w:tr w14:paraId="1B6E77BE">
        <w:trPr>
          <w:trHeight w:val="23" w:hRule="atLeast"/>
        </w:trPr>
        <w:tc>
          <w:tcPr>
            <w:tcW w:w="0" w:type="auto"/>
            <w:vMerge w:val="continue"/>
            <w:tcBorders>
              <w:top w:val="single" w:color="000000" w:sz="4" w:space="0"/>
              <w:left w:val="nil"/>
              <w:bottom w:val="single" w:color="000000" w:sz="12" w:space="0"/>
              <w:right w:val="nil"/>
            </w:tcBorders>
            <w:vAlign w:val="center"/>
          </w:tcPr>
          <w:p w14:paraId="447A61C7">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7EF7E1DD">
            <w:pPr>
              <w:pStyle w:val="42"/>
              <w:jc w:val="center"/>
              <w:rPr>
                <w:rFonts w:hint="default" w:ascii="Arial Regular" w:hAnsi="Arial Regular" w:cs="Arial Regular"/>
                <w:sz w:val="20"/>
                <w:szCs w:val="20"/>
              </w:rPr>
            </w:pPr>
            <w:r>
              <w:rPr>
                <w:rFonts w:hint="default" w:ascii="Arial Regular" w:hAnsi="Arial Regular" w:cs="Arial Regular"/>
                <w:sz w:val="20"/>
                <w:szCs w:val="20"/>
              </w:rPr>
              <w:t>1063</w:t>
            </w: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37F86270">
            <w:pPr>
              <w:pStyle w:val="42"/>
              <w:jc w:val="center"/>
              <w:rPr>
                <w:rFonts w:hint="default" w:ascii="Arial Regular" w:hAnsi="Arial Regular" w:cs="Arial Regular"/>
                <w:sz w:val="20"/>
                <w:szCs w:val="20"/>
              </w:rPr>
            </w:pPr>
            <w:r>
              <w:rPr>
                <w:rFonts w:hint="default" w:ascii="Arial Regular" w:hAnsi="Arial Regular" w:cs="Arial Regular"/>
                <w:sz w:val="20"/>
                <w:szCs w:val="20"/>
              </w:rPr>
              <w:t>Ether (C–O–C) or alcohol (C–O)</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44F4AFA">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519D3F6">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BFDF46E">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6788232">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A7A9B88">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396089F">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10392E1">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9D0F2D1">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3BC1317">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F13556E">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36815D3">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D01BD4B">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5C37A0C2">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1A42CFC9">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48E830A1">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20D1B8E0">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293B06B0">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0CE607E6">
            <w:pPr>
              <w:pStyle w:val="42"/>
              <w:jc w:val="center"/>
              <w:rPr>
                <w:rFonts w:hint="default" w:ascii="Arial Regular" w:hAnsi="Arial Regular" w:cs="Arial Regular"/>
                <w:sz w:val="20"/>
                <w:szCs w:val="20"/>
              </w:rPr>
            </w:pPr>
          </w:p>
        </w:tc>
      </w:tr>
      <w:tr w14:paraId="102FC81C">
        <w:trPr>
          <w:trHeight w:val="23" w:hRule="atLeast"/>
        </w:trPr>
        <w:tc>
          <w:tcPr>
            <w:tcW w:w="0" w:type="auto"/>
            <w:vMerge w:val="continue"/>
            <w:tcBorders>
              <w:top w:val="single" w:color="000000" w:sz="4" w:space="0"/>
              <w:left w:val="nil"/>
              <w:bottom w:val="single" w:color="000000" w:sz="12" w:space="0"/>
              <w:right w:val="nil"/>
            </w:tcBorders>
            <w:vAlign w:val="center"/>
          </w:tcPr>
          <w:p w14:paraId="2D85F391">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1A22F7FD">
            <w:pPr>
              <w:pStyle w:val="42"/>
              <w:jc w:val="center"/>
              <w:rPr>
                <w:rFonts w:hint="default" w:ascii="Arial Regular" w:hAnsi="Arial Regular" w:cs="Arial Regular"/>
                <w:sz w:val="20"/>
                <w:szCs w:val="20"/>
              </w:rPr>
            </w:pPr>
            <w:r>
              <w:rPr>
                <w:rFonts w:hint="default" w:ascii="Arial Regular" w:hAnsi="Arial Regular" w:cs="Arial Regular"/>
                <w:sz w:val="20"/>
                <w:szCs w:val="20"/>
              </w:rPr>
              <w:t>1260</w:t>
            </w: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0FF59A10">
            <w:pPr>
              <w:pStyle w:val="42"/>
              <w:jc w:val="center"/>
              <w:rPr>
                <w:rFonts w:hint="default" w:ascii="Arial Regular" w:hAnsi="Arial Regular" w:cs="Arial Regular"/>
                <w:sz w:val="20"/>
                <w:szCs w:val="20"/>
              </w:rPr>
            </w:pPr>
            <w:r>
              <w:rPr>
                <w:rFonts w:hint="default" w:ascii="Arial Regular" w:hAnsi="Arial Regular" w:cs="Arial Regular"/>
                <w:sz w:val="20"/>
                <w:szCs w:val="20"/>
              </w:rPr>
              <w:t>Ether (C–O–C) or ester (C–O)</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49E12AF">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B406987">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19BBB39">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DFC3FAA">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DE6BDE9">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1AE3A53">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7CACEEB">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5989369">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26561FB">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BC563E5">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6A82777">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BE1D757">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77CCCB10">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6FDA48DF">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05E35D8E">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255BE583">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6E5334DE">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01C5681E">
            <w:pPr>
              <w:pStyle w:val="42"/>
              <w:jc w:val="center"/>
              <w:rPr>
                <w:rFonts w:hint="default" w:ascii="Arial Regular" w:hAnsi="Arial Regular" w:cs="Arial Regular"/>
                <w:sz w:val="20"/>
                <w:szCs w:val="20"/>
              </w:rPr>
            </w:pPr>
          </w:p>
        </w:tc>
      </w:tr>
      <w:tr w14:paraId="19E035CD">
        <w:trPr>
          <w:trHeight w:val="23" w:hRule="atLeast"/>
        </w:trPr>
        <w:tc>
          <w:tcPr>
            <w:tcW w:w="0" w:type="auto"/>
            <w:vMerge w:val="continue"/>
            <w:tcBorders>
              <w:top w:val="single" w:color="000000" w:sz="4" w:space="0"/>
              <w:left w:val="nil"/>
              <w:bottom w:val="single" w:color="000000" w:sz="12" w:space="0"/>
              <w:right w:val="nil"/>
            </w:tcBorders>
            <w:vAlign w:val="center"/>
          </w:tcPr>
          <w:p w14:paraId="0FA788AD">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254D2EAC">
            <w:pPr>
              <w:pStyle w:val="42"/>
              <w:jc w:val="center"/>
              <w:rPr>
                <w:rFonts w:hint="default" w:ascii="Arial Regular" w:hAnsi="Arial Regular" w:cs="Arial Regular"/>
                <w:sz w:val="20"/>
                <w:szCs w:val="20"/>
              </w:rPr>
            </w:pPr>
            <w:r>
              <w:rPr>
                <w:rFonts w:hint="default" w:ascii="Arial Regular" w:hAnsi="Arial Regular" w:cs="Arial Regular"/>
                <w:sz w:val="20"/>
                <w:szCs w:val="20"/>
              </w:rPr>
              <w:t>1395</w:t>
            </w: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71365E99">
            <w:pPr>
              <w:pStyle w:val="42"/>
              <w:jc w:val="center"/>
              <w:rPr>
                <w:rFonts w:hint="default" w:ascii="Arial Regular" w:hAnsi="Arial Regular" w:cs="Arial Regular"/>
                <w:sz w:val="20"/>
                <w:szCs w:val="20"/>
              </w:rPr>
            </w:pPr>
            <w:r>
              <w:rPr>
                <w:rFonts w:hint="default" w:ascii="Arial Regular" w:hAnsi="Arial Regular" w:cs="Arial Regular"/>
                <w:sz w:val="20"/>
                <w:szCs w:val="20"/>
              </w:rPr>
              <w:t>Carboxylic acid (O–H) or CH</w:t>
            </w:r>
            <w:r>
              <w:rPr>
                <w:rFonts w:hint="default" w:ascii="Arial Regular" w:hAnsi="Arial Regular" w:cs="Arial Regular"/>
                <w:sz w:val="20"/>
                <w:szCs w:val="20"/>
                <w:vertAlign w:val="subscript"/>
              </w:rPr>
              <w:t>3</w:t>
            </w:r>
            <w:r>
              <w:rPr>
                <w:rFonts w:hint="default" w:ascii="Arial Regular" w:hAnsi="Arial Regular" w:cs="Arial Regular"/>
                <w:sz w:val="20"/>
                <w:szCs w:val="20"/>
              </w:rPr>
              <w:t xml:space="preserve"> deformation</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B5ACEB1">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59AFA33">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9561089">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A538E6C">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197B584">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BD5ACF1">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1D4E56A">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F38C007">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269AF68">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2BEC561">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3882F7C">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0BD1DCB">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288094D8">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771F99F3">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2C70ABC2">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42BD47F3">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5AAC651B">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70CF4834">
            <w:pPr>
              <w:pStyle w:val="42"/>
              <w:jc w:val="center"/>
              <w:rPr>
                <w:rFonts w:hint="default" w:ascii="Arial Regular" w:hAnsi="Arial Regular" w:cs="Arial Regular"/>
                <w:sz w:val="20"/>
                <w:szCs w:val="20"/>
              </w:rPr>
            </w:pPr>
          </w:p>
        </w:tc>
      </w:tr>
      <w:tr w14:paraId="4A4168CA">
        <w:trPr>
          <w:trHeight w:val="23" w:hRule="atLeast"/>
        </w:trPr>
        <w:tc>
          <w:tcPr>
            <w:tcW w:w="0" w:type="auto"/>
            <w:vMerge w:val="continue"/>
            <w:tcBorders>
              <w:top w:val="single" w:color="000000" w:sz="4" w:space="0"/>
              <w:left w:val="nil"/>
              <w:bottom w:val="single" w:color="000000" w:sz="12" w:space="0"/>
              <w:right w:val="nil"/>
            </w:tcBorders>
            <w:vAlign w:val="center"/>
          </w:tcPr>
          <w:p w14:paraId="7AFA7386">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23DCE8E8">
            <w:pPr>
              <w:pStyle w:val="42"/>
              <w:jc w:val="center"/>
              <w:rPr>
                <w:rFonts w:hint="default" w:ascii="Arial Regular" w:hAnsi="Arial Regular" w:cs="Arial Regular"/>
                <w:sz w:val="20"/>
                <w:szCs w:val="20"/>
              </w:rPr>
            </w:pPr>
            <w:r>
              <w:rPr>
                <w:rFonts w:hint="default" w:ascii="Arial Regular" w:hAnsi="Arial Regular" w:cs="Arial Regular"/>
                <w:sz w:val="20"/>
                <w:szCs w:val="20"/>
              </w:rPr>
              <w:t>1502</w:t>
            </w: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32D48CE9">
            <w:pPr>
              <w:pStyle w:val="42"/>
              <w:jc w:val="center"/>
              <w:rPr>
                <w:rFonts w:hint="default" w:ascii="Arial Regular" w:hAnsi="Arial Regular" w:cs="Arial Regular"/>
                <w:sz w:val="20"/>
                <w:szCs w:val="20"/>
              </w:rPr>
            </w:pPr>
            <w:r>
              <w:rPr>
                <w:rFonts w:hint="default" w:ascii="Arial Regular" w:hAnsi="Arial Regular" w:cs="Arial Regular"/>
                <w:sz w:val="20"/>
                <w:szCs w:val="20"/>
              </w:rPr>
              <w:t>Aromatic ring (C=C)</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F4684BC">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9766A0A">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400FBD7">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F97C269">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C389580">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D03D855">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1AEB80A">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256700E">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BC9D556">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48F6679">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909F2FC">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2525908">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0B12EA1D">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00A3045B">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21A65E82">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4C76B5BD">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123469C3">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0AE9DE7D">
            <w:pPr>
              <w:pStyle w:val="42"/>
              <w:jc w:val="center"/>
              <w:rPr>
                <w:rFonts w:hint="default" w:ascii="Arial Regular" w:hAnsi="Arial Regular" w:cs="Arial Regular"/>
                <w:sz w:val="20"/>
                <w:szCs w:val="20"/>
              </w:rPr>
            </w:pPr>
          </w:p>
        </w:tc>
      </w:tr>
      <w:tr w14:paraId="0A6BF111">
        <w:trPr>
          <w:trHeight w:val="23" w:hRule="atLeast"/>
        </w:trPr>
        <w:tc>
          <w:tcPr>
            <w:tcW w:w="0" w:type="auto"/>
            <w:vMerge w:val="continue"/>
            <w:tcBorders>
              <w:top w:val="single" w:color="000000" w:sz="4" w:space="0"/>
              <w:left w:val="nil"/>
              <w:bottom w:val="single" w:color="000000" w:sz="12" w:space="0"/>
              <w:right w:val="nil"/>
            </w:tcBorders>
            <w:vAlign w:val="center"/>
          </w:tcPr>
          <w:p w14:paraId="4406E1F8">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4B33D659">
            <w:pPr>
              <w:pStyle w:val="42"/>
              <w:jc w:val="center"/>
              <w:rPr>
                <w:rFonts w:hint="default" w:ascii="Arial Regular" w:hAnsi="Arial Regular" w:cs="Arial Regular"/>
                <w:sz w:val="20"/>
                <w:szCs w:val="20"/>
              </w:rPr>
            </w:pPr>
            <w:r>
              <w:rPr>
                <w:rFonts w:hint="default" w:ascii="Arial Regular" w:hAnsi="Arial Regular" w:cs="Arial Regular"/>
                <w:sz w:val="20"/>
                <w:szCs w:val="20"/>
              </w:rPr>
              <w:t>1628</w:t>
            </w: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0F61EA3A">
            <w:pPr>
              <w:pStyle w:val="42"/>
              <w:jc w:val="center"/>
              <w:rPr>
                <w:rFonts w:hint="default" w:ascii="Arial Regular" w:hAnsi="Arial Regular" w:cs="Arial Regular"/>
                <w:sz w:val="20"/>
                <w:szCs w:val="20"/>
              </w:rPr>
            </w:pPr>
            <w:r>
              <w:rPr>
                <w:rFonts w:hint="default" w:ascii="Arial Regular" w:hAnsi="Arial Regular" w:cs="Arial Regular"/>
                <w:sz w:val="20"/>
                <w:szCs w:val="20"/>
              </w:rPr>
              <w:t>Carbonyl (C=O) or C=C</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3F31998">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F52194D">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2F811D6">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C6F29B5">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64DE16B">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D092123">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E83D828">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413B144">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8FA5C4C">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23956CA">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A23B201">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E52B8FC">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7C4BE5C0">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13325CBC">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740AB697">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7CCE4AD4">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76D13E65">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2916E7F5">
            <w:pPr>
              <w:pStyle w:val="42"/>
              <w:jc w:val="center"/>
              <w:rPr>
                <w:rFonts w:hint="default" w:ascii="Arial Regular" w:hAnsi="Arial Regular" w:cs="Arial Regular"/>
                <w:sz w:val="20"/>
                <w:szCs w:val="20"/>
              </w:rPr>
            </w:pPr>
          </w:p>
        </w:tc>
      </w:tr>
      <w:tr w14:paraId="14509811">
        <w:trPr>
          <w:trHeight w:val="23" w:hRule="atLeast"/>
        </w:trPr>
        <w:tc>
          <w:tcPr>
            <w:tcW w:w="0" w:type="auto"/>
            <w:vMerge w:val="continue"/>
            <w:tcBorders>
              <w:top w:val="single" w:color="000000" w:sz="4" w:space="0"/>
              <w:left w:val="nil"/>
              <w:bottom w:val="single" w:color="000000" w:sz="12" w:space="0"/>
              <w:right w:val="nil"/>
            </w:tcBorders>
            <w:vAlign w:val="center"/>
          </w:tcPr>
          <w:p w14:paraId="31F84748">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1A565387">
            <w:pPr>
              <w:pStyle w:val="42"/>
              <w:jc w:val="center"/>
              <w:rPr>
                <w:rFonts w:hint="default" w:ascii="Arial Regular" w:hAnsi="Arial Regular" w:cs="Arial Regular"/>
                <w:sz w:val="20"/>
                <w:szCs w:val="20"/>
              </w:rPr>
            </w:pPr>
            <w:r>
              <w:rPr>
                <w:rFonts w:hint="default" w:ascii="Arial Regular" w:hAnsi="Arial Regular" w:cs="Arial Regular"/>
                <w:sz w:val="20"/>
                <w:szCs w:val="20"/>
              </w:rPr>
              <w:t>1803</w:t>
            </w: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1E8AB713">
            <w:pPr>
              <w:pStyle w:val="42"/>
              <w:jc w:val="center"/>
              <w:rPr>
                <w:rFonts w:hint="default" w:ascii="Arial Regular" w:hAnsi="Arial Regular" w:cs="Arial Regular"/>
                <w:sz w:val="20"/>
                <w:szCs w:val="20"/>
              </w:rPr>
            </w:pPr>
            <w:r>
              <w:rPr>
                <w:rFonts w:hint="default" w:ascii="Arial Regular" w:hAnsi="Arial Regular" w:cs="Arial Regular"/>
                <w:sz w:val="20"/>
                <w:szCs w:val="20"/>
              </w:rPr>
              <w:t>Carbonyl (C=O)</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C85E49E">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1A9B410">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1CE1EB6">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87852A0">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E64767C">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47062B2">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1DFF522">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CCB5DCF">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5E8F398">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81CC72E">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B5301DD">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716B47E">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6CF77210">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520CD045">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6A6E5014">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3A7D06B7">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405F591F">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0EE4A467">
            <w:pPr>
              <w:pStyle w:val="42"/>
              <w:jc w:val="center"/>
              <w:rPr>
                <w:rFonts w:hint="default" w:ascii="Arial Regular" w:hAnsi="Arial Regular" w:cs="Arial Regular"/>
                <w:sz w:val="20"/>
                <w:szCs w:val="20"/>
              </w:rPr>
            </w:pPr>
          </w:p>
        </w:tc>
      </w:tr>
      <w:tr w14:paraId="165D8D5B">
        <w:trPr>
          <w:trHeight w:val="23" w:hRule="atLeast"/>
        </w:trPr>
        <w:tc>
          <w:tcPr>
            <w:tcW w:w="0" w:type="auto"/>
            <w:vMerge w:val="continue"/>
            <w:tcBorders>
              <w:top w:val="single" w:color="000000" w:sz="4" w:space="0"/>
              <w:left w:val="nil"/>
              <w:bottom w:val="single" w:color="000000" w:sz="12" w:space="0"/>
              <w:right w:val="nil"/>
            </w:tcBorders>
            <w:vAlign w:val="center"/>
          </w:tcPr>
          <w:p w14:paraId="20ABAF33">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509A3DFE">
            <w:pPr>
              <w:pStyle w:val="42"/>
              <w:jc w:val="center"/>
              <w:rPr>
                <w:rFonts w:hint="default" w:ascii="Arial Regular" w:hAnsi="Arial Regular" w:cs="Arial Regular"/>
                <w:sz w:val="20"/>
                <w:szCs w:val="20"/>
              </w:rPr>
            </w:pPr>
            <w:r>
              <w:rPr>
                <w:rFonts w:hint="default" w:ascii="Arial Regular" w:hAnsi="Arial Regular" w:cs="Arial Regular"/>
                <w:sz w:val="20"/>
                <w:szCs w:val="20"/>
              </w:rPr>
              <w:t>2009</w:t>
            </w:r>
          </w:p>
        </w:tc>
        <w:tc>
          <w:tcPr>
            <w:tcW w:w="0" w:type="auto"/>
            <w:vMerge w:val="restart"/>
            <w:tcBorders>
              <w:top w:val="nil"/>
              <w:left w:val="nil"/>
              <w:bottom w:val="nil"/>
              <w:right w:val="nil"/>
            </w:tcBorders>
            <w:shd w:val="clear" w:color="auto" w:fill="auto"/>
            <w:tcMar>
              <w:top w:w="8" w:type="dxa"/>
              <w:left w:w="8" w:type="dxa"/>
              <w:bottom w:w="0" w:type="dxa"/>
              <w:right w:w="8" w:type="dxa"/>
            </w:tcMar>
            <w:vAlign w:val="center"/>
          </w:tcPr>
          <w:p w14:paraId="1FA47EFC">
            <w:pPr>
              <w:pStyle w:val="42"/>
              <w:jc w:val="center"/>
              <w:rPr>
                <w:rFonts w:hint="default" w:ascii="Arial Regular" w:hAnsi="Arial Regular" w:cs="Arial Regular"/>
                <w:sz w:val="20"/>
                <w:szCs w:val="20"/>
              </w:rPr>
            </w:pPr>
            <w:r>
              <w:rPr>
                <w:rFonts w:hint="default" w:ascii="Arial Regular" w:hAnsi="Arial Regular" w:cs="Arial Regular"/>
                <w:sz w:val="20"/>
                <w:szCs w:val="20"/>
                <w:lang w:val="en-US" w:eastAsia="zh-CN"/>
              </w:rPr>
              <w:t>Unassigned</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C97B0B5">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472465D">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A0FDE02">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B8294C8">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56D460B">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0CB474C">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1B471C6">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178CD36">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6C099D6">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A258E08">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DB2B3C3">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80C3F3E">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71E65990">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62D4D8D7">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78636215">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1AB938CA">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065A11F2">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19E7529E">
            <w:pPr>
              <w:pStyle w:val="42"/>
              <w:jc w:val="center"/>
              <w:rPr>
                <w:rFonts w:hint="default" w:ascii="Arial Regular" w:hAnsi="Arial Regular" w:cs="Arial Regular"/>
                <w:sz w:val="20"/>
                <w:szCs w:val="20"/>
              </w:rPr>
            </w:pPr>
          </w:p>
        </w:tc>
      </w:tr>
      <w:tr w14:paraId="418617A3">
        <w:trPr>
          <w:trHeight w:val="23" w:hRule="atLeast"/>
        </w:trPr>
        <w:tc>
          <w:tcPr>
            <w:tcW w:w="0" w:type="auto"/>
            <w:vMerge w:val="continue"/>
            <w:tcBorders>
              <w:top w:val="single" w:color="000000" w:sz="4" w:space="0"/>
              <w:left w:val="nil"/>
              <w:bottom w:val="single" w:color="000000" w:sz="12" w:space="0"/>
              <w:right w:val="nil"/>
            </w:tcBorders>
            <w:vAlign w:val="center"/>
          </w:tcPr>
          <w:p w14:paraId="6615A2D6">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79CB1B2D">
            <w:pPr>
              <w:pStyle w:val="42"/>
              <w:jc w:val="center"/>
              <w:rPr>
                <w:rFonts w:hint="default" w:ascii="Arial Regular" w:hAnsi="Arial Regular" w:cs="Arial Regular"/>
                <w:sz w:val="20"/>
                <w:szCs w:val="20"/>
              </w:rPr>
            </w:pPr>
            <w:r>
              <w:rPr>
                <w:rFonts w:hint="default" w:ascii="Arial Regular" w:hAnsi="Arial Regular" w:cs="Arial Regular"/>
                <w:sz w:val="20"/>
                <w:szCs w:val="20"/>
              </w:rPr>
              <w:t>2018</w:t>
            </w:r>
          </w:p>
        </w:tc>
        <w:tc>
          <w:tcPr>
            <w:tcW w:w="0" w:type="auto"/>
            <w:vMerge w:val="continue"/>
            <w:tcBorders>
              <w:top w:val="nil"/>
              <w:left w:val="nil"/>
              <w:bottom w:val="nil"/>
              <w:right w:val="nil"/>
            </w:tcBorders>
            <w:vAlign w:val="center"/>
          </w:tcPr>
          <w:p w14:paraId="3AEF4CD2">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BD57AB7">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9E960A5">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3281A61">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D597797">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4E85B44">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E0D211C">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BC246FF">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AACA399">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EA3772E">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0D14AAA">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9DC1DF3">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D86CD84">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65657CCF">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07584686">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1AF97E18">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0355D7A7">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139D6ED6">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04FF2DC6">
            <w:pPr>
              <w:pStyle w:val="42"/>
              <w:jc w:val="center"/>
              <w:rPr>
                <w:rFonts w:hint="default" w:ascii="Arial Regular" w:hAnsi="Arial Regular" w:cs="Arial Regular"/>
                <w:sz w:val="20"/>
                <w:szCs w:val="20"/>
              </w:rPr>
            </w:pPr>
          </w:p>
        </w:tc>
      </w:tr>
      <w:tr w14:paraId="2ABA0B2E">
        <w:trPr>
          <w:trHeight w:val="23" w:hRule="atLeast"/>
        </w:trPr>
        <w:tc>
          <w:tcPr>
            <w:tcW w:w="0" w:type="auto"/>
            <w:vMerge w:val="continue"/>
            <w:tcBorders>
              <w:top w:val="single" w:color="000000" w:sz="4" w:space="0"/>
              <w:left w:val="nil"/>
              <w:bottom w:val="single" w:color="000000" w:sz="12" w:space="0"/>
              <w:right w:val="nil"/>
            </w:tcBorders>
            <w:vAlign w:val="center"/>
          </w:tcPr>
          <w:p w14:paraId="6576119D">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3B8CFC60">
            <w:pPr>
              <w:pStyle w:val="42"/>
              <w:jc w:val="center"/>
              <w:rPr>
                <w:rFonts w:hint="default" w:ascii="Arial Regular" w:hAnsi="Arial Regular" w:cs="Arial Regular"/>
                <w:sz w:val="20"/>
                <w:szCs w:val="20"/>
              </w:rPr>
            </w:pPr>
            <w:r>
              <w:rPr>
                <w:rFonts w:hint="default" w:ascii="Arial Regular" w:hAnsi="Arial Regular" w:cs="Arial Regular"/>
                <w:sz w:val="20"/>
                <w:szCs w:val="20"/>
              </w:rPr>
              <w:t>2927</w:t>
            </w: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7379ACA4">
            <w:pPr>
              <w:pStyle w:val="42"/>
              <w:jc w:val="center"/>
              <w:rPr>
                <w:rFonts w:hint="default" w:ascii="Arial Regular" w:hAnsi="Arial Regular" w:cs="Arial Regular"/>
                <w:sz w:val="20"/>
                <w:szCs w:val="20"/>
              </w:rPr>
            </w:pPr>
            <w:r>
              <w:rPr>
                <w:rFonts w:hint="default" w:ascii="Arial Regular" w:hAnsi="Arial Regular" w:cs="Arial Regular"/>
                <w:sz w:val="20"/>
                <w:szCs w:val="20"/>
              </w:rPr>
              <w:t>Aliphatic hydrocarbons (C–H)</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D7EE6B3">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2331858">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0FE7548">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E0C75F8">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FAAF574">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81E1DC0">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1106F05">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6FB0E8E">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4724CE5">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CB54BF8">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41D34F3">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0F2AF29">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24D20B3A">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6BCDEC2A">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4165D33E">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002C6DC1">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0D60EFE0">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51ADAE0E">
            <w:pPr>
              <w:pStyle w:val="42"/>
              <w:jc w:val="center"/>
              <w:rPr>
                <w:rFonts w:hint="default" w:ascii="Arial Regular" w:hAnsi="Arial Regular" w:cs="Arial Regular"/>
                <w:sz w:val="20"/>
                <w:szCs w:val="20"/>
              </w:rPr>
            </w:pPr>
          </w:p>
        </w:tc>
      </w:tr>
      <w:tr w14:paraId="3C4CE03E">
        <w:trPr>
          <w:trHeight w:val="23" w:hRule="atLeast"/>
        </w:trPr>
        <w:tc>
          <w:tcPr>
            <w:tcW w:w="0" w:type="auto"/>
            <w:vMerge w:val="continue"/>
            <w:tcBorders>
              <w:top w:val="single" w:color="000000" w:sz="4" w:space="0"/>
              <w:left w:val="nil"/>
              <w:bottom w:val="single" w:color="000000" w:sz="12" w:space="0"/>
              <w:right w:val="nil"/>
            </w:tcBorders>
            <w:vAlign w:val="center"/>
          </w:tcPr>
          <w:p w14:paraId="2D09C989">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2C3D1A8B">
            <w:pPr>
              <w:pStyle w:val="42"/>
              <w:jc w:val="center"/>
              <w:rPr>
                <w:rFonts w:hint="default" w:ascii="Arial Regular" w:hAnsi="Arial Regular" w:cs="Arial Regular"/>
                <w:sz w:val="20"/>
                <w:szCs w:val="20"/>
              </w:rPr>
            </w:pPr>
            <w:r>
              <w:rPr>
                <w:rFonts w:hint="default" w:ascii="Arial Regular" w:hAnsi="Arial Regular" w:cs="Arial Regular"/>
                <w:sz w:val="20"/>
                <w:szCs w:val="20"/>
              </w:rPr>
              <w:t>3035</w:t>
            </w: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0965D7B8">
            <w:pPr>
              <w:pStyle w:val="42"/>
              <w:jc w:val="center"/>
              <w:rPr>
                <w:rFonts w:hint="default" w:ascii="Arial Regular" w:hAnsi="Arial Regular" w:cs="Arial Regular"/>
                <w:sz w:val="20"/>
                <w:szCs w:val="20"/>
              </w:rPr>
            </w:pPr>
            <w:r>
              <w:rPr>
                <w:rFonts w:hint="default" w:ascii="Arial Regular" w:hAnsi="Arial Regular" w:cs="Arial Regular"/>
                <w:sz w:val="20"/>
                <w:szCs w:val="20"/>
              </w:rPr>
              <w:t>Aromatic hydrocarbons (Ar–H)</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65E9346">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B5B3640">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F4E0058">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8832596">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A848E4A">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3922E6A">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6071885">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E1893E6">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399CFD5">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33A42BF">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4AAED6F">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A7F25E1">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19ECB229">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5727B145">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503B7859">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12800098">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7EC80076">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7517A34F">
            <w:pPr>
              <w:pStyle w:val="42"/>
              <w:jc w:val="center"/>
              <w:rPr>
                <w:rFonts w:hint="default" w:ascii="Arial Regular" w:hAnsi="Arial Regular" w:cs="Arial Regular"/>
                <w:sz w:val="20"/>
                <w:szCs w:val="20"/>
              </w:rPr>
            </w:pPr>
          </w:p>
        </w:tc>
      </w:tr>
      <w:tr w14:paraId="2845DBA7">
        <w:trPr>
          <w:trHeight w:val="23" w:hRule="atLeast"/>
        </w:trPr>
        <w:tc>
          <w:tcPr>
            <w:tcW w:w="0" w:type="auto"/>
            <w:vMerge w:val="continue"/>
            <w:tcBorders>
              <w:top w:val="single" w:color="000000" w:sz="4" w:space="0"/>
              <w:left w:val="nil"/>
              <w:bottom w:val="single" w:color="000000" w:sz="12" w:space="0"/>
              <w:right w:val="nil"/>
            </w:tcBorders>
            <w:vAlign w:val="center"/>
          </w:tcPr>
          <w:p w14:paraId="6BE07C1B">
            <w:pPr>
              <w:pStyle w:val="42"/>
              <w:jc w:val="center"/>
              <w:rPr>
                <w:rFonts w:hint="default" w:ascii="Arial Regular" w:hAnsi="Arial Regular" w:cs="Arial Regular"/>
                <w:sz w:val="20"/>
                <w:szCs w:val="20"/>
              </w:rPr>
            </w:pPr>
          </w:p>
        </w:tc>
        <w:tc>
          <w:tcPr>
            <w:tcW w:w="0" w:type="auto"/>
            <w:tcBorders>
              <w:top w:val="nil"/>
              <w:left w:val="nil"/>
              <w:bottom w:val="single" w:color="000000" w:sz="12" w:space="0"/>
              <w:right w:val="nil"/>
            </w:tcBorders>
            <w:shd w:val="clear" w:color="auto" w:fill="auto"/>
            <w:tcMar>
              <w:top w:w="8" w:type="dxa"/>
              <w:left w:w="8" w:type="dxa"/>
              <w:bottom w:w="0" w:type="dxa"/>
              <w:right w:w="8" w:type="dxa"/>
            </w:tcMar>
            <w:vAlign w:val="center"/>
          </w:tcPr>
          <w:p w14:paraId="391102AF">
            <w:pPr>
              <w:pStyle w:val="42"/>
              <w:jc w:val="center"/>
              <w:rPr>
                <w:rFonts w:hint="default" w:ascii="Arial Regular" w:hAnsi="Arial Regular" w:cs="Arial Regular"/>
                <w:sz w:val="20"/>
                <w:szCs w:val="20"/>
              </w:rPr>
            </w:pPr>
            <w:r>
              <w:rPr>
                <w:rFonts w:hint="default" w:ascii="Arial Regular" w:hAnsi="Arial Regular" w:cs="Arial Regular"/>
                <w:sz w:val="20"/>
                <w:szCs w:val="20"/>
              </w:rPr>
              <w:t>3420</w:t>
            </w:r>
          </w:p>
        </w:tc>
        <w:tc>
          <w:tcPr>
            <w:tcW w:w="0" w:type="auto"/>
            <w:tcBorders>
              <w:top w:val="nil"/>
              <w:left w:val="nil"/>
              <w:bottom w:val="single" w:color="000000" w:sz="12" w:space="0"/>
              <w:right w:val="nil"/>
            </w:tcBorders>
            <w:shd w:val="clear" w:color="auto" w:fill="auto"/>
            <w:tcMar>
              <w:top w:w="8" w:type="dxa"/>
              <w:left w:w="8" w:type="dxa"/>
              <w:bottom w:w="0" w:type="dxa"/>
              <w:right w:w="8" w:type="dxa"/>
            </w:tcMar>
            <w:vAlign w:val="center"/>
          </w:tcPr>
          <w:p w14:paraId="31E8353B">
            <w:pPr>
              <w:pStyle w:val="42"/>
              <w:jc w:val="center"/>
              <w:rPr>
                <w:rFonts w:hint="default" w:ascii="Arial Regular" w:hAnsi="Arial Regular" w:cs="Arial Regular"/>
                <w:sz w:val="20"/>
                <w:szCs w:val="20"/>
              </w:rPr>
            </w:pPr>
            <w:r>
              <w:rPr>
                <w:rFonts w:hint="default" w:ascii="Arial Regular" w:hAnsi="Arial Regular" w:cs="Arial Regular"/>
                <w:sz w:val="20"/>
                <w:szCs w:val="20"/>
              </w:rPr>
              <w:t>Hydroxyl (O–H)</w:t>
            </w:r>
          </w:p>
        </w:tc>
        <w:tc>
          <w:tcPr>
            <w:tcW w:w="454"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4F17EAE0">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6E233DC7">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5B0E30D1">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5CEE1E3F">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3209BDE1">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73794342">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2F5D2739">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22E69508">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384D59AC">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704A0F2F">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1150C74E">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2F9481C5">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16E63A70">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6AB5E102">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6161D316">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7DFEBC73">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775A02B8">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48095E84">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r>
    </w:tbl>
    <w:p w14:paraId="1AF7B6EE">
      <w:pPr>
        <w:rPr>
          <w:rFonts w:hint="default" w:ascii="Arial Regular" w:hAnsi="Arial Regular" w:cs="Arial Regular"/>
          <w:b/>
          <w:sz w:val="20"/>
          <w:szCs w:val="20"/>
        </w:rPr>
      </w:pPr>
      <w:r>
        <w:rPr>
          <w:rFonts w:hint="default" w:ascii="Arial Regular" w:hAnsi="Arial Regular" w:cs="Arial Regular"/>
          <w:b/>
          <w:sz w:val="20"/>
          <w:szCs w:val="20"/>
        </w:rPr>
        <w:br w:type="page"/>
      </w:r>
    </w:p>
    <w:p w14:paraId="6744DE87">
      <w:pPr>
        <w:pStyle w:val="3"/>
        <w:keepNext/>
        <w:keepLines/>
        <w:pageBreakBefore w:val="0"/>
        <w:widowControl w:val="0"/>
        <w:kinsoku/>
        <w:wordWrap/>
        <w:overflowPunct/>
        <w:topLinePunct w:val="0"/>
        <w:autoSpaceDE/>
        <w:autoSpaceDN/>
        <w:bidi w:val="0"/>
        <w:adjustRightInd/>
        <w:snapToGrid/>
        <w:spacing w:before="0" w:beforeLines="0" w:after="157" w:afterLines="50" w:line="240" w:lineRule="auto"/>
        <w:textAlignment w:val="auto"/>
        <w:rPr>
          <w:rFonts w:hint="default" w:ascii="Arial Regular" w:hAnsi="Arial Regular" w:cs="Arial Regular"/>
          <w:b/>
          <w:sz w:val="20"/>
          <w:szCs w:val="20"/>
        </w:rPr>
      </w:pPr>
      <w:r>
        <w:rPr>
          <w:rFonts w:hint="default" w:ascii="Arial Regular" w:hAnsi="Arial Regular" w:cs="Arial Regular"/>
          <w:b/>
          <w:bCs w:val="0"/>
          <w:sz w:val="20"/>
          <w:szCs w:val="20"/>
        </w:rPr>
        <w:t xml:space="preserve">Supplementary </w:t>
      </w:r>
      <w:r>
        <w:rPr>
          <w:rFonts w:hint="default" w:ascii="Arial Regular" w:hAnsi="Arial Regular" w:cs="Arial Regular"/>
          <w:b/>
          <w:sz w:val="20"/>
          <w:szCs w:val="20"/>
        </w:rPr>
        <w:t xml:space="preserve">Table </w:t>
      </w:r>
      <w:r>
        <w:rPr>
          <w:rFonts w:hint="default" w:ascii="Arial Regular" w:hAnsi="Arial Regular" w:cs="Arial Regular"/>
          <w:b/>
          <w:bCs/>
          <w:sz w:val="20"/>
          <w:szCs w:val="20"/>
        </w:rPr>
        <w:t>1</w:t>
      </w:r>
      <w:r>
        <w:rPr>
          <w:rFonts w:hint="default" w:ascii="Arial Regular" w:hAnsi="Arial Regular" w:cs="Arial Regular"/>
          <w:b/>
          <w:bCs/>
          <w:sz w:val="20"/>
          <w:szCs w:val="20"/>
          <w:lang w:val="en-US" w:eastAsia="zh-CN"/>
        </w:rPr>
        <w:t>0</w:t>
      </w:r>
      <w:r>
        <w:rPr>
          <w:rFonts w:hint="default" w:ascii="Arial Regular" w:hAnsi="Arial Regular" w:cs="Arial Regular"/>
          <w:b/>
          <w:sz w:val="20"/>
          <w:szCs w:val="20"/>
        </w:rPr>
        <w:t xml:space="preserve">. Calculated synchronous and asynchronous 2D correlation spectra of </w:t>
      </w:r>
      <w:r>
        <w:rPr>
          <w:rFonts w:hint="default" w:ascii="Arial Regular" w:hAnsi="Arial Regular" w:cs="Arial Regular"/>
          <w:b/>
          <w:i/>
          <w:iCs/>
          <w:sz w:val="20"/>
          <w:szCs w:val="20"/>
        </w:rPr>
        <w:t>A.niger</w:t>
      </w:r>
      <w:r>
        <w:rPr>
          <w:rFonts w:hint="default" w:ascii="Arial Regular" w:hAnsi="Arial Regular" w:cs="Arial Regular"/>
          <w:b/>
          <w:sz w:val="20"/>
          <w:szCs w:val="20"/>
        </w:rPr>
        <w:t xml:space="preserve"> spores after Mn(II) complexation.</w:t>
      </w:r>
    </w:p>
    <w:tbl>
      <w:tblPr>
        <w:tblStyle w:val="10"/>
        <w:tblW w:w="0" w:type="auto"/>
        <w:tblInd w:w="0" w:type="dxa"/>
        <w:tblLayout w:type="autofit"/>
        <w:tblCellMar>
          <w:top w:w="0" w:type="dxa"/>
          <w:left w:w="0" w:type="dxa"/>
          <w:bottom w:w="0" w:type="dxa"/>
          <w:right w:w="0" w:type="dxa"/>
        </w:tblCellMar>
      </w:tblPr>
      <w:tblGrid>
        <w:gridCol w:w="494"/>
        <w:gridCol w:w="703"/>
        <w:gridCol w:w="3530"/>
        <w:gridCol w:w="454"/>
        <w:gridCol w:w="454"/>
        <w:gridCol w:w="454"/>
        <w:gridCol w:w="454"/>
        <w:gridCol w:w="454"/>
        <w:gridCol w:w="454"/>
        <w:gridCol w:w="454"/>
        <w:gridCol w:w="461"/>
        <w:gridCol w:w="461"/>
        <w:gridCol w:w="461"/>
        <w:gridCol w:w="461"/>
        <w:gridCol w:w="461"/>
        <w:gridCol w:w="461"/>
        <w:gridCol w:w="461"/>
        <w:gridCol w:w="461"/>
        <w:gridCol w:w="461"/>
        <w:gridCol w:w="461"/>
        <w:gridCol w:w="461"/>
      </w:tblGrid>
      <w:tr w14:paraId="4D6C6986">
        <w:trPr>
          <w:trHeight w:val="23" w:hRule="atLeast"/>
        </w:trPr>
        <w:tc>
          <w:tcPr>
            <w:tcW w:w="0" w:type="auto"/>
            <w:tcBorders>
              <w:top w:val="single" w:color="000000" w:sz="12" w:space="0"/>
              <w:left w:val="nil"/>
              <w:bottom w:val="nil"/>
              <w:right w:val="nil"/>
            </w:tcBorders>
            <w:shd w:val="clear" w:color="auto" w:fill="E7E6E6" w:themeFill="background2"/>
            <w:tcMar>
              <w:top w:w="8" w:type="dxa"/>
              <w:left w:w="8" w:type="dxa"/>
              <w:bottom w:w="0" w:type="dxa"/>
              <w:right w:w="8" w:type="dxa"/>
            </w:tcMar>
            <w:vAlign w:val="center"/>
          </w:tcPr>
          <w:p w14:paraId="32777940">
            <w:pPr>
              <w:pStyle w:val="42"/>
              <w:jc w:val="center"/>
              <w:rPr>
                <w:rFonts w:hint="default" w:ascii="Arial Regular" w:hAnsi="Arial Regular" w:cs="Arial Regular"/>
                <w:sz w:val="20"/>
                <w:szCs w:val="20"/>
              </w:rPr>
            </w:pPr>
          </w:p>
        </w:tc>
        <w:tc>
          <w:tcPr>
            <w:tcW w:w="0" w:type="auto"/>
            <w:vMerge w:val="restart"/>
            <w:tcBorders>
              <w:top w:val="single" w:color="000000" w:sz="12" w:space="0"/>
              <w:left w:val="nil"/>
              <w:right w:val="nil"/>
            </w:tcBorders>
            <w:shd w:val="clear" w:color="auto" w:fill="E7E6E6" w:themeFill="background2"/>
            <w:tcMar>
              <w:top w:w="8" w:type="dxa"/>
              <w:left w:w="8" w:type="dxa"/>
              <w:bottom w:w="0" w:type="dxa"/>
              <w:right w:w="8" w:type="dxa"/>
            </w:tcMar>
            <w:vAlign w:val="center"/>
          </w:tcPr>
          <w:p w14:paraId="2606175B">
            <w:pPr>
              <w:pStyle w:val="42"/>
              <w:jc w:val="center"/>
              <w:rPr>
                <w:rFonts w:hint="default" w:ascii="Arial Regular" w:hAnsi="Arial Regular" w:cs="Arial Regular"/>
                <w:sz w:val="20"/>
                <w:szCs w:val="20"/>
              </w:rPr>
            </w:pPr>
            <w:r>
              <w:rPr>
                <w:rFonts w:hint="default" w:ascii="Arial Regular" w:hAnsi="Arial Regular" w:cs="Arial Regular"/>
                <w:i/>
                <w:iCs/>
                <w:sz w:val="20"/>
                <w:szCs w:val="20"/>
                <w:vertAlign w:val="baseline"/>
              </w:rPr>
              <w:t>ν</w:t>
            </w:r>
            <w:r>
              <w:rPr>
                <w:rFonts w:hint="default" w:ascii="Arial Regular" w:hAnsi="Arial Regular" w:cs="Arial Regular"/>
                <w:sz w:val="20"/>
                <w:szCs w:val="20"/>
                <w:vertAlign w:val="subscript"/>
              </w:rPr>
              <w:t>1</w:t>
            </w:r>
            <w:r>
              <w:rPr>
                <w:rFonts w:hint="default" w:ascii="Arial Regular" w:hAnsi="Arial Regular" w:cs="Arial Regular"/>
                <w:sz w:val="20"/>
                <w:szCs w:val="20"/>
              </w:rPr>
              <w:t>(cm</w:t>
            </w:r>
            <w:r>
              <w:rPr>
                <w:rFonts w:hint="default" w:ascii="Arial Regular" w:hAnsi="Arial Regular" w:cs="Arial Regular"/>
                <w:sz w:val="20"/>
                <w:szCs w:val="20"/>
                <w:vertAlign w:val="superscript"/>
              </w:rPr>
              <w:t>-1</w:t>
            </w:r>
            <w:r>
              <w:rPr>
                <w:rFonts w:hint="default" w:ascii="Arial Regular" w:hAnsi="Arial Regular" w:cs="Arial Regular"/>
                <w:sz w:val="20"/>
                <w:szCs w:val="20"/>
              </w:rPr>
              <w:t>)</w:t>
            </w:r>
          </w:p>
        </w:tc>
        <w:tc>
          <w:tcPr>
            <w:tcW w:w="0" w:type="auto"/>
            <w:vMerge w:val="restart"/>
            <w:tcBorders>
              <w:top w:val="single" w:color="000000" w:sz="12" w:space="0"/>
              <w:left w:val="nil"/>
              <w:bottom w:val="single" w:color="000000" w:sz="4" w:space="0"/>
              <w:right w:val="nil"/>
            </w:tcBorders>
            <w:shd w:val="clear" w:color="auto" w:fill="E7E6E6" w:themeFill="background2"/>
            <w:tcMar>
              <w:top w:w="8" w:type="dxa"/>
              <w:left w:w="8" w:type="dxa"/>
              <w:bottom w:w="0" w:type="dxa"/>
              <w:right w:w="8" w:type="dxa"/>
            </w:tcMar>
            <w:vAlign w:val="center"/>
          </w:tcPr>
          <w:p w14:paraId="34AA2F78">
            <w:pPr>
              <w:pStyle w:val="42"/>
              <w:jc w:val="center"/>
              <w:rPr>
                <w:rFonts w:hint="default" w:ascii="Arial Regular" w:hAnsi="Arial Regular" w:cs="Arial Regular"/>
                <w:sz w:val="20"/>
                <w:szCs w:val="20"/>
              </w:rPr>
            </w:pPr>
            <w:r>
              <w:rPr>
                <w:rFonts w:hint="default" w:ascii="Arial Regular" w:hAnsi="Arial Regular" w:cs="Arial Regular"/>
                <w:sz w:val="20"/>
                <w:szCs w:val="20"/>
              </w:rPr>
              <w:t>Functional Group</w:t>
            </w:r>
          </w:p>
        </w:tc>
        <w:tc>
          <w:tcPr>
            <w:tcW w:w="0" w:type="auto"/>
            <w:gridSpan w:val="18"/>
            <w:tcBorders>
              <w:top w:val="single" w:color="000000" w:sz="12" w:space="0"/>
              <w:left w:val="nil"/>
              <w:bottom w:val="single" w:color="000000" w:sz="4" w:space="0"/>
              <w:right w:val="nil"/>
            </w:tcBorders>
            <w:shd w:val="clear" w:color="auto" w:fill="E7E6E6" w:themeFill="background2"/>
            <w:tcMar>
              <w:top w:w="8" w:type="dxa"/>
              <w:left w:w="8" w:type="dxa"/>
              <w:bottom w:w="0" w:type="dxa"/>
              <w:right w:w="8" w:type="dxa"/>
            </w:tcMar>
            <w:vAlign w:val="center"/>
          </w:tcPr>
          <w:p w14:paraId="33BC4DAC">
            <w:pPr>
              <w:pStyle w:val="42"/>
              <w:jc w:val="center"/>
              <w:rPr>
                <w:rFonts w:hint="default" w:ascii="Arial Regular" w:hAnsi="Arial Regular" w:cs="Arial Regular"/>
                <w:sz w:val="20"/>
                <w:szCs w:val="20"/>
              </w:rPr>
            </w:pPr>
            <w:r>
              <w:rPr>
                <w:rFonts w:hint="default" w:ascii="Arial Regular" w:hAnsi="Arial Regular" w:cs="Arial Regular"/>
                <w:i/>
                <w:iCs/>
                <w:sz w:val="20"/>
                <w:szCs w:val="20"/>
                <w:vertAlign w:val="baseline"/>
              </w:rPr>
              <w:t>ν</w:t>
            </w:r>
            <w:r>
              <w:rPr>
                <w:rFonts w:hint="default" w:ascii="Arial Regular" w:hAnsi="Arial Regular" w:cs="Arial Regular"/>
                <w:sz w:val="20"/>
                <w:szCs w:val="20"/>
                <w:vertAlign w:val="subscript"/>
              </w:rPr>
              <w:t>2</w:t>
            </w:r>
            <w:r>
              <w:rPr>
                <w:rFonts w:hint="default" w:ascii="Arial Regular" w:hAnsi="Arial Regular" w:cs="Arial Regular"/>
                <w:sz w:val="20"/>
                <w:szCs w:val="20"/>
              </w:rPr>
              <w:t>(cm</w:t>
            </w:r>
            <w:r>
              <w:rPr>
                <w:rFonts w:hint="default" w:ascii="Arial Regular" w:hAnsi="Arial Regular" w:cs="Arial Regular"/>
                <w:sz w:val="20"/>
                <w:szCs w:val="20"/>
                <w:vertAlign w:val="superscript"/>
              </w:rPr>
              <w:t>-1</w:t>
            </w:r>
            <w:r>
              <w:rPr>
                <w:rFonts w:hint="default" w:ascii="Arial Regular" w:hAnsi="Arial Regular" w:cs="Arial Regular"/>
                <w:sz w:val="20"/>
                <w:szCs w:val="20"/>
              </w:rPr>
              <w:t>)</w:t>
            </w:r>
          </w:p>
        </w:tc>
      </w:tr>
      <w:tr w14:paraId="340510E7">
        <w:trPr>
          <w:trHeight w:val="23" w:hRule="atLeast"/>
        </w:trPr>
        <w:tc>
          <w:tcPr>
            <w:tcW w:w="0" w:type="auto"/>
            <w:tcBorders>
              <w:top w:val="nil"/>
              <w:left w:val="nil"/>
              <w:bottom w:val="single" w:color="auto" w:sz="8" w:space="0"/>
              <w:right w:val="nil"/>
            </w:tcBorders>
            <w:shd w:val="clear" w:color="auto" w:fill="E7E6E6" w:themeFill="background2"/>
            <w:tcMar>
              <w:top w:w="8" w:type="dxa"/>
              <w:left w:w="8" w:type="dxa"/>
              <w:bottom w:w="0" w:type="dxa"/>
              <w:right w:w="8" w:type="dxa"/>
            </w:tcMar>
            <w:vAlign w:val="center"/>
          </w:tcPr>
          <w:p w14:paraId="57B14E60">
            <w:pPr>
              <w:pStyle w:val="42"/>
              <w:jc w:val="center"/>
              <w:rPr>
                <w:rFonts w:hint="default" w:ascii="Arial Regular" w:hAnsi="Arial Regular" w:cs="Arial Regular"/>
                <w:sz w:val="20"/>
                <w:szCs w:val="20"/>
              </w:rPr>
            </w:pPr>
          </w:p>
        </w:tc>
        <w:tc>
          <w:tcPr>
            <w:tcW w:w="0" w:type="auto"/>
            <w:vMerge w:val="continue"/>
            <w:tcBorders>
              <w:left w:val="nil"/>
              <w:bottom w:val="single" w:color="auto" w:sz="8" w:space="0"/>
              <w:right w:val="nil"/>
            </w:tcBorders>
            <w:shd w:val="clear" w:color="auto" w:fill="E7E6E6" w:themeFill="background2"/>
            <w:tcMar>
              <w:top w:w="8" w:type="dxa"/>
              <w:left w:w="8" w:type="dxa"/>
              <w:bottom w:w="0" w:type="dxa"/>
              <w:right w:w="8" w:type="dxa"/>
            </w:tcMar>
            <w:vAlign w:val="center"/>
          </w:tcPr>
          <w:p w14:paraId="4F01F026">
            <w:pPr>
              <w:pStyle w:val="42"/>
              <w:jc w:val="center"/>
              <w:rPr>
                <w:rFonts w:hint="default" w:ascii="Arial Regular" w:hAnsi="Arial Regular" w:cs="Arial Regular"/>
                <w:sz w:val="20"/>
                <w:szCs w:val="20"/>
              </w:rPr>
            </w:pPr>
          </w:p>
        </w:tc>
        <w:tc>
          <w:tcPr>
            <w:tcW w:w="0" w:type="auto"/>
            <w:vMerge w:val="continue"/>
            <w:tcBorders>
              <w:top w:val="single" w:color="000000" w:sz="12" w:space="0"/>
              <w:left w:val="nil"/>
              <w:bottom w:val="single" w:color="auto" w:sz="8" w:space="0"/>
              <w:right w:val="nil"/>
            </w:tcBorders>
            <w:shd w:val="clear" w:color="auto" w:fill="E7E6E6" w:themeFill="background2"/>
            <w:vAlign w:val="center"/>
          </w:tcPr>
          <w:p w14:paraId="4670DAB2">
            <w:pPr>
              <w:pStyle w:val="42"/>
              <w:jc w:val="center"/>
              <w:rPr>
                <w:rFonts w:hint="default" w:ascii="Arial Regular" w:hAnsi="Arial Regular" w:cs="Arial Regular"/>
                <w:sz w:val="20"/>
                <w:szCs w:val="20"/>
              </w:rPr>
            </w:pPr>
          </w:p>
        </w:tc>
        <w:tc>
          <w:tcPr>
            <w:tcW w:w="0" w:type="auto"/>
            <w:tcBorders>
              <w:top w:val="single" w:color="auto" w:sz="8"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77598537">
            <w:pPr>
              <w:pStyle w:val="42"/>
              <w:jc w:val="center"/>
              <w:rPr>
                <w:rFonts w:hint="default" w:ascii="Arial Regular" w:hAnsi="Arial Regular" w:cs="Arial Regular"/>
                <w:sz w:val="20"/>
                <w:szCs w:val="20"/>
              </w:rPr>
            </w:pPr>
            <w:r>
              <w:rPr>
                <w:rFonts w:hint="default" w:ascii="Arial Regular" w:hAnsi="Arial Regular" w:cs="Arial Regular"/>
                <w:sz w:val="20"/>
                <w:szCs w:val="20"/>
              </w:rPr>
              <w:t>400</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6B8303A0">
            <w:pPr>
              <w:pStyle w:val="42"/>
              <w:jc w:val="center"/>
              <w:rPr>
                <w:rFonts w:hint="default" w:ascii="Arial Regular" w:hAnsi="Arial Regular" w:cs="Arial Regular"/>
                <w:sz w:val="20"/>
                <w:szCs w:val="20"/>
              </w:rPr>
            </w:pPr>
            <w:r>
              <w:rPr>
                <w:rFonts w:hint="default" w:ascii="Arial Regular" w:hAnsi="Arial Regular" w:cs="Arial Regular"/>
                <w:sz w:val="20"/>
                <w:szCs w:val="20"/>
              </w:rPr>
              <w:t>559</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16BBC913">
            <w:pPr>
              <w:pStyle w:val="42"/>
              <w:jc w:val="center"/>
              <w:rPr>
                <w:rFonts w:hint="default" w:ascii="Arial Regular" w:hAnsi="Arial Regular" w:cs="Arial Regular"/>
                <w:sz w:val="20"/>
                <w:szCs w:val="20"/>
              </w:rPr>
            </w:pPr>
            <w:r>
              <w:rPr>
                <w:rFonts w:hint="default" w:ascii="Arial Regular" w:hAnsi="Arial Regular" w:cs="Arial Regular"/>
                <w:sz w:val="20"/>
                <w:szCs w:val="20"/>
              </w:rPr>
              <w:t>680</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01EC427F">
            <w:pPr>
              <w:pStyle w:val="42"/>
              <w:jc w:val="center"/>
              <w:rPr>
                <w:rFonts w:hint="default" w:ascii="Arial Regular" w:hAnsi="Arial Regular" w:cs="Arial Regular"/>
                <w:sz w:val="20"/>
                <w:szCs w:val="20"/>
              </w:rPr>
            </w:pPr>
            <w:r>
              <w:rPr>
                <w:rFonts w:hint="default" w:ascii="Arial Regular" w:hAnsi="Arial Regular" w:cs="Arial Regular"/>
                <w:sz w:val="20"/>
                <w:szCs w:val="20"/>
              </w:rPr>
              <w:t>720</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07EEDEDF">
            <w:pPr>
              <w:pStyle w:val="42"/>
              <w:jc w:val="center"/>
              <w:rPr>
                <w:rFonts w:hint="default" w:ascii="Arial Regular" w:hAnsi="Arial Regular" w:cs="Arial Regular"/>
                <w:sz w:val="20"/>
                <w:szCs w:val="20"/>
              </w:rPr>
            </w:pPr>
            <w:r>
              <w:rPr>
                <w:rFonts w:hint="default" w:ascii="Arial Regular" w:hAnsi="Arial Regular" w:cs="Arial Regular"/>
                <w:sz w:val="20"/>
                <w:szCs w:val="20"/>
              </w:rPr>
              <w:t>800</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1A4D1A31">
            <w:pPr>
              <w:pStyle w:val="42"/>
              <w:jc w:val="center"/>
              <w:rPr>
                <w:rFonts w:hint="default" w:ascii="Arial Regular" w:hAnsi="Arial Regular" w:cs="Arial Regular"/>
                <w:sz w:val="20"/>
                <w:szCs w:val="20"/>
              </w:rPr>
            </w:pPr>
            <w:r>
              <w:rPr>
                <w:rFonts w:hint="default" w:ascii="Arial Regular" w:hAnsi="Arial Regular" w:cs="Arial Regular"/>
                <w:sz w:val="20"/>
                <w:szCs w:val="20"/>
              </w:rPr>
              <w:t>878</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4ABA8E44">
            <w:pPr>
              <w:pStyle w:val="42"/>
              <w:jc w:val="center"/>
              <w:rPr>
                <w:rFonts w:hint="default" w:ascii="Arial Regular" w:hAnsi="Arial Regular" w:cs="Arial Regular"/>
                <w:sz w:val="20"/>
                <w:szCs w:val="20"/>
              </w:rPr>
            </w:pPr>
            <w:r>
              <w:rPr>
                <w:rFonts w:hint="default" w:ascii="Arial Regular" w:hAnsi="Arial Regular" w:cs="Arial Regular"/>
                <w:sz w:val="20"/>
                <w:szCs w:val="20"/>
              </w:rPr>
              <w:t>947</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1B54F4F3">
            <w:pPr>
              <w:pStyle w:val="42"/>
              <w:jc w:val="center"/>
              <w:rPr>
                <w:rFonts w:hint="default" w:ascii="Arial Regular" w:hAnsi="Arial Regular" w:cs="Arial Regular"/>
                <w:sz w:val="20"/>
                <w:szCs w:val="20"/>
              </w:rPr>
            </w:pPr>
            <w:r>
              <w:rPr>
                <w:rFonts w:hint="default" w:ascii="Arial Regular" w:hAnsi="Arial Regular" w:cs="Arial Regular"/>
                <w:sz w:val="20"/>
                <w:szCs w:val="20"/>
              </w:rPr>
              <w:t>1063</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5371534F">
            <w:pPr>
              <w:pStyle w:val="42"/>
              <w:jc w:val="center"/>
              <w:rPr>
                <w:rFonts w:hint="default" w:ascii="Arial Regular" w:hAnsi="Arial Regular" w:cs="Arial Regular"/>
                <w:sz w:val="20"/>
                <w:szCs w:val="20"/>
              </w:rPr>
            </w:pPr>
            <w:r>
              <w:rPr>
                <w:rFonts w:hint="default" w:ascii="Arial Regular" w:hAnsi="Arial Regular" w:cs="Arial Regular"/>
                <w:sz w:val="20"/>
                <w:szCs w:val="20"/>
              </w:rPr>
              <w:t>1260</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1E36E1ED">
            <w:pPr>
              <w:pStyle w:val="42"/>
              <w:jc w:val="center"/>
              <w:rPr>
                <w:rFonts w:hint="default" w:ascii="Arial Regular" w:hAnsi="Arial Regular" w:cs="Arial Regular"/>
                <w:sz w:val="20"/>
                <w:szCs w:val="20"/>
              </w:rPr>
            </w:pPr>
            <w:r>
              <w:rPr>
                <w:rFonts w:hint="default" w:ascii="Arial Regular" w:hAnsi="Arial Regular" w:cs="Arial Regular"/>
                <w:sz w:val="20"/>
                <w:szCs w:val="20"/>
              </w:rPr>
              <w:t>1395</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7529287C">
            <w:pPr>
              <w:pStyle w:val="42"/>
              <w:jc w:val="center"/>
              <w:rPr>
                <w:rFonts w:hint="default" w:ascii="Arial Regular" w:hAnsi="Arial Regular" w:cs="Arial Regular"/>
                <w:sz w:val="20"/>
                <w:szCs w:val="20"/>
              </w:rPr>
            </w:pPr>
            <w:r>
              <w:rPr>
                <w:rFonts w:hint="default" w:ascii="Arial Regular" w:hAnsi="Arial Regular" w:cs="Arial Regular"/>
                <w:sz w:val="20"/>
                <w:szCs w:val="20"/>
              </w:rPr>
              <w:t>1502</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224932F8">
            <w:pPr>
              <w:pStyle w:val="42"/>
              <w:jc w:val="center"/>
              <w:rPr>
                <w:rFonts w:hint="default" w:ascii="Arial Regular" w:hAnsi="Arial Regular" w:cs="Arial Regular"/>
                <w:sz w:val="20"/>
                <w:szCs w:val="20"/>
              </w:rPr>
            </w:pPr>
            <w:r>
              <w:rPr>
                <w:rFonts w:hint="default" w:ascii="Arial Regular" w:hAnsi="Arial Regular" w:cs="Arial Regular"/>
                <w:sz w:val="20"/>
                <w:szCs w:val="20"/>
              </w:rPr>
              <w:t>1628</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637AD778">
            <w:pPr>
              <w:pStyle w:val="42"/>
              <w:jc w:val="center"/>
              <w:rPr>
                <w:rFonts w:hint="default" w:ascii="Arial Regular" w:hAnsi="Arial Regular" w:cs="Arial Regular"/>
                <w:sz w:val="20"/>
                <w:szCs w:val="20"/>
              </w:rPr>
            </w:pPr>
            <w:r>
              <w:rPr>
                <w:rFonts w:hint="default" w:ascii="Arial Regular" w:hAnsi="Arial Regular" w:cs="Arial Regular"/>
                <w:sz w:val="20"/>
                <w:szCs w:val="20"/>
              </w:rPr>
              <w:t>1803</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3496C52E">
            <w:pPr>
              <w:pStyle w:val="42"/>
              <w:jc w:val="center"/>
              <w:rPr>
                <w:rFonts w:hint="default" w:ascii="Arial Regular" w:hAnsi="Arial Regular" w:cs="Arial Regular"/>
                <w:sz w:val="20"/>
                <w:szCs w:val="20"/>
              </w:rPr>
            </w:pPr>
            <w:r>
              <w:rPr>
                <w:rFonts w:hint="default" w:ascii="Arial Regular" w:hAnsi="Arial Regular" w:cs="Arial Regular"/>
                <w:sz w:val="20"/>
                <w:szCs w:val="20"/>
              </w:rPr>
              <w:t>2009</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0C4BAF26">
            <w:pPr>
              <w:pStyle w:val="42"/>
              <w:jc w:val="center"/>
              <w:rPr>
                <w:rFonts w:hint="default" w:ascii="Arial Regular" w:hAnsi="Arial Regular" w:cs="Arial Regular"/>
                <w:sz w:val="20"/>
                <w:szCs w:val="20"/>
              </w:rPr>
            </w:pPr>
            <w:r>
              <w:rPr>
                <w:rFonts w:hint="default" w:ascii="Arial Regular" w:hAnsi="Arial Regular" w:cs="Arial Regular"/>
                <w:sz w:val="20"/>
                <w:szCs w:val="20"/>
              </w:rPr>
              <w:t>2018</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7A195BAC">
            <w:pPr>
              <w:pStyle w:val="42"/>
              <w:jc w:val="center"/>
              <w:rPr>
                <w:rFonts w:hint="default" w:ascii="Arial Regular" w:hAnsi="Arial Regular" w:cs="Arial Regular"/>
                <w:sz w:val="20"/>
                <w:szCs w:val="20"/>
              </w:rPr>
            </w:pPr>
            <w:r>
              <w:rPr>
                <w:rFonts w:hint="default" w:ascii="Arial Regular" w:hAnsi="Arial Regular" w:cs="Arial Regular"/>
                <w:sz w:val="20"/>
                <w:szCs w:val="20"/>
              </w:rPr>
              <w:t>2927</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7A9E5ED8">
            <w:pPr>
              <w:pStyle w:val="42"/>
              <w:jc w:val="center"/>
              <w:rPr>
                <w:rFonts w:hint="default" w:ascii="Arial Regular" w:hAnsi="Arial Regular" w:cs="Arial Regular"/>
                <w:sz w:val="20"/>
                <w:szCs w:val="20"/>
              </w:rPr>
            </w:pPr>
            <w:r>
              <w:rPr>
                <w:rFonts w:hint="default" w:ascii="Arial Regular" w:hAnsi="Arial Regular" w:cs="Arial Regular"/>
                <w:sz w:val="20"/>
                <w:szCs w:val="20"/>
              </w:rPr>
              <w:t>3035</w:t>
            </w:r>
          </w:p>
        </w:tc>
        <w:tc>
          <w:tcPr>
            <w:tcW w:w="0" w:type="auto"/>
            <w:tcBorders>
              <w:top w:val="single" w:color="000000" w:sz="4" w:space="0"/>
              <w:left w:val="nil"/>
              <w:bottom w:val="single" w:color="auto" w:sz="8" w:space="0"/>
              <w:right w:val="nil"/>
            </w:tcBorders>
            <w:shd w:val="clear" w:color="auto" w:fill="E7E6E6" w:themeFill="background2"/>
            <w:tcMar>
              <w:top w:w="8" w:type="dxa"/>
              <w:left w:w="8" w:type="dxa"/>
              <w:bottom w:w="0" w:type="dxa"/>
              <w:right w:w="8" w:type="dxa"/>
            </w:tcMar>
            <w:vAlign w:val="center"/>
          </w:tcPr>
          <w:p w14:paraId="708C7245">
            <w:pPr>
              <w:pStyle w:val="42"/>
              <w:jc w:val="center"/>
              <w:rPr>
                <w:rFonts w:hint="default" w:ascii="Arial Regular" w:hAnsi="Arial Regular" w:cs="Arial Regular"/>
                <w:sz w:val="20"/>
                <w:szCs w:val="20"/>
              </w:rPr>
            </w:pPr>
            <w:r>
              <w:rPr>
                <w:rFonts w:hint="default" w:ascii="Arial Regular" w:hAnsi="Arial Regular" w:cs="Arial Regular"/>
                <w:sz w:val="20"/>
                <w:szCs w:val="20"/>
              </w:rPr>
              <w:t>3420</w:t>
            </w:r>
          </w:p>
        </w:tc>
      </w:tr>
      <w:tr w14:paraId="04D3049F">
        <w:trPr>
          <w:trHeight w:val="23" w:hRule="atLeast"/>
        </w:trPr>
        <w:tc>
          <w:tcPr>
            <w:tcW w:w="0" w:type="auto"/>
            <w:vMerge w:val="restart"/>
            <w:tcBorders>
              <w:top w:val="single" w:color="auto" w:sz="8" w:space="0"/>
              <w:left w:val="nil"/>
              <w:bottom w:val="single" w:color="000000" w:sz="12" w:space="0"/>
              <w:right w:val="nil"/>
            </w:tcBorders>
            <w:shd w:val="clear" w:color="auto" w:fill="auto"/>
            <w:tcMar>
              <w:top w:w="8" w:type="dxa"/>
              <w:left w:w="8" w:type="dxa"/>
              <w:bottom w:w="0" w:type="dxa"/>
              <w:right w:w="8" w:type="dxa"/>
            </w:tcMar>
            <w:vAlign w:val="center"/>
          </w:tcPr>
          <w:p w14:paraId="11E26152">
            <w:pPr>
              <w:pStyle w:val="42"/>
              <w:jc w:val="center"/>
              <w:rPr>
                <w:rFonts w:hint="default" w:ascii="Arial Regular" w:hAnsi="Arial Regular" w:cs="Arial Regular"/>
                <w:sz w:val="20"/>
                <w:szCs w:val="20"/>
              </w:rPr>
            </w:pPr>
            <w:r>
              <w:rPr>
                <w:rFonts w:hint="default" w:ascii="Arial Regular" w:hAnsi="Arial Regular" w:cs="Arial Regular"/>
                <w:sz w:val="20"/>
                <w:szCs w:val="20"/>
              </w:rPr>
              <w:t>Fe(II)</w:t>
            </w:r>
          </w:p>
        </w:tc>
        <w:tc>
          <w:tcPr>
            <w:tcW w:w="0" w:type="auto"/>
            <w:tcBorders>
              <w:top w:val="single" w:color="auto" w:sz="8" w:space="0"/>
              <w:left w:val="nil"/>
              <w:bottom w:val="nil"/>
              <w:right w:val="nil"/>
            </w:tcBorders>
            <w:shd w:val="clear" w:color="auto" w:fill="auto"/>
            <w:tcMar>
              <w:top w:w="8" w:type="dxa"/>
              <w:left w:w="8" w:type="dxa"/>
              <w:bottom w:w="0" w:type="dxa"/>
              <w:right w:w="8" w:type="dxa"/>
            </w:tcMar>
            <w:vAlign w:val="center"/>
          </w:tcPr>
          <w:p w14:paraId="2E7AB112">
            <w:pPr>
              <w:pStyle w:val="42"/>
              <w:jc w:val="center"/>
              <w:rPr>
                <w:rFonts w:hint="default" w:ascii="Arial Regular" w:hAnsi="Arial Regular" w:cs="Arial Regular"/>
                <w:sz w:val="20"/>
                <w:szCs w:val="20"/>
              </w:rPr>
            </w:pPr>
            <w:r>
              <w:rPr>
                <w:rFonts w:hint="default" w:ascii="Arial Regular" w:hAnsi="Arial Regular" w:cs="Arial Regular"/>
                <w:sz w:val="20"/>
                <w:szCs w:val="20"/>
              </w:rPr>
              <w:t>400</w:t>
            </w:r>
          </w:p>
        </w:tc>
        <w:tc>
          <w:tcPr>
            <w:tcW w:w="0" w:type="auto"/>
            <w:vMerge w:val="restart"/>
            <w:tcBorders>
              <w:top w:val="single" w:color="auto" w:sz="8" w:space="0"/>
              <w:left w:val="nil"/>
              <w:right w:val="nil"/>
            </w:tcBorders>
            <w:shd w:val="clear" w:color="auto" w:fill="auto"/>
            <w:tcMar>
              <w:top w:w="8" w:type="dxa"/>
              <w:left w:w="8" w:type="dxa"/>
              <w:bottom w:w="0" w:type="dxa"/>
              <w:right w:w="8" w:type="dxa"/>
            </w:tcMar>
            <w:vAlign w:val="center"/>
          </w:tcPr>
          <w:p w14:paraId="7DF22CBA">
            <w:pPr>
              <w:pStyle w:val="42"/>
              <w:jc w:val="center"/>
              <w:rPr>
                <w:rFonts w:hint="default" w:ascii="Arial Regular" w:hAnsi="Arial Regular" w:cs="Arial Regular"/>
                <w:sz w:val="20"/>
                <w:szCs w:val="20"/>
              </w:rPr>
            </w:pPr>
            <w:r>
              <w:rPr>
                <w:rFonts w:hint="default" w:ascii="Arial Regular" w:hAnsi="Arial Regular" w:cs="Arial Regular"/>
                <w:sz w:val="20"/>
                <w:szCs w:val="20"/>
              </w:rPr>
              <w:t>Metal–oxygen bond (M–O)</w:t>
            </w:r>
          </w:p>
        </w:tc>
        <w:tc>
          <w:tcPr>
            <w:tcW w:w="454"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25FC0D90">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54"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02D01284">
            <w:pPr>
              <w:pStyle w:val="42"/>
              <w:jc w:val="center"/>
              <w:rPr>
                <w:rFonts w:hint="default" w:ascii="Arial Regular" w:hAnsi="Arial Regular" w:cs="Arial Regular"/>
                <w:sz w:val="20"/>
                <w:szCs w:val="20"/>
              </w:rPr>
            </w:pPr>
          </w:p>
        </w:tc>
        <w:tc>
          <w:tcPr>
            <w:tcW w:w="454"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3716C261">
            <w:pPr>
              <w:pStyle w:val="42"/>
              <w:jc w:val="center"/>
              <w:rPr>
                <w:rFonts w:hint="default" w:ascii="Arial Regular" w:hAnsi="Arial Regular" w:cs="Arial Regular"/>
                <w:sz w:val="20"/>
                <w:szCs w:val="20"/>
              </w:rPr>
            </w:pPr>
          </w:p>
        </w:tc>
        <w:tc>
          <w:tcPr>
            <w:tcW w:w="454"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77615516">
            <w:pPr>
              <w:pStyle w:val="42"/>
              <w:jc w:val="center"/>
              <w:rPr>
                <w:rFonts w:hint="default" w:ascii="Arial Regular" w:hAnsi="Arial Regular" w:cs="Arial Regular"/>
                <w:sz w:val="20"/>
                <w:szCs w:val="20"/>
              </w:rPr>
            </w:pPr>
          </w:p>
        </w:tc>
        <w:tc>
          <w:tcPr>
            <w:tcW w:w="454"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4124EFEF">
            <w:pPr>
              <w:pStyle w:val="42"/>
              <w:jc w:val="center"/>
              <w:rPr>
                <w:rFonts w:hint="default" w:ascii="Arial Regular" w:hAnsi="Arial Regular" w:cs="Arial Regular"/>
                <w:sz w:val="20"/>
                <w:szCs w:val="20"/>
              </w:rPr>
            </w:pPr>
          </w:p>
        </w:tc>
        <w:tc>
          <w:tcPr>
            <w:tcW w:w="454"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1D357964">
            <w:pPr>
              <w:pStyle w:val="42"/>
              <w:jc w:val="center"/>
              <w:rPr>
                <w:rFonts w:hint="default" w:ascii="Arial Regular" w:hAnsi="Arial Regular" w:cs="Arial Regular"/>
                <w:sz w:val="20"/>
                <w:szCs w:val="20"/>
              </w:rPr>
            </w:pPr>
          </w:p>
        </w:tc>
        <w:tc>
          <w:tcPr>
            <w:tcW w:w="454"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01FF5935">
            <w:pPr>
              <w:pStyle w:val="42"/>
              <w:jc w:val="center"/>
              <w:rPr>
                <w:rFonts w:hint="default" w:ascii="Arial Regular" w:hAnsi="Arial Regular" w:cs="Arial Regular"/>
                <w:sz w:val="20"/>
                <w:szCs w:val="20"/>
              </w:rPr>
            </w:pPr>
          </w:p>
        </w:tc>
        <w:tc>
          <w:tcPr>
            <w:tcW w:w="454"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2B61A814">
            <w:pPr>
              <w:pStyle w:val="42"/>
              <w:jc w:val="center"/>
              <w:rPr>
                <w:rFonts w:hint="default" w:ascii="Arial Regular" w:hAnsi="Arial Regular" w:cs="Arial Regular"/>
                <w:sz w:val="20"/>
                <w:szCs w:val="20"/>
              </w:rPr>
            </w:pPr>
          </w:p>
        </w:tc>
        <w:tc>
          <w:tcPr>
            <w:tcW w:w="454"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38106090">
            <w:pPr>
              <w:pStyle w:val="42"/>
              <w:jc w:val="center"/>
              <w:rPr>
                <w:rFonts w:hint="default" w:ascii="Arial Regular" w:hAnsi="Arial Regular" w:cs="Arial Regular"/>
                <w:sz w:val="20"/>
                <w:szCs w:val="20"/>
              </w:rPr>
            </w:pPr>
          </w:p>
        </w:tc>
        <w:tc>
          <w:tcPr>
            <w:tcW w:w="454"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0C0E1A51">
            <w:pPr>
              <w:pStyle w:val="42"/>
              <w:jc w:val="center"/>
              <w:rPr>
                <w:rFonts w:hint="default" w:ascii="Arial Regular" w:hAnsi="Arial Regular" w:cs="Arial Regular"/>
                <w:sz w:val="20"/>
                <w:szCs w:val="20"/>
              </w:rPr>
            </w:pPr>
          </w:p>
        </w:tc>
        <w:tc>
          <w:tcPr>
            <w:tcW w:w="454"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4DE64881">
            <w:pPr>
              <w:pStyle w:val="42"/>
              <w:jc w:val="center"/>
              <w:rPr>
                <w:rFonts w:hint="default" w:ascii="Arial Regular" w:hAnsi="Arial Regular" w:cs="Arial Regular"/>
                <w:sz w:val="20"/>
                <w:szCs w:val="20"/>
              </w:rPr>
            </w:pPr>
          </w:p>
        </w:tc>
        <w:tc>
          <w:tcPr>
            <w:tcW w:w="454"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0F711395">
            <w:pPr>
              <w:pStyle w:val="42"/>
              <w:jc w:val="center"/>
              <w:rPr>
                <w:rFonts w:hint="default" w:ascii="Arial Regular" w:hAnsi="Arial Regular" w:cs="Arial Regular"/>
                <w:sz w:val="20"/>
                <w:szCs w:val="20"/>
              </w:rPr>
            </w:pPr>
          </w:p>
        </w:tc>
        <w:tc>
          <w:tcPr>
            <w:tcW w:w="436"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5139CF6B">
            <w:pPr>
              <w:pStyle w:val="42"/>
              <w:jc w:val="center"/>
              <w:rPr>
                <w:rFonts w:hint="default" w:ascii="Arial Regular" w:hAnsi="Arial Regular" w:cs="Arial Regular"/>
                <w:sz w:val="20"/>
                <w:szCs w:val="20"/>
              </w:rPr>
            </w:pPr>
          </w:p>
        </w:tc>
        <w:tc>
          <w:tcPr>
            <w:tcW w:w="436"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250303C7">
            <w:pPr>
              <w:pStyle w:val="42"/>
              <w:jc w:val="center"/>
              <w:rPr>
                <w:rFonts w:hint="default" w:ascii="Arial Regular" w:hAnsi="Arial Regular" w:cs="Arial Regular"/>
                <w:sz w:val="20"/>
                <w:szCs w:val="20"/>
              </w:rPr>
            </w:pPr>
          </w:p>
        </w:tc>
        <w:tc>
          <w:tcPr>
            <w:tcW w:w="436"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53E7CBD4">
            <w:pPr>
              <w:pStyle w:val="42"/>
              <w:jc w:val="center"/>
              <w:rPr>
                <w:rFonts w:hint="default" w:ascii="Arial Regular" w:hAnsi="Arial Regular" w:cs="Arial Regular"/>
                <w:sz w:val="20"/>
                <w:szCs w:val="20"/>
              </w:rPr>
            </w:pPr>
          </w:p>
        </w:tc>
        <w:tc>
          <w:tcPr>
            <w:tcW w:w="436"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7B45D512">
            <w:pPr>
              <w:pStyle w:val="42"/>
              <w:jc w:val="center"/>
              <w:rPr>
                <w:rFonts w:hint="default" w:ascii="Arial Regular" w:hAnsi="Arial Regular" w:cs="Arial Regular"/>
                <w:sz w:val="20"/>
                <w:szCs w:val="20"/>
              </w:rPr>
            </w:pPr>
          </w:p>
        </w:tc>
        <w:tc>
          <w:tcPr>
            <w:tcW w:w="436"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60208FD6">
            <w:pPr>
              <w:pStyle w:val="42"/>
              <w:jc w:val="center"/>
              <w:rPr>
                <w:rFonts w:hint="default" w:ascii="Arial Regular" w:hAnsi="Arial Regular" w:cs="Arial Regular"/>
                <w:sz w:val="20"/>
                <w:szCs w:val="20"/>
              </w:rPr>
            </w:pPr>
          </w:p>
        </w:tc>
        <w:tc>
          <w:tcPr>
            <w:tcW w:w="436" w:type="dxa"/>
            <w:tcBorders>
              <w:top w:val="single" w:color="auto" w:sz="8" w:space="0"/>
              <w:left w:val="nil"/>
              <w:bottom w:val="nil"/>
              <w:right w:val="nil"/>
            </w:tcBorders>
            <w:shd w:val="clear" w:color="auto" w:fill="auto"/>
            <w:tcMar>
              <w:top w:w="12" w:type="dxa"/>
              <w:left w:w="12" w:type="dxa"/>
              <w:bottom w:w="0" w:type="dxa"/>
              <w:right w:w="12" w:type="dxa"/>
            </w:tcMar>
            <w:vAlign w:val="center"/>
          </w:tcPr>
          <w:p w14:paraId="2F8BD8AC">
            <w:pPr>
              <w:pStyle w:val="42"/>
              <w:jc w:val="center"/>
              <w:rPr>
                <w:rFonts w:hint="default" w:ascii="Arial Regular" w:hAnsi="Arial Regular" w:cs="Arial Regular"/>
                <w:sz w:val="20"/>
                <w:szCs w:val="20"/>
              </w:rPr>
            </w:pPr>
          </w:p>
        </w:tc>
      </w:tr>
      <w:tr w14:paraId="0DAB139B">
        <w:trPr>
          <w:trHeight w:val="23" w:hRule="atLeast"/>
        </w:trPr>
        <w:tc>
          <w:tcPr>
            <w:tcW w:w="0" w:type="auto"/>
            <w:vMerge w:val="continue"/>
            <w:tcBorders>
              <w:top w:val="single" w:color="000000" w:sz="4" w:space="0"/>
              <w:left w:val="nil"/>
              <w:bottom w:val="single" w:color="000000" w:sz="12" w:space="0"/>
              <w:right w:val="nil"/>
            </w:tcBorders>
            <w:vAlign w:val="center"/>
          </w:tcPr>
          <w:p w14:paraId="337E2482">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3E787BB2">
            <w:pPr>
              <w:pStyle w:val="42"/>
              <w:jc w:val="center"/>
              <w:rPr>
                <w:rFonts w:hint="default" w:ascii="Arial Regular" w:hAnsi="Arial Regular" w:cs="Arial Regular"/>
                <w:sz w:val="20"/>
                <w:szCs w:val="20"/>
              </w:rPr>
            </w:pPr>
            <w:r>
              <w:rPr>
                <w:rFonts w:hint="default" w:ascii="Arial Regular" w:hAnsi="Arial Regular" w:cs="Arial Regular"/>
                <w:sz w:val="20"/>
                <w:szCs w:val="20"/>
              </w:rPr>
              <w:t>559</w:t>
            </w:r>
          </w:p>
        </w:tc>
        <w:tc>
          <w:tcPr>
            <w:tcW w:w="0" w:type="auto"/>
            <w:vMerge w:val="continue"/>
            <w:tcBorders>
              <w:left w:val="nil"/>
              <w:bottom w:val="nil"/>
              <w:right w:val="nil"/>
            </w:tcBorders>
            <w:shd w:val="clear" w:color="auto" w:fill="auto"/>
            <w:tcMar>
              <w:top w:w="8" w:type="dxa"/>
              <w:left w:w="8" w:type="dxa"/>
              <w:bottom w:w="0" w:type="dxa"/>
              <w:right w:w="8" w:type="dxa"/>
            </w:tcMar>
            <w:vAlign w:val="center"/>
          </w:tcPr>
          <w:p w14:paraId="69B6D3D1">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FB6E3F2">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1B82792">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41237DC">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47A1C8D">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E05D839">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72B4739">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6128A1F">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60D2FC5">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8447A6D">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971517B">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2D3FAC4">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72526FF">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5A3665DE">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03EAE0E4">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47747414">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1A8D2967">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470E5BF5">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5F3B5E5E">
            <w:pPr>
              <w:pStyle w:val="42"/>
              <w:jc w:val="center"/>
              <w:rPr>
                <w:rFonts w:hint="default" w:ascii="Arial Regular" w:hAnsi="Arial Regular" w:cs="Arial Regular"/>
                <w:sz w:val="20"/>
                <w:szCs w:val="20"/>
              </w:rPr>
            </w:pPr>
          </w:p>
        </w:tc>
      </w:tr>
      <w:tr w14:paraId="6FEB65FE">
        <w:trPr>
          <w:trHeight w:val="23" w:hRule="atLeast"/>
        </w:trPr>
        <w:tc>
          <w:tcPr>
            <w:tcW w:w="0" w:type="auto"/>
            <w:vMerge w:val="continue"/>
            <w:tcBorders>
              <w:top w:val="single" w:color="000000" w:sz="4" w:space="0"/>
              <w:left w:val="nil"/>
              <w:bottom w:val="single" w:color="000000" w:sz="12" w:space="0"/>
              <w:right w:val="nil"/>
            </w:tcBorders>
            <w:vAlign w:val="center"/>
          </w:tcPr>
          <w:p w14:paraId="373D0B7F">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6C7A66AC">
            <w:pPr>
              <w:pStyle w:val="42"/>
              <w:jc w:val="center"/>
              <w:rPr>
                <w:rFonts w:hint="default" w:ascii="Arial Regular" w:hAnsi="Arial Regular" w:cs="Arial Regular"/>
                <w:sz w:val="20"/>
                <w:szCs w:val="20"/>
              </w:rPr>
            </w:pPr>
            <w:r>
              <w:rPr>
                <w:rFonts w:hint="default" w:ascii="Arial Regular" w:hAnsi="Arial Regular" w:cs="Arial Regular"/>
                <w:sz w:val="20"/>
                <w:szCs w:val="20"/>
              </w:rPr>
              <w:t>680</w:t>
            </w: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5E127AFE">
            <w:pPr>
              <w:pStyle w:val="42"/>
              <w:jc w:val="center"/>
              <w:rPr>
                <w:rFonts w:hint="default" w:ascii="Arial Regular" w:hAnsi="Arial Regular" w:cs="Arial Regular"/>
                <w:sz w:val="20"/>
                <w:szCs w:val="20"/>
              </w:rPr>
            </w:pPr>
            <w:r>
              <w:rPr>
                <w:rFonts w:hint="default" w:ascii="Arial Regular" w:hAnsi="Arial Regular" w:cs="Arial Regular"/>
                <w:sz w:val="20"/>
                <w:szCs w:val="20"/>
              </w:rPr>
              <w:t>Aromatic hydrocarbons (C–H)</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73C82FF">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DEAD268">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B9B8208">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EC0D490">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60A9110">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7B59F63">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0524E37">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71DF142">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D3C9931">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586FA81">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57CEE99">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E642CEE">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6C775811">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353A4C52">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0D26037B">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58DA5307">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24A9E9C1">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0257F4AB">
            <w:pPr>
              <w:pStyle w:val="42"/>
              <w:jc w:val="center"/>
              <w:rPr>
                <w:rFonts w:hint="default" w:ascii="Arial Regular" w:hAnsi="Arial Regular" w:cs="Arial Regular"/>
                <w:sz w:val="20"/>
                <w:szCs w:val="20"/>
              </w:rPr>
            </w:pPr>
          </w:p>
        </w:tc>
      </w:tr>
      <w:tr w14:paraId="25430D23">
        <w:trPr>
          <w:trHeight w:val="23" w:hRule="atLeast"/>
        </w:trPr>
        <w:tc>
          <w:tcPr>
            <w:tcW w:w="0" w:type="auto"/>
            <w:vMerge w:val="continue"/>
            <w:tcBorders>
              <w:top w:val="single" w:color="000000" w:sz="4" w:space="0"/>
              <w:left w:val="nil"/>
              <w:bottom w:val="single" w:color="000000" w:sz="12" w:space="0"/>
              <w:right w:val="nil"/>
            </w:tcBorders>
            <w:vAlign w:val="center"/>
          </w:tcPr>
          <w:p w14:paraId="28EFC44F">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638207D7">
            <w:pPr>
              <w:pStyle w:val="42"/>
              <w:jc w:val="center"/>
              <w:rPr>
                <w:rFonts w:hint="default" w:ascii="Arial Regular" w:hAnsi="Arial Regular" w:cs="Arial Regular"/>
                <w:sz w:val="20"/>
                <w:szCs w:val="20"/>
              </w:rPr>
            </w:pPr>
            <w:r>
              <w:rPr>
                <w:rFonts w:hint="default" w:ascii="Arial Regular" w:hAnsi="Arial Regular" w:cs="Arial Regular"/>
                <w:sz w:val="20"/>
                <w:szCs w:val="20"/>
              </w:rPr>
              <w:t>720</w:t>
            </w: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1C4866DB">
            <w:pPr>
              <w:pStyle w:val="42"/>
              <w:jc w:val="center"/>
              <w:rPr>
                <w:rFonts w:hint="default" w:ascii="Arial Regular" w:hAnsi="Arial Regular" w:cs="Arial Regular"/>
                <w:sz w:val="20"/>
                <w:szCs w:val="20"/>
              </w:rPr>
            </w:pPr>
            <w:r>
              <w:rPr>
                <w:rFonts w:hint="default" w:ascii="Arial Regular" w:hAnsi="Arial Regular" w:cs="Arial Regular"/>
                <w:sz w:val="20"/>
                <w:szCs w:val="20"/>
              </w:rPr>
              <w:t>Aliphatic hydrocarbons (C–H)</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45693A7">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7F958D0">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EF6EC61">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0B4A2DC">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2025ED5">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2EBE6D2">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473E77E">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010F72F">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D32D3D7">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D8F6479">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D4A05C8">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C989C66">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32F82E88">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56D45589">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1C8E5121">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2C1B2BE0">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2E5B8474">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5295445C">
            <w:pPr>
              <w:pStyle w:val="42"/>
              <w:jc w:val="center"/>
              <w:rPr>
                <w:rFonts w:hint="default" w:ascii="Arial Regular" w:hAnsi="Arial Regular" w:cs="Arial Regular"/>
                <w:sz w:val="20"/>
                <w:szCs w:val="20"/>
              </w:rPr>
            </w:pPr>
          </w:p>
        </w:tc>
      </w:tr>
      <w:tr w14:paraId="720CC4A3">
        <w:trPr>
          <w:trHeight w:val="23" w:hRule="atLeast"/>
        </w:trPr>
        <w:tc>
          <w:tcPr>
            <w:tcW w:w="0" w:type="auto"/>
            <w:vMerge w:val="continue"/>
            <w:tcBorders>
              <w:top w:val="single" w:color="000000" w:sz="4" w:space="0"/>
              <w:left w:val="nil"/>
              <w:bottom w:val="single" w:color="000000" w:sz="12" w:space="0"/>
              <w:right w:val="nil"/>
            </w:tcBorders>
            <w:vAlign w:val="center"/>
          </w:tcPr>
          <w:p w14:paraId="56F8CFE6">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6CD60614">
            <w:pPr>
              <w:pStyle w:val="42"/>
              <w:jc w:val="center"/>
              <w:rPr>
                <w:rFonts w:hint="default" w:ascii="Arial Regular" w:hAnsi="Arial Regular" w:cs="Arial Regular"/>
                <w:sz w:val="20"/>
                <w:szCs w:val="20"/>
              </w:rPr>
            </w:pPr>
            <w:r>
              <w:rPr>
                <w:rFonts w:hint="default" w:ascii="Arial Regular" w:hAnsi="Arial Regular" w:cs="Arial Regular"/>
                <w:sz w:val="20"/>
                <w:szCs w:val="20"/>
              </w:rPr>
              <w:t>800</w:t>
            </w:r>
          </w:p>
        </w:tc>
        <w:tc>
          <w:tcPr>
            <w:tcW w:w="0" w:type="auto"/>
            <w:vMerge w:val="restart"/>
            <w:tcBorders>
              <w:top w:val="nil"/>
              <w:left w:val="nil"/>
              <w:right w:val="nil"/>
            </w:tcBorders>
            <w:shd w:val="clear" w:color="auto" w:fill="auto"/>
            <w:tcMar>
              <w:top w:w="8" w:type="dxa"/>
              <w:left w:w="8" w:type="dxa"/>
              <w:bottom w:w="0" w:type="dxa"/>
              <w:right w:w="8" w:type="dxa"/>
            </w:tcMar>
            <w:vAlign w:val="center"/>
          </w:tcPr>
          <w:p w14:paraId="3E19765C">
            <w:pPr>
              <w:pStyle w:val="42"/>
              <w:jc w:val="center"/>
              <w:rPr>
                <w:rFonts w:hint="default" w:ascii="Arial Regular" w:hAnsi="Arial Regular" w:cs="Arial Regular"/>
                <w:sz w:val="20"/>
                <w:szCs w:val="20"/>
              </w:rPr>
            </w:pPr>
            <w:r>
              <w:rPr>
                <w:rFonts w:hint="default" w:ascii="Arial Regular" w:hAnsi="Arial Regular" w:cs="Arial Regular"/>
                <w:sz w:val="20"/>
                <w:szCs w:val="20"/>
              </w:rPr>
              <w:t>Aromatic hydrocarbons (C–H)</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1AD5971">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53FA2E1">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CA4346D">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5B89BF8">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3DD200F">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747DFAF">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4815DC5">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DF18067">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3701B59">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C018726">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985622C">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57D0EA4">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1BC94176">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5B6257AA">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0BB62BA1">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353B63FE">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4C67F3F3">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7039E848">
            <w:pPr>
              <w:pStyle w:val="42"/>
              <w:jc w:val="center"/>
              <w:rPr>
                <w:rFonts w:hint="default" w:ascii="Arial Regular" w:hAnsi="Arial Regular" w:cs="Arial Regular"/>
                <w:sz w:val="20"/>
                <w:szCs w:val="20"/>
              </w:rPr>
            </w:pPr>
          </w:p>
        </w:tc>
      </w:tr>
      <w:tr w14:paraId="11027DED">
        <w:trPr>
          <w:trHeight w:val="23" w:hRule="atLeast"/>
        </w:trPr>
        <w:tc>
          <w:tcPr>
            <w:tcW w:w="0" w:type="auto"/>
            <w:vMerge w:val="continue"/>
            <w:tcBorders>
              <w:top w:val="single" w:color="000000" w:sz="4" w:space="0"/>
              <w:left w:val="nil"/>
              <w:bottom w:val="single" w:color="000000" w:sz="12" w:space="0"/>
              <w:right w:val="nil"/>
            </w:tcBorders>
            <w:vAlign w:val="center"/>
          </w:tcPr>
          <w:p w14:paraId="0348B89F">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211D9960">
            <w:pPr>
              <w:pStyle w:val="42"/>
              <w:jc w:val="center"/>
              <w:rPr>
                <w:rFonts w:hint="default" w:ascii="Arial Regular" w:hAnsi="Arial Regular" w:cs="Arial Regular"/>
                <w:sz w:val="20"/>
                <w:szCs w:val="20"/>
              </w:rPr>
            </w:pPr>
            <w:r>
              <w:rPr>
                <w:rFonts w:hint="default" w:ascii="Arial Regular" w:hAnsi="Arial Regular" w:cs="Arial Regular"/>
                <w:sz w:val="20"/>
                <w:szCs w:val="20"/>
              </w:rPr>
              <w:t>878</w:t>
            </w:r>
          </w:p>
        </w:tc>
        <w:tc>
          <w:tcPr>
            <w:tcW w:w="0" w:type="auto"/>
            <w:vMerge w:val="continue"/>
            <w:tcBorders>
              <w:left w:val="nil"/>
              <w:bottom w:val="nil"/>
              <w:right w:val="nil"/>
            </w:tcBorders>
            <w:shd w:val="clear" w:color="auto" w:fill="auto"/>
            <w:tcMar>
              <w:top w:w="8" w:type="dxa"/>
              <w:left w:w="8" w:type="dxa"/>
              <w:bottom w:w="0" w:type="dxa"/>
              <w:right w:w="8" w:type="dxa"/>
            </w:tcMar>
            <w:vAlign w:val="center"/>
          </w:tcPr>
          <w:p w14:paraId="3B304B60">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27A77AB">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D2D900C">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DBBEB61">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6D01D25">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B144F62">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BFF016B">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0A5BF97">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97D5C79">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6BA372D">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E5A9463">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0648129">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9290AE4">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3C7233FA">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7672C859">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60657A3E">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00A615DF">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7ED13A96">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66B6F74B">
            <w:pPr>
              <w:pStyle w:val="42"/>
              <w:jc w:val="center"/>
              <w:rPr>
                <w:rFonts w:hint="default" w:ascii="Arial Regular" w:hAnsi="Arial Regular" w:cs="Arial Regular"/>
                <w:sz w:val="20"/>
                <w:szCs w:val="20"/>
              </w:rPr>
            </w:pPr>
          </w:p>
        </w:tc>
      </w:tr>
      <w:tr w14:paraId="6F8CBEBA">
        <w:trPr>
          <w:trHeight w:val="23" w:hRule="atLeast"/>
        </w:trPr>
        <w:tc>
          <w:tcPr>
            <w:tcW w:w="0" w:type="auto"/>
            <w:vMerge w:val="continue"/>
            <w:tcBorders>
              <w:top w:val="single" w:color="000000" w:sz="4" w:space="0"/>
              <w:left w:val="nil"/>
              <w:bottom w:val="single" w:color="000000" w:sz="12" w:space="0"/>
              <w:right w:val="nil"/>
            </w:tcBorders>
            <w:vAlign w:val="center"/>
          </w:tcPr>
          <w:p w14:paraId="76C1F90E">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14A913DE">
            <w:pPr>
              <w:pStyle w:val="42"/>
              <w:jc w:val="center"/>
              <w:rPr>
                <w:rFonts w:hint="default" w:ascii="Arial Regular" w:hAnsi="Arial Regular" w:cs="Arial Regular"/>
                <w:sz w:val="20"/>
                <w:szCs w:val="20"/>
              </w:rPr>
            </w:pPr>
            <w:r>
              <w:rPr>
                <w:rFonts w:hint="default" w:ascii="Arial Regular" w:hAnsi="Arial Regular" w:cs="Arial Regular"/>
                <w:sz w:val="20"/>
                <w:szCs w:val="20"/>
              </w:rPr>
              <w:t>947</w:t>
            </w: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418E7B34">
            <w:pPr>
              <w:pStyle w:val="42"/>
              <w:jc w:val="center"/>
              <w:rPr>
                <w:rFonts w:hint="default" w:ascii="Arial Regular" w:hAnsi="Arial Regular" w:cs="Arial Regular"/>
                <w:sz w:val="20"/>
                <w:szCs w:val="20"/>
              </w:rPr>
            </w:pPr>
            <w:r>
              <w:rPr>
                <w:rFonts w:hint="default" w:ascii="Arial Regular" w:hAnsi="Arial Regular" w:cs="Arial Regular"/>
                <w:sz w:val="20"/>
                <w:szCs w:val="20"/>
              </w:rPr>
              <w:t>Carboxylic acid (O–H)</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370DBC0">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5D2A1E8">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6A1E516">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F9E9393">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80A02E0">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B45DFF8">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D937880">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25D33BE">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E075A29">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7478414">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8E872B1">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09DCC2D">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0B62D80E">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0344B1E4">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5EDF17AB">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09DD8BE4">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4123365C">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6713743A">
            <w:pPr>
              <w:pStyle w:val="42"/>
              <w:jc w:val="center"/>
              <w:rPr>
                <w:rFonts w:hint="default" w:ascii="Arial Regular" w:hAnsi="Arial Regular" w:cs="Arial Regular"/>
                <w:sz w:val="20"/>
                <w:szCs w:val="20"/>
              </w:rPr>
            </w:pPr>
          </w:p>
        </w:tc>
      </w:tr>
      <w:tr w14:paraId="53A867F4">
        <w:trPr>
          <w:trHeight w:val="23" w:hRule="atLeast"/>
        </w:trPr>
        <w:tc>
          <w:tcPr>
            <w:tcW w:w="0" w:type="auto"/>
            <w:vMerge w:val="continue"/>
            <w:tcBorders>
              <w:top w:val="single" w:color="000000" w:sz="4" w:space="0"/>
              <w:left w:val="nil"/>
              <w:bottom w:val="single" w:color="000000" w:sz="12" w:space="0"/>
              <w:right w:val="nil"/>
            </w:tcBorders>
            <w:vAlign w:val="center"/>
          </w:tcPr>
          <w:p w14:paraId="5D2F3382">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58B3EA91">
            <w:pPr>
              <w:pStyle w:val="42"/>
              <w:jc w:val="center"/>
              <w:rPr>
                <w:rFonts w:hint="default" w:ascii="Arial Regular" w:hAnsi="Arial Regular" w:cs="Arial Regular"/>
                <w:sz w:val="20"/>
                <w:szCs w:val="20"/>
              </w:rPr>
            </w:pPr>
            <w:r>
              <w:rPr>
                <w:rFonts w:hint="default" w:ascii="Arial Regular" w:hAnsi="Arial Regular" w:cs="Arial Regular"/>
                <w:sz w:val="20"/>
                <w:szCs w:val="20"/>
              </w:rPr>
              <w:t>1063</w:t>
            </w: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039846DB">
            <w:pPr>
              <w:pStyle w:val="42"/>
              <w:jc w:val="center"/>
              <w:rPr>
                <w:rFonts w:hint="default" w:ascii="Arial Regular" w:hAnsi="Arial Regular" w:cs="Arial Regular"/>
                <w:sz w:val="20"/>
                <w:szCs w:val="20"/>
              </w:rPr>
            </w:pPr>
            <w:r>
              <w:rPr>
                <w:rFonts w:hint="default" w:ascii="Arial Regular" w:hAnsi="Arial Regular" w:cs="Arial Regular"/>
                <w:sz w:val="20"/>
                <w:szCs w:val="20"/>
              </w:rPr>
              <w:t>Ether (C–O–C) or alcohol (C–O)</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A1DF533">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867499E">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9633E58">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9BA699C">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3F18B24">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4B4EE69">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1CFFB90">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45904DD">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8FF300A">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6E1390E">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EFA0FE3">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1B39CFA">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3CCDC503">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00CD9C69">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2B7DF2D6">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047E3EE7">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4D640441">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509C40E0">
            <w:pPr>
              <w:pStyle w:val="42"/>
              <w:jc w:val="center"/>
              <w:rPr>
                <w:rFonts w:hint="default" w:ascii="Arial Regular" w:hAnsi="Arial Regular" w:cs="Arial Regular"/>
                <w:sz w:val="20"/>
                <w:szCs w:val="20"/>
              </w:rPr>
            </w:pPr>
          </w:p>
        </w:tc>
      </w:tr>
      <w:tr w14:paraId="20F32FC0">
        <w:trPr>
          <w:trHeight w:val="23" w:hRule="atLeast"/>
        </w:trPr>
        <w:tc>
          <w:tcPr>
            <w:tcW w:w="0" w:type="auto"/>
            <w:vMerge w:val="continue"/>
            <w:tcBorders>
              <w:top w:val="single" w:color="000000" w:sz="4" w:space="0"/>
              <w:left w:val="nil"/>
              <w:bottom w:val="single" w:color="000000" w:sz="12" w:space="0"/>
              <w:right w:val="nil"/>
            </w:tcBorders>
            <w:vAlign w:val="center"/>
          </w:tcPr>
          <w:p w14:paraId="69D753F5">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55629E2B">
            <w:pPr>
              <w:pStyle w:val="42"/>
              <w:jc w:val="center"/>
              <w:rPr>
                <w:rFonts w:hint="default" w:ascii="Arial Regular" w:hAnsi="Arial Regular" w:cs="Arial Regular"/>
                <w:sz w:val="20"/>
                <w:szCs w:val="20"/>
              </w:rPr>
            </w:pPr>
            <w:r>
              <w:rPr>
                <w:rFonts w:hint="default" w:ascii="Arial Regular" w:hAnsi="Arial Regular" w:cs="Arial Regular"/>
                <w:sz w:val="20"/>
                <w:szCs w:val="20"/>
              </w:rPr>
              <w:t>1260</w:t>
            </w: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0D7B4183">
            <w:pPr>
              <w:pStyle w:val="42"/>
              <w:jc w:val="center"/>
              <w:rPr>
                <w:rFonts w:hint="default" w:ascii="Arial Regular" w:hAnsi="Arial Regular" w:cs="Arial Regular"/>
                <w:sz w:val="20"/>
                <w:szCs w:val="20"/>
              </w:rPr>
            </w:pPr>
            <w:r>
              <w:rPr>
                <w:rFonts w:hint="default" w:ascii="Arial Regular" w:hAnsi="Arial Regular" w:cs="Arial Regular"/>
                <w:sz w:val="20"/>
                <w:szCs w:val="20"/>
              </w:rPr>
              <w:t>Ether (C–O–C) or ester (C–O)</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60EB79E">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FB66224">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E55DB3A">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E7C419C">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2B9EC95">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49793DB">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EA87AC3">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CAF9B19">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4DF64F9">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17D9E09">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F8092BD">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59253EE">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064559BB">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2B667B32">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3DB289FD">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6F057A8F">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08AE15BC">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624EA211">
            <w:pPr>
              <w:pStyle w:val="42"/>
              <w:jc w:val="center"/>
              <w:rPr>
                <w:rFonts w:hint="default" w:ascii="Arial Regular" w:hAnsi="Arial Regular" w:cs="Arial Regular"/>
                <w:sz w:val="20"/>
                <w:szCs w:val="20"/>
              </w:rPr>
            </w:pPr>
          </w:p>
        </w:tc>
      </w:tr>
      <w:tr w14:paraId="4D87E12F">
        <w:trPr>
          <w:trHeight w:val="23" w:hRule="atLeast"/>
        </w:trPr>
        <w:tc>
          <w:tcPr>
            <w:tcW w:w="0" w:type="auto"/>
            <w:vMerge w:val="continue"/>
            <w:tcBorders>
              <w:top w:val="single" w:color="000000" w:sz="4" w:space="0"/>
              <w:left w:val="nil"/>
              <w:bottom w:val="single" w:color="000000" w:sz="12" w:space="0"/>
              <w:right w:val="nil"/>
            </w:tcBorders>
            <w:vAlign w:val="center"/>
          </w:tcPr>
          <w:p w14:paraId="140B3C48">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1DF91DAF">
            <w:pPr>
              <w:pStyle w:val="42"/>
              <w:jc w:val="center"/>
              <w:rPr>
                <w:rFonts w:hint="default" w:ascii="Arial Regular" w:hAnsi="Arial Regular" w:cs="Arial Regular"/>
                <w:sz w:val="20"/>
                <w:szCs w:val="20"/>
              </w:rPr>
            </w:pPr>
            <w:r>
              <w:rPr>
                <w:rFonts w:hint="default" w:ascii="Arial Regular" w:hAnsi="Arial Regular" w:cs="Arial Regular"/>
                <w:sz w:val="20"/>
                <w:szCs w:val="20"/>
              </w:rPr>
              <w:t>1395</w:t>
            </w: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1E1DF014">
            <w:pPr>
              <w:pStyle w:val="42"/>
              <w:jc w:val="center"/>
              <w:rPr>
                <w:rFonts w:hint="default" w:ascii="Arial Regular" w:hAnsi="Arial Regular" w:cs="Arial Regular"/>
                <w:sz w:val="20"/>
                <w:szCs w:val="20"/>
              </w:rPr>
            </w:pPr>
            <w:r>
              <w:rPr>
                <w:rFonts w:hint="default" w:ascii="Arial Regular" w:hAnsi="Arial Regular" w:cs="Arial Regular"/>
                <w:sz w:val="20"/>
                <w:szCs w:val="20"/>
              </w:rPr>
              <w:t>Carboxylic acid (O–H) or CH</w:t>
            </w:r>
            <w:r>
              <w:rPr>
                <w:rFonts w:hint="default" w:ascii="Arial Regular" w:hAnsi="Arial Regular" w:cs="Arial Regular"/>
                <w:sz w:val="20"/>
                <w:szCs w:val="20"/>
                <w:vertAlign w:val="subscript"/>
              </w:rPr>
              <w:t>3</w:t>
            </w:r>
            <w:r>
              <w:rPr>
                <w:rFonts w:hint="default" w:ascii="Arial Regular" w:hAnsi="Arial Regular" w:cs="Arial Regular"/>
                <w:sz w:val="20"/>
                <w:szCs w:val="20"/>
              </w:rPr>
              <w:t xml:space="preserve"> deformation</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69EF33B">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8F6CE04">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EC35F45">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3683A02">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9F6ED11">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88558CB">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72EC6C2">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6E106EE">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D9DA3EF">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CE9FB46">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0E26C20">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0173C12">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71B87AAE">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6942AC78">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07EF621B">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5B6A567E">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5364F1AF">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39CF600D">
            <w:pPr>
              <w:pStyle w:val="42"/>
              <w:jc w:val="center"/>
              <w:rPr>
                <w:rFonts w:hint="default" w:ascii="Arial Regular" w:hAnsi="Arial Regular" w:cs="Arial Regular"/>
                <w:sz w:val="20"/>
                <w:szCs w:val="20"/>
              </w:rPr>
            </w:pPr>
          </w:p>
        </w:tc>
      </w:tr>
      <w:tr w14:paraId="51EA623F">
        <w:trPr>
          <w:trHeight w:val="23" w:hRule="atLeast"/>
        </w:trPr>
        <w:tc>
          <w:tcPr>
            <w:tcW w:w="0" w:type="auto"/>
            <w:vMerge w:val="continue"/>
            <w:tcBorders>
              <w:top w:val="single" w:color="000000" w:sz="4" w:space="0"/>
              <w:left w:val="nil"/>
              <w:bottom w:val="single" w:color="000000" w:sz="12" w:space="0"/>
              <w:right w:val="nil"/>
            </w:tcBorders>
            <w:vAlign w:val="center"/>
          </w:tcPr>
          <w:p w14:paraId="39C88DE8">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4DDB65A1">
            <w:pPr>
              <w:pStyle w:val="42"/>
              <w:jc w:val="center"/>
              <w:rPr>
                <w:rFonts w:hint="default" w:ascii="Arial Regular" w:hAnsi="Arial Regular" w:cs="Arial Regular"/>
                <w:sz w:val="20"/>
                <w:szCs w:val="20"/>
              </w:rPr>
            </w:pPr>
            <w:r>
              <w:rPr>
                <w:rFonts w:hint="default" w:ascii="Arial Regular" w:hAnsi="Arial Regular" w:cs="Arial Regular"/>
                <w:sz w:val="20"/>
                <w:szCs w:val="20"/>
              </w:rPr>
              <w:t>1502</w:t>
            </w: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0436EFB5">
            <w:pPr>
              <w:pStyle w:val="42"/>
              <w:jc w:val="center"/>
              <w:rPr>
                <w:rFonts w:hint="default" w:ascii="Arial Regular" w:hAnsi="Arial Regular" w:cs="Arial Regular"/>
                <w:sz w:val="20"/>
                <w:szCs w:val="20"/>
              </w:rPr>
            </w:pPr>
            <w:r>
              <w:rPr>
                <w:rFonts w:hint="default" w:ascii="Arial Regular" w:hAnsi="Arial Regular" w:cs="Arial Regular"/>
                <w:sz w:val="20"/>
                <w:szCs w:val="20"/>
              </w:rPr>
              <w:t>Aromatic ring (C=C)</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B812324">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30778D2">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F8B4ACE">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79E2DC5">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5EB70DB">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CAAD8AA">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6395DFC">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84A1F4F">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08C5259">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CC07BA3">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62137A7">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5D9D175">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4A1F58A9">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795DD428">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2874FE67">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3BD460FE">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59837FD6">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150FEBE6">
            <w:pPr>
              <w:pStyle w:val="42"/>
              <w:jc w:val="center"/>
              <w:rPr>
                <w:rFonts w:hint="default" w:ascii="Arial Regular" w:hAnsi="Arial Regular" w:cs="Arial Regular"/>
                <w:sz w:val="20"/>
                <w:szCs w:val="20"/>
              </w:rPr>
            </w:pPr>
          </w:p>
        </w:tc>
      </w:tr>
      <w:tr w14:paraId="481491E7">
        <w:trPr>
          <w:trHeight w:val="23" w:hRule="atLeast"/>
        </w:trPr>
        <w:tc>
          <w:tcPr>
            <w:tcW w:w="0" w:type="auto"/>
            <w:vMerge w:val="continue"/>
            <w:tcBorders>
              <w:top w:val="single" w:color="000000" w:sz="4" w:space="0"/>
              <w:left w:val="nil"/>
              <w:bottom w:val="single" w:color="000000" w:sz="12" w:space="0"/>
              <w:right w:val="nil"/>
            </w:tcBorders>
            <w:vAlign w:val="center"/>
          </w:tcPr>
          <w:p w14:paraId="294576B3">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1534665F">
            <w:pPr>
              <w:pStyle w:val="42"/>
              <w:jc w:val="center"/>
              <w:rPr>
                <w:rFonts w:hint="default" w:ascii="Arial Regular" w:hAnsi="Arial Regular" w:cs="Arial Regular"/>
                <w:sz w:val="20"/>
                <w:szCs w:val="20"/>
              </w:rPr>
            </w:pPr>
            <w:r>
              <w:rPr>
                <w:rFonts w:hint="default" w:ascii="Arial Regular" w:hAnsi="Arial Regular" w:cs="Arial Regular"/>
                <w:sz w:val="20"/>
                <w:szCs w:val="20"/>
              </w:rPr>
              <w:t>1628</w:t>
            </w: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2C3B7DB3">
            <w:pPr>
              <w:pStyle w:val="42"/>
              <w:jc w:val="center"/>
              <w:rPr>
                <w:rFonts w:hint="default" w:ascii="Arial Regular" w:hAnsi="Arial Regular" w:cs="Arial Regular"/>
                <w:sz w:val="20"/>
                <w:szCs w:val="20"/>
              </w:rPr>
            </w:pPr>
            <w:r>
              <w:rPr>
                <w:rFonts w:hint="default" w:ascii="Arial Regular" w:hAnsi="Arial Regular" w:cs="Arial Regular"/>
                <w:sz w:val="20"/>
                <w:szCs w:val="20"/>
              </w:rPr>
              <w:t>Carbonyl (C=O) or C=C</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CB28F1E">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E5542C8">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7AF0662">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64C3712">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35D5AE3">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0C5A7E4">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9DEF8BC">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08DE0A8">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248A772">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F2CD13E">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A8261F9">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C2ECA74">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5EAAEE8F">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4A93AA77">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4FB51D8E">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5D9B633C">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147B2505">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15AFF516">
            <w:pPr>
              <w:pStyle w:val="42"/>
              <w:jc w:val="center"/>
              <w:rPr>
                <w:rFonts w:hint="default" w:ascii="Arial Regular" w:hAnsi="Arial Regular" w:cs="Arial Regular"/>
                <w:sz w:val="20"/>
                <w:szCs w:val="20"/>
              </w:rPr>
            </w:pPr>
          </w:p>
        </w:tc>
      </w:tr>
      <w:tr w14:paraId="21BEC826">
        <w:trPr>
          <w:trHeight w:val="23" w:hRule="atLeast"/>
        </w:trPr>
        <w:tc>
          <w:tcPr>
            <w:tcW w:w="0" w:type="auto"/>
            <w:vMerge w:val="continue"/>
            <w:tcBorders>
              <w:top w:val="single" w:color="000000" w:sz="4" w:space="0"/>
              <w:left w:val="nil"/>
              <w:bottom w:val="single" w:color="000000" w:sz="12" w:space="0"/>
              <w:right w:val="nil"/>
            </w:tcBorders>
            <w:vAlign w:val="center"/>
          </w:tcPr>
          <w:p w14:paraId="7DDDCC60">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6D12C874">
            <w:pPr>
              <w:pStyle w:val="42"/>
              <w:jc w:val="center"/>
              <w:rPr>
                <w:rFonts w:hint="default" w:ascii="Arial Regular" w:hAnsi="Arial Regular" w:cs="Arial Regular"/>
                <w:sz w:val="20"/>
                <w:szCs w:val="20"/>
              </w:rPr>
            </w:pPr>
            <w:r>
              <w:rPr>
                <w:rFonts w:hint="default" w:ascii="Arial Regular" w:hAnsi="Arial Regular" w:cs="Arial Regular"/>
                <w:sz w:val="20"/>
                <w:szCs w:val="20"/>
              </w:rPr>
              <w:t>1803</w:t>
            </w: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7157747F">
            <w:pPr>
              <w:pStyle w:val="42"/>
              <w:jc w:val="center"/>
              <w:rPr>
                <w:rFonts w:hint="default" w:ascii="Arial Regular" w:hAnsi="Arial Regular" w:cs="Arial Regular"/>
                <w:sz w:val="20"/>
                <w:szCs w:val="20"/>
              </w:rPr>
            </w:pPr>
            <w:r>
              <w:rPr>
                <w:rFonts w:hint="default" w:ascii="Arial Regular" w:hAnsi="Arial Regular" w:cs="Arial Regular"/>
                <w:sz w:val="20"/>
                <w:szCs w:val="20"/>
              </w:rPr>
              <w:t>Carbonyl (C=O)</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4D8D278">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BB76D22">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8C87132">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A4F84B9">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B8F6C99">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5A5161C">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52E58EE">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B8ACE08">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84E6556">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C830663">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BC3752F">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9156311">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547F5205">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234860D0">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2907E7C6">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3AD9568C">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0B78E804">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415F0B2D">
            <w:pPr>
              <w:pStyle w:val="42"/>
              <w:jc w:val="center"/>
              <w:rPr>
                <w:rFonts w:hint="default" w:ascii="Arial Regular" w:hAnsi="Arial Regular" w:cs="Arial Regular"/>
                <w:sz w:val="20"/>
                <w:szCs w:val="20"/>
              </w:rPr>
            </w:pPr>
          </w:p>
        </w:tc>
      </w:tr>
      <w:tr w14:paraId="5140673E">
        <w:trPr>
          <w:trHeight w:val="23" w:hRule="atLeast"/>
        </w:trPr>
        <w:tc>
          <w:tcPr>
            <w:tcW w:w="0" w:type="auto"/>
            <w:vMerge w:val="continue"/>
            <w:tcBorders>
              <w:top w:val="single" w:color="000000" w:sz="4" w:space="0"/>
              <w:left w:val="nil"/>
              <w:bottom w:val="single" w:color="000000" w:sz="12" w:space="0"/>
              <w:right w:val="nil"/>
            </w:tcBorders>
            <w:vAlign w:val="center"/>
          </w:tcPr>
          <w:p w14:paraId="1FEF840C">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48527D20">
            <w:pPr>
              <w:pStyle w:val="42"/>
              <w:jc w:val="center"/>
              <w:rPr>
                <w:rFonts w:hint="default" w:ascii="Arial Regular" w:hAnsi="Arial Regular" w:cs="Arial Regular"/>
                <w:sz w:val="20"/>
                <w:szCs w:val="20"/>
              </w:rPr>
            </w:pPr>
            <w:r>
              <w:rPr>
                <w:rFonts w:hint="default" w:ascii="Arial Regular" w:hAnsi="Arial Regular" w:cs="Arial Regular"/>
                <w:sz w:val="20"/>
                <w:szCs w:val="20"/>
              </w:rPr>
              <w:t>2009</w:t>
            </w:r>
          </w:p>
        </w:tc>
        <w:tc>
          <w:tcPr>
            <w:tcW w:w="0" w:type="auto"/>
            <w:vMerge w:val="restart"/>
            <w:tcBorders>
              <w:top w:val="nil"/>
              <w:left w:val="nil"/>
              <w:bottom w:val="nil"/>
              <w:right w:val="nil"/>
            </w:tcBorders>
            <w:shd w:val="clear" w:color="auto" w:fill="auto"/>
            <w:tcMar>
              <w:top w:w="8" w:type="dxa"/>
              <w:left w:w="8" w:type="dxa"/>
              <w:bottom w:w="0" w:type="dxa"/>
              <w:right w:w="8" w:type="dxa"/>
            </w:tcMar>
            <w:vAlign w:val="center"/>
          </w:tcPr>
          <w:p w14:paraId="42C3C496">
            <w:pPr>
              <w:pStyle w:val="42"/>
              <w:jc w:val="center"/>
              <w:rPr>
                <w:rFonts w:hint="default" w:ascii="Arial Regular" w:hAnsi="Arial Regular" w:cs="Arial Regular"/>
                <w:sz w:val="20"/>
                <w:szCs w:val="20"/>
              </w:rPr>
            </w:pPr>
            <w:r>
              <w:rPr>
                <w:rFonts w:hint="default" w:ascii="Arial Regular" w:hAnsi="Arial Regular" w:cs="Arial Regular"/>
                <w:sz w:val="20"/>
                <w:szCs w:val="20"/>
                <w:lang w:val="en-US" w:eastAsia="zh-CN"/>
              </w:rPr>
              <w:t>Unassigned</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D482FC3">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E894D8F">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0049992">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3FAD617">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64B3971">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61A0BA3">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3645184">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072796D">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EA040F5">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B28B06E">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959EB59">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BE1669C">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62A5E9BD">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3E476BCF">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36E669AA">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70A75C4A">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0571988C">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72A9FD9D">
            <w:pPr>
              <w:pStyle w:val="42"/>
              <w:jc w:val="center"/>
              <w:rPr>
                <w:rFonts w:hint="default" w:ascii="Arial Regular" w:hAnsi="Arial Regular" w:cs="Arial Regular"/>
                <w:sz w:val="20"/>
                <w:szCs w:val="20"/>
              </w:rPr>
            </w:pPr>
          </w:p>
        </w:tc>
      </w:tr>
      <w:tr w14:paraId="6F12905B">
        <w:trPr>
          <w:trHeight w:val="23" w:hRule="atLeast"/>
        </w:trPr>
        <w:tc>
          <w:tcPr>
            <w:tcW w:w="0" w:type="auto"/>
            <w:vMerge w:val="continue"/>
            <w:tcBorders>
              <w:top w:val="single" w:color="000000" w:sz="4" w:space="0"/>
              <w:left w:val="nil"/>
              <w:bottom w:val="single" w:color="000000" w:sz="12" w:space="0"/>
              <w:right w:val="nil"/>
            </w:tcBorders>
            <w:vAlign w:val="center"/>
          </w:tcPr>
          <w:p w14:paraId="56E4C9EB">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0E852EE2">
            <w:pPr>
              <w:pStyle w:val="42"/>
              <w:jc w:val="center"/>
              <w:rPr>
                <w:rFonts w:hint="default" w:ascii="Arial Regular" w:hAnsi="Arial Regular" w:cs="Arial Regular"/>
                <w:sz w:val="20"/>
                <w:szCs w:val="20"/>
              </w:rPr>
            </w:pPr>
            <w:r>
              <w:rPr>
                <w:rFonts w:hint="default" w:ascii="Arial Regular" w:hAnsi="Arial Regular" w:cs="Arial Regular"/>
                <w:sz w:val="20"/>
                <w:szCs w:val="20"/>
              </w:rPr>
              <w:t>2018</w:t>
            </w:r>
          </w:p>
        </w:tc>
        <w:tc>
          <w:tcPr>
            <w:tcW w:w="0" w:type="auto"/>
            <w:vMerge w:val="continue"/>
            <w:tcBorders>
              <w:top w:val="nil"/>
              <w:left w:val="nil"/>
              <w:bottom w:val="nil"/>
              <w:right w:val="nil"/>
            </w:tcBorders>
            <w:vAlign w:val="center"/>
          </w:tcPr>
          <w:p w14:paraId="7C20CFE1">
            <w:pPr>
              <w:pStyle w:val="42"/>
              <w:jc w:val="center"/>
              <w:rPr>
                <w:rFonts w:hint="default" w:ascii="Arial Regular" w:hAnsi="Arial Regular" w:cs="Arial Regular"/>
                <w:sz w:val="20"/>
                <w:szCs w:val="20"/>
              </w:rPr>
            </w:pP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0AA78E8">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BD61FF3">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2F169CC">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7DDE5A6">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480218B">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AD7BEC6">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8E87B82">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0F5CA7B">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B3CCEBC">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B8DD9A9">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14BA3C5">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EB05207">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765151EC">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272FDBCC">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3E727AE5">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63F1C3B8">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292B4F6E">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1B78D5EC">
            <w:pPr>
              <w:pStyle w:val="42"/>
              <w:jc w:val="center"/>
              <w:rPr>
                <w:rFonts w:hint="default" w:ascii="Arial Regular" w:hAnsi="Arial Regular" w:cs="Arial Regular"/>
                <w:sz w:val="20"/>
                <w:szCs w:val="20"/>
              </w:rPr>
            </w:pPr>
          </w:p>
        </w:tc>
      </w:tr>
      <w:tr w14:paraId="1E191904">
        <w:trPr>
          <w:trHeight w:val="23" w:hRule="atLeast"/>
        </w:trPr>
        <w:tc>
          <w:tcPr>
            <w:tcW w:w="0" w:type="auto"/>
            <w:vMerge w:val="continue"/>
            <w:tcBorders>
              <w:top w:val="single" w:color="000000" w:sz="4" w:space="0"/>
              <w:left w:val="nil"/>
              <w:bottom w:val="single" w:color="000000" w:sz="12" w:space="0"/>
              <w:right w:val="nil"/>
            </w:tcBorders>
            <w:vAlign w:val="center"/>
          </w:tcPr>
          <w:p w14:paraId="741A91A7">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46EB28C8">
            <w:pPr>
              <w:pStyle w:val="42"/>
              <w:jc w:val="center"/>
              <w:rPr>
                <w:rFonts w:hint="default" w:ascii="Arial Regular" w:hAnsi="Arial Regular" w:cs="Arial Regular"/>
                <w:sz w:val="20"/>
                <w:szCs w:val="20"/>
              </w:rPr>
            </w:pPr>
            <w:r>
              <w:rPr>
                <w:rFonts w:hint="default" w:ascii="Arial Regular" w:hAnsi="Arial Regular" w:cs="Arial Regular"/>
                <w:sz w:val="20"/>
                <w:szCs w:val="20"/>
              </w:rPr>
              <w:t>2927</w:t>
            </w: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7EACFEAF">
            <w:pPr>
              <w:pStyle w:val="42"/>
              <w:jc w:val="center"/>
              <w:rPr>
                <w:rFonts w:hint="default" w:ascii="Arial Regular" w:hAnsi="Arial Regular" w:cs="Arial Regular"/>
                <w:sz w:val="20"/>
                <w:szCs w:val="20"/>
              </w:rPr>
            </w:pPr>
            <w:r>
              <w:rPr>
                <w:rFonts w:hint="default" w:ascii="Arial Regular" w:hAnsi="Arial Regular" w:cs="Arial Regular"/>
                <w:sz w:val="20"/>
                <w:szCs w:val="20"/>
              </w:rPr>
              <w:t>Aliphatic hydrocarbons (C–H)</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B315D99">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ADFFA96">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CD471AB">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4C81F57">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DF07A65">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7D0C5903">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7CCEF3C">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CCEC75F">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0542774">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DA96810">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954447D">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21BE590D">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6856FD35">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64005BD0">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79780267">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3397F933">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7FE6D97B">
            <w:pPr>
              <w:pStyle w:val="42"/>
              <w:jc w:val="center"/>
              <w:rPr>
                <w:rFonts w:hint="default" w:ascii="Arial Regular" w:hAnsi="Arial Regular" w:cs="Arial Regular"/>
                <w:sz w:val="20"/>
                <w:szCs w:val="20"/>
              </w:rPr>
            </w:pP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153E664C">
            <w:pPr>
              <w:pStyle w:val="42"/>
              <w:jc w:val="center"/>
              <w:rPr>
                <w:rFonts w:hint="default" w:ascii="Arial Regular" w:hAnsi="Arial Regular" w:cs="Arial Regular"/>
                <w:sz w:val="20"/>
                <w:szCs w:val="20"/>
              </w:rPr>
            </w:pPr>
          </w:p>
        </w:tc>
      </w:tr>
      <w:tr w14:paraId="6C4A425B">
        <w:trPr>
          <w:trHeight w:val="23" w:hRule="atLeast"/>
        </w:trPr>
        <w:tc>
          <w:tcPr>
            <w:tcW w:w="0" w:type="auto"/>
            <w:vMerge w:val="continue"/>
            <w:tcBorders>
              <w:top w:val="single" w:color="000000" w:sz="4" w:space="0"/>
              <w:left w:val="nil"/>
              <w:bottom w:val="single" w:color="000000" w:sz="12" w:space="0"/>
              <w:right w:val="nil"/>
            </w:tcBorders>
            <w:vAlign w:val="center"/>
          </w:tcPr>
          <w:p w14:paraId="7E22D623">
            <w:pPr>
              <w:pStyle w:val="42"/>
              <w:jc w:val="center"/>
              <w:rPr>
                <w:rFonts w:hint="default" w:ascii="Arial Regular" w:hAnsi="Arial Regular" w:cs="Arial Regular"/>
                <w:sz w:val="20"/>
                <w:szCs w:val="20"/>
              </w:rPr>
            </w:pP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15AECADC">
            <w:pPr>
              <w:pStyle w:val="42"/>
              <w:jc w:val="center"/>
              <w:rPr>
                <w:rFonts w:hint="default" w:ascii="Arial Regular" w:hAnsi="Arial Regular" w:cs="Arial Regular"/>
                <w:sz w:val="20"/>
                <w:szCs w:val="20"/>
              </w:rPr>
            </w:pPr>
            <w:r>
              <w:rPr>
                <w:rFonts w:hint="default" w:ascii="Arial Regular" w:hAnsi="Arial Regular" w:cs="Arial Regular"/>
                <w:sz w:val="20"/>
                <w:szCs w:val="20"/>
              </w:rPr>
              <w:t>3035</w:t>
            </w:r>
          </w:p>
        </w:tc>
        <w:tc>
          <w:tcPr>
            <w:tcW w:w="0" w:type="auto"/>
            <w:tcBorders>
              <w:top w:val="nil"/>
              <w:left w:val="nil"/>
              <w:bottom w:val="nil"/>
              <w:right w:val="nil"/>
            </w:tcBorders>
            <w:shd w:val="clear" w:color="auto" w:fill="auto"/>
            <w:tcMar>
              <w:top w:w="8" w:type="dxa"/>
              <w:left w:w="8" w:type="dxa"/>
              <w:bottom w:w="0" w:type="dxa"/>
              <w:right w:w="8" w:type="dxa"/>
            </w:tcMar>
            <w:vAlign w:val="center"/>
          </w:tcPr>
          <w:p w14:paraId="4F230E76">
            <w:pPr>
              <w:pStyle w:val="42"/>
              <w:jc w:val="center"/>
              <w:rPr>
                <w:rFonts w:hint="default" w:ascii="Arial Regular" w:hAnsi="Arial Regular" w:cs="Arial Regular"/>
                <w:sz w:val="20"/>
                <w:szCs w:val="20"/>
              </w:rPr>
            </w:pPr>
            <w:r>
              <w:rPr>
                <w:rFonts w:hint="default" w:ascii="Arial Regular" w:hAnsi="Arial Regular" w:cs="Arial Regular"/>
                <w:sz w:val="20"/>
                <w:szCs w:val="20"/>
              </w:rPr>
              <w:t>Aromatic hydrocarbons (Ar–H)</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6ABBFB0">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DAA02BD">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5C0E888E">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FD44676">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1F8B1DCB">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675E8133">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DBEFEFC">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4DEC3FE">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DCD0E98">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0F23F4FC">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35D2AAB2">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nil"/>
              <w:right w:val="nil"/>
            </w:tcBorders>
            <w:shd w:val="clear" w:color="auto" w:fill="auto"/>
            <w:tcMar>
              <w:top w:w="12" w:type="dxa"/>
              <w:left w:w="12" w:type="dxa"/>
              <w:bottom w:w="0" w:type="dxa"/>
              <w:right w:w="12" w:type="dxa"/>
            </w:tcMar>
            <w:vAlign w:val="center"/>
          </w:tcPr>
          <w:p w14:paraId="4AAFC687">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136FCBAC">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24748814">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4FEEF739">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02BC8506">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563FDA55">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c>
          <w:tcPr>
            <w:tcW w:w="436" w:type="dxa"/>
            <w:tcBorders>
              <w:top w:val="nil"/>
              <w:left w:val="nil"/>
              <w:bottom w:val="nil"/>
              <w:right w:val="nil"/>
            </w:tcBorders>
            <w:shd w:val="clear" w:color="auto" w:fill="auto"/>
            <w:tcMar>
              <w:top w:w="12" w:type="dxa"/>
              <w:left w:w="12" w:type="dxa"/>
              <w:bottom w:w="0" w:type="dxa"/>
              <w:right w:w="12" w:type="dxa"/>
            </w:tcMar>
            <w:vAlign w:val="center"/>
          </w:tcPr>
          <w:p w14:paraId="35C98411">
            <w:pPr>
              <w:pStyle w:val="42"/>
              <w:jc w:val="center"/>
              <w:rPr>
                <w:rFonts w:hint="default" w:ascii="Arial Regular" w:hAnsi="Arial Regular" w:cs="Arial Regular"/>
                <w:sz w:val="20"/>
                <w:szCs w:val="20"/>
              </w:rPr>
            </w:pPr>
          </w:p>
        </w:tc>
      </w:tr>
      <w:tr w14:paraId="41EB9FA4">
        <w:trPr>
          <w:trHeight w:val="23" w:hRule="atLeast"/>
        </w:trPr>
        <w:tc>
          <w:tcPr>
            <w:tcW w:w="0" w:type="auto"/>
            <w:vMerge w:val="continue"/>
            <w:tcBorders>
              <w:top w:val="single" w:color="000000" w:sz="4" w:space="0"/>
              <w:left w:val="nil"/>
              <w:bottom w:val="single" w:color="000000" w:sz="12" w:space="0"/>
              <w:right w:val="nil"/>
            </w:tcBorders>
            <w:vAlign w:val="center"/>
          </w:tcPr>
          <w:p w14:paraId="3A363D1E">
            <w:pPr>
              <w:pStyle w:val="42"/>
              <w:jc w:val="center"/>
              <w:rPr>
                <w:rFonts w:hint="default" w:ascii="Arial Regular" w:hAnsi="Arial Regular" w:cs="Arial Regular"/>
                <w:sz w:val="20"/>
                <w:szCs w:val="20"/>
              </w:rPr>
            </w:pPr>
          </w:p>
        </w:tc>
        <w:tc>
          <w:tcPr>
            <w:tcW w:w="0" w:type="auto"/>
            <w:tcBorders>
              <w:top w:val="nil"/>
              <w:left w:val="nil"/>
              <w:bottom w:val="single" w:color="000000" w:sz="12" w:space="0"/>
              <w:right w:val="nil"/>
            </w:tcBorders>
            <w:shd w:val="clear" w:color="auto" w:fill="auto"/>
            <w:tcMar>
              <w:top w:w="8" w:type="dxa"/>
              <w:left w:w="8" w:type="dxa"/>
              <w:bottom w:w="0" w:type="dxa"/>
              <w:right w:w="8" w:type="dxa"/>
            </w:tcMar>
            <w:vAlign w:val="center"/>
          </w:tcPr>
          <w:p w14:paraId="307D26FF">
            <w:pPr>
              <w:pStyle w:val="42"/>
              <w:jc w:val="center"/>
              <w:rPr>
                <w:rFonts w:hint="default" w:ascii="Arial Regular" w:hAnsi="Arial Regular" w:cs="Arial Regular"/>
                <w:sz w:val="20"/>
                <w:szCs w:val="20"/>
              </w:rPr>
            </w:pPr>
            <w:r>
              <w:rPr>
                <w:rFonts w:hint="default" w:ascii="Arial Regular" w:hAnsi="Arial Regular" w:cs="Arial Regular"/>
                <w:sz w:val="20"/>
                <w:szCs w:val="20"/>
              </w:rPr>
              <w:t>3420</w:t>
            </w:r>
          </w:p>
        </w:tc>
        <w:tc>
          <w:tcPr>
            <w:tcW w:w="0" w:type="auto"/>
            <w:tcBorders>
              <w:top w:val="nil"/>
              <w:left w:val="nil"/>
              <w:bottom w:val="single" w:color="000000" w:sz="12" w:space="0"/>
              <w:right w:val="nil"/>
            </w:tcBorders>
            <w:shd w:val="clear" w:color="auto" w:fill="auto"/>
            <w:tcMar>
              <w:top w:w="8" w:type="dxa"/>
              <w:left w:w="8" w:type="dxa"/>
              <w:bottom w:w="0" w:type="dxa"/>
              <w:right w:w="8" w:type="dxa"/>
            </w:tcMar>
            <w:vAlign w:val="center"/>
          </w:tcPr>
          <w:p w14:paraId="66BA57F0">
            <w:pPr>
              <w:pStyle w:val="42"/>
              <w:jc w:val="center"/>
              <w:rPr>
                <w:rFonts w:hint="default" w:ascii="Arial Regular" w:hAnsi="Arial Regular" w:cs="Arial Regular"/>
                <w:sz w:val="20"/>
                <w:szCs w:val="20"/>
              </w:rPr>
            </w:pPr>
            <w:r>
              <w:rPr>
                <w:rFonts w:hint="default" w:ascii="Arial Regular" w:hAnsi="Arial Regular" w:cs="Arial Regular"/>
                <w:sz w:val="20"/>
                <w:szCs w:val="20"/>
              </w:rPr>
              <w:t>Hydroxyl (O–H)</w:t>
            </w:r>
          </w:p>
        </w:tc>
        <w:tc>
          <w:tcPr>
            <w:tcW w:w="454"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750C220D">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15300758">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2D17D479">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19367FB0">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236D377B">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6729E251">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239F050C">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1A3CB5BF">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60C4DC33">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29CF2C19">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063B1818">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54"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51E5D7AB">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0EEAF3EA">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591712D2">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2C24797D">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25073296">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5667B949">
            <w:pPr>
              <w:pStyle w:val="42"/>
              <w:jc w:val="center"/>
              <w:rPr>
                <w:rFonts w:hint="default" w:ascii="Arial Regular" w:hAnsi="Arial Regular" w:cs="Arial Regular"/>
                <w:sz w:val="20"/>
                <w:szCs w:val="20"/>
              </w:rPr>
            </w:pPr>
            <w:r>
              <w:rPr>
                <w:rFonts w:hint="default" w:ascii="Arial Regular" w:hAnsi="Arial Regular" w:cs="Arial Regular"/>
                <w:sz w:val="20"/>
                <w:szCs w:val="20"/>
              </w:rPr>
              <w:t>+ (-)</w:t>
            </w:r>
          </w:p>
        </w:tc>
        <w:tc>
          <w:tcPr>
            <w:tcW w:w="436" w:type="dxa"/>
            <w:tcBorders>
              <w:top w:val="nil"/>
              <w:left w:val="nil"/>
              <w:bottom w:val="single" w:color="000000" w:sz="12" w:space="0"/>
              <w:right w:val="nil"/>
            </w:tcBorders>
            <w:shd w:val="clear" w:color="auto" w:fill="auto"/>
            <w:tcMar>
              <w:top w:w="12" w:type="dxa"/>
              <w:left w:w="12" w:type="dxa"/>
              <w:bottom w:w="0" w:type="dxa"/>
              <w:right w:w="12" w:type="dxa"/>
            </w:tcMar>
            <w:vAlign w:val="center"/>
          </w:tcPr>
          <w:p w14:paraId="3F2A6449">
            <w:pPr>
              <w:pStyle w:val="42"/>
              <w:jc w:val="center"/>
              <w:rPr>
                <w:rFonts w:hint="default" w:ascii="Arial Regular" w:hAnsi="Arial Regular" w:cs="Arial Regular"/>
                <w:sz w:val="20"/>
                <w:szCs w:val="20"/>
              </w:rPr>
            </w:pPr>
            <w:r>
              <w:rPr>
                <w:rFonts w:hint="default" w:ascii="Arial Regular" w:hAnsi="Arial Regular" w:cs="Arial Regular"/>
                <w:sz w:val="20"/>
                <w:szCs w:val="20"/>
              </w:rPr>
              <w:t>+</w:t>
            </w:r>
          </w:p>
        </w:tc>
      </w:tr>
    </w:tbl>
    <w:p w14:paraId="468618B4">
      <w:pPr>
        <w:rPr>
          <w:rFonts w:hint="default" w:ascii="Arial Regular" w:hAnsi="Arial Regular" w:cs="Arial Regular"/>
          <w:b/>
          <w:sz w:val="20"/>
          <w:szCs w:val="20"/>
        </w:rPr>
        <w:sectPr>
          <w:pgSz w:w="15840" w:h="12240" w:orient="landscape"/>
          <w:pgMar w:top="1440" w:right="1440" w:bottom="1440" w:left="1440" w:header="851" w:footer="992" w:gutter="0"/>
          <w:cols w:space="425" w:num="1"/>
          <w:docGrid w:type="lines" w:linePitch="312" w:charSpace="0"/>
        </w:sectPr>
      </w:pPr>
    </w:p>
    <w:p w14:paraId="6AADD67C">
      <w:pPr>
        <w:pStyle w:val="3"/>
        <w:keepNext/>
        <w:keepLines/>
        <w:pageBreakBefore w:val="0"/>
        <w:widowControl w:val="0"/>
        <w:kinsoku/>
        <w:wordWrap/>
        <w:overflowPunct/>
        <w:topLinePunct w:val="0"/>
        <w:autoSpaceDE/>
        <w:autoSpaceDN/>
        <w:bidi w:val="0"/>
        <w:adjustRightInd/>
        <w:snapToGrid/>
        <w:spacing w:before="0" w:beforeLines="0" w:after="157" w:afterLines="50" w:line="240" w:lineRule="auto"/>
        <w:textAlignment w:val="auto"/>
        <w:rPr>
          <w:rFonts w:hint="default" w:ascii="Arial Regular" w:hAnsi="Arial Regular" w:cs="Arial Regular"/>
          <w:b/>
          <w:sz w:val="20"/>
          <w:szCs w:val="20"/>
        </w:rPr>
      </w:pPr>
      <w:r>
        <w:rPr>
          <w:rFonts w:hint="default" w:ascii="Arial Regular" w:hAnsi="Arial Regular" w:cs="Arial Regular"/>
          <w:b/>
          <w:bCs w:val="0"/>
          <w:sz w:val="20"/>
          <w:szCs w:val="20"/>
        </w:rPr>
        <w:t xml:space="preserve">Supplementary </w:t>
      </w:r>
      <w:r>
        <w:rPr>
          <w:rFonts w:hint="default" w:ascii="Arial Regular" w:hAnsi="Arial Regular" w:cs="Arial Regular"/>
          <w:b/>
          <w:sz w:val="20"/>
          <w:szCs w:val="20"/>
        </w:rPr>
        <w:t>Table 1</w:t>
      </w:r>
      <w:r>
        <w:rPr>
          <w:rFonts w:hint="default" w:ascii="Arial Regular" w:hAnsi="Arial Regular" w:cs="Arial Regular"/>
          <w:b/>
          <w:sz w:val="20"/>
          <w:szCs w:val="20"/>
          <w:lang w:val="en-US" w:eastAsia="zh-CN"/>
        </w:rPr>
        <w:t>1</w:t>
      </w:r>
      <w:r>
        <w:rPr>
          <w:rFonts w:hint="default" w:ascii="Arial Regular" w:hAnsi="Arial Regular" w:cs="Arial Regular"/>
          <w:b/>
          <w:sz w:val="20"/>
          <w:szCs w:val="20"/>
        </w:rPr>
        <w:t>. Fukui functions of 1,8-dihydroxynaphthalene.</w:t>
      </w:r>
    </w:p>
    <w:tbl>
      <w:tblPr>
        <w:tblStyle w:val="10"/>
        <w:tblW w:w="0" w:type="auto"/>
        <w:jc w:val="center"/>
        <w:tblLayout w:type="autofit"/>
        <w:tblCellMar>
          <w:top w:w="0" w:type="dxa"/>
          <w:left w:w="0" w:type="dxa"/>
          <w:bottom w:w="0" w:type="dxa"/>
          <w:right w:w="0" w:type="dxa"/>
        </w:tblCellMar>
      </w:tblPr>
      <w:tblGrid>
        <w:gridCol w:w="6"/>
        <w:gridCol w:w="3080"/>
        <w:gridCol w:w="491"/>
        <w:gridCol w:w="444"/>
        <w:gridCol w:w="882"/>
        <w:gridCol w:w="777"/>
        <w:gridCol w:w="777"/>
        <w:gridCol w:w="6"/>
        <w:gridCol w:w="6"/>
        <w:gridCol w:w="6"/>
        <w:gridCol w:w="6"/>
      </w:tblGrid>
      <w:tr w14:paraId="335AF3FD">
        <w:trPr>
          <w:trHeight w:val="20" w:hRule="atLeast"/>
          <w:jc w:val="center"/>
        </w:trPr>
        <w:tc>
          <w:tcPr>
            <w:tcW w:w="0" w:type="auto"/>
            <w:tcBorders>
              <w:top w:val="single" w:color="auto" w:sz="12" w:space="0"/>
              <w:left w:val="nil"/>
              <w:bottom w:val="nil"/>
              <w:right w:val="nil"/>
            </w:tcBorders>
            <w:shd w:val="clear" w:color="auto" w:fill="auto"/>
            <w:vAlign w:val="center"/>
          </w:tcPr>
          <w:p w14:paraId="23F06E28">
            <w:pPr>
              <w:pStyle w:val="42"/>
              <w:jc w:val="center"/>
              <w:rPr>
                <w:rFonts w:hint="default" w:ascii="Arial Regular" w:hAnsi="Arial Regular" w:cs="Arial Regular"/>
                <w:sz w:val="20"/>
                <w:szCs w:val="20"/>
              </w:rPr>
            </w:pPr>
          </w:p>
        </w:tc>
        <w:tc>
          <w:tcPr>
            <w:tcW w:w="0" w:type="auto"/>
            <w:tcBorders>
              <w:top w:val="single" w:color="auto" w:sz="12" w:space="0"/>
              <w:left w:val="nil"/>
              <w:bottom w:val="single" w:color="auto" w:sz="8" w:space="0"/>
              <w:right w:val="nil"/>
            </w:tcBorders>
            <w:shd w:val="clear" w:color="auto" w:fill="E7E6E6" w:themeFill="background2"/>
            <w:vAlign w:val="center"/>
          </w:tcPr>
          <w:p w14:paraId="00D471B7">
            <w:pPr>
              <w:pStyle w:val="42"/>
              <w:jc w:val="center"/>
              <w:rPr>
                <w:rFonts w:hint="default" w:ascii="Arial Regular" w:hAnsi="Arial Regular" w:cs="Arial Regular" w:eastAsiaTheme="minorEastAsia"/>
                <w:sz w:val="20"/>
                <w:szCs w:val="20"/>
                <w:lang w:eastAsia="zh-CN"/>
              </w:rPr>
            </w:pPr>
            <w:r>
              <w:rPr>
                <w:rFonts w:hint="default" w:ascii="Arial Regular" w:hAnsi="Arial Regular" w:cs="Arial Regular"/>
                <w:sz w:val="20"/>
                <w:szCs w:val="20"/>
                <w:lang w:val="en-US" w:eastAsia="zh-CN"/>
              </w:rPr>
              <w:t>S</w:t>
            </w:r>
            <w:r>
              <w:rPr>
                <w:rFonts w:hint="default" w:ascii="Arial Regular" w:hAnsi="Arial Regular" w:cs="Arial Regular" w:eastAsiaTheme="minorEastAsia"/>
                <w:sz w:val="20"/>
                <w:szCs w:val="20"/>
                <w:lang w:eastAsia="zh-CN"/>
              </w:rPr>
              <w:t>tructure</w:t>
            </w:r>
          </w:p>
        </w:tc>
        <w:tc>
          <w:tcPr>
            <w:tcW w:w="444" w:type="dxa"/>
            <w:tcBorders>
              <w:top w:val="single" w:color="auto" w:sz="12" w:space="0"/>
              <w:left w:val="nil"/>
              <w:bottom w:val="single" w:color="auto" w:sz="8" w:space="0"/>
              <w:right w:val="nil"/>
            </w:tcBorders>
            <w:shd w:val="clear" w:color="auto" w:fill="E7E6E6" w:themeFill="background2"/>
            <w:tcMar>
              <w:top w:w="12" w:type="dxa"/>
              <w:left w:w="12" w:type="dxa"/>
              <w:right w:w="12" w:type="dxa"/>
            </w:tcMar>
            <w:vAlign w:val="center"/>
          </w:tcPr>
          <w:p w14:paraId="3A2D07E8">
            <w:pPr>
              <w:pStyle w:val="42"/>
              <w:jc w:val="center"/>
              <w:rPr>
                <w:rFonts w:hint="default" w:ascii="Arial Regular" w:hAnsi="Arial Regular" w:cs="Arial Regular" w:eastAsiaTheme="minorEastAsia"/>
                <w:sz w:val="20"/>
                <w:szCs w:val="20"/>
                <w:lang w:val="en-US" w:eastAsia="zh-CN"/>
              </w:rPr>
            </w:pPr>
            <w:r>
              <w:rPr>
                <w:rFonts w:hint="default" w:ascii="Arial Regular" w:hAnsi="Arial Regular" w:cs="Arial Regular"/>
                <w:sz w:val="20"/>
                <w:szCs w:val="20"/>
                <w:lang w:val="en-US" w:eastAsia="zh-CN"/>
              </w:rPr>
              <w:t>Atom</w:t>
            </w:r>
          </w:p>
        </w:tc>
        <w:tc>
          <w:tcPr>
            <w:tcW w:w="444" w:type="dxa"/>
            <w:tcBorders>
              <w:top w:val="single" w:color="auto" w:sz="12" w:space="0"/>
              <w:left w:val="nil"/>
              <w:bottom w:val="single" w:color="auto" w:sz="8" w:space="0"/>
              <w:right w:val="nil"/>
            </w:tcBorders>
            <w:shd w:val="clear" w:color="auto" w:fill="E7E6E6" w:themeFill="background2"/>
            <w:tcMar>
              <w:top w:w="12" w:type="dxa"/>
              <w:left w:w="12" w:type="dxa"/>
              <w:right w:w="12" w:type="dxa"/>
            </w:tcMar>
            <w:vAlign w:val="center"/>
          </w:tcPr>
          <w:p w14:paraId="6AFF03C5">
            <w:pPr>
              <w:pStyle w:val="42"/>
              <w:jc w:val="center"/>
              <w:rPr>
                <w:rFonts w:hint="default" w:ascii="Arial Regular" w:hAnsi="Arial Regular" w:cs="Arial Regular" w:eastAsiaTheme="minorEastAsia"/>
                <w:sz w:val="20"/>
                <w:szCs w:val="20"/>
                <w:lang w:val="en-US" w:eastAsia="zh-CN"/>
              </w:rPr>
            </w:pPr>
            <w:r>
              <w:rPr>
                <w:rFonts w:hint="default" w:ascii="Arial Regular" w:hAnsi="Arial Regular" w:cs="Arial Regular"/>
                <w:sz w:val="20"/>
                <w:szCs w:val="20"/>
                <w:lang w:val="en-US" w:eastAsia="zh-CN"/>
              </w:rPr>
              <w:t>Site</w:t>
            </w:r>
          </w:p>
        </w:tc>
        <w:tc>
          <w:tcPr>
            <w:tcW w:w="882" w:type="dxa"/>
            <w:tcBorders>
              <w:top w:val="single" w:color="auto" w:sz="12" w:space="0"/>
              <w:left w:val="nil"/>
              <w:bottom w:val="single" w:color="auto" w:sz="8" w:space="0"/>
              <w:right w:val="nil"/>
            </w:tcBorders>
            <w:shd w:val="clear" w:color="auto" w:fill="E7E6E6" w:themeFill="background2"/>
            <w:tcMar>
              <w:top w:w="12" w:type="dxa"/>
              <w:left w:w="12" w:type="dxa"/>
              <w:right w:w="12" w:type="dxa"/>
            </w:tcMar>
            <w:vAlign w:val="center"/>
          </w:tcPr>
          <w:p w14:paraId="39AAB8FF">
            <w:pPr>
              <w:pStyle w:val="42"/>
              <w:jc w:val="center"/>
              <w:rPr>
                <w:rFonts w:hint="default" w:ascii="Arial Regular" w:hAnsi="Arial Regular" w:cs="Arial Regular"/>
                <w:sz w:val="20"/>
                <w:szCs w:val="20"/>
              </w:rPr>
            </w:pPr>
            <w:r>
              <w:rPr>
                <w:rFonts w:hint="default" w:ascii="Arial Regular" w:hAnsi="Arial Regular" w:cs="Arial Regular"/>
                <w:sz w:val="20"/>
                <w:szCs w:val="20"/>
              </w:rPr>
              <w:t>f⁻</w:t>
            </w:r>
          </w:p>
        </w:tc>
        <w:tc>
          <w:tcPr>
            <w:tcW w:w="0" w:type="auto"/>
            <w:tcBorders>
              <w:top w:val="single" w:color="auto" w:sz="12" w:space="0"/>
              <w:left w:val="nil"/>
              <w:bottom w:val="single" w:color="auto" w:sz="8" w:space="0"/>
              <w:right w:val="nil"/>
            </w:tcBorders>
            <w:shd w:val="clear" w:color="auto" w:fill="E7E6E6" w:themeFill="background2"/>
            <w:tcMar>
              <w:top w:w="12" w:type="dxa"/>
              <w:left w:w="12" w:type="dxa"/>
              <w:right w:w="12" w:type="dxa"/>
            </w:tcMar>
            <w:vAlign w:val="center"/>
          </w:tcPr>
          <w:p w14:paraId="082461B0">
            <w:pPr>
              <w:pStyle w:val="42"/>
              <w:jc w:val="center"/>
              <w:rPr>
                <w:rFonts w:hint="default" w:ascii="Arial Regular" w:hAnsi="Arial Regular" w:cs="Arial Regular"/>
                <w:sz w:val="20"/>
                <w:szCs w:val="20"/>
              </w:rPr>
            </w:pPr>
            <w:r>
              <w:rPr>
                <w:rFonts w:hint="default" w:ascii="Arial Regular" w:hAnsi="Arial Regular" w:cs="Arial Regular"/>
                <w:sz w:val="20"/>
                <w:szCs w:val="20"/>
              </w:rPr>
              <w:t>f</w:t>
            </w:r>
            <w:r>
              <w:rPr>
                <w:rFonts w:hint="default" w:ascii="Arial Regular" w:hAnsi="Arial Regular" w:cs="Arial Regular"/>
                <w:sz w:val="20"/>
                <w:szCs w:val="20"/>
                <w:vertAlign w:val="superscript"/>
              </w:rPr>
              <w:t>+</w:t>
            </w:r>
          </w:p>
        </w:tc>
        <w:tc>
          <w:tcPr>
            <w:tcW w:w="0" w:type="auto"/>
            <w:tcBorders>
              <w:top w:val="single" w:color="auto" w:sz="12" w:space="0"/>
              <w:left w:val="nil"/>
              <w:bottom w:val="single" w:color="auto" w:sz="8" w:space="0"/>
              <w:right w:val="nil"/>
            </w:tcBorders>
            <w:shd w:val="clear" w:color="auto" w:fill="E7E6E6" w:themeFill="background2"/>
            <w:tcMar>
              <w:top w:w="12" w:type="dxa"/>
              <w:left w:w="12" w:type="dxa"/>
              <w:right w:w="12" w:type="dxa"/>
            </w:tcMar>
            <w:vAlign w:val="center"/>
          </w:tcPr>
          <w:p w14:paraId="418E30A9">
            <w:pPr>
              <w:pStyle w:val="42"/>
              <w:jc w:val="center"/>
              <w:rPr>
                <w:rFonts w:hint="default" w:ascii="Arial Regular" w:hAnsi="Arial Regular" w:cs="Arial Regular"/>
                <w:sz w:val="20"/>
                <w:szCs w:val="20"/>
              </w:rPr>
            </w:pPr>
            <w:r>
              <w:rPr>
                <w:rFonts w:hint="default" w:ascii="Arial Regular" w:hAnsi="Arial Regular" w:cs="Arial Regular"/>
                <w:sz w:val="20"/>
                <w:szCs w:val="20"/>
              </w:rPr>
              <w:t>f</w:t>
            </w:r>
            <w:r>
              <w:rPr>
                <w:rFonts w:hint="default" w:ascii="Arial Regular" w:hAnsi="Arial Regular" w:cs="Arial Regular"/>
                <w:sz w:val="20"/>
                <w:szCs w:val="20"/>
                <w:vertAlign w:val="superscript"/>
              </w:rPr>
              <w:t>0</w:t>
            </w:r>
          </w:p>
        </w:tc>
        <w:tc>
          <w:tcPr>
            <w:tcW w:w="0" w:type="auto"/>
            <w:tcBorders>
              <w:top w:val="single" w:color="auto" w:sz="12" w:space="0"/>
              <w:left w:val="nil"/>
              <w:bottom w:val="single" w:color="auto" w:sz="8" w:space="0"/>
              <w:right w:val="nil"/>
            </w:tcBorders>
            <w:shd w:val="clear" w:color="auto" w:fill="auto"/>
            <w:vAlign w:val="center"/>
          </w:tcPr>
          <w:p w14:paraId="2B0FC285">
            <w:pPr>
              <w:pStyle w:val="42"/>
              <w:jc w:val="center"/>
              <w:rPr>
                <w:rFonts w:hint="default" w:ascii="Arial Regular" w:hAnsi="Arial Regular" w:cs="Arial Regular"/>
                <w:sz w:val="20"/>
                <w:szCs w:val="20"/>
              </w:rPr>
            </w:pPr>
          </w:p>
        </w:tc>
        <w:tc>
          <w:tcPr>
            <w:tcW w:w="0" w:type="auto"/>
            <w:tcBorders>
              <w:top w:val="single" w:color="auto" w:sz="12" w:space="0"/>
              <w:left w:val="nil"/>
              <w:bottom w:val="single" w:color="auto" w:sz="8" w:space="0"/>
              <w:right w:val="nil"/>
            </w:tcBorders>
            <w:shd w:val="clear" w:color="auto" w:fill="auto"/>
            <w:vAlign w:val="center"/>
          </w:tcPr>
          <w:p w14:paraId="763DEC68">
            <w:pPr>
              <w:pStyle w:val="42"/>
              <w:jc w:val="center"/>
              <w:rPr>
                <w:rFonts w:hint="default" w:ascii="Arial Regular" w:hAnsi="Arial Regular" w:cs="Arial Regular"/>
                <w:sz w:val="20"/>
                <w:szCs w:val="20"/>
              </w:rPr>
            </w:pPr>
          </w:p>
        </w:tc>
        <w:tc>
          <w:tcPr>
            <w:tcW w:w="0" w:type="auto"/>
            <w:tcBorders>
              <w:top w:val="single" w:color="auto" w:sz="12" w:space="0"/>
              <w:left w:val="nil"/>
              <w:bottom w:val="single" w:color="auto" w:sz="8" w:space="0"/>
              <w:right w:val="nil"/>
            </w:tcBorders>
            <w:shd w:val="clear" w:color="auto" w:fill="auto"/>
            <w:vAlign w:val="center"/>
          </w:tcPr>
          <w:p w14:paraId="006F8CCC">
            <w:pPr>
              <w:pStyle w:val="42"/>
              <w:jc w:val="center"/>
              <w:rPr>
                <w:rFonts w:hint="default" w:ascii="Arial Regular" w:hAnsi="Arial Regular" w:cs="Arial Regular"/>
                <w:sz w:val="20"/>
                <w:szCs w:val="20"/>
              </w:rPr>
            </w:pPr>
          </w:p>
        </w:tc>
        <w:tc>
          <w:tcPr>
            <w:tcW w:w="0" w:type="auto"/>
            <w:tcBorders>
              <w:top w:val="single" w:color="auto" w:sz="12" w:space="0"/>
              <w:left w:val="nil"/>
              <w:bottom w:val="nil"/>
              <w:right w:val="nil"/>
            </w:tcBorders>
            <w:shd w:val="clear" w:color="auto" w:fill="auto"/>
            <w:vAlign w:val="center"/>
          </w:tcPr>
          <w:p w14:paraId="6E49369C">
            <w:pPr>
              <w:pStyle w:val="42"/>
              <w:jc w:val="center"/>
              <w:rPr>
                <w:rFonts w:hint="default" w:ascii="Arial Regular" w:hAnsi="Arial Regular" w:cs="Arial Regular"/>
                <w:sz w:val="20"/>
                <w:szCs w:val="20"/>
              </w:rPr>
            </w:pPr>
          </w:p>
        </w:tc>
      </w:tr>
      <w:tr w14:paraId="474887BF">
        <w:trPr>
          <w:trHeight w:val="20" w:hRule="atLeast"/>
          <w:jc w:val="center"/>
        </w:trPr>
        <w:tc>
          <w:tcPr>
            <w:tcW w:w="0" w:type="auto"/>
            <w:shd w:val="clear" w:color="auto" w:fill="auto"/>
            <w:vAlign w:val="center"/>
          </w:tcPr>
          <w:p w14:paraId="0449F047">
            <w:pPr>
              <w:pStyle w:val="42"/>
              <w:jc w:val="center"/>
              <w:rPr>
                <w:rFonts w:hint="default" w:ascii="Arial Regular" w:hAnsi="Arial Regular" w:cs="Arial Regular"/>
                <w:sz w:val="20"/>
                <w:szCs w:val="20"/>
              </w:rPr>
            </w:pPr>
          </w:p>
        </w:tc>
        <w:tc>
          <w:tcPr>
            <w:tcW w:w="0" w:type="auto"/>
            <w:vMerge w:val="restart"/>
            <w:tcBorders>
              <w:top w:val="single" w:color="auto" w:sz="8" w:space="0"/>
              <w:left w:val="nil"/>
              <w:bottom w:val="single" w:color="auto" w:sz="12" w:space="0"/>
              <w:right w:val="nil"/>
            </w:tcBorders>
            <w:shd w:val="clear" w:color="auto" w:fill="auto"/>
            <w:vAlign w:val="center"/>
          </w:tcPr>
          <w:p w14:paraId="60C2A53E">
            <w:pPr>
              <w:pStyle w:val="42"/>
              <w:jc w:val="center"/>
              <w:rPr>
                <w:rFonts w:hint="default" w:ascii="Arial Regular" w:hAnsi="Arial Regular" w:cs="Arial Regular"/>
                <w:sz w:val="20"/>
                <w:szCs w:val="20"/>
              </w:rPr>
            </w:pPr>
            <w:r>
              <w:rPr>
                <w:rFonts w:hint="default" w:ascii="Arial Regular" w:hAnsi="Arial Regular" w:cs="Arial Regular"/>
                <w:sz w:val="20"/>
                <w:szCs w:val="20"/>
              </w:rPr>
              <w:drawing>
                <wp:inline distT="0" distB="0" distL="114300" distR="114300">
                  <wp:extent cx="1943735" cy="1630045"/>
                  <wp:effectExtent l="0" t="0" r="12065" b="20955"/>
                  <wp:docPr id="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
                          <pic:cNvPicPr>
                            <a:picLocks noChangeAspect="1"/>
                          </pic:cNvPicPr>
                        </pic:nvPicPr>
                        <pic:blipFill>
                          <a:blip r:embed="rId39" cstate="print">
                            <a:extLst>
                              <a:ext uri="{28A0092B-C50C-407E-A947-70E740481C1C}">
                                <a14:useLocalDpi xmlns:a14="http://schemas.microsoft.com/office/drawing/2010/main" val="0"/>
                              </a:ext>
                            </a:extLst>
                          </a:blip>
                          <a:srcRect l="11232" t="6075" r="12953" b="2218"/>
                          <a:stretch>
                            <a:fillRect/>
                          </a:stretch>
                        </pic:blipFill>
                        <pic:spPr>
                          <a:xfrm>
                            <a:off x="0" y="0"/>
                            <a:ext cx="1943735" cy="1630045"/>
                          </a:xfrm>
                          <a:prstGeom prst="rect">
                            <a:avLst/>
                          </a:prstGeom>
                        </pic:spPr>
                      </pic:pic>
                    </a:graphicData>
                  </a:graphic>
                </wp:inline>
              </w:drawing>
            </w:r>
          </w:p>
          <w:p w14:paraId="6330400D">
            <w:pPr>
              <w:pStyle w:val="42"/>
              <w:jc w:val="center"/>
              <w:rPr>
                <w:rFonts w:hint="default" w:ascii="Arial Regular" w:hAnsi="Arial Regular" w:cs="Arial Regular"/>
                <w:sz w:val="20"/>
                <w:szCs w:val="20"/>
              </w:rPr>
            </w:pPr>
            <w:r>
              <w:rPr>
                <w:rFonts w:hint="default" w:ascii="Arial Regular" w:hAnsi="Arial Regular" w:cs="Arial Regular"/>
                <w:b w:val="0"/>
                <w:bCs w:val="0"/>
                <w:sz w:val="20"/>
                <w:szCs w:val="20"/>
              </w:rPr>
              <w:t>1,8-dihydroxynaphthalene</w:t>
            </w:r>
          </w:p>
        </w:tc>
        <w:tc>
          <w:tcPr>
            <w:tcW w:w="444" w:type="dxa"/>
            <w:tcBorders>
              <w:top w:val="single" w:color="auto" w:sz="8" w:space="0"/>
              <w:left w:val="nil"/>
              <w:bottom w:val="nil"/>
              <w:right w:val="nil"/>
            </w:tcBorders>
            <w:shd w:val="clear" w:color="auto" w:fill="auto"/>
            <w:tcMar>
              <w:top w:w="12" w:type="dxa"/>
              <w:left w:w="12" w:type="dxa"/>
              <w:right w:w="12" w:type="dxa"/>
            </w:tcMar>
            <w:vAlign w:val="center"/>
          </w:tcPr>
          <w:p w14:paraId="0B297A8D">
            <w:pPr>
              <w:pStyle w:val="42"/>
              <w:jc w:val="center"/>
              <w:rPr>
                <w:rFonts w:hint="default" w:ascii="Arial Regular" w:hAnsi="Arial Regular" w:cs="Arial Regular"/>
                <w:sz w:val="20"/>
                <w:szCs w:val="20"/>
              </w:rPr>
            </w:pPr>
            <w:r>
              <w:rPr>
                <w:rFonts w:hint="default" w:ascii="Arial Regular" w:hAnsi="Arial Regular" w:cs="Arial Regular"/>
                <w:sz w:val="20"/>
                <w:szCs w:val="20"/>
              </w:rPr>
              <w:t>C</w:t>
            </w:r>
          </w:p>
        </w:tc>
        <w:tc>
          <w:tcPr>
            <w:tcW w:w="444" w:type="dxa"/>
            <w:tcBorders>
              <w:top w:val="single" w:color="auto" w:sz="8" w:space="0"/>
              <w:left w:val="nil"/>
              <w:bottom w:val="nil"/>
              <w:right w:val="nil"/>
            </w:tcBorders>
            <w:shd w:val="clear" w:color="auto" w:fill="auto"/>
            <w:tcMar>
              <w:top w:w="12" w:type="dxa"/>
              <w:left w:w="12" w:type="dxa"/>
              <w:right w:w="12" w:type="dxa"/>
            </w:tcMar>
            <w:vAlign w:val="center"/>
          </w:tcPr>
          <w:p w14:paraId="1D5E7853">
            <w:pPr>
              <w:pStyle w:val="42"/>
              <w:jc w:val="center"/>
              <w:rPr>
                <w:rFonts w:hint="default" w:ascii="Arial Regular" w:hAnsi="Arial Regular" w:cs="Arial Regular"/>
                <w:sz w:val="20"/>
                <w:szCs w:val="20"/>
              </w:rPr>
            </w:pPr>
            <w:r>
              <w:rPr>
                <w:rFonts w:hint="default" w:ascii="Arial Regular" w:hAnsi="Arial Regular" w:cs="Arial Regular"/>
                <w:sz w:val="20"/>
                <w:szCs w:val="20"/>
              </w:rPr>
              <w:t>1</w:t>
            </w:r>
          </w:p>
        </w:tc>
        <w:tc>
          <w:tcPr>
            <w:tcW w:w="882" w:type="dxa"/>
            <w:tcBorders>
              <w:top w:val="single" w:color="auto" w:sz="8" w:space="0"/>
              <w:left w:val="nil"/>
              <w:bottom w:val="nil"/>
              <w:right w:val="nil"/>
            </w:tcBorders>
            <w:shd w:val="clear" w:color="auto" w:fill="auto"/>
            <w:tcMar>
              <w:top w:w="12" w:type="dxa"/>
              <w:left w:w="12" w:type="dxa"/>
              <w:right w:w="12" w:type="dxa"/>
            </w:tcMar>
            <w:vAlign w:val="center"/>
          </w:tcPr>
          <w:p w14:paraId="3C8B862A">
            <w:pPr>
              <w:pStyle w:val="42"/>
              <w:jc w:val="center"/>
              <w:rPr>
                <w:rFonts w:hint="default" w:ascii="Arial Regular" w:hAnsi="Arial Regular" w:cs="Arial Regular"/>
                <w:sz w:val="20"/>
                <w:szCs w:val="20"/>
              </w:rPr>
            </w:pPr>
            <w:r>
              <w:rPr>
                <w:rFonts w:hint="default" w:ascii="Arial Regular" w:hAnsi="Arial Regular" w:cs="Arial Regular"/>
                <w:sz w:val="20"/>
                <w:szCs w:val="20"/>
              </w:rPr>
              <w:t>0.062</w:t>
            </w:r>
          </w:p>
        </w:tc>
        <w:tc>
          <w:tcPr>
            <w:tcW w:w="777" w:type="dxa"/>
            <w:tcBorders>
              <w:top w:val="single" w:color="auto" w:sz="8" w:space="0"/>
              <w:left w:val="nil"/>
              <w:bottom w:val="nil"/>
              <w:right w:val="nil"/>
            </w:tcBorders>
            <w:shd w:val="clear" w:color="auto" w:fill="auto"/>
            <w:tcMar>
              <w:top w:w="12" w:type="dxa"/>
              <w:left w:w="12" w:type="dxa"/>
              <w:right w:w="12" w:type="dxa"/>
            </w:tcMar>
            <w:vAlign w:val="center"/>
          </w:tcPr>
          <w:p w14:paraId="09042DA0">
            <w:pPr>
              <w:pStyle w:val="42"/>
              <w:jc w:val="center"/>
              <w:rPr>
                <w:rFonts w:hint="default" w:ascii="Arial Regular" w:hAnsi="Arial Regular" w:cs="Arial Regular"/>
                <w:sz w:val="20"/>
                <w:szCs w:val="20"/>
              </w:rPr>
            </w:pPr>
            <w:r>
              <w:rPr>
                <w:rFonts w:hint="default" w:ascii="Arial Regular" w:hAnsi="Arial Regular" w:cs="Arial Regular"/>
                <w:sz w:val="20"/>
                <w:szCs w:val="20"/>
              </w:rPr>
              <w:t>0.072</w:t>
            </w:r>
          </w:p>
        </w:tc>
        <w:tc>
          <w:tcPr>
            <w:tcW w:w="777" w:type="dxa"/>
            <w:tcBorders>
              <w:top w:val="single" w:color="auto" w:sz="8" w:space="0"/>
              <w:left w:val="nil"/>
              <w:bottom w:val="nil"/>
              <w:right w:val="nil"/>
            </w:tcBorders>
            <w:shd w:val="clear" w:color="auto" w:fill="auto"/>
            <w:tcMar>
              <w:top w:w="12" w:type="dxa"/>
              <w:left w:w="12" w:type="dxa"/>
              <w:right w:w="12" w:type="dxa"/>
            </w:tcMar>
            <w:vAlign w:val="center"/>
          </w:tcPr>
          <w:p w14:paraId="7C5D578E">
            <w:pPr>
              <w:pStyle w:val="42"/>
              <w:jc w:val="center"/>
              <w:rPr>
                <w:rFonts w:hint="default" w:ascii="Arial Regular" w:hAnsi="Arial Regular" w:cs="Arial Regular"/>
                <w:sz w:val="20"/>
                <w:szCs w:val="20"/>
              </w:rPr>
            </w:pPr>
            <w:r>
              <w:rPr>
                <w:rFonts w:hint="default" w:ascii="Arial Regular" w:hAnsi="Arial Regular" w:cs="Arial Regular"/>
                <w:sz w:val="20"/>
                <w:szCs w:val="20"/>
              </w:rPr>
              <w:t>0.067</w:t>
            </w:r>
          </w:p>
        </w:tc>
        <w:tc>
          <w:tcPr>
            <w:tcW w:w="0" w:type="auto"/>
            <w:tcBorders>
              <w:top w:val="single" w:color="auto" w:sz="8" w:space="0"/>
              <w:left w:val="nil"/>
              <w:bottom w:val="nil"/>
              <w:right w:val="nil"/>
            </w:tcBorders>
            <w:shd w:val="clear" w:color="auto" w:fill="auto"/>
            <w:vAlign w:val="center"/>
          </w:tcPr>
          <w:p w14:paraId="3665288F">
            <w:pPr>
              <w:pStyle w:val="42"/>
              <w:jc w:val="center"/>
              <w:rPr>
                <w:rFonts w:hint="default" w:ascii="Arial Regular" w:hAnsi="Arial Regular" w:cs="Arial Regular"/>
                <w:sz w:val="20"/>
                <w:szCs w:val="20"/>
              </w:rPr>
            </w:pPr>
          </w:p>
        </w:tc>
        <w:tc>
          <w:tcPr>
            <w:tcW w:w="0" w:type="auto"/>
            <w:tcBorders>
              <w:top w:val="single" w:color="auto" w:sz="8" w:space="0"/>
              <w:left w:val="nil"/>
              <w:bottom w:val="nil"/>
              <w:right w:val="nil"/>
            </w:tcBorders>
            <w:shd w:val="clear" w:color="auto" w:fill="auto"/>
            <w:vAlign w:val="center"/>
          </w:tcPr>
          <w:p w14:paraId="7332D9F3">
            <w:pPr>
              <w:pStyle w:val="42"/>
              <w:jc w:val="center"/>
              <w:rPr>
                <w:rFonts w:hint="default" w:ascii="Arial Regular" w:hAnsi="Arial Regular" w:cs="Arial Regular"/>
                <w:sz w:val="20"/>
                <w:szCs w:val="20"/>
              </w:rPr>
            </w:pPr>
          </w:p>
        </w:tc>
        <w:tc>
          <w:tcPr>
            <w:tcW w:w="0" w:type="auto"/>
            <w:tcBorders>
              <w:top w:val="single" w:color="auto" w:sz="8" w:space="0"/>
              <w:left w:val="nil"/>
              <w:bottom w:val="nil"/>
              <w:right w:val="nil"/>
            </w:tcBorders>
            <w:shd w:val="clear" w:color="auto" w:fill="auto"/>
            <w:vAlign w:val="center"/>
          </w:tcPr>
          <w:p w14:paraId="3125387F">
            <w:pPr>
              <w:pStyle w:val="42"/>
              <w:jc w:val="center"/>
              <w:rPr>
                <w:rFonts w:hint="default" w:ascii="Arial Regular" w:hAnsi="Arial Regular" w:cs="Arial Regular"/>
                <w:sz w:val="20"/>
                <w:szCs w:val="20"/>
              </w:rPr>
            </w:pPr>
          </w:p>
        </w:tc>
        <w:tc>
          <w:tcPr>
            <w:tcW w:w="0" w:type="auto"/>
            <w:shd w:val="clear" w:color="auto" w:fill="auto"/>
            <w:vAlign w:val="center"/>
          </w:tcPr>
          <w:p w14:paraId="14382C74">
            <w:pPr>
              <w:pStyle w:val="42"/>
              <w:jc w:val="center"/>
              <w:rPr>
                <w:rFonts w:hint="default" w:ascii="Arial Regular" w:hAnsi="Arial Regular" w:cs="Arial Regular"/>
                <w:sz w:val="20"/>
                <w:szCs w:val="20"/>
              </w:rPr>
            </w:pPr>
          </w:p>
        </w:tc>
      </w:tr>
      <w:tr w14:paraId="728B65B8">
        <w:trPr>
          <w:trHeight w:val="20" w:hRule="atLeast"/>
          <w:jc w:val="center"/>
        </w:trPr>
        <w:tc>
          <w:tcPr>
            <w:tcW w:w="0" w:type="auto"/>
            <w:shd w:val="clear" w:color="auto" w:fill="auto"/>
            <w:vAlign w:val="center"/>
          </w:tcPr>
          <w:p w14:paraId="4BF9ABE5">
            <w:pPr>
              <w:pStyle w:val="42"/>
              <w:jc w:val="center"/>
              <w:rPr>
                <w:rFonts w:hint="default" w:ascii="Arial Regular" w:hAnsi="Arial Regular" w:cs="Arial Regular"/>
                <w:sz w:val="20"/>
                <w:szCs w:val="20"/>
              </w:rPr>
            </w:pPr>
          </w:p>
        </w:tc>
        <w:tc>
          <w:tcPr>
            <w:tcW w:w="0" w:type="auto"/>
            <w:vMerge w:val="continue"/>
            <w:tcBorders>
              <w:top w:val="single" w:color="auto" w:sz="8" w:space="0"/>
              <w:left w:val="nil"/>
              <w:bottom w:val="single" w:color="auto" w:sz="12" w:space="0"/>
              <w:right w:val="nil"/>
            </w:tcBorders>
            <w:shd w:val="clear" w:color="auto" w:fill="auto"/>
            <w:vAlign w:val="center"/>
          </w:tcPr>
          <w:p w14:paraId="0482AC1A">
            <w:pPr>
              <w:pStyle w:val="42"/>
              <w:jc w:val="center"/>
              <w:rPr>
                <w:rFonts w:hint="default" w:ascii="Arial Regular" w:hAnsi="Arial Regular" w:cs="Arial Regular"/>
                <w:sz w:val="20"/>
                <w:szCs w:val="20"/>
              </w:rPr>
            </w:pPr>
          </w:p>
        </w:tc>
        <w:tc>
          <w:tcPr>
            <w:tcW w:w="444" w:type="dxa"/>
            <w:shd w:val="clear" w:color="auto" w:fill="auto"/>
            <w:tcMar>
              <w:top w:w="12" w:type="dxa"/>
              <w:left w:w="12" w:type="dxa"/>
              <w:right w:w="12" w:type="dxa"/>
            </w:tcMar>
            <w:vAlign w:val="center"/>
          </w:tcPr>
          <w:p w14:paraId="2DE55114">
            <w:pPr>
              <w:pStyle w:val="42"/>
              <w:jc w:val="center"/>
              <w:rPr>
                <w:rFonts w:hint="default" w:ascii="Arial Regular" w:hAnsi="Arial Regular" w:cs="Arial Regular"/>
                <w:sz w:val="20"/>
                <w:szCs w:val="20"/>
              </w:rPr>
            </w:pPr>
            <w:r>
              <w:rPr>
                <w:rFonts w:hint="default" w:ascii="Arial Regular" w:hAnsi="Arial Regular" w:cs="Arial Regular"/>
                <w:sz w:val="20"/>
                <w:szCs w:val="20"/>
              </w:rPr>
              <w:t>C</w:t>
            </w:r>
          </w:p>
        </w:tc>
        <w:tc>
          <w:tcPr>
            <w:tcW w:w="444" w:type="dxa"/>
            <w:shd w:val="clear" w:color="auto" w:fill="auto"/>
            <w:tcMar>
              <w:top w:w="12" w:type="dxa"/>
              <w:left w:w="12" w:type="dxa"/>
              <w:right w:w="12" w:type="dxa"/>
            </w:tcMar>
            <w:vAlign w:val="center"/>
          </w:tcPr>
          <w:p w14:paraId="6ABD8543">
            <w:pPr>
              <w:pStyle w:val="42"/>
              <w:jc w:val="center"/>
              <w:rPr>
                <w:rFonts w:hint="default" w:ascii="Arial Regular" w:hAnsi="Arial Regular" w:cs="Arial Regular"/>
                <w:sz w:val="20"/>
                <w:szCs w:val="20"/>
              </w:rPr>
            </w:pPr>
            <w:r>
              <w:rPr>
                <w:rFonts w:hint="default" w:ascii="Arial Regular" w:hAnsi="Arial Regular" w:cs="Arial Regular"/>
                <w:sz w:val="20"/>
                <w:szCs w:val="20"/>
              </w:rPr>
              <w:t>2</w:t>
            </w:r>
          </w:p>
        </w:tc>
        <w:tc>
          <w:tcPr>
            <w:tcW w:w="882" w:type="dxa"/>
            <w:shd w:val="clear" w:color="auto" w:fill="auto"/>
            <w:tcMar>
              <w:top w:w="12" w:type="dxa"/>
              <w:left w:w="12" w:type="dxa"/>
              <w:right w:w="12" w:type="dxa"/>
            </w:tcMar>
            <w:vAlign w:val="center"/>
          </w:tcPr>
          <w:p w14:paraId="23E7F56F">
            <w:pPr>
              <w:pStyle w:val="42"/>
              <w:jc w:val="center"/>
              <w:rPr>
                <w:rFonts w:hint="default" w:ascii="Arial Regular" w:hAnsi="Arial Regular" w:cs="Arial Regular"/>
                <w:sz w:val="20"/>
                <w:szCs w:val="20"/>
              </w:rPr>
            </w:pPr>
            <w:r>
              <w:rPr>
                <w:rFonts w:hint="default" w:ascii="Arial Regular" w:hAnsi="Arial Regular" w:cs="Arial Regular"/>
                <w:sz w:val="20"/>
                <w:szCs w:val="20"/>
              </w:rPr>
              <w:t>0.073</w:t>
            </w:r>
          </w:p>
        </w:tc>
        <w:tc>
          <w:tcPr>
            <w:tcW w:w="777" w:type="dxa"/>
            <w:shd w:val="clear" w:color="auto" w:fill="auto"/>
            <w:tcMar>
              <w:top w:w="12" w:type="dxa"/>
              <w:left w:w="12" w:type="dxa"/>
              <w:right w:w="12" w:type="dxa"/>
            </w:tcMar>
            <w:vAlign w:val="center"/>
          </w:tcPr>
          <w:p w14:paraId="072DFE2B">
            <w:pPr>
              <w:pStyle w:val="42"/>
              <w:jc w:val="center"/>
              <w:rPr>
                <w:rFonts w:hint="default" w:ascii="Arial Regular" w:hAnsi="Arial Regular" w:cs="Arial Regular"/>
                <w:sz w:val="20"/>
                <w:szCs w:val="20"/>
              </w:rPr>
            </w:pPr>
            <w:r>
              <w:rPr>
                <w:rFonts w:hint="default" w:ascii="Arial Regular" w:hAnsi="Arial Regular" w:cs="Arial Regular"/>
                <w:sz w:val="20"/>
                <w:szCs w:val="20"/>
              </w:rPr>
              <w:t>0.088</w:t>
            </w:r>
          </w:p>
        </w:tc>
        <w:tc>
          <w:tcPr>
            <w:tcW w:w="777" w:type="dxa"/>
            <w:shd w:val="clear" w:color="auto" w:fill="auto"/>
            <w:tcMar>
              <w:top w:w="12" w:type="dxa"/>
              <w:left w:w="12" w:type="dxa"/>
              <w:right w:w="12" w:type="dxa"/>
            </w:tcMar>
            <w:vAlign w:val="center"/>
          </w:tcPr>
          <w:p w14:paraId="704E74E3">
            <w:pPr>
              <w:pStyle w:val="42"/>
              <w:jc w:val="center"/>
              <w:rPr>
                <w:rFonts w:hint="default" w:ascii="Arial Regular" w:hAnsi="Arial Regular" w:cs="Arial Regular"/>
                <w:sz w:val="20"/>
                <w:szCs w:val="20"/>
              </w:rPr>
            </w:pPr>
            <w:r>
              <w:rPr>
                <w:rFonts w:hint="default" w:ascii="Arial Regular" w:hAnsi="Arial Regular" w:cs="Arial Regular"/>
                <w:sz w:val="20"/>
                <w:szCs w:val="20"/>
              </w:rPr>
              <w:t>0.080</w:t>
            </w:r>
          </w:p>
        </w:tc>
        <w:tc>
          <w:tcPr>
            <w:tcW w:w="0" w:type="auto"/>
            <w:shd w:val="clear" w:color="auto" w:fill="auto"/>
            <w:vAlign w:val="center"/>
          </w:tcPr>
          <w:p w14:paraId="116D23D2">
            <w:pPr>
              <w:pStyle w:val="42"/>
              <w:jc w:val="center"/>
              <w:rPr>
                <w:rFonts w:hint="default" w:ascii="Arial Regular" w:hAnsi="Arial Regular" w:cs="Arial Regular"/>
                <w:sz w:val="20"/>
                <w:szCs w:val="20"/>
              </w:rPr>
            </w:pPr>
          </w:p>
        </w:tc>
        <w:tc>
          <w:tcPr>
            <w:tcW w:w="0" w:type="auto"/>
            <w:shd w:val="clear" w:color="auto" w:fill="auto"/>
            <w:vAlign w:val="center"/>
          </w:tcPr>
          <w:p w14:paraId="6427E637">
            <w:pPr>
              <w:pStyle w:val="42"/>
              <w:jc w:val="center"/>
              <w:rPr>
                <w:rFonts w:hint="default" w:ascii="Arial Regular" w:hAnsi="Arial Regular" w:cs="Arial Regular"/>
                <w:sz w:val="20"/>
                <w:szCs w:val="20"/>
              </w:rPr>
            </w:pPr>
          </w:p>
        </w:tc>
        <w:tc>
          <w:tcPr>
            <w:tcW w:w="0" w:type="auto"/>
            <w:shd w:val="clear" w:color="auto" w:fill="auto"/>
            <w:vAlign w:val="center"/>
          </w:tcPr>
          <w:p w14:paraId="20BBED13">
            <w:pPr>
              <w:pStyle w:val="42"/>
              <w:jc w:val="center"/>
              <w:rPr>
                <w:rFonts w:hint="default" w:ascii="Arial Regular" w:hAnsi="Arial Regular" w:cs="Arial Regular"/>
                <w:sz w:val="20"/>
                <w:szCs w:val="20"/>
              </w:rPr>
            </w:pPr>
          </w:p>
        </w:tc>
        <w:tc>
          <w:tcPr>
            <w:tcW w:w="0" w:type="auto"/>
            <w:shd w:val="clear" w:color="auto" w:fill="auto"/>
            <w:vAlign w:val="center"/>
          </w:tcPr>
          <w:p w14:paraId="1D9F918B">
            <w:pPr>
              <w:pStyle w:val="42"/>
              <w:jc w:val="center"/>
              <w:rPr>
                <w:rFonts w:hint="default" w:ascii="Arial Regular" w:hAnsi="Arial Regular" w:cs="Arial Regular"/>
                <w:sz w:val="20"/>
                <w:szCs w:val="20"/>
              </w:rPr>
            </w:pPr>
          </w:p>
        </w:tc>
      </w:tr>
      <w:tr w14:paraId="775DE1EB">
        <w:trPr>
          <w:trHeight w:val="20" w:hRule="atLeast"/>
          <w:jc w:val="center"/>
        </w:trPr>
        <w:tc>
          <w:tcPr>
            <w:tcW w:w="0" w:type="auto"/>
            <w:shd w:val="clear" w:color="auto" w:fill="auto"/>
            <w:vAlign w:val="center"/>
          </w:tcPr>
          <w:p w14:paraId="405D18D2">
            <w:pPr>
              <w:pStyle w:val="42"/>
              <w:jc w:val="center"/>
              <w:rPr>
                <w:rFonts w:hint="default" w:ascii="Arial Regular" w:hAnsi="Arial Regular" w:cs="Arial Regular"/>
                <w:sz w:val="20"/>
                <w:szCs w:val="20"/>
              </w:rPr>
            </w:pPr>
          </w:p>
        </w:tc>
        <w:tc>
          <w:tcPr>
            <w:tcW w:w="0" w:type="auto"/>
            <w:vMerge w:val="continue"/>
            <w:tcBorders>
              <w:top w:val="single" w:color="auto" w:sz="8" w:space="0"/>
              <w:left w:val="nil"/>
              <w:bottom w:val="single" w:color="auto" w:sz="12" w:space="0"/>
              <w:right w:val="nil"/>
            </w:tcBorders>
            <w:shd w:val="clear" w:color="auto" w:fill="auto"/>
            <w:vAlign w:val="center"/>
          </w:tcPr>
          <w:p w14:paraId="25FDF1DE">
            <w:pPr>
              <w:pStyle w:val="42"/>
              <w:jc w:val="center"/>
              <w:rPr>
                <w:rFonts w:hint="default" w:ascii="Arial Regular" w:hAnsi="Arial Regular" w:cs="Arial Regular"/>
                <w:sz w:val="20"/>
                <w:szCs w:val="20"/>
              </w:rPr>
            </w:pPr>
          </w:p>
        </w:tc>
        <w:tc>
          <w:tcPr>
            <w:tcW w:w="444" w:type="dxa"/>
            <w:shd w:val="clear" w:color="auto" w:fill="auto"/>
            <w:tcMar>
              <w:top w:w="12" w:type="dxa"/>
              <w:left w:w="12" w:type="dxa"/>
              <w:right w:w="12" w:type="dxa"/>
            </w:tcMar>
            <w:vAlign w:val="center"/>
          </w:tcPr>
          <w:p w14:paraId="6E05C8FE">
            <w:pPr>
              <w:pStyle w:val="42"/>
              <w:jc w:val="center"/>
              <w:rPr>
                <w:rFonts w:hint="default" w:ascii="Arial Regular" w:hAnsi="Arial Regular" w:cs="Arial Regular"/>
                <w:sz w:val="20"/>
                <w:szCs w:val="20"/>
              </w:rPr>
            </w:pPr>
            <w:r>
              <w:rPr>
                <w:rFonts w:hint="default" w:ascii="Arial Regular" w:hAnsi="Arial Regular" w:cs="Arial Regular"/>
                <w:sz w:val="20"/>
                <w:szCs w:val="20"/>
              </w:rPr>
              <w:t>C</w:t>
            </w:r>
          </w:p>
        </w:tc>
        <w:tc>
          <w:tcPr>
            <w:tcW w:w="444" w:type="dxa"/>
            <w:shd w:val="clear" w:color="auto" w:fill="auto"/>
            <w:tcMar>
              <w:top w:w="12" w:type="dxa"/>
              <w:left w:w="12" w:type="dxa"/>
              <w:right w:w="12" w:type="dxa"/>
            </w:tcMar>
            <w:vAlign w:val="center"/>
          </w:tcPr>
          <w:p w14:paraId="5B71E912">
            <w:pPr>
              <w:pStyle w:val="42"/>
              <w:jc w:val="center"/>
              <w:rPr>
                <w:rFonts w:hint="default" w:ascii="Arial Regular" w:hAnsi="Arial Regular" w:cs="Arial Regular"/>
                <w:sz w:val="20"/>
                <w:szCs w:val="20"/>
              </w:rPr>
            </w:pPr>
            <w:r>
              <w:rPr>
                <w:rFonts w:hint="default" w:ascii="Arial Regular" w:hAnsi="Arial Regular" w:cs="Arial Regular"/>
                <w:sz w:val="20"/>
                <w:szCs w:val="20"/>
              </w:rPr>
              <w:t>3</w:t>
            </w:r>
          </w:p>
        </w:tc>
        <w:tc>
          <w:tcPr>
            <w:tcW w:w="882" w:type="dxa"/>
            <w:shd w:val="clear" w:color="auto" w:fill="auto"/>
            <w:tcMar>
              <w:top w:w="12" w:type="dxa"/>
              <w:left w:w="12" w:type="dxa"/>
              <w:right w:w="12" w:type="dxa"/>
            </w:tcMar>
            <w:vAlign w:val="center"/>
          </w:tcPr>
          <w:p w14:paraId="2EF821E7">
            <w:pPr>
              <w:pStyle w:val="42"/>
              <w:jc w:val="center"/>
              <w:rPr>
                <w:rFonts w:hint="default" w:ascii="Arial Regular" w:hAnsi="Arial Regular" w:cs="Arial Regular"/>
                <w:sz w:val="20"/>
                <w:szCs w:val="20"/>
              </w:rPr>
            </w:pPr>
            <w:r>
              <w:rPr>
                <w:rFonts w:hint="default" w:ascii="Arial Regular" w:hAnsi="Arial Regular" w:cs="Arial Regular"/>
                <w:sz w:val="20"/>
                <w:szCs w:val="20"/>
              </w:rPr>
              <w:t>0.017</w:t>
            </w:r>
          </w:p>
        </w:tc>
        <w:tc>
          <w:tcPr>
            <w:tcW w:w="777" w:type="dxa"/>
            <w:shd w:val="clear" w:color="auto" w:fill="auto"/>
            <w:tcMar>
              <w:top w:w="12" w:type="dxa"/>
              <w:left w:w="12" w:type="dxa"/>
              <w:right w:w="12" w:type="dxa"/>
            </w:tcMar>
            <w:vAlign w:val="center"/>
          </w:tcPr>
          <w:p w14:paraId="1575A472">
            <w:pPr>
              <w:pStyle w:val="42"/>
              <w:jc w:val="center"/>
              <w:rPr>
                <w:rFonts w:hint="default" w:ascii="Arial Regular" w:hAnsi="Arial Regular" w:cs="Arial Regular"/>
                <w:sz w:val="20"/>
                <w:szCs w:val="20"/>
              </w:rPr>
            </w:pPr>
            <w:r>
              <w:rPr>
                <w:rFonts w:hint="default" w:ascii="Arial Regular" w:hAnsi="Arial Regular" w:cs="Arial Regular"/>
                <w:sz w:val="20"/>
                <w:szCs w:val="20"/>
              </w:rPr>
              <w:t>0.019</w:t>
            </w:r>
          </w:p>
        </w:tc>
        <w:tc>
          <w:tcPr>
            <w:tcW w:w="777" w:type="dxa"/>
            <w:shd w:val="clear" w:color="auto" w:fill="auto"/>
            <w:tcMar>
              <w:top w:w="12" w:type="dxa"/>
              <w:left w:w="12" w:type="dxa"/>
              <w:right w:w="12" w:type="dxa"/>
            </w:tcMar>
            <w:vAlign w:val="center"/>
          </w:tcPr>
          <w:p w14:paraId="50F4F3E2">
            <w:pPr>
              <w:pStyle w:val="42"/>
              <w:jc w:val="center"/>
              <w:rPr>
                <w:rFonts w:hint="default" w:ascii="Arial Regular" w:hAnsi="Arial Regular" w:cs="Arial Regular"/>
                <w:sz w:val="20"/>
                <w:szCs w:val="20"/>
              </w:rPr>
            </w:pPr>
            <w:r>
              <w:rPr>
                <w:rFonts w:hint="default" w:ascii="Arial Regular" w:hAnsi="Arial Regular" w:cs="Arial Regular"/>
                <w:sz w:val="20"/>
                <w:szCs w:val="20"/>
              </w:rPr>
              <w:t>0.018</w:t>
            </w:r>
          </w:p>
        </w:tc>
        <w:tc>
          <w:tcPr>
            <w:tcW w:w="0" w:type="auto"/>
            <w:shd w:val="clear" w:color="auto" w:fill="auto"/>
            <w:vAlign w:val="center"/>
          </w:tcPr>
          <w:p w14:paraId="595C7587">
            <w:pPr>
              <w:pStyle w:val="42"/>
              <w:jc w:val="center"/>
              <w:rPr>
                <w:rFonts w:hint="default" w:ascii="Arial Regular" w:hAnsi="Arial Regular" w:cs="Arial Regular"/>
                <w:sz w:val="20"/>
                <w:szCs w:val="20"/>
              </w:rPr>
            </w:pPr>
          </w:p>
        </w:tc>
        <w:tc>
          <w:tcPr>
            <w:tcW w:w="0" w:type="auto"/>
            <w:shd w:val="clear" w:color="auto" w:fill="auto"/>
            <w:vAlign w:val="center"/>
          </w:tcPr>
          <w:p w14:paraId="4934D5C4">
            <w:pPr>
              <w:pStyle w:val="42"/>
              <w:jc w:val="center"/>
              <w:rPr>
                <w:rFonts w:hint="default" w:ascii="Arial Regular" w:hAnsi="Arial Regular" w:cs="Arial Regular"/>
                <w:sz w:val="20"/>
                <w:szCs w:val="20"/>
              </w:rPr>
            </w:pPr>
          </w:p>
        </w:tc>
        <w:tc>
          <w:tcPr>
            <w:tcW w:w="0" w:type="auto"/>
            <w:shd w:val="clear" w:color="auto" w:fill="auto"/>
            <w:vAlign w:val="center"/>
          </w:tcPr>
          <w:p w14:paraId="5BB03A6D">
            <w:pPr>
              <w:pStyle w:val="42"/>
              <w:jc w:val="center"/>
              <w:rPr>
                <w:rFonts w:hint="default" w:ascii="Arial Regular" w:hAnsi="Arial Regular" w:cs="Arial Regular"/>
                <w:sz w:val="20"/>
                <w:szCs w:val="20"/>
              </w:rPr>
            </w:pPr>
          </w:p>
        </w:tc>
        <w:tc>
          <w:tcPr>
            <w:tcW w:w="0" w:type="auto"/>
            <w:shd w:val="clear" w:color="auto" w:fill="auto"/>
            <w:vAlign w:val="center"/>
          </w:tcPr>
          <w:p w14:paraId="217DEA3A">
            <w:pPr>
              <w:pStyle w:val="42"/>
              <w:jc w:val="center"/>
              <w:rPr>
                <w:rFonts w:hint="default" w:ascii="Arial Regular" w:hAnsi="Arial Regular" w:cs="Arial Regular"/>
                <w:sz w:val="20"/>
                <w:szCs w:val="20"/>
              </w:rPr>
            </w:pPr>
          </w:p>
        </w:tc>
      </w:tr>
      <w:tr w14:paraId="356AE989">
        <w:trPr>
          <w:trHeight w:val="20" w:hRule="atLeast"/>
          <w:jc w:val="center"/>
        </w:trPr>
        <w:tc>
          <w:tcPr>
            <w:tcW w:w="0" w:type="auto"/>
            <w:shd w:val="clear" w:color="auto" w:fill="auto"/>
            <w:vAlign w:val="center"/>
          </w:tcPr>
          <w:p w14:paraId="5810804F">
            <w:pPr>
              <w:pStyle w:val="42"/>
              <w:jc w:val="center"/>
              <w:rPr>
                <w:rFonts w:hint="default" w:ascii="Arial Regular" w:hAnsi="Arial Regular" w:cs="Arial Regular"/>
                <w:sz w:val="20"/>
                <w:szCs w:val="20"/>
              </w:rPr>
            </w:pPr>
          </w:p>
        </w:tc>
        <w:tc>
          <w:tcPr>
            <w:tcW w:w="0" w:type="auto"/>
            <w:vMerge w:val="continue"/>
            <w:tcBorders>
              <w:top w:val="single" w:color="auto" w:sz="8" w:space="0"/>
              <w:left w:val="nil"/>
              <w:bottom w:val="single" w:color="auto" w:sz="12" w:space="0"/>
              <w:right w:val="nil"/>
            </w:tcBorders>
            <w:shd w:val="clear" w:color="auto" w:fill="auto"/>
            <w:vAlign w:val="center"/>
          </w:tcPr>
          <w:p w14:paraId="252EEE2F">
            <w:pPr>
              <w:pStyle w:val="42"/>
              <w:jc w:val="center"/>
              <w:rPr>
                <w:rFonts w:hint="default" w:ascii="Arial Regular" w:hAnsi="Arial Regular" w:cs="Arial Regular"/>
                <w:sz w:val="20"/>
                <w:szCs w:val="20"/>
              </w:rPr>
            </w:pPr>
          </w:p>
        </w:tc>
        <w:tc>
          <w:tcPr>
            <w:tcW w:w="444" w:type="dxa"/>
            <w:shd w:val="clear" w:color="auto" w:fill="auto"/>
            <w:tcMar>
              <w:top w:w="12" w:type="dxa"/>
              <w:left w:w="12" w:type="dxa"/>
              <w:right w:w="12" w:type="dxa"/>
            </w:tcMar>
            <w:vAlign w:val="center"/>
          </w:tcPr>
          <w:p w14:paraId="450D1991">
            <w:pPr>
              <w:pStyle w:val="42"/>
              <w:jc w:val="center"/>
              <w:rPr>
                <w:rFonts w:hint="default" w:ascii="Arial Regular" w:hAnsi="Arial Regular" w:cs="Arial Regular"/>
                <w:sz w:val="20"/>
                <w:szCs w:val="20"/>
              </w:rPr>
            </w:pPr>
            <w:r>
              <w:rPr>
                <w:rFonts w:hint="default" w:ascii="Arial Regular" w:hAnsi="Arial Regular" w:cs="Arial Regular"/>
                <w:sz w:val="20"/>
                <w:szCs w:val="20"/>
              </w:rPr>
              <w:t>C</w:t>
            </w:r>
          </w:p>
        </w:tc>
        <w:tc>
          <w:tcPr>
            <w:tcW w:w="444" w:type="dxa"/>
            <w:shd w:val="clear" w:color="auto" w:fill="auto"/>
            <w:tcMar>
              <w:top w:w="12" w:type="dxa"/>
              <w:left w:w="12" w:type="dxa"/>
              <w:right w:w="12" w:type="dxa"/>
            </w:tcMar>
            <w:vAlign w:val="center"/>
          </w:tcPr>
          <w:p w14:paraId="25C4E725">
            <w:pPr>
              <w:pStyle w:val="42"/>
              <w:jc w:val="center"/>
              <w:rPr>
                <w:rFonts w:hint="default" w:ascii="Arial Regular" w:hAnsi="Arial Regular" w:cs="Arial Regular"/>
                <w:sz w:val="20"/>
                <w:szCs w:val="20"/>
              </w:rPr>
            </w:pPr>
            <w:r>
              <w:rPr>
                <w:rFonts w:hint="default" w:ascii="Arial Regular" w:hAnsi="Arial Regular" w:cs="Arial Regular"/>
                <w:sz w:val="20"/>
                <w:szCs w:val="20"/>
              </w:rPr>
              <w:t>4</w:t>
            </w:r>
          </w:p>
        </w:tc>
        <w:tc>
          <w:tcPr>
            <w:tcW w:w="882" w:type="dxa"/>
            <w:shd w:val="clear" w:color="auto" w:fill="auto"/>
            <w:tcMar>
              <w:top w:w="12" w:type="dxa"/>
              <w:left w:w="12" w:type="dxa"/>
              <w:right w:w="12" w:type="dxa"/>
            </w:tcMar>
            <w:vAlign w:val="center"/>
          </w:tcPr>
          <w:p w14:paraId="1E53D579">
            <w:pPr>
              <w:pStyle w:val="42"/>
              <w:jc w:val="center"/>
              <w:rPr>
                <w:rFonts w:hint="default" w:ascii="Arial Regular" w:hAnsi="Arial Regular" w:cs="Arial Regular"/>
                <w:sz w:val="20"/>
                <w:szCs w:val="20"/>
              </w:rPr>
            </w:pPr>
            <w:r>
              <w:rPr>
                <w:rFonts w:hint="default" w:ascii="Arial Regular" w:hAnsi="Arial Regular" w:cs="Arial Regular"/>
                <w:sz w:val="20"/>
                <w:szCs w:val="20"/>
              </w:rPr>
              <w:t>0.013</w:t>
            </w:r>
          </w:p>
        </w:tc>
        <w:tc>
          <w:tcPr>
            <w:tcW w:w="777" w:type="dxa"/>
            <w:shd w:val="clear" w:color="auto" w:fill="auto"/>
            <w:tcMar>
              <w:top w:w="12" w:type="dxa"/>
              <w:left w:w="12" w:type="dxa"/>
              <w:right w:w="12" w:type="dxa"/>
            </w:tcMar>
            <w:vAlign w:val="center"/>
          </w:tcPr>
          <w:p w14:paraId="554FC8E5">
            <w:pPr>
              <w:pStyle w:val="42"/>
              <w:jc w:val="center"/>
              <w:rPr>
                <w:rFonts w:hint="default" w:ascii="Arial Regular" w:hAnsi="Arial Regular" w:cs="Arial Regular"/>
                <w:sz w:val="20"/>
                <w:szCs w:val="20"/>
              </w:rPr>
            </w:pPr>
            <w:r>
              <w:rPr>
                <w:rFonts w:hint="default" w:ascii="Arial Regular" w:hAnsi="Arial Regular" w:cs="Arial Regular"/>
                <w:sz w:val="20"/>
                <w:szCs w:val="20"/>
              </w:rPr>
              <w:t>0.019</w:t>
            </w:r>
          </w:p>
        </w:tc>
        <w:tc>
          <w:tcPr>
            <w:tcW w:w="777" w:type="dxa"/>
            <w:shd w:val="clear" w:color="auto" w:fill="auto"/>
            <w:tcMar>
              <w:top w:w="12" w:type="dxa"/>
              <w:left w:w="12" w:type="dxa"/>
              <w:right w:w="12" w:type="dxa"/>
            </w:tcMar>
            <w:vAlign w:val="center"/>
          </w:tcPr>
          <w:p w14:paraId="5723FA53">
            <w:pPr>
              <w:pStyle w:val="42"/>
              <w:jc w:val="center"/>
              <w:rPr>
                <w:rFonts w:hint="default" w:ascii="Arial Regular" w:hAnsi="Arial Regular" w:cs="Arial Regular"/>
                <w:sz w:val="20"/>
                <w:szCs w:val="20"/>
              </w:rPr>
            </w:pPr>
            <w:r>
              <w:rPr>
                <w:rFonts w:hint="default" w:ascii="Arial Regular" w:hAnsi="Arial Regular" w:cs="Arial Regular"/>
                <w:sz w:val="20"/>
                <w:szCs w:val="20"/>
              </w:rPr>
              <w:t>0.016</w:t>
            </w:r>
          </w:p>
        </w:tc>
        <w:tc>
          <w:tcPr>
            <w:tcW w:w="0" w:type="auto"/>
            <w:shd w:val="clear" w:color="auto" w:fill="auto"/>
            <w:vAlign w:val="center"/>
          </w:tcPr>
          <w:p w14:paraId="6D88A1D5">
            <w:pPr>
              <w:pStyle w:val="42"/>
              <w:jc w:val="center"/>
              <w:rPr>
                <w:rFonts w:hint="default" w:ascii="Arial Regular" w:hAnsi="Arial Regular" w:cs="Arial Regular"/>
                <w:sz w:val="20"/>
                <w:szCs w:val="20"/>
              </w:rPr>
            </w:pPr>
          </w:p>
        </w:tc>
        <w:tc>
          <w:tcPr>
            <w:tcW w:w="0" w:type="auto"/>
            <w:shd w:val="clear" w:color="auto" w:fill="auto"/>
            <w:vAlign w:val="center"/>
          </w:tcPr>
          <w:p w14:paraId="3EEA72AB">
            <w:pPr>
              <w:pStyle w:val="42"/>
              <w:jc w:val="center"/>
              <w:rPr>
                <w:rFonts w:hint="default" w:ascii="Arial Regular" w:hAnsi="Arial Regular" w:cs="Arial Regular"/>
                <w:sz w:val="20"/>
                <w:szCs w:val="20"/>
              </w:rPr>
            </w:pPr>
          </w:p>
        </w:tc>
        <w:tc>
          <w:tcPr>
            <w:tcW w:w="0" w:type="auto"/>
            <w:shd w:val="clear" w:color="auto" w:fill="auto"/>
            <w:vAlign w:val="center"/>
          </w:tcPr>
          <w:p w14:paraId="7BDCD2DB">
            <w:pPr>
              <w:pStyle w:val="42"/>
              <w:jc w:val="center"/>
              <w:rPr>
                <w:rFonts w:hint="default" w:ascii="Arial Regular" w:hAnsi="Arial Regular" w:cs="Arial Regular"/>
                <w:sz w:val="20"/>
                <w:szCs w:val="20"/>
              </w:rPr>
            </w:pPr>
          </w:p>
        </w:tc>
        <w:tc>
          <w:tcPr>
            <w:tcW w:w="0" w:type="auto"/>
            <w:shd w:val="clear" w:color="auto" w:fill="auto"/>
            <w:vAlign w:val="center"/>
          </w:tcPr>
          <w:p w14:paraId="383FE54B">
            <w:pPr>
              <w:pStyle w:val="42"/>
              <w:jc w:val="center"/>
              <w:rPr>
                <w:rFonts w:hint="default" w:ascii="Arial Regular" w:hAnsi="Arial Regular" w:cs="Arial Regular"/>
                <w:sz w:val="20"/>
                <w:szCs w:val="20"/>
              </w:rPr>
            </w:pPr>
          </w:p>
        </w:tc>
      </w:tr>
      <w:tr w14:paraId="5C940CCD">
        <w:trPr>
          <w:trHeight w:val="20" w:hRule="atLeast"/>
          <w:jc w:val="center"/>
        </w:trPr>
        <w:tc>
          <w:tcPr>
            <w:tcW w:w="0" w:type="auto"/>
            <w:shd w:val="clear" w:color="auto" w:fill="auto"/>
            <w:vAlign w:val="center"/>
          </w:tcPr>
          <w:p w14:paraId="42CAB18D">
            <w:pPr>
              <w:pStyle w:val="42"/>
              <w:jc w:val="center"/>
              <w:rPr>
                <w:rFonts w:hint="default" w:ascii="Arial Regular" w:hAnsi="Arial Regular" w:cs="Arial Regular"/>
                <w:sz w:val="20"/>
                <w:szCs w:val="20"/>
              </w:rPr>
            </w:pPr>
          </w:p>
        </w:tc>
        <w:tc>
          <w:tcPr>
            <w:tcW w:w="0" w:type="auto"/>
            <w:vMerge w:val="continue"/>
            <w:tcBorders>
              <w:top w:val="single" w:color="auto" w:sz="8" w:space="0"/>
              <w:left w:val="nil"/>
              <w:bottom w:val="single" w:color="auto" w:sz="12" w:space="0"/>
              <w:right w:val="nil"/>
            </w:tcBorders>
            <w:shd w:val="clear" w:color="auto" w:fill="auto"/>
            <w:vAlign w:val="center"/>
          </w:tcPr>
          <w:p w14:paraId="6FC55E40">
            <w:pPr>
              <w:pStyle w:val="42"/>
              <w:jc w:val="center"/>
              <w:rPr>
                <w:rFonts w:hint="default" w:ascii="Arial Regular" w:hAnsi="Arial Regular" w:cs="Arial Regular"/>
                <w:sz w:val="20"/>
                <w:szCs w:val="20"/>
              </w:rPr>
            </w:pPr>
          </w:p>
        </w:tc>
        <w:tc>
          <w:tcPr>
            <w:tcW w:w="444" w:type="dxa"/>
            <w:shd w:val="clear" w:color="auto" w:fill="auto"/>
            <w:tcMar>
              <w:top w:w="12" w:type="dxa"/>
              <w:left w:w="12" w:type="dxa"/>
              <w:right w:w="12" w:type="dxa"/>
            </w:tcMar>
            <w:vAlign w:val="center"/>
          </w:tcPr>
          <w:p w14:paraId="40D9EBFB">
            <w:pPr>
              <w:pStyle w:val="42"/>
              <w:jc w:val="center"/>
              <w:rPr>
                <w:rFonts w:hint="default" w:ascii="Arial Regular" w:hAnsi="Arial Regular" w:cs="Arial Regular"/>
                <w:sz w:val="20"/>
                <w:szCs w:val="20"/>
              </w:rPr>
            </w:pPr>
            <w:r>
              <w:rPr>
                <w:rFonts w:hint="default" w:ascii="Arial Regular" w:hAnsi="Arial Regular" w:cs="Arial Regular"/>
                <w:sz w:val="20"/>
                <w:szCs w:val="20"/>
              </w:rPr>
              <w:t>C</w:t>
            </w:r>
          </w:p>
        </w:tc>
        <w:tc>
          <w:tcPr>
            <w:tcW w:w="444" w:type="dxa"/>
            <w:shd w:val="clear" w:color="auto" w:fill="auto"/>
            <w:tcMar>
              <w:top w:w="12" w:type="dxa"/>
              <w:left w:w="12" w:type="dxa"/>
              <w:right w:w="12" w:type="dxa"/>
            </w:tcMar>
            <w:vAlign w:val="center"/>
          </w:tcPr>
          <w:p w14:paraId="5B1C3F97">
            <w:pPr>
              <w:pStyle w:val="42"/>
              <w:jc w:val="center"/>
              <w:rPr>
                <w:rFonts w:hint="default" w:ascii="Arial Regular" w:hAnsi="Arial Regular" w:cs="Arial Regular"/>
                <w:sz w:val="20"/>
                <w:szCs w:val="20"/>
              </w:rPr>
            </w:pPr>
            <w:r>
              <w:rPr>
                <w:rFonts w:hint="default" w:ascii="Arial Regular" w:hAnsi="Arial Regular" w:cs="Arial Regular"/>
                <w:sz w:val="20"/>
                <w:szCs w:val="20"/>
              </w:rPr>
              <w:t>5</w:t>
            </w:r>
          </w:p>
        </w:tc>
        <w:tc>
          <w:tcPr>
            <w:tcW w:w="882" w:type="dxa"/>
            <w:shd w:val="clear" w:color="auto" w:fill="auto"/>
            <w:tcMar>
              <w:top w:w="12" w:type="dxa"/>
              <w:left w:w="12" w:type="dxa"/>
              <w:right w:w="12" w:type="dxa"/>
            </w:tcMar>
            <w:vAlign w:val="center"/>
          </w:tcPr>
          <w:p w14:paraId="1B6F0214">
            <w:pPr>
              <w:pStyle w:val="42"/>
              <w:jc w:val="center"/>
              <w:rPr>
                <w:rFonts w:hint="default" w:ascii="Arial Regular" w:hAnsi="Arial Regular" w:cs="Arial Regular"/>
                <w:sz w:val="20"/>
                <w:szCs w:val="20"/>
              </w:rPr>
            </w:pPr>
            <w:r>
              <w:rPr>
                <w:rFonts w:hint="default" w:ascii="Arial Regular" w:hAnsi="Arial Regular" w:cs="Arial Regular"/>
                <w:sz w:val="20"/>
                <w:szCs w:val="20"/>
              </w:rPr>
              <w:t>0.051</w:t>
            </w:r>
          </w:p>
        </w:tc>
        <w:tc>
          <w:tcPr>
            <w:tcW w:w="777" w:type="dxa"/>
            <w:shd w:val="clear" w:color="auto" w:fill="auto"/>
            <w:tcMar>
              <w:top w:w="12" w:type="dxa"/>
              <w:left w:w="12" w:type="dxa"/>
              <w:right w:w="12" w:type="dxa"/>
            </w:tcMar>
            <w:vAlign w:val="center"/>
          </w:tcPr>
          <w:p w14:paraId="4216B899">
            <w:pPr>
              <w:pStyle w:val="42"/>
              <w:jc w:val="center"/>
              <w:rPr>
                <w:rFonts w:hint="default" w:ascii="Arial Regular" w:hAnsi="Arial Regular" w:cs="Arial Regular"/>
                <w:sz w:val="20"/>
                <w:szCs w:val="20"/>
              </w:rPr>
            </w:pPr>
            <w:r>
              <w:rPr>
                <w:rFonts w:hint="default" w:ascii="Arial Regular" w:hAnsi="Arial Regular" w:cs="Arial Regular"/>
                <w:sz w:val="20"/>
                <w:szCs w:val="20"/>
              </w:rPr>
              <w:t>0.081</w:t>
            </w:r>
          </w:p>
        </w:tc>
        <w:tc>
          <w:tcPr>
            <w:tcW w:w="777" w:type="dxa"/>
            <w:shd w:val="clear" w:color="auto" w:fill="auto"/>
            <w:tcMar>
              <w:top w:w="12" w:type="dxa"/>
              <w:left w:w="12" w:type="dxa"/>
              <w:right w:w="12" w:type="dxa"/>
            </w:tcMar>
            <w:vAlign w:val="center"/>
          </w:tcPr>
          <w:p w14:paraId="5B5BD967">
            <w:pPr>
              <w:pStyle w:val="42"/>
              <w:jc w:val="center"/>
              <w:rPr>
                <w:rFonts w:hint="default" w:ascii="Arial Regular" w:hAnsi="Arial Regular" w:cs="Arial Regular"/>
                <w:sz w:val="20"/>
                <w:szCs w:val="20"/>
              </w:rPr>
            </w:pPr>
            <w:r>
              <w:rPr>
                <w:rFonts w:hint="default" w:ascii="Arial Regular" w:hAnsi="Arial Regular" w:cs="Arial Regular"/>
                <w:sz w:val="20"/>
                <w:szCs w:val="20"/>
              </w:rPr>
              <w:t>0.066</w:t>
            </w:r>
          </w:p>
        </w:tc>
        <w:tc>
          <w:tcPr>
            <w:tcW w:w="0" w:type="auto"/>
            <w:shd w:val="clear" w:color="auto" w:fill="auto"/>
            <w:vAlign w:val="center"/>
          </w:tcPr>
          <w:p w14:paraId="7EA7CBB1">
            <w:pPr>
              <w:pStyle w:val="42"/>
              <w:jc w:val="center"/>
              <w:rPr>
                <w:rFonts w:hint="default" w:ascii="Arial Regular" w:hAnsi="Arial Regular" w:cs="Arial Regular"/>
                <w:sz w:val="20"/>
                <w:szCs w:val="20"/>
              </w:rPr>
            </w:pPr>
          </w:p>
        </w:tc>
        <w:tc>
          <w:tcPr>
            <w:tcW w:w="0" w:type="auto"/>
            <w:shd w:val="clear" w:color="auto" w:fill="auto"/>
            <w:vAlign w:val="center"/>
          </w:tcPr>
          <w:p w14:paraId="0A5F107A">
            <w:pPr>
              <w:pStyle w:val="42"/>
              <w:jc w:val="center"/>
              <w:rPr>
                <w:rFonts w:hint="default" w:ascii="Arial Regular" w:hAnsi="Arial Regular" w:cs="Arial Regular"/>
                <w:sz w:val="20"/>
                <w:szCs w:val="20"/>
              </w:rPr>
            </w:pPr>
          </w:p>
        </w:tc>
        <w:tc>
          <w:tcPr>
            <w:tcW w:w="0" w:type="auto"/>
            <w:shd w:val="clear" w:color="auto" w:fill="auto"/>
            <w:vAlign w:val="center"/>
          </w:tcPr>
          <w:p w14:paraId="01F11D04">
            <w:pPr>
              <w:pStyle w:val="42"/>
              <w:jc w:val="center"/>
              <w:rPr>
                <w:rFonts w:hint="default" w:ascii="Arial Regular" w:hAnsi="Arial Regular" w:cs="Arial Regular"/>
                <w:sz w:val="20"/>
                <w:szCs w:val="20"/>
              </w:rPr>
            </w:pPr>
          </w:p>
        </w:tc>
        <w:tc>
          <w:tcPr>
            <w:tcW w:w="0" w:type="auto"/>
            <w:shd w:val="clear" w:color="auto" w:fill="auto"/>
            <w:vAlign w:val="center"/>
          </w:tcPr>
          <w:p w14:paraId="1E9EC0FF">
            <w:pPr>
              <w:pStyle w:val="42"/>
              <w:jc w:val="center"/>
              <w:rPr>
                <w:rFonts w:hint="default" w:ascii="Arial Regular" w:hAnsi="Arial Regular" w:cs="Arial Regular"/>
                <w:sz w:val="20"/>
                <w:szCs w:val="20"/>
              </w:rPr>
            </w:pPr>
          </w:p>
        </w:tc>
      </w:tr>
      <w:tr w14:paraId="4EF73E12">
        <w:trPr>
          <w:trHeight w:val="20" w:hRule="atLeast"/>
          <w:jc w:val="center"/>
        </w:trPr>
        <w:tc>
          <w:tcPr>
            <w:tcW w:w="0" w:type="auto"/>
            <w:shd w:val="clear" w:color="auto" w:fill="auto"/>
            <w:vAlign w:val="center"/>
          </w:tcPr>
          <w:p w14:paraId="6AE38C56">
            <w:pPr>
              <w:pStyle w:val="42"/>
              <w:jc w:val="center"/>
              <w:rPr>
                <w:rFonts w:hint="default" w:ascii="Arial Regular" w:hAnsi="Arial Regular" w:cs="Arial Regular"/>
                <w:sz w:val="20"/>
                <w:szCs w:val="20"/>
              </w:rPr>
            </w:pPr>
          </w:p>
        </w:tc>
        <w:tc>
          <w:tcPr>
            <w:tcW w:w="0" w:type="auto"/>
            <w:vMerge w:val="continue"/>
            <w:tcBorders>
              <w:top w:val="single" w:color="auto" w:sz="8" w:space="0"/>
              <w:left w:val="nil"/>
              <w:bottom w:val="single" w:color="auto" w:sz="12" w:space="0"/>
              <w:right w:val="nil"/>
            </w:tcBorders>
            <w:shd w:val="clear" w:color="auto" w:fill="auto"/>
            <w:vAlign w:val="center"/>
          </w:tcPr>
          <w:p w14:paraId="3C283E72">
            <w:pPr>
              <w:pStyle w:val="42"/>
              <w:jc w:val="center"/>
              <w:rPr>
                <w:rFonts w:hint="default" w:ascii="Arial Regular" w:hAnsi="Arial Regular" w:cs="Arial Regular"/>
                <w:sz w:val="20"/>
                <w:szCs w:val="20"/>
              </w:rPr>
            </w:pPr>
          </w:p>
        </w:tc>
        <w:tc>
          <w:tcPr>
            <w:tcW w:w="444" w:type="dxa"/>
            <w:shd w:val="clear" w:color="auto" w:fill="auto"/>
            <w:tcMar>
              <w:top w:w="12" w:type="dxa"/>
              <w:left w:w="12" w:type="dxa"/>
              <w:right w:w="12" w:type="dxa"/>
            </w:tcMar>
            <w:vAlign w:val="center"/>
          </w:tcPr>
          <w:p w14:paraId="0AFBB286">
            <w:pPr>
              <w:pStyle w:val="42"/>
              <w:jc w:val="center"/>
              <w:rPr>
                <w:rFonts w:hint="default" w:ascii="Arial Regular" w:hAnsi="Arial Regular" w:cs="Arial Regular"/>
                <w:sz w:val="20"/>
                <w:szCs w:val="20"/>
              </w:rPr>
            </w:pPr>
            <w:r>
              <w:rPr>
                <w:rFonts w:hint="default" w:ascii="Arial Regular" w:hAnsi="Arial Regular" w:cs="Arial Regular"/>
                <w:sz w:val="20"/>
                <w:szCs w:val="20"/>
              </w:rPr>
              <w:t>C</w:t>
            </w:r>
          </w:p>
        </w:tc>
        <w:tc>
          <w:tcPr>
            <w:tcW w:w="444" w:type="dxa"/>
            <w:shd w:val="clear" w:color="auto" w:fill="auto"/>
            <w:tcMar>
              <w:top w:w="12" w:type="dxa"/>
              <w:left w:w="12" w:type="dxa"/>
              <w:right w:w="12" w:type="dxa"/>
            </w:tcMar>
            <w:vAlign w:val="center"/>
          </w:tcPr>
          <w:p w14:paraId="7EF806D7">
            <w:pPr>
              <w:pStyle w:val="42"/>
              <w:jc w:val="center"/>
              <w:rPr>
                <w:rFonts w:hint="default" w:ascii="Arial Regular" w:hAnsi="Arial Regular" w:cs="Arial Regular"/>
                <w:sz w:val="20"/>
                <w:szCs w:val="20"/>
              </w:rPr>
            </w:pPr>
            <w:r>
              <w:rPr>
                <w:rFonts w:hint="default" w:ascii="Arial Regular" w:hAnsi="Arial Regular" w:cs="Arial Regular"/>
                <w:sz w:val="20"/>
                <w:szCs w:val="20"/>
              </w:rPr>
              <w:t>6</w:t>
            </w:r>
          </w:p>
        </w:tc>
        <w:tc>
          <w:tcPr>
            <w:tcW w:w="882" w:type="dxa"/>
            <w:shd w:val="clear" w:color="auto" w:fill="auto"/>
            <w:tcMar>
              <w:top w:w="12" w:type="dxa"/>
              <w:left w:w="12" w:type="dxa"/>
              <w:right w:w="12" w:type="dxa"/>
            </w:tcMar>
            <w:vAlign w:val="center"/>
          </w:tcPr>
          <w:p w14:paraId="5965CC96">
            <w:pPr>
              <w:pStyle w:val="42"/>
              <w:jc w:val="center"/>
              <w:rPr>
                <w:rFonts w:hint="default" w:ascii="Arial Regular" w:hAnsi="Arial Regular" w:cs="Arial Regular"/>
                <w:sz w:val="20"/>
                <w:szCs w:val="20"/>
              </w:rPr>
            </w:pPr>
            <w:r>
              <w:rPr>
                <w:rFonts w:hint="default" w:ascii="Arial Regular" w:hAnsi="Arial Regular" w:cs="Arial Regular"/>
                <w:sz w:val="20"/>
                <w:szCs w:val="20"/>
              </w:rPr>
              <w:t>0.069</w:t>
            </w:r>
          </w:p>
        </w:tc>
        <w:tc>
          <w:tcPr>
            <w:tcW w:w="777" w:type="dxa"/>
            <w:shd w:val="clear" w:color="auto" w:fill="auto"/>
            <w:tcMar>
              <w:top w:w="12" w:type="dxa"/>
              <w:left w:w="12" w:type="dxa"/>
              <w:right w:w="12" w:type="dxa"/>
            </w:tcMar>
            <w:vAlign w:val="center"/>
          </w:tcPr>
          <w:p w14:paraId="00909513">
            <w:pPr>
              <w:pStyle w:val="42"/>
              <w:jc w:val="center"/>
              <w:rPr>
                <w:rFonts w:hint="default" w:ascii="Arial Regular" w:hAnsi="Arial Regular" w:cs="Arial Regular"/>
                <w:sz w:val="20"/>
                <w:szCs w:val="20"/>
              </w:rPr>
            </w:pPr>
            <w:r>
              <w:rPr>
                <w:rFonts w:hint="default" w:ascii="Arial Regular" w:hAnsi="Arial Regular" w:cs="Arial Regular"/>
                <w:sz w:val="20"/>
                <w:szCs w:val="20"/>
              </w:rPr>
              <w:t>0.064</w:t>
            </w:r>
          </w:p>
        </w:tc>
        <w:tc>
          <w:tcPr>
            <w:tcW w:w="777" w:type="dxa"/>
            <w:shd w:val="clear" w:color="auto" w:fill="auto"/>
            <w:tcMar>
              <w:top w:w="12" w:type="dxa"/>
              <w:left w:w="12" w:type="dxa"/>
              <w:right w:w="12" w:type="dxa"/>
            </w:tcMar>
            <w:vAlign w:val="center"/>
          </w:tcPr>
          <w:p w14:paraId="12B2C870">
            <w:pPr>
              <w:pStyle w:val="42"/>
              <w:jc w:val="center"/>
              <w:rPr>
                <w:rFonts w:hint="default" w:ascii="Arial Regular" w:hAnsi="Arial Regular" w:cs="Arial Regular"/>
                <w:sz w:val="20"/>
                <w:szCs w:val="20"/>
              </w:rPr>
            </w:pPr>
            <w:r>
              <w:rPr>
                <w:rFonts w:hint="default" w:ascii="Arial Regular" w:hAnsi="Arial Regular" w:cs="Arial Regular"/>
                <w:sz w:val="20"/>
                <w:szCs w:val="20"/>
              </w:rPr>
              <w:t>0.067</w:t>
            </w:r>
          </w:p>
        </w:tc>
        <w:tc>
          <w:tcPr>
            <w:tcW w:w="0" w:type="auto"/>
            <w:shd w:val="clear" w:color="auto" w:fill="auto"/>
            <w:vAlign w:val="center"/>
          </w:tcPr>
          <w:p w14:paraId="716341CD">
            <w:pPr>
              <w:pStyle w:val="42"/>
              <w:jc w:val="center"/>
              <w:rPr>
                <w:rFonts w:hint="default" w:ascii="Arial Regular" w:hAnsi="Arial Regular" w:cs="Arial Regular"/>
                <w:sz w:val="20"/>
                <w:szCs w:val="20"/>
              </w:rPr>
            </w:pPr>
          </w:p>
        </w:tc>
        <w:tc>
          <w:tcPr>
            <w:tcW w:w="0" w:type="auto"/>
            <w:shd w:val="clear" w:color="auto" w:fill="auto"/>
            <w:vAlign w:val="center"/>
          </w:tcPr>
          <w:p w14:paraId="1666D7F1">
            <w:pPr>
              <w:pStyle w:val="42"/>
              <w:jc w:val="center"/>
              <w:rPr>
                <w:rFonts w:hint="default" w:ascii="Arial Regular" w:hAnsi="Arial Regular" w:cs="Arial Regular"/>
                <w:sz w:val="20"/>
                <w:szCs w:val="20"/>
              </w:rPr>
            </w:pPr>
          </w:p>
        </w:tc>
        <w:tc>
          <w:tcPr>
            <w:tcW w:w="0" w:type="auto"/>
            <w:shd w:val="clear" w:color="auto" w:fill="auto"/>
            <w:vAlign w:val="center"/>
          </w:tcPr>
          <w:p w14:paraId="18FE86D6">
            <w:pPr>
              <w:pStyle w:val="42"/>
              <w:jc w:val="center"/>
              <w:rPr>
                <w:rFonts w:hint="default" w:ascii="Arial Regular" w:hAnsi="Arial Regular" w:cs="Arial Regular"/>
                <w:sz w:val="20"/>
                <w:szCs w:val="20"/>
              </w:rPr>
            </w:pPr>
          </w:p>
        </w:tc>
        <w:tc>
          <w:tcPr>
            <w:tcW w:w="0" w:type="auto"/>
            <w:shd w:val="clear" w:color="auto" w:fill="auto"/>
            <w:vAlign w:val="center"/>
          </w:tcPr>
          <w:p w14:paraId="2636AD09">
            <w:pPr>
              <w:pStyle w:val="42"/>
              <w:jc w:val="center"/>
              <w:rPr>
                <w:rFonts w:hint="default" w:ascii="Arial Regular" w:hAnsi="Arial Regular" w:cs="Arial Regular"/>
                <w:sz w:val="20"/>
                <w:szCs w:val="20"/>
              </w:rPr>
            </w:pPr>
          </w:p>
        </w:tc>
      </w:tr>
      <w:tr w14:paraId="1DD61CFF">
        <w:trPr>
          <w:trHeight w:val="20" w:hRule="atLeast"/>
          <w:jc w:val="center"/>
        </w:trPr>
        <w:tc>
          <w:tcPr>
            <w:tcW w:w="0" w:type="auto"/>
            <w:shd w:val="clear" w:color="auto" w:fill="auto"/>
            <w:vAlign w:val="center"/>
          </w:tcPr>
          <w:p w14:paraId="5EC44D2A">
            <w:pPr>
              <w:pStyle w:val="42"/>
              <w:jc w:val="center"/>
              <w:rPr>
                <w:rFonts w:hint="default" w:ascii="Arial Regular" w:hAnsi="Arial Regular" w:cs="Arial Regular"/>
                <w:sz w:val="20"/>
                <w:szCs w:val="20"/>
              </w:rPr>
            </w:pPr>
          </w:p>
        </w:tc>
        <w:tc>
          <w:tcPr>
            <w:tcW w:w="0" w:type="auto"/>
            <w:vMerge w:val="continue"/>
            <w:tcBorders>
              <w:top w:val="single" w:color="auto" w:sz="8" w:space="0"/>
              <w:left w:val="nil"/>
              <w:bottom w:val="single" w:color="auto" w:sz="12" w:space="0"/>
              <w:right w:val="nil"/>
            </w:tcBorders>
            <w:shd w:val="clear" w:color="auto" w:fill="auto"/>
            <w:vAlign w:val="center"/>
          </w:tcPr>
          <w:p w14:paraId="1E69091F">
            <w:pPr>
              <w:pStyle w:val="42"/>
              <w:jc w:val="center"/>
              <w:rPr>
                <w:rFonts w:hint="default" w:ascii="Arial Regular" w:hAnsi="Arial Regular" w:cs="Arial Regular"/>
                <w:sz w:val="20"/>
                <w:szCs w:val="20"/>
              </w:rPr>
            </w:pPr>
          </w:p>
        </w:tc>
        <w:tc>
          <w:tcPr>
            <w:tcW w:w="444" w:type="dxa"/>
            <w:shd w:val="clear" w:color="auto" w:fill="auto"/>
            <w:tcMar>
              <w:top w:w="12" w:type="dxa"/>
              <w:left w:w="12" w:type="dxa"/>
              <w:right w:w="12" w:type="dxa"/>
            </w:tcMar>
            <w:vAlign w:val="center"/>
          </w:tcPr>
          <w:p w14:paraId="0CE23002">
            <w:pPr>
              <w:pStyle w:val="42"/>
              <w:jc w:val="center"/>
              <w:rPr>
                <w:rFonts w:hint="default" w:ascii="Arial Regular" w:hAnsi="Arial Regular" w:cs="Arial Regular"/>
                <w:sz w:val="20"/>
                <w:szCs w:val="20"/>
              </w:rPr>
            </w:pPr>
            <w:r>
              <w:rPr>
                <w:rFonts w:hint="default" w:ascii="Arial Regular" w:hAnsi="Arial Regular" w:cs="Arial Regular"/>
                <w:sz w:val="20"/>
                <w:szCs w:val="20"/>
              </w:rPr>
              <w:t>C</w:t>
            </w:r>
          </w:p>
        </w:tc>
        <w:tc>
          <w:tcPr>
            <w:tcW w:w="444" w:type="dxa"/>
            <w:shd w:val="clear" w:color="auto" w:fill="auto"/>
            <w:tcMar>
              <w:top w:w="12" w:type="dxa"/>
              <w:left w:w="12" w:type="dxa"/>
              <w:right w:w="12" w:type="dxa"/>
            </w:tcMar>
            <w:vAlign w:val="center"/>
          </w:tcPr>
          <w:p w14:paraId="62A74583">
            <w:pPr>
              <w:pStyle w:val="42"/>
              <w:jc w:val="center"/>
              <w:rPr>
                <w:rFonts w:hint="default" w:ascii="Arial Regular" w:hAnsi="Arial Regular" w:cs="Arial Regular"/>
                <w:sz w:val="20"/>
                <w:szCs w:val="20"/>
              </w:rPr>
            </w:pPr>
            <w:r>
              <w:rPr>
                <w:rFonts w:hint="default" w:ascii="Arial Regular" w:hAnsi="Arial Regular" w:cs="Arial Regular"/>
                <w:sz w:val="20"/>
                <w:szCs w:val="20"/>
              </w:rPr>
              <w:t>7</w:t>
            </w:r>
          </w:p>
        </w:tc>
        <w:tc>
          <w:tcPr>
            <w:tcW w:w="882" w:type="dxa"/>
            <w:shd w:val="clear" w:color="auto" w:fill="auto"/>
            <w:tcMar>
              <w:top w:w="12" w:type="dxa"/>
              <w:left w:w="12" w:type="dxa"/>
              <w:right w:w="12" w:type="dxa"/>
            </w:tcMar>
            <w:vAlign w:val="center"/>
          </w:tcPr>
          <w:p w14:paraId="1C19EFAB">
            <w:pPr>
              <w:pStyle w:val="42"/>
              <w:jc w:val="center"/>
              <w:rPr>
                <w:rFonts w:hint="default" w:ascii="Arial Regular" w:hAnsi="Arial Regular" w:cs="Arial Regular"/>
                <w:sz w:val="20"/>
                <w:szCs w:val="20"/>
              </w:rPr>
            </w:pPr>
            <w:r>
              <w:rPr>
                <w:rFonts w:hint="default" w:ascii="Arial Regular" w:hAnsi="Arial Regular" w:cs="Arial Regular"/>
                <w:sz w:val="20"/>
                <w:szCs w:val="20"/>
              </w:rPr>
              <w:t>0.066</w:t>
            </w:r>
          </w:p>
        </w:tc>
        <w:tc>
          <w:tcPr>
            <w:tcW w:w="777" w:type="dxa"/>
            <w:shd w:val="clear" w:color="auto" w:fill="auto"/>
            <w:tcMar>
              <w:top w:w="12" w:type="dxa"/>
              <w:left w:w="12" w:type="dxa"/>
              <w:right w:w="12" w:type="dxa"/>
            </w:tcMar>
            <w:vAlign w:val="center"/>
          </w:tcPr>
          <w:p w14:paraId="5A8D114F">
            <w:pPr>
              <w:pStyle w:val="42"/>
              <w:jc w:val="center"/>
              <w:rPr>
                <w:rFonts w:hint="default" w:ascii="Arial Regular" w:hAnsi="Arial Regular" w:cs="Arial Regular"/>
                <w:sz w:val="20"/>
                <w:szCs w:val="20"/>
              </w:rPr>
            </w:pPr>
            <w:r>
              <w:rPr>
                <w:rFonts w:hint="default" w:ascii="Arial Regular" w:hAnsi="Arial Regular" w:cs="Arial Regular"/>
                <w:sz w:val="20"/>
                <w:szCs w:val="20"/>
              </w:rPr>
              <w:t>0.069</w:t>
            </w:r>
          </w:p>
        </w:tc>
        <w:tc>
          <w:tcPr>
            <w:tcW w:w="777" w:type="dxa"/>
            <w:shd w:val="clear" w:color="auto" w:fill="auto"/>
            <w:tcMar>
              <w:top w:w="12" w:type="dxa"/>
              <w:left w:w="12" w:type="dxa"/>
              <w:right w:w="12" w:type="dxa"/>
            </w:tcMar>
            <w:vAlign w:val="center"/>
          </w:tcPr>
          <w:p w14:paraId="1D008139">
            <w:pPr>
              <w:pStyle w:val="42"/>
              <w:jc w:val="center"/>
              <w:rPr>
                <w:rFonts w:hint="default" w:ascii="Arial Regular" w:hAnsi="Arial Regular" w:cs="Arial Regular"/>
                <w:sz w:val="20"/>
                <w:szCs w:val="20"/>
              </w:rPr>
            </w:pPr>
            <w:r>
              <w:rPr>
                <w:rFonts w:hint="default" w:ascii="Arial Regular" w:hAnsi="Arial Regular" w:cs="Arial Regular"/>
                <w:sz w:val="20"/>
                <w:szCs w:val="20"/>
              </w:rPr>
              <w:t>0.067</w:t>
            </w:r>
          </w:p>
        </w:tc>
        <w:tc>
          <w:tcPr>
            <w:tcW w:w="0" w:type="auto"/>
            <w:shd w:val="clear" w:color="auto" w:fill="auto"/>
            <w:vAlign w:val="center"/>
          </w:tcPr>
          <w:p w14:paraId="2F94705A">
            <w:pPr>
              <w:pStyle w:val="42"/>
              <w:jc w:val="center"/>
              <w:rPr>
                <w:rFonts w:hint="default" w:ascii="Arial Regular" w:hAnsi="Arial Regular" w:cs="Arial Regular"/>
                <w:sz w:val="20"/>
                <w:szCs w:val="20"/>
              </w:rPr>
            </w:pPr>
          </w:p>
        </w:tc>
        <w:tc>
          <w:tcPr>
            <w:tcW w:w="0" w:type="auto"/>
            <w:shd w:val="clear" w:color="auto" w:fill="auto"/>
            <w:vAlign w:val="center"/>
          </w:tcPr>
          <w:p w14:paraId="442514CC">
            <w:pPr>
              <w:pStyle w:val="42"/>
              <w:jc w:val="center"/>
              <w:rPr>
                <w:rFonts w:hint="default" w:ascii="Arial Regular" w:hAnsi="Arial Regular" w:cs="Arial Regular"/>
                <w:sz w:val="20"/>
                <w:szCs w:val="20"/>
              </w:rPr>
            </w:pPr>
          </w:p>
        </w:tc>
        <w:tc>
          <w:tcPr>
            <w:tcW w:w="0" w:type="auto"/>
            <w:shd w:val="clear" w:color="auto" w:fill="auto"/>
            <w:vAlign w:val="center"/>
          </w:tcPr>
          <w:p w14:paraId="7F2F4C0C">
            <w:pPr>
              <w:pStyle w:val="42"/>
              <w:jc w:val="center"/>
              <w:rPr>
                <w:rFonts w:hint="default" w:ascii="Arial Regular" w:hAnsi="Arial Regular" w:cs="Arial Regular"/>
                <w:sz w:val="20"/>
                <w:szCs w:val="20"/>
              </w:rPr>
            </w:pPr>
          </w:p>
        </w:tc>
        <w:tc>
          <w:tcPr>
            <w:tcW w:w="0" w:type="auto"/>
            <w:shd w:val="clear" w:color="auto" w:fill="auto"/>
            <w:vAlign w:val="center"/>
          </w:tcPr>
          <w:p w14:paraId="3D1BB5EA">
            <w:pPr>
              <w:pStyle w:val="42"/>
              <w:jc w:val="center"/>
              <w:rPr>
                <w:rFonts w:hint="default" w:ascii="Arial Regular" w:hAnsi="Arial Regular" w:cs="Arial Regular"/>
                <w:sz w:val="20"/>
                <w:szCs w:val="20"/>
              </w:rPr>
            </w:pPr>
          </w:p>
        </w:tc>
      </w:tr>
      <w:tr w14:paraId="4E1D9CFC">
        <w:trPr>
          <w:trHeight w:val="20" w:hRule="atLeast"/>
          <w:jc w:val="center"/>
        </w:trPr>
        <w:tc>
          <w:tcPr>
            <w:tcW w:w="0" w:type="auto"/>
            <w:shd w:val="clear" w:color="auto" w:fill="auto"/>
            <w:vAlign w:val="center"/>
          </w:tcPr>
          <w:p w14:paraId="54A4AF04">
            <w:pPr>
              <w:pStyle w:val="42"/>
              <w:jc w:val="center"/>
              <w:rPr>
                <w:rFonts w:hint="default" w:ascii="Arial Regular" w:hAnsi="Arial Regular" w:cs="Arial Regular"/>
                <w:sz w:val="20"/>
                <w:szCs w:val="20"/>
              </w:rPr>
            </w:pPr>
          </w:p>
        </w:tc>
        <w:tc>
          <w:tcPr>
            <w:tcW w:w="0" w:type="auto"/>
            <w:vMerge w:val="continue"/>
            <w:tcBorders>
              <w:top w:val="single" w:color="auto" w:sz="8" w:space="0"/>
              <w:left w:val="nil"/>
              <w:bottom w:val="single" w:color="auto" w:sz="12" w:space="0"/>
              <w:right w:val="nil"/>
            </w:tcBorders>
            <w:shd w:val="clear" w:color="auto" w:fill="auto"/>
            <w:vAlign w:val="center"/>
          </w:tcPr>
          <w:p w14:paraId="27194D56">
            <w:pPr>
              <w:pStyle w:val="42"/>
              <w:jc w:val="center"/>
              <w:rPr>
                <w:rFonts w:hint="default" w:ascii="Arial Regular" w:hAnsi="Arial Regular" w:cs="Arial Regular"/>
                <w:sz w:val="20"/>
                <w:szCs w:val="20"/>
              </w:rPr>
            </w:pPr>
          </w:p>
        </w:tc>
        <w:tc>
          <w:tcPr>
            <w:tcW w:w="444" w:type="dxa"/>
            <w:shd w:val="clear" w:color="auto" w:fill="auto"/>
            <w:tcMar>
              <w:top w:w="12" w:type="dxa"/>
              <w:left w:w="12" w:type="dxa"/>
              <w:right w:w="12" w:type="dxa"/>
            </w:tcMar>
            <w:vAlign w:val="center"/>
          </w:tcPr>
          <w:p w14:paraId="32595EF3">
            <w:pPr>
              <w:pStyle w:val="42"/>
              <w:jc w:val="center"/>
              <w:rPr>
                <w:rFonts w:hint="default" w:ascii="Arial Regular" w:hAnsi="Arial Regular" w:cs="Arial Regular"/>
                <w:sz w:val="20"/>
                <w:szCs w:val="20"/>
              </w:rPr>
            </w:pPr>
            <w:r>
              <w:rPr>
                <w:rFonts w:hint="default" w:ascii="Arial Regular" w:hAnsi="Arial Regular" w:cs="Arial Regular"/>
                <w:sz w:val="20"/>
                <w:szCs w:val="20"/>
              </w:rPr>
              <w:t>C</w:t>
            </w:r>
          </w:p>
        </w:tc>
        <w:tc>
          <w:tcPr>
            <w:tcW w:w="444" w:type="dxa"/>
            <w:shd w:val="clear" w:color="auto" w:fill="auto"/>
            <w:tcMar>
              <w:top w:w="12" w:type="dxa"/>
              <w:left w:w="12" w:type="dxa"/>
              <w:right w:w="12" w:type="dxa"/>
            </w:tcMar>
            <w:vAlign w:val="center"/>
          </w:tcPr>
          <w:p w14:paraId="43F0F609">
            <w:pPr>
              <w:pStyle w:val="42"/>
              <w:jc w:val="center"/>
              <w:rPr>
                <w:rFonts w:hint="default" w:ascii="Arial Regular" w:hAnsi="Arial Regular" w:cs="Arial Regular"/>
                <w:sz w:val="20"/>
                <w:szCs w:val="20"/>
              </w:rPr>
            </w:pPr>
            <w:r>
              <w:rPr>
                <w:rFonts w:hint="default" w:ascii="Arial Regular" w:hAnsi="Arial Regular" w:cs="Arial Regular"/>
                <w:sz w:val="20"/>
                <w:szCs w:val="20"/>
              </w:rPr>
              <w:t>8</w:t>
            </w:r>
          </w:p>
        </w:tc>
        <w:tc>
          <w:tcPr>
            <w:tcW w:w="882" w:type="dxa"/>
            <w:shd w:val="clear" w:color="auto" w:fill="auto"/>
            <w:tcMar>
              <w:top w:w="12" w:type="dxa"/>
              <w:left w:w="12" w:type="dxa"/>
              <w:right w:w="12" w:type="dxa"/>
            </w:tcMar>
            <w:vAlign w:val="center"/>
          </w:tcPr>
          <w:p w14:paraId="7F573FB7">
            <w:pPr>
              <w:pStyle w:val="42"/>
              <w:jc w:val="center"/>
              <w:rPr>
                <w:rFonts w:hint="default" w:ascii="Arial Regular" w:hAnsi="Arial Regular" w:cs="Arial Regular"/>
                <w:sz w:val="20"/>
                <w:szCs w:val="20"/>
              </w:rPr>
            </w:pPr>
            <w:r>
              <w:rPr>
                <w:rFonts w:hint="default" w:ascii="Arial Regular" w:hAnsi="Arial Regular" w:cs="Arial Regular"/>
                <w:sz w:val="20"/>
                <w:szCs w:val="20"/>
              </w:rPr>
              <w:t>0.084</w:t>
            </w:r>
          </w:p>
        </w:tc>
        <w:tc>
          <w:tcPr>
            <w:tcW w:w="777" w:type="dxa"/>
            <w:shd w:val="clear" w:color="auto" w:fill="auto"/>
            <w:tcMar>
              <w:top w:w="12" w:type="dxa"/>
              <w:left w:w="12" w:type="dxa"/>
              <w:right w:w="12" w:type="dxa"/>
            </w:tcMar>
            <w:vAlign w:val="center"/>
          </w:tcPr>
          <w:p w14:paraId="67DD8E65">
            <w:pPr>
              <w:pStyle w:val="42"/>
              <w:jc w:val="center"/>
              <w:rPr>
                <w:rFonts w:hint="default" w:ascii="Arial Regular" w:hAnsi="Arial Regular" w:cs="Arial Regular"/>
                <w:sz w:val="20"/>
                <w:szCs w:val="20"/>
              </w:rPr>
            </w:pPr>
            <w:r>
              <w:rPr>
                <w:rFonts w:hint="default" w:ascii="Arial Regular" w:hAnsi="Arial Regular" w:cs="Arial Regular"/>
                <w:sz w:val="20"/>
                <w:szCs w:val="20"/>
              </w:rPr>
              <w:t>0.058</w:t>
            </w:r>
          </w:p>
        </w:tc>
        <w:tc>
          <w:tcPr>
            <w:tcW w:w="777" w:type="dxa"/>
            <w:shd w:val="clear" w:color="auto" w:fill="auto"/>
            <w:tcMar>
              <w:top w:w="12" w:type="dxa"/>
              <w:left w:w="12" w:type="dxa"/>
              <w:right w:w="12" w:type="dxa"/>
            </w:tcMar>
            <w:vAlign w:val="center"/>
          </w:tcPr>
          <w:p w14:paraId="7B8E72E1">
            <w:pPr>
              <w:pStyle w:val="42"/>
              <w:jc w:val="center"/>
              <w:rPr>
                <w:rFonts w:hint="default" w:ascii="Arial Regular" w:hAnsi="Arial Regular" w:cs="Arial Regular"/>
                <w:sz w:val="20"/>
                <w:szCs w:val="20"/>
              </w:rPr>
            </w:pPr>
            <w:r>
              <w:rPr>
                <w:rFonts w:hint="default" w:ascii="Arial Regular" w:hAnsi="Arial Regular" w:cs="Arial Regular"/>
                <w:sz w:val="20"/>
                <w:szCs w:val="20"/>
              </w:rPr>
              <w:t>0.071</w:t>
            </w:r>
          </w:p>
        </w:tc>
        <w:tc>
          <w:tcPr>
            <w:tcW w:w="0" w:type="auto"/>
            <w:shd w:val="clear" w:color="auto" w:fill="auto"/>
            <w:vAlign w:val="center"/>
          </w:tcPr>
          <w:p w14:paraId="08C86E2F">
            <w:pPr>
              <w:pStyle w:val="42"/>
              <w:jc w:val="center"/>
              <w:rPr>
                <w:rFonts w:hint="default" w:ascii="Arial Regular" w:hAnsi="Arial Regular" w:cs="Arial Regular"/>
                <w:sz w:val="20"/>
                <w:szCs w:val="20"/>
              </w:rPr>
            </w:pPr>
          </w:p>
        </w:tc>
        <w:tc>
          <w:tcPr>
            <w:tcW w:w="0" w:type="auto"/>
            <w:shd w:val="clear" w:color="auto" w:fill="auto"/>
            <w:vAlign w:val="center"/>
          </w:tcPr>
          <w:p w14:paraId="6EE43F61">
            <w:pPr>
              <w:pStyle w:val="42"/>
              <w:jc w:val="center"/>
              <w:rPr>
                <w:rFonts w:hint="default" w:ascii="Arial Regular" w:hAnsi="Arial Regular" w:cs="Arial Regular"/>
                <w:sz w:val="20"/>
                <w:szCs w:val="20"/>
              </w:rPr>
            </w:pPr>
          </w:p>
        </w:tc>
        <w:tc>
          <w:tcPr>
            <w:tcW w:w="0" w:type="auto"/>
            <w:shd w:val="clear" w:color="auto" w:fill="auto"/>
            <w:vAlign w:val="center"/>
          </w:tcPr>
          <w:p w14:paraId="5229B314">
            <w:pPr>
              <w:pStyle w:val="42"/>
              <w:jc w:val="center"/>
              <w:rPr>
                <w:rFonts w:hint="default" w:ascii="Arial Regular" w:hAnsi="Arial Regular" w:cs="Arial Regular"/>
                <w:sz w:val="20"/>
                <w:szCs w:val="20"/>
              </w:rPr>
            </w:pPr>
          </w:p>
        </w:tc>
        <w:tc>
          <w:tcPr>
            <w:tcW w:w="0" w:type="auto"/>
            <w:shd w:val="clear" w:color="auto" w:fill="auto"/>
            <w:vAlign w:val="center"/>
          </w:tcPr>
          <w:p w14:paraId="4A6FCFCE">
            <w:pPr>
              <w:pStyle w:val="42"/>
              <w:jc w:val="center"/>
              <w:rPr>
                <w:rFonts w:hint="default" w:ascii="Arial Regular" w:hAnsi="Arial Regular" w:cs="Arial Regular"/>
                <w:sz w:val="20"/>
                <w:szCs w:val="20"/>
              </w:rPr>
            </w:pPr>
          </w:p>
        </w:tc>
      </w:tr>
      <w:tr w14:paraId="67DB5D2B">
        <w:trPr>
          <w:trHeight w:val="20" w:hRule="atLeast"/>
          <w:jc w:val="center"/>
        </w:trPr>
        <w:tc>
          <w:tcPr>
            <w:tcW w:w="0" w:type="auto"/>
            <w:shd w:val="clear" w:color="auto" w:fill="auto"/>
            <w:vAlign w:val="center"/>
          </w:tcPr>
          <w:p w14:paraId="32521331">
            <w:pPr>
              <w:pStyle w:val="42"/>
              <w:jc w:val="center"/>
              <w:rPr>
                <w:rFonts w:hint="default" w:ascii="Arial Regular" w:hAnsi="Arial Regular" w:cs="Arial Regular"/>
                <w:sz w:val="20"/>
                <w:szCs w:val="20"/>
              </w:rPr>
            </w:pPr>
          </w:p>
        </w:tc>
        <w:tc>
          <w:tcPr>
            <w:tcW w:w="0" w:type="auto"/>
            <w:vMerge w:val="continue"/>
            <w:tcBorders>
              <w:top w:val="single" w:color="auto" w:sz="8" w:space="0"/>
              <w:left w:val="nil"/>
              <w:bottom w:val="single" w:color="auto" w:sz="12" w:space="0"/>
              <w:right w:val="nil"/>
            </w:tcBorders>
            <w:shd w:val="clear" w:color="auto" w:fill="auto"/>
            <w:vAlign w:val="center"/>
          </w:tcPr>
          <w:p w14:paraId="639DA18B">
            <w:pPr>
              <w:pStyle w:val="42"/>
              <w:jc w:val="center"/>
              <w:rPr>
                <w:rFonts w:hint="default" w:ascii="Arial Regular" w:hAnsi="Arial Regular" w:cs="Arial Regular"/>
                <w:sz w:val="20"/>
                <w:szCs w:val="20"/>
              </w:rPr>
            </w:pPr>
          </w:p>
        </w:tc>
        <w:tc>
          <w:tcPr>
            <w:tcW w:w="444" w:type="dxa"/>
            <w:shd w:val="clear" w:color="auto" w:fill="auto"/>
            <w:tcMar>
              <w:top w:w="12" w:type="dxa"/>
              <w:left w:w="12" w:type="dxa"/>
              <w:right w:w="12" w:type="dxa"/>
            </w:tcMar>
            <w:vAlign w:val="center"/>
          </w:tcPr>
          <w:p w14:paraId="4915EC56">
            <w:pPr>
              <w:pStyle w:val="42"/>
              <w:jc w:val="center"/>
              <w:rPr>
                <w:rFonts w:hint="default" w:ascii="Arial Regular" w:hAnsi="Arial Regular" w:cs="Arial Regular"/>
                <w:sz w:val="20"/>
                <w:szCs w:val="20"/>
              </w:rPr>
            </w:pPr>
            <w:r>
              <w:rPr>
                <w:rFonts w:hint="default" w:ascii="Arial Regular" w:hAnsi="Arial Regular" w:cs="Arial Regular"/>
                <w:sz w:val="20"/>
                <w:szCs w:val="20"/>
              </w:rPr>
              <w:t>C</w:t>
            </w:r>
          </w:p>
        </w:tc>
        <w:tc>
          <w:tcPr>
            <w:tcW w:w="444" w:type="dxa"/>
            <w:shd w:val="clear" w:color="auto" w:fill="auto"/>
            <w:tcMar>
              <w:top w:w="12" w:type="dxa"/>
              <w:left w:w="12" w:type="dxa"/>
              <w:right w:w="12" w:type="dxa"/>
            </w:tcMar>
            <w:vAlign w:val="center"/>
          </w:tcPr>
          <w:p w14:paraId="4E5030F5">
            <w:pPr>
              <w:pStyle w:val="42"/>
              <w:jc w:val="center"/>
              <w:rPr>
                <w:rFonts w:hint="default" w:ascii="Arial Regular" w:hAnsi="Arial Regular" w:cs="Arial Regular"/>
                <w:sz w:val="20"/>
                <w:szCs w:val="20"/>
              </w:rPr>
            </w:pPr>
            <w:r>
              <w:rPr>
                <w:rFonts w:hint="default" w:ascii="Arial Regular" w:hAnsi="Arial Regular" w:cs="Arial Regular"/>
                <w:sz w:val="20"/>
                <w:szCs w:val="20"/>
              </w:rPr>
              <w:t>9</w:t>
            </w:r>
          </w:p>
        </w:tc>
        <w:tc>
          <w:tcPr>
            <w:tcW w:w="882" w:type="dxa"/>
            <w:shd w:val="clear" w:color="auto" w:fill="auto"/>
            <w:tcMar>
              <w:top w:w="12" w:type="dxa"/>
              <w:left w:w="12" w:type="dxa"/>
              <w:right w:w="12" w:type="dxa"/>
            </w:tcMar>
            <w:vAlign w:val="center"/>
          </w:tcPr>
          <w:p w14:paraId="78EF34FF">
            <w:pPr>
              <w:pStyle w:val="42"/>
              <w:jc w:val="center"/>
              <w:rPr>
                <w:rFonts w:hint="default" w:ascii="Arial Regular" w:hAnsi="Arial Regular" w:cs="Arial Regular"/>
                <w:sz w:val="20"/>
                <w:szCs w:val="20"/>
              </w:rPr>
            </w:pPr>
            <w:r>
              <w:rPr>
                <w:rFonts w:hint="default" w:ascii="Arial Regular" w:hAnsi="Arial Regular" w:cs="Arial Regular"/>
                <w:sz w:val="20"/>
                <w:szCs w:val="20"/>
              </w:rPr>
              <w:t>0.055</w:t>
            </w:r>
          </w:p>
        </w:tc>
        <w:tc>
          <w:tcPr>
            <w:tcW w:w="777" w:type="dxa"/>
            <w:shd w:val="clear" w:color="auto" w:fill="auto"/>
            <w:tcMar>
              <w:top w:w="12" w:type="dxa"/>
              <w:left w:w="12" w:type="dxa"/>
              <w:right w:w="12" w:type="dxa"/>
            </w:tcMar>
            <w:vAlign w:val="center"/>
          </w:tcPr>
          <w:p w14:paraId="1D9B4F12">
            <w:pPr>
              <w:pStyle w:val="42"/>
              <w:jc w:val="center"/>
              <w:rPr>
                <w:rFonts w:hint="default" w:ascii="Arial Regular" w:hAnsi="Arial Regular" w:cs="Arial Regular"/>
                <w:sz w:val="20"/>
                <w:szCs w:val="20"/>
              </w:rPr>
            </w:pPr>
            <w:r>
              <w:rPr>
                <w:rFonts w:hint="default" w:ascii="Arial Regular" w:hAnsi="Arial Regular" w:cs="Arial Regular"/>
                <w:sz w:val="20"/>
                <w:szCs w:val="20"/>
              </w:rPr>
              <w:t>0.070</w:t>
            </w:r>
          </w:p>
        </w:tc>
        <w:tc>
          <w:tcPr>
            <w:tcW w:w="777" w:type="dxa"/>
            <w:shd w:val="clear" w:color="auto" w:fill="auto"/>
            <w:tcMar>
              <w:top w:w="12" w:type="dxa"/>
              <w:left w:w="12" w:type="dxa"/>
              <w:right w:w="12" w:type="dxa"/>
            </w:tcMar>
            <w:vAlign w:val="center"/>
          </w:tcPr>
          <w:p w14:paraId="71E80DCF">
            <w:pPr>
              <w:pStyle w:val="42"/>
              <w:jc w:val="center"/>
              <w:rPr>
                <w:rFonts w:hint="default" w:ascii="Arial Regular" w:hAnsi="Arial Regular" w:cs="Arial Regular"/>
                <w:sz w:val="20"/>
                <w:szCs w:val="20"/>
              </w:rPr>
            </w:pPr>
            <w:r>
              <w:rPr>
                <w:rFonts w:hint="default" w:ascii="Arial Regular" w:hAnsi="Arial Regular" w:cs="Arial Regular"/>
                <w:sz w:val="20"/>
                <w:szCs w:val="20"/>
              </w:rPr>
              <w:t>0.063</w:t>
            </w:r>
          </w:p>
        </w:tc>
        <w:tc>
          <w:tcPr>
            <w:tcW w:w="0" w:type="auto"/>
            <w:shd w:val="clear" w:color="auto" w:fill="auto"/>
            <w:vAlign w:val="center"/>
          </w:tcPr>
          <w:p w14:paraId="5447462B">
            <w:pPr>
              <w:pStyle w:val="42"/>
              <w:jc w:val="center"/>
              <w:rPr>
                <w:rFonts w:hint="default" w:ascii="Arial Regular" w:hAnsi="Arial Regular" w:cs="Arial Regular"/>
                <w:sz w:val="20"/>
                <w:szCs w:val="20"/>
              </w:rPr>
            </w:pPr>
          </w:p>
        </w:tc>
        <w:tc>
          <w:tcPr>
            <w:tcW w:w="0" w:type="auto"/>
            <w:shd w:val="clear" w:color="auto" w:fill="auto"/>
            <w:vAlign w:val="center"/>
          </w:tcPr>
          <w:p w14:paraId="436ABE2C">
            <w:pPr>
              <w:pStyle w:val="42"/>
              <w:jc w:val="center"/>
              <w:rPr>
                <w:rFonts w:hint="default" w:ascii="Arial Regular" w:hAnsi="Arial Regular" w:cs="Arial Regular"/>
                <w:sz w:val="20"/>
                <w:szCs w:val="20"/>
              </w:rPr>
            </w:pPr>
          </w:p>
        </w:tc>
        <w:tc>
          <w:tcPr>
            <w:tcW w:w="0" w:type="auto"/>
            <w:shd w:val="clear" w:color="auto" w:fill="auto"/>
            <w:vAlign w:val="center"/>
          </w:tcPr>
          <w:p w14:paraId="726DCC6E">
            <w:pPr>
              <w:pStyle w:val="42"/>
              <w:jc w:val="center"/>
              <w:rPr>
                <w:rFonts w:hint="default" w:ascii="Arial Regular" w:hAnsi="Arial Regular" w:cs="Arial Regular"/>
                <w:sz w:val="20"/>
                <w:szCs w:val="20"/>
              </w:rPr>
            </w:pPr>
          </w:p>
        </w:tc>
        <w:tc>
          <w:tcPr>
            <w:tcW w:w="0" w:type="auto"/>
            <w:shd w:val="clear" w:color="auto" w:fill="auto"/>
            <w:vAlign w:val="center"/>
          </w:tcPr>
          <w:p w14:paraId="53D58FD4">
            <w:pPr>
              <w:pStyle w:val="42"/>
              <w:jc w:val="center"/>
              <w:rPr>
                <w:rFonts w:hint="default" w:ascii="Arial Regular" w:hAnsi="Arial Regular" w:cs="Arial Regular"/>
                <w:sz w:val="20"/>
                <w:szCs w:val="20"/>
              </w:rPr>
            </w:pPr>
          </w:p>
        </w:tc>
      </w:tr>
      <w:tr w14:paraId="31795230">
        <w:trPr>
          <w:trHeight w:val="20" w:hRule="atLeast"/>
          <w:jc w:val="center"/>
        </w:trPr>
        <w:tc>
          <w:tcPr>
            <w:tcW w:w="0" w:type="auto"/>
            <w:shd w:val="clear" w:color="auto" w:fill="auto"/>
            <w:vAlign w:val="center"/>
          </w:tcPr>
          <w:p w14:paraId="226FE007">
            <w:pPr>
              <w:pStyle w:val="42"/>
              <w:jc w:val="center"/>
              <w:rPr>
                <w:rFonts w:hint="default" w:ascii="Arial Regular" w:hAnsi="Arial Regular" w:cs="Arial Regular"/>
                <w:sz w:val="20"/>
                <w:szCs w:val="20"/>
              </w:rPr>
            </w:pPr>
          </w:p>
        </w:tc>
        <w:tc>
          <w:tcPr>
            <w:tcW w:w="0" w:type="auto"/>
            <w:vMerge w:val="continue"/>
            <w:tcBorders>
              <w:top w:val="single" w:color="auto" w:sz="8" w:space="0"/>
              <w:left w:val="nil"/>
              <w:bottom w:val="single" w:color="auto" w:sz="12" w:space="0"/>
              <w:right w:val="nil"/>
            </w:tcBorders>
            <w:shd w:val="clear" w:color="auto" w:fill="auto"/>
            <w:vAlign w:val="center"/>
          </w:tcPr>
          <w:p w14:paraId="3C0ABFFB">
            <w:pPr>
              <w:pStyle w:val="42"/>
              <w:jc w:val="center"/>
              <w:rPr>
                <w:rFonts w:hint="default" w:ascii="Arial Regular" w:hAnsi="Arial Regular" w:cs="Arial Regular"/>
                <w:sz w:val="20"/>
                <w:szCs w:val="20"/>
              </w:rPr>
            </w:pPr>
          </w:p>
        </w:tc>
        <w:tc>
          <w:tcPr>
            <w:tcW w:w="444" w:type="dxa"/>
            <w:shd w:val="clear" w:color="auto" w:fill="auto"/>
            <w:tcMar>
              <w:top w:w="12" w:type="dxa"/>
              <w:left w:w="12" w:type="dxa"/>
              <w:right w:w="12" w:type="dxa"/>
            </w:tcMar>
            <w:vAlign w:val="center"/>
          </w:tcPr>
          <w:p w14:paraId="31D2DBC6">
            <w:pPr>
              <w:pStyle w:val="42"/>
              <w:jc w:val="center"/>
              <w:rPr>
                <w:rFonts w:hint="default" w:ascii="Arial Regular" w:hAnsi="Arial Regular" w:cs="Arial Regular"/>
                <w:sz w:val="20"/>
                <w:szCs w:val="20"/>
              </w:rPr>
            </w:pPr>
            <w:r>
              <w:rPr>
                <w:rFonts w:hint="default" w:ascii="Arial Regular" w:hAnsi="Arial Regular" w:cs="Arial Regular"/>
                <w:sz w:val="20"/>
                <w:szCs w:val="20"/>
              </w:rPr>
              <w:t>C</w:t>
            </w:r>
          </w:p>
        </w:tc>
        <w:tc>
          <w:tcPr>
            <w:tcW w:w="444" w:type="dxa"/>
            <w:shd w:val="clear" w:color="auto" w:fill="auto"/>
            <w:tcMar>
              <w:top w:w="12" w:type="dxa"/>
              <w:left w:w="12" w:type="dxa"/>
              <w:right w:w="12" w:type="dxa"/>
            </w:tcMar>
            <w:vAlign w:val="center"/>
          </w:tcPr>
          <w:p w14:paraId="7C9A0848">
            <w:pPr>
              <w:pStyle w:val="42"/>
              <w:jc w:val="center"/>
              <w:rPr>
                <w:rFonts w:hint="default" w:ascii="Arial Regular" w:hAnsi="Arial Regular" w:cs="Arial Regular"/>
                <w:sz w:val="20"/>
                <w:szCs w:val="20"/>
              </w:rPr>
            </w:pPr>
            <w:r>
              <w:rPr>
                <w:rFonts w:hint="default" w:ascii="Arial Regular" w:hAnsi="Arial Regular" w:cs="Arial Regular"/>
                <w:sz w:val="20"/>
                <w:szCs w:val="20"/>
              </w:rPr>
              <w:t>10</w:t>
            </w:r>
          </w:p>
        </w:tc>
        <w:tc>
          <w:tcPr>
            <w:tcW w:w="882" w:type="dxa"/>
            <w:shd w:val="clear" w:color="auto" w:fill="auto"/>
            <w:tcMar>
              <w:top w:w="12" w:type="dxa"/>
              <w:left w:w="12" w:type="dxa"/>
              <w:right w:w="12" w:type="dxa"/>
            </w:tcMar>
            <w:vAlign w:val="center"/>
          </w:tcPr>
          <w:p w14:paraId="00B3BBF0">
            <w:pPr>
              <w:pStyle w:val="42"/>
              <w:jc w:val="center"/>
              <w:rPr>
                <w:rFonts w:hint="default" w:ascii="Arial Regular" w:hAnsi="Arial Regular" w:cs="Arial Regular"/>
                <w:sz w:val="20"/>
                <w:szCs w:val="20"/>
              </w:rPr>
            </w:pPr>
            <w:r>
              <w:rPr>
                <w:rFonts w:hint="default" w:ascii="Arial Regular" w:hAnsi="Arial Regular" w:cs="Arial Regular"/>
                <w:sz w:val="20"/>
                <w:szCs w:val="20"/>
              </w:rPr>
              <w:t>0.098</w:t>
            </w:r>
          </w:p>
        </w:tc>
        <w:tc>
          <w:tcPr>
            <w:tcW w:w="777" w:type="dxa"/>
            <w:shd w:val="clear" w:color="auto" w:fill="auto"/>
            <w:tcMar>
              <w:top w:w="12" w:type="dxa"/>
              <w:left w:w="12" w:type="dxa"/>
              <w:right w:w="12" w:type="dxa"/>
            </w:tcMar>
            <w:vAlign w:val="center"/>
          </w:tcPr>
          <w:p w14:paraId="78F4B9CF">
            <w:pPr>
              <w:pStyle w:val="42"/>
              <w:jc w:val="center"/>
              <w:rPr>
                <w:rFonts w:hint="default" w:ascii="Arial Regular" w:hAnsi="Arial Regular" w:cs="Arial Regular"/>
                <w:sz w:val="20"/>
                <w:szCs w:val="20"/>
              </w:rPr>
            </w:pPr>
            <w:r>
              <w:rPr>
                <w:rFonts w:hint="default" w:ascii="Arial Regular" w:hAnsi="Arial Regular" w:cs="Arial Regular"/>
                <w:sz w:val="20"/>
                <w:szCs w:val="20"/>
              </w:rPr>
              <w:t>0.073</w:t>
            </w:r>
          </w:p>
        </w:tc>
        <w:tc>
          <w:tcPr>
            <w:tcW w:w="777" w:type="dxa"/>
            <w:shd w:val="clear" w:color="auto" w:fill="auto"/>
            <w:tcMar>
              <w:top w:w="12" w:type="dxa"/>
              <w:left w:w="12" w:type="dxa"/>
              <w:right w:w="12" w:type="dxa"/>
            </w:tcMar>
            <w:vAlign w:val="center"/>
          </w:tcPr>
          <w:p w14:paraId="58C9FA14">
            <w:pPr>
              <w:pStyle w:val="42"/>
              <w:jc w:val="center"/>
              <w:rPr>
                <w:rFonts w:hint="default" w:ascii="Arial Regular" w:hAnsi="Arial Regular" w:cs="Arial Regular"/>
                <w:sz w:val="20"/>
                <w:szCs w:val="20"/>
              </w:rPr>
            </w:pPr>
            <w:r>
              <w:rPr>
                <w:rFonts w:hint="default" w:ascii="Arial Regular" w:hAnsi="Arial Regular" w:cs="Arial Regular"/>
                <w:sz w:val="20"/>
                <w:szCs w:val="20"/>
              </w:rPr>
              <w:t>0.085</w:t>
            </w:r>
          </w:p>
        </w:tc>
        <w:tc>
          <w:tcPr>
            <w:tcW w:w="0" w:type="auto"/>
            <w:shd w:val="clear" w:color="auto" w:fill="auto"/>
            <w:vAlign w:val="center"/>
          </w:tcPr>
          <w:p w14:paraId="2B5E3CC0">
            <w:pPr>
              <w:pStyle w:val="42"/>
              <w:jc w:val="center"/>
              <w:rPr>
                <w:rFonts w:hint="default" w:ascii="Arial Regular" w:hAnsi="Arial Regular" w:cs="Arial Regular"/>
                <w:sz w:val="20"/>
                <w:szCs w:val="20"/>
              </w:rPr>
            </w:pPr>
          </w:p>
        </w:tc>
        <w:tc>
          <w:tcPr>
            <w:tcW w:w="0" w:type="auto"/>
            <w:shd w:val="clear" w:color="auto" w:fill="auto"/>
            <w:vAlign w:val="center"/>
          </w:tcPr>
          <w:p w14:paraId="5FBD1EFE">
            <w:pPr>
              <w:pStyle w:val="42"/>
              <w:jc w:val="center"/>
              <w:rPr>
                <w:rFonts w:hint="default" w:ascii="Arial Regular" w:hAnsi="Arial Regular" w:cs="Arial Regular"/>
                <w:sz w:val="20"/>
                <w:szCs w:val="20"/>
              </w:rPr>
            </w:pPr>
          </w:p>
        </w:tc>
        <w:tc>
          <w:tcPr>
            <w:tcW w:w="0" w:type="auto"/>
            <w:shd w:val="clear" w:color="auto" w:fill="auto"/>
            <w:vAlign w:val="center"/>
          </w:tcPr>
          <w:p w14:paraId="3CBF4273">
            <w:pPr>
              <w:pStyle w:val="42"/>
              <w:jc w:val="center"/>
              <w:rPr>
                <w:rFonts w:hint="default" w:ascii="Arial Regular" w:hAnsi="Arial Regular" w:cs="Arial Regular"/>
                <w:sz w:val="20"/>
                <w:szCs w:val="20"/>
              </w:rPr>
            </w:pPr>
          </w:p>
        </w:tc>
        <w:tc>
          <w:tcPr>
            <w:tcW w:w="0" w:type="auto"/>
            <w:shd w:val="clear" w:color="auto" w:fill="auto"/>
            <w:vAlign w:val="center"/>
          </w:tcPr>
          <w:p w14:paraId="53725B3D">
            <w:pPr>
              <w:pStyle w:val="42"/>
              <w:jc w:val="center"/>
              <w:rPr>
                <w:rFonts w:hint="default" w:ascii="Arial Regular" w:hAnsi="Arial Regular" w:cs="Arial Regular"/>
                <w:sz w:val="20"/>
                <w:szCs w:val="20"/>
              </w:rPr>
            </w:pPr>
          </w:p>
        </w:tc>
      </w:tr>
      <w:tr w14:paraId="0BD1F036">
        <w:trPr>
          <w:trHeight w:val="20" w:hRule="atLeast"/>
          <w:jc w:val="center"/>
        </w:trPr>
        <w:tc>
          <w:tcPr>
            <w:tcW w:w="0" w:type="auto"/>
            <w:shd w:val="clear" w:color="auto" w:fill="auto"/>
            <w:vAlign w:val="center"/>
          </w:tcPr>
          <w:p w14:paraId="485FFC4C">
            <w:pPr>
              <w:pStyle w:val="42"/>
              <w:jc w:val="center"/>
              <w:rPr>
                <w:rFonts w:hint="default" w:ascii="Arial Regular" w:hAnsi="Arial Regular" w:cs="Arial Regular"/>
                <w:sz w:val="20"/>
                <w:szCs w:val="20"/>
              </w:rPr>
            </w:pPr>
          </w:p>
        </w:tc>
        <w:tc>
          <w:tcPr>
            <w:tcW w:w="0" w:type="auto"/>
            <w:vMerge w:val="continue"/>
            <w:tcBorders>
              <w:top w:val="single" w:color="auto" w:sz="8" w:space="0"/>
              <w:left w:val="nil"/>
              <w:bottom w:val="single" w:color="auto" w:sz="12" w:space="0"/>
              <w:right w:val="nil"/>
            </w:tcBorders>
            <w:shd w:val="clear" w:color="auto" w:fill="auto"/>
            <w:vAlign w:val="center"/>
          </w:tcPr>
          <w:p w14:paraId="1EF7730F">
            <w:pPr>
              <w:pStyle w:val="42"/>
              <w:jc w:val="center"/>
              <w:rPr>
                <w:rFonts w:hint="default" w:ascii="Arial Regular" w:hAnsi="Arial Regular" w:cs="Arial Regular"/>
                <w:sz w:val="20"/>
                <w:szCs w:val="20"/>
              </w:rPr>
            </w:pPr>
          </w:p>
        </w:tc>
        <w:tc>
          <w:tcPr>
            <w:tcW w:w="444" w:type="dxa"/>
            <w:shd w:val="clear" w:color="auto" w:fill="auto"/>
            <w:tcMar>
              <w:top w:w="12" w:type="dxa"/>
              <w:left w:w="12" w:type="dxa"/>
              <w:right w:w="12" w:type="dxa"/>
            </w:tcMar>
            <w:vAlign w:val="center"/>
          </w:tcPr>
          <w:p w14:paraId="2396CFE3">
            <w:pPr>
              <w:pStyle w:val="42"/>
              <w:jc w:val="center"/>
              <w:rPr>
                <w:rFonts w:hint="default" w:ascii="Arial Regular" w:hAnsi="Arial Regular" w:cs="Arial Regular"/>
                <w:sz w:val="20"/>
                <w:szCs w:val="20"/>
              </w:rPr>
            </w:pPr>
            <w:r>
              <w:rPr>
                <w:rFonts w:hint="default" w:ascii="Arial Regular" w:hAnsi="Arial Regular" w:cs="Arial Regular"/>
                <w:sz w:val="20"/>
                <w:szCs w:val="20"/>
              </w:rPr>
              <w:t>O</w:t>
            </w:r>
          </w:p>
        </w:tc>
        <w:tc>
          <w:tcPr>
            <w:tcW w:w="444" w:type="dxa"/>
            <w:shd w:val="clear" w:color="auto" w:fill="auto"/>
            <w:tcMar>
              <w:top w:w="12" w:type="dxa"/>
              <w:left w:w="12" w:type="dxa"/>
              <w:right w:w="12" w:type="dxa"/>
            </w:tcMar>
            <w:vAlign w:val="center"/>
          </w:tcPr>
          <w:p w14:paraId="3E601476">
            <w:pPr>
              <w:pStyle w:val="42"/>
              <w:jc w:val="center"/>
              <w:rPr>
                <w:rFonts w:hint="default" w:ascii="Arial Regular" w:hAnsi="Arial Regular" w:cs="Arial Regular"/>
                <w:sz w:val="20"/>
                <w:szCs w:val="20"/>
              </w:rPr>
            </w:pPr>
            <w:r>
              <w:rPr>
                <w:rFonts w:hint="default" w:ascii="Arial Regular" w:hAnsi="Arial Regular" w:cs="Arial Regular"/>
                <w:sz w:val="20"/>
                <w:szCs w:val="20"/>
              </w:rPr>
              <w:t>11</w:t>
            </w:r>
          </w:p>
        </w:tc>
        <w:tc>
          <w:tcPr>
            <w:tcW w:w="882" w:type="dxa"/>
            <w:shd w:val="clear" w:color="auto" w:fill="auto"/>
            <w:tcMar>
              <w:top w:w="12" w:type="dxa"/>
              <w:left w:w="12" w:type="dxa"/>
              <w:right w:w="12" w:type="dxa"/>
            </w:tcMar>
            <w:vAlign w:val="center"/>
          </w:tcPr>
          <w:p w14:paraId="2A7F2B0A">
            <w:pPr>
              <w:pStyle w:val="42"/>
              <w:jc w:val="center"/>
              <w:rPr>
                <w:rFonts w:hint="default" w:ascii="Arial Regular" w:hAnsi="Arial Regular" w:cs="Arial Regular"/>
                <w:sz w:val="20"/>
                <w:szCs w:val="20"/>
              </w:rPr>
            </w:pPr>
            <w:r>
              <w:rPr>
                <w:rFonts w:hint="default" w:ascii="Arial Regular" w:hAnsi="Arial Regular" w:cs="Arial Regular"/>
                <w:sz w:val="20"/>
                <w:szCs w:val="20"/>
              </w:rPr>
              <w:t>0.089</w:t>
            </w:r>
          </w:p>
        </w:tc>
        <w:tc>
          <w:tcPr>
            <w:tcW w:w="777" w:type="dxa"/>
            <w:shd w:val="clear" w:color="auto" w:fill="auto"/>
            <w:tcMar>
              <w:top w:w="12" w:type="dxa"/>
              <w:left w:w="12" w:type="dxa"/>
              <w:right w:w="12" w:type="dxa"/>
            </w:tcMar>
            <w:vAlign w:val="center"/>
          </w:tcPr>
          <w:p w14:paraId="16AB171A">
            <w:pPr>
              <w:pStyle w:val="42"/>
              <w:jc w:val="center"/>
              <w:rPr>
                <w:rFonts w:hint="default" w:ascii="Arial Regular" w:hAnsi="Arial Regular" w:cs="Arial Regular"/>
                <w:sz w:val="20"/>
                <w:szCs w:val="20"/>
              </w:rPr>
            </w:pPr>
            <w:r>
              <w:rPr>
                <w:rFonts w:hint="default" w:ascii="Arial Regular" w:hAnsi="Arial Regular" w:cs="Arial Regular"/>
                <w:sz w:val="20"/>
                <w:szCs w:val="20"/>
              </w:rPr>
              <w:t>0.054</w:t>
            </w:r>
          </w:p>
        </w:tc>
        <w:tc>
          <w:tcPr>
            <w:tcW w:w="777" w:type="dxa"/>
            <w:shd w:val="clear" w:color="auto" w:fill="auto"/>
            <w:tcMar>
              <w:top w:w="12" w:type="dxa"/>
              <w:left w:w="12" w:type="dxa"/>
              <w:right w:w="12" w:type="dxa"/>
            </w:tcMar>
            <w:vAlign w:val="center"/>
          </w:tcPr>
          <w:p w14:paraId="2AA3E889">
            <w:pPr>
              <w:pStyle w:val="42"/>
              <w:jc w:val="center"/>
              <w:rPr>
                <w:rFonts w:hint="default" w:ascii="Arial Regular" w:hAnsi="Arial Regular" w:cs="Arial Regular"/>
                <w:sz w:val="20"/>
                <w:szCs w:val="20"/>
              </w:rPr>
            </w:pPr>
            <w:r>
              <w:rPr>
                <w:rFonts w:hint="default" w:ascii="Arial Regular" w:hAnsi="Arial Regular" w:cs="Arial Regular"/>
                <w:sz w:val="20"/>
                <w:szCs w:val="20"/>
              </w:rPr>
              <w:t>0.071</w:t>
            </w:r>
          </w:p>
        </w:tc>
        <w:tc>
          <w:tcPr>
            <w:tcW w:w="0" w:type="auto"/>
            <w:shd w:val="clear" w:color="auto" w:fill="auto"/>
            <w:vAlign w:val="center"/>
          </w:tcPr>
          <w:p w14:paraId="3F14D0D4">
            <w:pPr>
              <w:pStyle w:val="42"/>
              <w:jc w:val="center"/>
              <w:rPr>
                <w:rFonts w:hint="default" w:ascii="Arial Regular" w:hAnsi="Arial Regular" w:cs="Arial Regular"/>
                <w:sz w:val="20"/>
                <w:szCs w:val="20"/>
              </w:rPr>
            </w:pPr>
          </w:p>
        </w:tc>
        <w:tc>
          <w:tcPr>
            <w:tcW w:w="0" w:type="auto"/>
            <w:shd w:val="clear" w:color="auto" w:fill="auto"/>
            <w:vAlign w:val="center"/>
          </w:tcPr>
          <w:p w14:paraId="4FC3E3BC">
            <w:pPr>
              <w:pStyle w:val="42"/>
              <w:jc w:val="center"/>
              <w:rPr>
                <w:rFonts w:hint="default" w:ascii="Arial Regular" w:hAnsi="Arial Regular" w:cs="Arial Regular"/>
                <w:sz w:val="20"/>
                <w:szCs w:val="20"/>
              </w:rPr>
            </w:pPr>
          </w:p>
        </w:tc>
        <w:tc>
          <w:tcPr>
            <w:tcW w:w="0" w:type="auto"/>
            <w:shd w:val="clear" w:color="auto" w:fill="auto"/>
            <w:vAlign w:val="center"/>
          </w:tcPr>
          <w:p w14:paraId="0A52AEB7">
            <w:pPr>
              <w:pStyle w:val="42"/>
              <w:jc w:val="center"/>
              <w:rPr>
                <w:rFonts w:hint="default" w:ascii="Arial Regular" w:hAnsi="Arial Regular" w:cs="Arial Regular"/>
                <w:sz w:val="20"/>
                <w:szCs w:val="20"/>
              </w:rPr>
            </w:pPr>
          </w:p>
        </w:tc>
        <w:tc>
          <w:tcPr>
            <w:tcW w:w="0" w:type="auto"/>
            <w:shd w:val="clear" w:color="auto" w:fill="auto"/>
            <w:vAlign w:val="center"/>
          </w:tcPr>
          <w:p w14:paraId="23FB2C94">
            <w:pPr>
              <w:pStyle w:val="42"/>
              <w:jc w:val="center"/>
              <w:rPr>
                <w:rFonts w:hint="default" w:ascii="Arial Regular" w:hAnsi="Arial Regular" w:cs="Arial Regular"/>
                <w:sz w:val="20"/>
                <w:szCs w:val="20"/>
              </w:rPr>
            </w:pPr>
          </w:p>
        </w:tc>
      </w:tr>
      <w:tr w14:paraId="235CE72D">
        <w:trPr>
          <w:trHeight w:val="20" w:hRule="atLeast"/>
          <w:jc w:val="center"/>
        </w:trPr>
        <w:tc>
          <w:tcPr>
            <w:tcW w:w="0" w:type="auto"/>
            <w:shd w:val="clear" w:color="auto" w:fill="auto"/>
            <w:vAlign w:val="center"/>
          </w:tcPr>
          <w:p w14:paraId="543775BE">
            <w:pPr>
              <w:pStyle w:val="42"/>
              <w:jc w:val="center"/>
              <w:rPr>
                <w:rFonts w:hint="default" w:ascii="Arial Regular" w:hAnsi="Arial Regular" w:cs="Arial Regular"/>
                <w:sz w:val="20"/>
                <w:szCs w:val="20"/>
              </w:rPr>
            </w:pPr>
          </w:p>
        </w:tc>
        <w:tc>
          <w:tcPr>
            <w:tcW w:w="0" w:type="auto"/>
            <w:vMerge w:val="continue"/>
            <w:tcBorders>
              <w:top w:val="single" w:color="auto" w:sz="8" w:space="0"/>
              <w:left w:val="nil"/>
              <w:bottom w:val="single" w:color="auto" w:sz="12" w:space="0"/>
              <w:right w:val="nil"/>
            </w:tcBorders>
            <w:shd w:val="clear" w:color="auto" w:fill="auto"/>
            <w:vAlign w:val="center"/>
          </w:tcPr>
          <w:p w14:paraId="0A9D73B2">
            <w:pPr>
              <w:pStyle w:val="42"/>
              <w:jc w:val="center"/>
              <w:rPr>
                <w:rFonts w:hint="default" w:ascii="Arial Regular" w:hAnsi="Arial Regular" w:cs="Arial Regular"/>
                <w:sz w:val="20"/>
                <w:szCs w:val="20"/>
              </w:rPr>
            </w:pPr>
          </w:p>
        </w:tc>
        <w:tc>
          <w:tcPr>
            <w:tcW w:w="444" w:type="dxa"/>
            <w:shd w:val="clear" w:color="auto" w:fill="auto"/>
            <w:tcMar>
              <w:top w:w="12" w:type="dxa"/>
              <w:left w:w="12" w:type="dxa"/>
              <w:right w:w="12" w:type="dxa"/>
            </w:tcMar>
            <w:vAlign w:val="center"/>
          </w:tcPr>
          <w:p w14:paraId="3F854559">
            <w:pPr>
              <w:pStyle w:val="42"/>
              <w:jc w:val="center"/>
              <w:rPr>
                <w:rFonts w:hint="default" w:ascii="Arial Regular" w:hAnsi="Arial Regular" w:cs="Arial Regular"/>
                <w:sz w:val="20"/>
                <w:szCs w:val="20"/>
              </w:rPr>
            </w:pPr>
            <w:r>
              <w:rPr>
                <w:rFonts w:hint="default" w:ascii="Arial Regular" w:hAnsi="Arial Regular" w:cs="Arial Regular"/>
                <w:sz w:val="20"/>
                <w:szCs w:val="20"/>
              </w:rPr>
              <w:t>O</w:t>
            </w:r>
          </w:p>
        </w:tc>
        <w:tc>
          <w:tcPr>
            <w:tcW w:w="444" w:type="dxa"/>
            <w:shd w:val="clear" w:color="auto" w:fill="auto"/>
            <w:tcMar>
              <w:top w:w="12" w:type="dxa"/>
              <w:left w:w="12" w:type="dxa"/>
              <w:right w:w="12" w:type="dxa"/>
            </w:tcMar>
            <w:vAlign w:val="center"/>
          </w:tcPr>
          <w:p w14:paraId="4A9DC479">
            <w:pPr>
              <w:pStyle w:val="42"/>
              <w:jc w:val="center"/>
              <w:rPr>
                <w:rFonts w:hint="default" w:ascii="Arial Regular" w:hAnsi="Arial Regular" w:cs="Arial Regular"/>
                <w:sz w:val="20"/>
                <w:szCs w:val="20"/>
              </w:rPr>
            </w:pPr>
            <w:r>
              <w:rPr>
                <w:rFonts w:hint="default" w:ascii="Arial Regular" w:hAnsi="Arial Regular" w:cs="Arial Regular"/>
                <w:sz w:val="20"/>
                <w:szCs w:val="20"/>
              </w:rPr>
              <w:t>12</w:t>
            </w:r>
          </w:p>
        </w:tc>
        <w:tc>
          <w:tcPr>
            <w:tcW w:w="882" w:type="dxa"/>
            <w:shd w:val="clear" w:color="auto" w:fill="auto"/>
            <w:tcMar>
              <w:top w:w="12" w:type="dxa"/>
              <w:left w:w="12" w:type="dxa"/>
              <w:right w:w="12" w:type="dxa"/>
            </w:tcMar>
            <w:vAlign w:val="center"/>
          </w:tcPr>
          <w:p w14:paraId="7C439DEA">
            <w:pPr>
              <w:pStyle w:val="42"/>
              <w:jc w:val="center"/>
              <w:rPr>
                <w:rFonts w:hint="default" w:ascii="Arial Regular" w:hAnsi="Arial Regular" w:cs="Arial Regular"/>
                <w:sz w:val="20"/>
                <w:szCs w:val="20"/>
              </w:rPr>
            </w:pPr>
            <w:r>
              <w:rPr>
                <w:rFonts w:hint="default" w:ascii="Arial Regular" w:hAnsi="Arial Regular" w:cs="Arial Regular"/>
                <w:sz w:val="20"/>
                <w:szCs w:val="20"/>
              </w:rPr>
              <w:t>0.044</w:t>
            </w:r>
          </w:p>
        </w:tc>
        <w:tc>
          <w:tcPr>
            <w:tcW w:w="777" w:type="dxa"/>
            <w:shd w:val="clear" w:color="auto" w:fill="auto"/>
            <w:tcMar>
              <w:top w:w="12" w:type="dxa"/>
              <w:left w:w="12" w:type="dxa"/>
              <w:right w:w="12" w:type="dxa"/>
            </w:tcMar>
            <w:vAlign w:val="center"/>
          </w:tcPr>
          <w:p w14:paraId="6B63A044">
            <w:pPr>
              <w:pStyle w:val="42"/>
              <w:jc w:val="center"/>
              <w:rPr>
                <w:rFonts w:hint="default" w:ascii="Arial Regular" w:hAnsi="Arial Regular" w:cs="Arial Regular"/>
                <w:sz w:val="20"/>
                <w:szCs w:val="20"/>
              </w:rPr>
            </w:pPr>
            <w:r>
              <w:rPr>
                <w:rFonts w:hint="default" w:ascii="Arial Regular" w:hAnsi="Arial Regular" w:cs="Arial Regular"/>
                <w:sz w:val="20"/>
                <w:szCs w:val="20"/>
              </w:rPr>
              <w:t>0.042</w:t>
            </w:r>
          </w:p>
        </w:tc>
        <w:tc>
          <w:tcPr>
            <w:tcW w:w="777" w:type="dxa"/>
            <w:shd w:val="clear" w:color="auto" w:fill="auto"/>
            <w:tcMar>
              <w:top w:w="12" w:type="dxa"/>
              <w:left w:w="12" w:type="dxa"/>
              <w:right w:w="12" w:type="dxa"/>
            </w:tcMar>
            <w:vAlign w:val="center"/>
          </w:tcPr>
          <w:p w14:paraId="352B654B">
            <w:pPr>
              <w:pStyle w:val="42"/>
              <w:jc w:val="center"/>
              <w:rPr>
                <w:rFonts w:hint="default" w:ascii="Arial Regular" w:hAnsi="Arial Regular" w:cs="Arial Regular"/>
                <w:sz w:val="20"/>
                <w:szCs w:val="20"/>
              </w:rPr>
            </w:pPr>
            <w:r>
              <w:rPr>
                <w:rFonts w:hint="default" w:ascii="Arial Regular" w:hAnsi="Arial Regular" w:cs="Arial Regular"/>
                <w:sz w:val="20"/>
                <w:szCs w:val="20"/>
              </w:rPr>
              <w:t>0.043</w:t>
            </w:r>
          </w:p>
        </w:tc>
        <w:tc>
          <w:tcPr>
            <w:tcW w:w="0" w:type="auto"/>
            <w:shd w:val="clear" w:color="auto" w:fill="auto"/>
            <w:vAlign w:val="center"/>
          </w:tcPr>
          <w:p w14:paraId="262F558C">
            <w:pPr>
              <w:pStyle w:val="42"/>
              <w:jc w:val="center"/>
              <w:rPr>
                <w:rFonts w:hint="default" w:ascii="Arial Regular" w:hAnsi="Arial Regular" w:cs="Arial Regular"/>
                <w:sz w:val="20"/>
                <w:szCs w:val="20"/>
              </w:rPr>
            </w:pPr>
          </w:p>
        </w:tc>
        <w:tc>
          <w:tcPr>
            <w:tcW w:w="0" w:type="auto"/>
            <w:shd w:val="clear" w:color="auto" w:fill="auto"/>
            <w:vAlign w:val="center"/>
          </w:tcPr>
          <w:p w14:paraId="48D91E89">
            <w:pPr>
              <w:pStyle w:val="42"/>
              <w:jc w:val="center"/>
              <w:rPr>
                <w:rFonts w:hint="default" w:ascii="Arial Regular" w:hAnsi="Arial Regular" w:cs="Arial Regular"/>
                <w:sz w:val="20"/>
                <w:szCs w:val="20"/>
              </w:rPr>
            </w:pPr>
          </w:p>
        </w:tc>
        <w:tc>
          <w:tcPr>
            <w:tcW w:w="0" w:type="auto"/>
            <w:shd w:val="clear" w:color="auto" w:fill="auto"/>
            <w:vAlign w:val="center"/>
          </w:tcPr>
          <w:p w14:paraId="1328B75C">
            <w:pPr>
              <w:pStyle w:val="42"/>
              <w:jc w:val="center"/>
              <w:rPr>
                <w:rFonts w:hint="default" w:ascii="Arial Regular" w:hAnsi="Arial Regular" w:cs="Arial Regular"/>
                <w:sz w:val="20"/>
                <w:szCs w:val="20"/>
              </w:rPr>
            </w:pPr>
          </w:p>
        </w:tc>
        <w:tc>
          <w:tcPr>
            <w:tcW w:w="0" w:type="auto"/>
            <w:shd w:val="clear" w:color="auto" w:fill="auto"/>
            <w:vAlign w:val="center"/>
          </w:tcPr>
          <w:p w14:paraId="3F5A6C1D">
            <w:pPr>
              <w:pStyle w:val="42"/>
              <w:jc w:val="center"/>
              <w:rPr>
                <w:rFonts w:hint="default" w:ascii="Arial Regular" w:hAnsi="Arial Regular" w:cs="Arial Regular"/>
                <w:sz w:val="20"/>
                <w:szCs w:val="20"/>
              </w:rPr>
            </w:pPr>
          </w:p>
        </w:tc>
      </w:tr>
      <w:tr w14:paraId="6DC76059">
        <w:trPr>
          <w:trHeight w:val="20" w:hRule="atLeast"/>
          <w:jc w:val="center"/>
        </w:trPr>
        <w:tc>
          <w:tcPr>
            <w:tcW w:w="0" w:type="auto"/>
            <w:shd w:val="clear" w:color="auto" w:fill="auto"/>
            <w:vAlign w:val="center"/>
          </w:tcPr>
          <w:p w14:paraId="6A84BFEC">
            <w:pPr>
              <w:pStyle w:val="42"/>
              <w:jc w:val="center"/>
              <w:rPr>
                <w:rFonts w:hint="default" w:ascii="Arial Regular" w:hAnsi="Arial Regular" w:cs="Arial Regular"/>
                <w:sz w:val="20"/>
                <w:szCs w:val="20"/>
              </w:rPr>
            </w:pPr>
          </w:p>
        </w:tc>
        <w:tc>
          <w:tcPr>
            <w:tcW w:w="0" w:type="auto"/>
            <w:vMerge w:val="continue"/>
            <w:tcBorders>
              <w:top w:val="single" w:color="auto" w:sz="8" w:space="0"/>
              <w:left w:val="nil"/>
              <w:bottom w:val="single" w:color="auto" w:sz="12" w:space="0"/>
              <w:right w:val="nil"/>
            </w:tcBorders>
            <w:shd w:val="clear" w:color="auto" w:fill="auto"/>
            <w:vAlign w:val="center"/>
          </w:tcPr>
          <w:p w14:paraId="6F1421E7">
            <w:pPr>
              <w:pStyle w:val="42"/>
              <w:jc w:val="center"/>
              <w:rPr>
                <w:rFonts w:hint="default" w:ascii="Arial Regular" w:hAnsi="Arial Regular" w:cs="Arial Regular"/>
                <w:sz w:val="20"/>
                <w:szCs w:val="20"/>
              </w:rPr>
            </w:pPr>
          </w:p>
        </w:tc>
        <w:tc>
          <w:tcPr>
            <w:tcW w:w="444" w:type="dxa"/>
            <w:shd w:val="clear" w:color="auto" w:fill="auto"/>
            <w:tcMar>
              <w:top w:w="12" w:type="dxa"/>
              <w:left w:w="12" w:type="dxa"/>
              <w:right w:w="12" w:type="dxa"/>
            </w:tcMar>
            <w:vAlign w:val="center"/>
          </w:tcPr>
          <w:p w14:paraId="7ED460B2">
            <w:pPr>
              <w:pStyle w:val="42"/>
              <w:jc w:val="center"/>
              <w:rPr>
                <w:rFonts w:hint="default" w:ascii="Arial Regular" w:hAnsi="Arial Regular" w:cs="Arial Regular"/>
                <w:sz w:val="20"/>
                <w:szCs w:val="20"/>
              </w:rPr>
            </w:pPr>
            <w:r>
              <w:rPr>
                <w:rFonts w:hint="default" w:ascii="Arial Regular" w:hAnsi="Arial Regular" w:cs="Arial Regular"/>
                <w:sz w:val="20"/>
                <w:szCs w:val="20"/>
              </w:rPr>
              <w:t>H</w:t>
            </w:r>
          </w:p>
        </w:tc>
        <w:tc>
          <w:tcPr>
            <w:tcW w:w="444" w:type="dxa"/>
            <w:shd w:val="clear" w:color="auto" w:fill="auto"/>
            <w:tcMar>
              <w:top w:w="12" w:type="dxa"/>
              <w:left w:w="12" w:type="dxa"/>
              <w:right w:w="12" w:type="dxa"/>
            </w:tcMar>
            <w:vAlign w:val="center"/>
          </w:tcPr>
          <w:p w14:paraId="29C075B3">
            <w:pPr>
              <w:pStyle w:val="42"/>
              <w:jc w:val="center"/>
              <w:rPr>
                <w:rFonts w:hint="default" w:ascii="Arial Regular" w:hAnsi="Arial Regular" w:cs="Arial Regular"/>
                <w:sz w:val="20"/>
                <w:szCs w:val="20"/>
              </w:rPr>
            </w:pPr>
            <w:r>
              <w:rPr>
                <w:rFonts w:hint="default" w:ascii="Arial Regular" w:hAnsi="Arial Regular" w:cs="Arial Regular"/>
                <w:sz w:val="20"/>
                <w:szCs w:val="20"/>
              </w:rPr>
              <w:t>13</w:t>
            </w:r>
          </w:p>
        </w:tc>
        <w:tc>
          <w:tcPr>
            <w:tcW w:w="882" w:type="dxa"/>
            <w:shd w:val="clear" w:color="auto" w:fill="auto"/>
            <w:tcMar>
              <w:top w:w="12" w:type="dxa"/>
              <w:left w:w="12" w:type="dxa"/>
              <w:right w:w="12" w:type="dxa"/>
            </w:tcMar>
            <w:vAlign w:val="center"/>
          </w:tcPr>
          <w:p w14:paraId="76D73131">
            <w:pPr>
              <w:pStyle w:val="42"/>
              <w:jc w:val="center"/>
              <w:rPr>
                <w:rFonts w:hint="default" w:ascii="Arial Regular" w:hAnsi="Arial Regular" w:cs="Arial Regular"/>
                <w:sz w:val="20"/>
                <w:szCs w:val="20"/>
              </w:rPr>
            </w:pPr>
            <w:r>
              <w:rPr>
                <w:rFonts w:hint="default" w:ascii="Arial Regular" w:hAnsi="Arial Regular" w:cs="Arial Regular"/>
                <w:sz w:val="20"/>
                <w:szCs w:val="20"/>
              </w:rPr>
              <w:t>0.036</w:t>
            </w:r>
          </w:p>
        </w:tc>
        <w:tc>
          <w:tcPr>
            <w:tcW w:w="777" w:type="dxa"/>
            <w:shd w:val="clear" w:color="auto" w:fill="auto"/>
            <w:tcMar>
              <w:top w:w="12" w:type="dxa"/>
              <w:left w:w="12" w:type="dxa"/>
              <w:right w:w="12" w:type="dxa"/>
            </w:tcMar>
            <w:vAlign w:val="center"/>
          </w:tcPr>
          <w:p w14:paraId="027FC20A">
            <w:pPr>
              <w:pStyle w:val="42"/>
              <w:jc w:val="center"/>
              <w:rPr>
                <w:rFonts w:hint="default" w:ascii="Arial Regular" w:hAnsi="Arial Regular" w:cs="Arial Regular"/>
                <w:sz w:val="20"/>
                <w:szCs w:val="20"/>
              </w:rPr>
            </w:pPr>
            <w:r>
              <w:rPr>
                <w:rFonts w:hint="default" w:ascii="Arial Regular" w:hAnsi="Arial Regular" w:cs="Arial Regular"/>
                <w:sz w:val="20"/>
                <w:szCs w:val="20"/>
              </w:rPr>
              <w:t>0.042</w:t>
            </w:r>
          </w:p>
        </w:tc>
        <w:tc>
          <w:tcPr>
            <w:tcW w:w="777" w:type="dxa"/>
            <w:shd w:val="clear" w:color="auto" w:fill="auto"/>
            <w:tcMar>
              <w:top w:w="12" w:type="dxa"/>
              <w:left w:w="12" w:type="dxa"/>
              <w:right w:w="12" w:type="dxa"/>
            </w:tcMar>
            <w:vAlign w:val="center"/>
          </w:tcPr>
          <w:p w14:paraId="11CA862A">
            <w:pPr>
              <w:pStyle w:val="42"/>
              <w:jc w:val="center"/>
              <w:rPr>
                <w:rFonts w:hint="default" w:ascii="Arial Regular" w:hAnsi="Arial Regular" w:cs="Arial Regular"/>
                <w:sz w:val="20"/>
                <w:szCs w:val="20"/>
              </w:rPr>
            </w:pPr>
            <w:r>
              <w:rPr>
                <w:rFonts w:hint="default" w:ascii="Arial Regular" w:hAnsi="Arial Regular" w:cs="Arial Regular"/>
                <w:sz w:val="20"/>
                <w:szCs w:val="20"/>
              </w:rPr>
              <w:t>0.039</w:t>
            </w:r>
          </w:p>
        </w:tc>
        <w:tc>
          <w:tcPr>
            <w:tcW w:w="0" w:type="auto"/>
            <w:shd w:val="clear" w:color="auto" w:fill="auto"/>
            <w:vAlign w:val="center"/>
          </w:tcPr>
          <w:p w14:paraId="78859873">
            <w:pPr>
              <w:pStyle w:val="42"/>
              <w:jc w:val="center"/>
              <w:rPr>
                <w:rFonts w:hint="default" w:ascii="Arial Regular" w:hAnsi="Arial Regular" w:cs="Arial Regular"/>
                <w:sz w:val="20"/>
                <w:szCs w:val="20"/>
              </w:rPr>
            </w:pPr>
          </w:p>
        </w:tc>
        <w:tc>
          <w:tcPr>
            <w:tcW w:w="0" w:type="auto"/>
            <w:shd w:val="clear" w:color="auto" w:fill="auto"/>
            <w:vAlign w:val="center"/>
          </w:tcPr>
          <w:p w14:paraId="65BB2667">
            <w:pPr>
              <w:pStyle w:val="42"/>
              <w:jc w:val="center"/>
              <w:rPr>
                <w:rFonts w:hint="default" w:ascii="Arial Regular" w:hAnsi="Arial Regular" w:cs="Arial Regular"/>
                <w:sz w:val="20"/>
                <w:szCs w:val="20"/>
              </w:rPr>
            </w:pPr>
          </w:p>
        </w:tc>
        <w:tc>
          <w:tcPr>
            <w:tcW w:w="0" w:type="auto"/>
            <w:shd w:val="clear" w:color="auto" w:fill="auto"/>
            <w:vAlign w:val="center"/>
          </w:tcPr>
          <w:p w14:paraId="1EEDFB5D">
            <w:pPr>
              <w:pStyle w:val="42"/>
              <w:jc w:val="center"/>
              <w:rPr>
                <w:rFonts w:hint="default" w:ascii="Arial Regular" w:hAnsi="Arial Regular" w:cs="Arial Regular"/>
                <w:sz w:val="20"/>
                <w:szCs w:val="20"/>
              </w:rPr>
            </w:pPr>
          </w:p>
        </w:tc>
        <w:tc>
          <w:tcPr>
            <w:tcW w:w="0" w:type="auto"/>
            <w:shd w:val="clear" w:color="auto" w:fill="auto"/>
            <w:vAlign w:val="center"/>
          </w:tcPr>
          <w:p w14:paraId="21DDAC27">
            <w:pPr>
              <w:pStyle w:val="42"/>
              <w:jc w:val="center"/>
              <w:rPr>
                <w:rFonts w:hint="default" w:ascii="Arial Regular" w:hAnsi="Arial Regular" w:cs="Arial Regular"/>
                <w:sz w:val="20"/>
                <w:szCs w:val="20"/>
              </w:rPr>
            </w:pPr>
          </w:p>
        </w:tc>
      </w:tr>
      <w:tr w14:paraId="601EBEA8">
        <w:trPr>
          <w:trHeight w:val="20" w:hRule="atLeast"/>
          <w:jc w:val="center"/>
        </w:trPr>
        <w:tc>
          <w:tcPr>
            <w:tcW w:w="0" w:type="auto"/>
            <w:shd w:val="clear" w:color="auto" w:fill="auto"/>
            <w:vAlign w:val="center"/>
          </w:tcPr>
          <w:p w14:paraId="3C9EBC3B">
            <w:pPr>
              <w:pStyle w:val="42"/>
              <w:jc w:val="center"/>
              <w:rPr>
                <w:rFonts w:hint="default" w:ascii="Arial Regular" w:hAnsi="Arial Regular" w:cs="Arial Regular"/>
                <w:sz w:val="20"/>
                <w:szCs w:val="20"/>
              </w:rPr>
            </w:pPr>
          </w:p>
        </w:tc>
        <w:tc>
          <w:tcPr>
            <w:tcW w:w="0" w:type="auto"/>
            <w:vMerge w:val="continue"/>
            <w:tcBorders>
              <w:top w:val="single" w:color="auto" w:sz="8" w:space="0"/>
              <w:left w:val="nil"/>
              <w:bottom w:val="single" w:color="auto" w:sz="12" w:space="0"/>
              <w:right w:val="nil"/>
            </w:tcBorders>
            <w:shd w:val="clear" w:color="auto" w:fill="auto"/>
            <w:vAlign w:val="center"/>
          </w:tcPr>
          <w:p w14:paraId="1F09E8CE">
            <w:pPr>
              <w:pStyle w:val="42"/>
              <w:jc w:val="center"/>
              <w:rPr>
                <w:rFonts w:hint="default" w:ascii="Arial Regular" w:hAnsi="Arial Regular" w:cs="Arial Regular"/>
                <w:sz w:val="20"/>
                <w:szCs w:val="20"/>
              </w:rPr>
            </w:pPr>
          </w:p>
        </w:tc>
        <w:tc>
          <w:tcPr>
            <w:tcW w:w="444" w:type="dxa"/>
            <w:shd w:val="clear" w:color="auto" w:fill="auto"/>
            <w:tcMar>
              <w:top w:w="12" w:type="dxa"/>
              <w:left w:w="12" w:type="dxa"/>
              <w:right w:w="12" w:type="dxa"/>
            </w:tcMar>
            <w:vAlign w:val="center"/>
          </w:tcPr>
          <w:p w14:paraId="459BA302">
            <w:pPr>
              <w:pStyle w:val="42"/>
              <w:jc w:val="center"/>
              <w:rPr>
                <w:rFonts w:hint="default" w:ascii="Arial Regular" w:hAnsi="Arial Regular" w:cs="Arial Regular"/>
                <w:sz w:val="20"/>
                <w:szCs w:val="20"/>
              </w:rPr>
            </w:pPr>
            <w:r>
              <w:rPr>
                <w:rFonts w:hint="default" w:ascii="Arial Regular" w:hAnsi="Arial Regular" w:cs="Arial Regular"/>
                <w:sz w:val="20"/>
                <w:szCs w:val="20"/>
              </w:rPr>
              <w:t>H</w:t>
            </w:r>
          </w:p>
        </w:tc>
        <w:tc>
          <w:tcPr>
            <w:tcW w:w="444" w:type="dxa"/>
            <w:shd w:val="clear" w:color="auto" w:fill="auto"/>
            <w:tcMar>
              <w:top w:w="12" w:type="dxa"/>
              <w:left w:w="12" w:type="dxa"/>
              <w:right w:w="12" w:type="dxa"/>
            </w:tcMar>
            <w:vAlign w:val="center"/>
          </w:tcPr>
          <w:p w14:paraId="1386E810">
            <w:pPr>
              <w:pStyle w:val="42"/>
              <w:jc w:val="center"/>
              <w:rPr>
                <w:rFonts w:hint="default" w:ascii="Arial Regular" w:hAnsi="Arial Regular" w:cs="Arial Regular"/>
                <w:sz w:val="20"/>
                <w:szCs w:val="20"/>
              </w:rPr>
            </w:pPr>
            <w:r>
              <w:rPr>
                <w:rFonts w:hint="default" w:ascii="Arial Regular" w:hAnsi="Arial Regular" w:cs="Arial Regular"/>
                <w:sz w:val="20"/>
                <w:szCs w:val="20"/>
              </w:rPr>
              <w:t>14</w:t>
            </w:r>
          </w:p>
        </w:tc>
        <w:tc>
          <w:tcPr>
            <w:tcW w:w="882" w:type="dxa"/>
            <w:shd w:val="clear" w:color="auto" w:fill="auto"/>
            <w:tcMar>
              <w:top w:w="12" w:type="dxa"/>
              <w:left w:w="12" w:type="dxa"/>
              <w:right w:w="12" w:type="dxa"/>
            </w:tcMar>
            <w:vAlign w:val="center"/>
          </w:tcPr>
          <w:p w14:paraId="2F595889">
            <w:pPr>
              <w:pStyle w:val="42"/>
              <w:jc w:val="center"/>
              <w:rPr>
                <w:rFonts w:hint="default" w:ascii="Arial Regular" w:hAnsi="Arial Regular" w:cs="Arial Regular"/>
                <w:sz w:val="20"/>
                <w:szCs w:val="20"/>
              </w:rPr>
            </w:pPr>
            <w:r>
              <w:rPr>
                <w:rFonts w:hint="default" w:ascii="Arial Regular" w:hAnsi="Arial Regular" w:cs="Arial Regular"/>
                <w:sz w:val="20"/>
                <w:szCs w:val="20"/>
              </w:rPr>
              <w:t>0.034</w:t>
            </w:r>
          </w:p>
        </w:tc>
        <w:tc>
          <w:tcPr>
            <w:tcW w:w="777" w:type="dxa"/>
            <w:shd w:val="clear" w:color="auto" w:fill="auto"/>
            <w:tcMar>
              <w:top w:w="12" w:type="dxa"/>
              <w:left w:w="12" w:type="dxa"/>
              <w:right w:w="12" w:type="dxa"/>
            </w:tcMar>
            <w:vAlign w:val="center"/>
          </w:tcPr>
          <w:p w14:paraId="6BA8EE33">
            <w:pPr>
              <w:pStyle w:val="42"/>
              <w:jc w:val="center"/>
              <w:rPr>
                <w:rFonts w:hint="default" w:ascii="Arial Regular" w:hAnsi="Arial Regular" w:cs="Arial Regular"/>
                <w:sz w:val="20"/>
                <w:szCs w:val="20"/>
              </w:rPr>
            </w:pPr>
            <w:r>
              <w:rPr>
                <w:rFonts w:hint="default" w:ascii="Arial Regular" w:hAnsi="Arial Regular" w:cs="Arial Regular"/>
                <w:sz w:val="20"/>
                <w:szCs w:val="20"/>
              </w:rPr>
              <w:t>0.043</w:t>
            </w:r>
          </w:p>
        </w:tc>
        <w:tc>
          <w:tcPr>
            <w:tcW w:w="777" w:type="dxa"/>
            <w:shd w:val="clear" w:color="auto" w:fill="auto"/>
            <w:tcMar>
              <w:top w:w="12" w:type="dxa"/>
              <w:left w:w="12" w:type="dxa"/>
              <w:right w:w="12" w:type="dxa"/>
            </w:tcMar>
            <w:vAlign w:val="center"/>
          </w:tcPr>
          <w:p w14:paraId="5BD26914">
            <w:pPr>
              <w:pStyle w:val="42"/>
              <w:jc w:val="center"/>
              <w:rPr>
                <w:rFonts w:hint="default" w:ascii="Arial Regular" w:hAnsi="Arial Regular" w:cs="Arial Regular"/>
                <w:sz w:val="20"/>
                <w:szCs w:val="20"/>
              </w:rPr>
            </w:pPr>
            <w:r>
              <w:rPr>
                <w:rFonts w:hint="default" w:ascii="Arial Regular" w:hAnsi="Arial Regular" w:cs="Arial Regular"/>
                <w:sz w:val="20"/>
                <w:szCs w:val="20"/>
              </w:rPr>
              <w:t>0.039</w:t>
            </w:r>
          </w:p>
        </w:tc>
        <w:tc>
          <w:tcPr>
            <w:tcW w:w="0" w:type="auto"/>
            <w:shd w:val="clear" w:color="auto" w:fill="auto"/>
            <w:vAlign w:val="center"/>
          </w:tcPr>
          <w:p w14:paraId="1EC8B0CB">
            <w:pPr>
              <w:pStyle w:val="42"/>
              <w:jc w:val="center"/>
              <w:rPr>
                <w:rFonts w:hint="default" w:ascii="Arial Regular" w:hAnsi="Arial Regular" w:cs="Arial Regular"/>
                <w:sz w:val="20"/>
                <w:szCs w:val="20"/>
              </w:rPr>
            </w:pPr>
          </w:p>
        </w:tc>
        <w:tc>
          <w:tcPr>
            <w:tcW w:w="0" w:type="auto"/>
            <w:shd w:val="clear" w:color="auto" w:fill="auto"/>
            <w:vAlign w:val="center"/>
          </w:tcPr>
          <w:p w14:paraId="32963FE9">
            <w:pPr>
              <w:pStyle w:val="42"/>
              <w:jc w:val="center"/>
              <w:rPr>
                <w:rFonts w:hint="default" w:ascii="Arial Regular" w:hAnsi="Arial Regular" w:cs="Arial Regular"/>
                <w:sz w:val="20"/>
                <w:szCs w:val="20"/>
              </w:rPr>
            </w:pPr>
          </w:p>
        </w:tc>
        <w:tc>
          <w:tcPr>
            <w:tcW w:w="0" w:type="auto"/>
            <w:shd w:val="clear" w:color="auto" w:fill="auto"/>
            <w:vAlign w:val="center"/>
          </w:tcPr>
          <w:p w14:paraId="39C089CD">
            <w:pPr>
              <w:pStyle w:val="42"/>
              <w:jc w:val="center"/>
              <w:rPr>
                <w:rFonts w:hint="default" w:ascii="Arial Regular" w:hAnsi="Arial Regular" w:cs="Arial Regular"/>
                <w:sz w:val="20"/>
                <w:szCs w:val="20"/>
              </w:rPr>
            </w:pPr>
          </w:p>
        </w:tc>
        <w:tc>
          <w:tcPr>
            <w:tcW w:w="0" w:type="auto"/>
            <w:shd w:val="clear" w:color="auto" w:fill="auto"/>
            <w:vAlign w:val="center"/>
          </w:tcPr>
          <w:p w14:paraId="4805DDCF">
            <w:pPr>
              <w:pStyle w:val="42"/>
              <w:jc w:val="center"/>
              <w:rPr>
                <w:rFonts w:hint="default" w:ascii="Arial Regular" w:hAnsi="Arial Regular" w:cs="Arial Regular"/>
                <w:sz w:val="20"/>
                <w:szCs w:val="20"/>
              </w:rPr>
            </w:pPr>
          </w:p>
        </w:tc>
      </w:tr>
      <w:tr w14:paraId="23923B49">
        <w:trPr>
          <w:trHeight w:val="20" w:hRule="atLeast"/>
          <w:jc w:val="center"/>
        </w:trPr>
        <w:tc>
          <w:tcPr>
            <w:tcW w:w="0" w:type="auto"/>
            <w:shd w:val="clear" w:color="auto" w:fill="auto"/>
            <w:vAlign w:val="center"/>
          </w:tcPr>
          <w:p w14:paraId="78A07E3D">
            <w:pPr>
              <w:pStyle w:val="42"/>
              <w:jc w:val="center"/>
              <w:rPr>
                <w:rFonts w:hint="default" w:ascii="Arial Regular" w:hAnsi="Arial Regular" w:cs="Arial Regular"/>
                <w:sz w:val="20"/>
                <w:szCs w:val="20"/>
              </w:rPr>
            </w:pPr>
          </w:p>
        </w:tc>
        <w:tc>
          <w:tcPr>
            <w:tcW w:w="0" w:type="auto"/>
            <w:vMerge w:val="continue"/>
            <w:tcBorders>
              <w:top w:val="single" w:color="auto" w:sz="8" w:space="0"/>
              <w:left w:val="nil"/>
              <w:bottom w:val="single" w:color="auto" w:sz="12" w:space="0"/>
              <w:right w:val="nil"/>
            </w:tcBorders>
            <w:shd w:val="clear" w:color="auto" w:fill="auto"/>
            <w:vAlign w:val="center"/>
          </w:tcPr>
          <w:p w14:paraId="3A71BF5C">
            <w:pPr>
              <w:pStyle w:val="42"/>
              <w:jc w:val="center"/>
              <w:rPr>
                <w:rFonts w:hint="default" w:ascii="Arial Regular" w:hAnsi="Arial Regular" w:cs="Arial Regular"/>
                <w:sz w:val="20"/>
                <w:szCs w:val="20"/>
              </w:rPr>
            </w:pPr>
          </w:p>
        </w:tc>
        <w:tc>
          <w:tcPr>
            <w:tcW w:w="444" w:type="dxa"/>
            <w:shd w:val="clear" w:color="auto" w:fill="auto"/>
            <w:tcMar>
              <w:top w:w="12" w:type="dxa"/>
              <w:left w:w="12" w:type="dxa"/>
              <w:right w:w="12" w:type="dxa"/>
            </w:tcMar>
            <w:vAlign w:val="center"/>
          </w:tcPr>
          <w:p w14:paraId="29D0ADA4">
            <w:pPr>
              <w:pStyle w:val="42"/>
              <w:jc w:val="center"/>
              <w:rPr>
                <w:rFonts w:hint="default" w:ascii="Arial Regular" w:hAnsi="Arial Regular" w:cs="Arial Regular"/>
                <w:sz w:val="20"/>
                <w:szCs w:val="20"/>
              </w:rPr>
            </w:pPr>
            <w:r>
              <w:rPr>
                <w:rFonts w:hint="default" w:ascii="Arial Regular" w:hAnsi="Arial Regular" w:cs="Arial Regular"/>
                <w:sz w:val="20"/>
                <w:szCs w:val="20"/>
              </w:rPr>
              <w:t>H</w:t>
            </w:r>
          </w:p>
        </w:tc>
        <w:tc>
          <w:tcPr>
            <w:tcW w:w="444" w:type="dxa"/>
            <w:shd w:val="clear" w:color="auto" w:fill="auto"/>
            <w:tcMar>
              <w:top w:w="12" w:type="dxa"/>
              <w:left w:w="12" w:type="dxa"/>
              <w:right w:w="12" w:type="dxa"/>
            </w:tcMar>
            <w:vAlign w:val="center"/>
          </w:tcPr>
          <w:p w14:paraId="3C5EAB44">
            <w:pPr>
              <w:pStyle w:val="42"/>
              <w:jc w:val="center"/>
              <w:rPr>
                <w:rFonts w:hint="default" w:ascii="Arial Regular" w:hAnsi="Arial Regular" w:cs="Arial Regular"/>
                <w:sz w:val="20"/>
                <w:szCs w:val="20"/>
              </w:rPr>
            </w:pPr>
            <w:r>
              <w:rPr>
                <w:rFonts w:hint="default" w:ascii="Arial Regular" w:hAnsi="Arial Regular" w:cs="Arial Regular"/>
                <w:sz w:val="20"/>
                <w:szCs w:val="20"/>
              </w:rPr>
              <w:t>15</w:t>
            </w:r>
          </w:p>
        </w:tc>
        <w:tc>
          <w:tcPr>
            <w:tcW w:w="882" w:type="dxa"/>
            <w:shd w:val="clear" w:color="auto" w:fill="auto"/>
            <w:tcMar>
              <w:top w:w="12" w:type="dxa"/>
              <w:left w:w="12" w:type="dxa"/>
              <w:right w:w="12" w:type="dxa"/>
            </w:tcMar>
            <w:vAlign w:val="center"/>
          </w:tcPr>
          <w:p w14:paraId="0FB7A61C">
            <w:pPr>
              <w:pStyle w:val="42"/>
              <w:jc w:val="center"/>
              <w:rPr>
                <w:rFonts w:hint="default" w:ascii="Arial Regular" w:hAnsi="Arial Regular" w:cs="Arial Regular"/>
                <w:sz w:val="20"/>
                <w:szCs w:val="20"/>
              </w:rPr>
            </w:pPr>
            <w:r>
              <w:rPr>
                <w:rFonts w:hint="default" w:ascii="Arial Regular" w:hAnsi="Arial Regular" w:cs="Arial Regular"/>
                <w:sz w:val="20"/>
                <w:szCs w:val="20"/>
              </w:rPr>
              <w:t>0.037</w:t>
            </w:r>
          </w:p>
        </w:tc>
        <w:tc>
          <w:tcPr>
            <w:tcW w:w="777" w:type="dxa"/>
            <w:shd w:val="clear" w:color="auto" w:fill="auto"/>
            <w:tcMar>
              <w:top w:w="12" w:type="dxa"/>
              <w:left w:w="12" w:type="dxa"/>
              <w:right w:w="12" w:type="dxa"/>
            </w:tcMar>
            <w:vAlign w:val="center"/>
          </w:tcPr>
          <w:p w14:paraId="413071EA">
            <w:pPr>
              <w:pStyle w:val="42"/>
              <w:jc w:val="center"/>
              <w:rPr>
                <w:rFonts w:hint="default" w:ascii="Arial Regular" w:hAnsi="Arial Regular" w:cs="Arial Regular"/>
                <w:sz w:val="20"/>
                <w:szCs w:val="20"/>
              </w:rPr>
            </w:pPr>
            <w:r>
              <w:rPr>
                <w:rFonts w:hint="default" w:ascii="Arial Regular" w:hAnsi="Arial Regular" w:cs="Arial Regular"/>
                <w:sz w:val="20"/>
                <w:szCs w:val="20"/>
              </w:rPr>
              <w:t>0.040</w:t>
            </w:r>
          </w:p>
        </w:tc>
        <w:tc>
          <w:tcPr>
            <w:tcW w:w="777" w:type="dxa"/>
            <w:shd w:val="clear" w:color="auto" w:fill="auto"/>
            <w:tcMar>
              <w:top w:w="12" w:type="dxa"/>
              <w:left w:w="12" w:type="dxa"/>
              <w:right w:w="12" w:type="dxa"/>
            </w:tcMar>
            <w:vAlign w:val="center"/>
          </w:tcPr>
          <w:p w14:paraId="5F58FBE2">
            <w:pPr>
              <w:pStyle w:val="42"/>
              <w:jc w:val="center"/>
              <w:rPr>
                <w:rFonts w:hint="default" w:ascii="Arial Regular" w:hAnsi="Arial Regular" w:cs="Arial Regular"/>
                <w:sz w:val="20"/>
                <w:szCs w:val="20"/>
              </w:rPr>
            </w:pPr>
            <w:r>
              <w:rPr>
                <w:rFonts w:hint="default" w:ascii="Arial Regular" w:hAnsi="Arial Regular" w:cs="Arial Regular"/>
                <w:sz w:val="20"/>
                <w:szCs w:val="20"/>
              </w:rPr>
              <w:t>0.038</w:t>
            </w:r>
          </w:p>
        </w:tc>
        <w:tc>
          <w:tcPr>
            <w:tcW w:w="0" w:type="auto"/>
            <w:shd w:val="clear" w:color="auto" w:fill="auto"/>
            <w:vAlign w:val="center"/>
          </w:tcPr>
          <w:p w14:paraId="34444612">
            <w:pPr>
              <w:pStyle w:val="42"/>
              <w:jc w:val="center"/>
              <w:rPr>
                <w:rFonts w:hint="default" w:ascii="Arial Regular" w:hAnsi="Arial Regular" w:cs="Arial Regular"/>
                <w:sz w:val="20"/>
                <w:szCs w:val="20"/>
              </w:rPr>
            </w:pPr>
          </w:p>
        </w:tc>
        <w:tc>
          <w:tcPr>
            <w:tcW w:w="0" w:type="auto"/>
            <w:shd w:val="clear" w:color="auto" w:fill="auto"/>
            <w:vAlign w:val="center"/>
          </w:tcPr>
          <w:p w14:paraId="15E9F37C">
            <w:pPr>
              <w:pStyle w:val="42"/>
              <w:jc w:val="center"/>
              <w:rPr>
                <w:rFonts w:hint="default" w:ascii="Arial Regular" w:hAnsi="Arial Regular" w:cs="Arial Regular"/>
                <w:sz w:val="20"/>
                <w:szCs w:val="20"/>
              </w:rPr>
            </w:pPr>
          </w:p>
        </w:tc>
        <w:tc>
          <w:tcPr>
            <w:tcW w:w="0" w:type="auto"/>
            <w:shd w:val="clear" w:color="auto" w:fill="auto"/>
            <w:vAlign w:val="center"/>
          </w:tcPr>
          <w:p w14:paraId="7C4086E2">
            <w:pPr>
              <w:pStyle w:val="42"/>
              <w:jc w:val="center"/>
              <w:rPr>
                <w:rFonts w:hint="default" w:ascii="Arial Regular" w:hAnsi="Arial Regular" w:cs="Arial Regular"/>
                <w:sz w:val="20"/>
                <w:szCs w:val="20"/>
              </w:rPr>
            </w:pPr>
          </w:p>
        </w:tc>
        <w:tc>
          <w:tcPr>
            <w:tcW w:w="0" w:type="auto"/>
            <w:shd w:val="clear" w:color="auto" w:fill="auto"/>
            <w:vAlign w:val="center"/>
          </w:tcPr>
          <w:p w14:paraId="3800340E">
            <w:pPr>
              <w:pStyle w:val="42"/>
              <w:jc w:val="center"/>
              <w:rPr>
                <w:rFonts w:hint="default" w:ascii="Arial Regular" w:hAnsi="Arial Regular" w:cs="Arial Regular"/>
                <w:sz w:val="20"/>
                <w:szCs w:val="20"/>
              </w:rPr>
            </w:pPr>
          </w:p>
        </w:tc>
      </w:tr>
      <w:tr w14:paraId="0B579336">
        <w:trPr>
          <w:trHeight w:val="20" w:hRule="atLeast"/>
          <w:jc w:val="center"/>
        </w:trPr>
        <w:tc>
          <w:tcPr>
            <w:tcW w:w="0" w:type="auto"/>
            <w:shd w:val="clear" w:color="auto" w:fill="auto"/>
            <w:vAlign w:val="center"/>
          </w:tcPr>
          <w:p w14:paraId="635D5693">
            <w:pPr>
              <w:pStyle w:val="42"/>
              <w:jc w:val="center"/>
              <w:rPr>
                <w:rFonts w:hint="default" w:ascii="Arial Regular" w:hAnsi="Arial Regular" w:cs="Arial Regular"/>
                <w:sz w:val="20"/>
                <w:szCs w:val="20"/>
              </w:rPr>
            </w:pPr>
          </w:p>
        </w:tc>
        <w:tc>
          <w:tcPr>
            <w:tcW w:w="0" w:type="auto"/>
            <w:vMerge w:val="continue"/>
            <w:tcBorders>
              <w:top w:val="single" w:color="auto" w:sz="8" w:space="0"/>
              <w:left w:val="nil"/>
              <w:bottom w:val="single" w:color="auto" w:sz="12" w:space="0"/>
              <w:right w:val="nil"/>
            </w:tcBorders>
            <w:shd w:val="clear" w:color="auto" w:fill="auto"/>
            <w:vAlign w:val="center"/>
          </w:tcPr>
          <w:p w14:paraId="09037297">
            <w:pPr>
              <w:pStyle w:val="42"/>
              <w:jc w:val="center"/>
              <w:rPr>
                <w:rFonts w:hint="default" w:ascii="Arial Regular" w:hAnsi="Arial Regular" w:cs="Arial Regular"/>
                <w:sz w:val="20"/>
                <w:szCs w:val="20"/>
              </w:rPr>
            </w:pPr>
          </w:p>
        </w:tc>
        <w:tc>
          <w:tcPr>
            <w:tcW w:w="444" w:type="dxa"/>
            <w:shd w:val="clear" w:color="auto" w:fill="auto"/>
            <w:tcMar>
              <w:top w:w="12" w:type="dxa"/>
              <w:left w:w="12" w:type="dxa"/>
              <w:right w:w="12" w:type="dxa"/>
            </w:tcMar>
            <w:vAlign w:val="center"/>
          </w:tcPr>
          <w:p w14:paraId="2E2B7381">
            <w:pPr>
              <w:pStyle w:val="42"/>
              <w:jc w:val="center"/>
              <w:rPr>
                <w:rFonts w:hint="default" w:ascii="Arial Regular" w:hAnsi="Arial Regular" w:cs="Arial Regular"/>
                <w:sz w:val="20"/>
                <w:szCs w:val="20"/>
              </w:rPr>
            </w:pPr>
            <w:r>
              <w:rPr>
                <w:rFonts w:hint="default" w:ascii="Arial Regular" w:hAnsi="Arial Regular" w:cs="Arial Regular"/>
                <w:sz w:val="20"/>
                <w:szCs w:val="20"/>
              </w:rPr>
              <w:t>H</w:t>
            </w:r>
          </w:p>
        </w:tc>
        <w:tc>
          <w:tcPr>
            <w:tcW w:w="444" w:type="dxa"/>
            <w:shd w:val="clear" w:color="auto" w:fill="auto"/>
            <w:tcMar>
              <w:top w:w="12" w:type="dxa"/>
              <w:left w:w="12" w:type="dxa"/>
              <w:right w:w="12" w:type="dxa"/>
            </w:tcMar>
            <w:vAlign w:val="center"/>
          </w:tcPr>
          <w:p w14:paraId="08E268F7">
            <w:pPr>
              <w:pStyle w:val="42"/>
              <w:jc w:val="center"/>
              <w:rPr>
                <w:rFonts w:hint="default" w:ascii="Arial Regular" w:hAnsi="Arial Regular" w:cs="Arial Regular"/>
                <w:sz w:val="20"/>
                <w:szCs w:val="20"/>
              </w:rPr>
            </w:pPr>
            <w:r>
              <w:rPr>
                <w:rFonts w:hint="default" w:ascii="Arial Regular" w:hAnsi="Arial Regular" w:cs="Arial Regular"/>
                <w:sz w:val="20"/>
                <w:szCs w:val="20"/>
              </w:rPr>
              <w:t>16</w:t>
            </w:r>
          </w:p>
        </w:tc>
        <w:tc>
          <w:tcPr>
            <w:tcW w:w="882" w:type="dxa"/>
            <w:shd w:val="clear" w:color="auto" w:fill="auto"/>
            <w:tcMar>
              <w:top w:w="12" w:type="dxa"/>
              <w:left w:w="12" w:type="dxa"/>
              <w:right w:w="12" w:type="dxa"/>
            </w:tcMar>
            <w:vAlign w:val="center"/>
          </w:tcPr>
          <w:p w14:paraId="2E46FF71">
            <w:pPr>
              <w:pStyle w:val="42"/>
              <w:jc w:val="center"/>
              <w:rPr>
                <w:rFonts w:hint="default" w:ascii="Arial Regular" w:hAnsi="Arial Regular" w:cs="Arial Regular"/>
                <w:sz w:val="20"/>
                <w:szCs w:val="20"/>
              </w:rPr>
            </w:pPr>
            <w:r>
              <w:rPr>
                <w:rFonts w:hint="default" w:ascii="Arial Regular" w:hAnsi="Arial Regular" w:cs="Arial Regular"/>
                <w:sz w:val="20"/>
                <w:szCs w:val="20"/>
              </w:rPr>
              <w:t>0.041</w:t>
            </w:r>
          </w:p>
        </w:tc>
        <w:tc>
          <w:tcPr>
            <w:tcW w:w="777" w:type="dxa"/>
            <w:shd w:val="clear" w:color="auto" w:fill="auto"/>
            <w:tcMar>
              <w:top w:w="12" w:type="dxa"/>
              <w:left w:w="12" w:type="dxa"/>
              <w:right w:w="12" w:type="dxa"/>
            </w:tcMar>
            <w:vAlign w:val="center"/>
          </w:tcPr>
          <w:p w14:paraId="6A084DF5">
            <w:pPr>
              <w:pStyle w:val="42"/>
              <w:jc w:val="center"/>
              <w:rPr>
                <w:rFonts w:hint="default" w:ascii="Arial Regular" w:hAnsi="Arial Regular" w:cs="Arial Regular"/>
                <w:sz w:val="20"/>
                <w:szCs w:val="20"/>
              </w:rPr>
            </w:pPr>
            <w:r>
              <w:rPr>
                <w:rFonts w:hint="default" w:ascii="Arial Regular" w:hAnsi="Arial Regular" w:cs="Arial Regular"/>
                <w:sz w:val="20"/>
                <w:szCs w:val="20"/>
              </w:rPr>
              <w:t>0.038</w:t>
            </w:r>
          </w:p>
        </w:tc>
        <w:tc>
          <w:tcPr>
            <w:tcW w:w="777" w:type="dxa"/>
            <w:shd w:val="clear" w:color="auto" w:fill="auto"/>
            <w:tcMar>
              <w:top w:w="12" w:type="dxa"/>
              <w:left w:w="12" w:type="dxa"/>
              <w:right w:w="12" w:type="dxa"/>
            </w:tcMar>
            <w:vAlign w:val="center"/>
          </w:tcPr>
          <w:p w14:paraId="392F3B29">
            <w:pPr>
              <w:pStyle w:val="42"/>
              <w:jc w:val="center"/>
              <w:rPr>
                <w:rFonts w:hint="default" w:ascii="Arial Regular" w:hAnsi="Arial Regular" w:cs="Arial Regular"/>
                <w:sz w:val="20"/>
                <w:szCs w:val="20"/>
              </w:rPr>
            </w:pPr>
            <w:r>
              <w:rPr>
                <w:rFonts w:hint="default" w:ascii="Arial Regular" w:hAnsi="Arial Regular" w:cs="Arial Regular"/>
                <w:sz w:val="20"/>
                <w:szCs w:val="20"/>
              </w:rPr>
              <w:t>0.039</w:t>
            </w:r>
          </w:p>
        </w:tc>
        <w:tc>
          <w:tcPr>
            <w:tcW w:w="0" w:type="auto"/>
            <w:shd w:val="clear" w:color="auto" w:fill="auto"/>
            <w:vAlign w:val="center"/>
          </w:tcPr>
          <w:p w14:paraId="7846E92F">
            <w:pPr>
              <w:pStyle w:val="42"/>
              <w:jc w:val="center"/>
              <w:rPr>
                <w:rFonts w:hint="default" w:ascii="Arial Regular" w:hAnsi="Arial Regular" w:cs="Arial Regular"/>
                <w:sz w:val="20"/>
                <w:szCs w:val="20"/>
              </w:rPr>
            </w:pPr>
          </w:p>
        </w:tc>
        <w:tc>
          <w:tcPr>
            <w:tcW w:w="0" w:type="auto"/>
            <w:shd w:val="clear" w:color="auto" w:fill="auto"/>
            <w:vAlign w:val="center"/>
          </w:tcPr>
          <w:p w14:paraId="134554B1">
            <w:pPr>
              <w:pStyle w:val="42"/>
              <w:jc w:val="center"/>
              <w:rPr>
                <w:rFonts w:hint="default" w:ascii="Arial Regular" w:hAnsi="Arial Regular" w:cs="Arial Regular"/>
                <w:sz w:val="20"/>
                <w:szCs w:val="20"/>
              </w:rPr>
            </w:pPr>
          </w:p>
        </w:tc>
        <w:tc>
          <w:tcPr>
            <w:tcW w:w="0" w:type="auto"/>
            <w:shd w:val="clear" w:color="auto" w:fill="auto"/>
            <w:vAlign w:val="center"/>
          </w:tcPr>
          <w:p w14:paraId="0012D29E">
            <w:pPr>
              <w:pStyle w:val="42"/>
              <w:jc w:val="center"/>
              <w:rPr>
                <w:rFonts w:hint="default" w:ascii="Arial Regular" w:hAnsi="Arial Regular" w:cs="Arial Regular"/>
                <w:sz w:val="20"/>
                <w:szCs w:val="20"/>
              </w:rPr>
            </w:pPr>
          </w:p>
        </w:tc>
        <w:tc>
          <w:tcPr>
            <w:tcW w:w="0" w:type="auto"/>
            <w:shd w:val="clear" w:color="auto" w:fill="auto"/>
            <w:vAlign w:val="center"/>
          </w:tcPr>
          <w:p w14:paraId="13866725">
            <w:pPr>
              <w:pStyle w:val="42"/>
              <w:jc w:val="center"/>
              <w:rPr>
                <w:rFonts w:hint="default" w:ascii="Arial Regular" w:hAnsi="Arial Regular" w:cs="Arial Regular"/>
                <w:sz w:val="20"/>
                <w:szCs w:val="20"/>
              </w:rPr>
            </w:pPr>
          </w:p>
        </w:tc>
      </w:tr>
      <w:tr w14:paraId="132DBB50">
        <w:trPr>
          <w:trHeight w:val="20" w:hRule="atLeast"/>
          <w:jc w:val="center"/>
        </w:trPr>
        <w:tc>
          <w:tcPr>
            <w:tcW w:w="0" w:type="auto"/>
            <w:shd w:val="clear" w:color="auto" w:fill="auto"/>
            <w:vAlign w:val="center"/>
          </w:tcPr>
          <w:p w14:paraId="42DE1574">
            <w:pPr>
              <w:pStyle w:val="42"/>
              <w:jc w:val="center"/>
              <w:rPr>
                <w:rFonts w:hint="default" w:ascii="Arial Regular" w:hAnsi="Arial Regular" w:cs="Arial Regular"/>
                <w:sz w:val="20"/>
                <w:szCs w:val="20"/>
              </w:rPr>
            </w:pPr>
          </w:p>
        </w:tc>
        <w:tc>
          <w:tcPr>
            <w:tcW w:w="0" w:type="auto"/>
            <w:vMerge w:val="continue"/>
            <w:tcBorders>
              <w:top w:val="single" w:color="auto" w:sz="8" w:space="0"/>
              <w:left w:val="nil"/>
              <w:bottom w:val="single" w:color="auto" w:sz="12" w:space="0"/>
              <w:right w:val="nil"/>
            </w:tcBorders>
            <w:shd w:val="clear" w:color="auto" w:fill="auto"/>
            <w:vAlign w:val="center"/>
          </w:tcPr>
          <w:p w14:paraId="4DF8E142">
            <w:pPr>
              <w:pStyle w:val="42"/>
              <w:jc w:val="center"/>
              <w:rPr>
                <w:rFonts w:hint="default" w:ascii="Arial Regular" w:hAnsi="Arial Regular" w:cs="Arial Regular"/>
                <w:sz w:val="20"/>
                <w:szCs w:val="20"/>
              </w:rPr>
            </w:pPr>
          </w:p>
        </w:tc>
        <w:tc>
          <w:tcPr>
            <w:tcW w:w="444" w:type="dxa"/>
            <w:shd w:val="clear" w:color="auto" w:fill="auto"/>
            <w:tcMar>
              <w:top w:w="12" w:type="dxa"/>
              <w:left w:w="12" w:type="dxa"/>
              <w:right w:w="12" w:type="dxa"/>
            </w:tcMar>
            <w:vAlign w:val="center"/>
          </w:tcPr>
          <w:p w14:paraId="45144207">
            <w:pPr>
              <w:pStyle w:val="42"/>
              <w:jc w:val="center"/>
              <w:rPr>
                <w:rFonts w:hint="default" w:ascii="Arial Regular" w:hAnsi="Arial Regular" w:cs="Arial Regular"/>
                <w:sz w:val="20"/>
                <w:szCs w:val="20"/>
              </w:rPr>
            </w:pPr>
            <w:r>
              <w:rPr>
                <w:rFonts w:hint="default" w:ascii="Arial Regular" w:hAnsi="Arial Regular" w:cs="Arial Regular"/>
                <w:sz w:val="20"/>
                <w:szCs w:val="20"/>
              </w:rPr>
              <w:t>H</w:t>
            </w:r>
          </w:p>
        </w:tc>
        <w:tc>
          <w:tcPr>
            <w:tcW w:w="444" w:type="dxa"/>
            <w:shd w:val="clear" w:color="auto" w:fill="auto"/>
            <w:tcMar>
              <w:top w:w="12" w:type="dxa"/>
              <w:left w:w="12" w:type="dxa"/>
              <w:right w:w="12" w:type="dxa"/>
            </w:tcMar>
            <w:vAlign w:val="center"/>
          </w:tcPr>
          <w:p w14:paraId="464F915E">
            <w:pPr>
              <w:pStyle w:val="42"/>
              <w:jc w:val="center"/>
              <w:rPr>
                <w:rFonts w:hint="default" w:ascii="Arial Regular" w:hAnsi="Arial Regular" w:cs="Arial Regular"/>
                <w:sz w:val="20"/>
                <w:szCs w:val="20"/>
              </w:rPr>
            </w:pPr>
            <w:r>
              <w:rPr>
                <w:rFonts w:hint="default" w:ascii="Arial Regular" w:hAnsi="Arial Regular" w:cs="Arial Regular"/>
                <w:sz w:val="20"/>
                <w:szCs w:val="20"/>
              </w:rPr>
              <w:t>17</w:t>
            </w:r>
          </w:p>
        </w:tc>
        <w:tc>
          <w:tcPr>
            <w:tcW w:w="882" w:type="dxa"/>
            <w:shd w:val="clear" w:color="auto" w:fill="auto"/>
            <w:tcMar>
              <w:top w:w="12" w:type="dxa"/>
              <w:left w:w="12" w:type="dxa"/>
              <w:right w:w="12" w:type="dxa"/>
            </w:tcMar>
            <w:vAlign w:val="center"/>
          </w:tcPr>
          <w:p w14:paraId="4FF74535">
            <w:pPr>
              <w:pStyle w:val="42"/>
              <w:jc w:val="center"/>
              <w:rPr>
                <w:rFonts w:hint="default" w:ascii="Arial Regular" w:hAnsi="Arial Regular" w:cs="Arial Regular"/>
                <w:sz w:val="20"/>
                <w:szCs w:val="20"/>
              </w:rPr>
            </w:pPr>
            <w:r>
              <w:rPr>
                <w:rFonts w:hint="default" w:ascii="Arial Regular" w:hAnsi="Arial Regular" w:cs="Arial Regular"/>
                <w:sz w:val="20"/>
                <w:szCs w:val="20"/>
              </w:rPr>
              <w:t>0.037</w:t>
            </w:r>
          </w:p>
        </w:tc>
        <w:tc>
          <w:tcPr>
            <w:tcW w:w="777" w:type="dxa"/>
            <w:shd w:val="clear" w:color="auto" w:fill="auto"/>
            <w:tcMar>
              <w:top w:w="12" w:type="dxa"/>
              <w:left w:w="12" w:type="dxa"/>
              <w:right w:w="12" w:type="dxa"/>
            </w:tcMar>
            <w:vAlign w:val="center"/>
          </w:tcPr>
          <w:p w14:paraId="7D7B68C4">
            <w:pPr>
              <w:pStyle w:val="42"/>
              <w:jc w:val="center"/>
              <w:rPr>
                <w:rFonts w:hint="default" w:ascii="Arial Regular" w:hAnsi="Arial Regular" w:cs="Arial Regular"/>
                <w:sz w:val="20"/>
                <w:szCs w:val="20"/>
              </w:rPr>
            </w:pPr>
            <w:r>
              <w:rPr>
                <w:rFonts w:hint="default" w:ascii="Arial Regular" w:hAnsi="Arial Regular" w:cs="Arial Regular"/>
                <w:sz w:val="20"/>
                <w:szCs w:val="20"/>
              </w:rPr>
              <w:t>0.041</w:t>
            </w:r>
          </w:p>
        </w:tc>
        <w:tc>
          <w:tcPr>
            <w:tcW w:w="777" w:type="dxa"/>
            <w:shd w:val="clear" w:color="auto" w:fill="auto"/>
            <w:tcMar>
              <w:top w:w="12" w:type="dxa"/>
              <w:left w:w="12" w:type="dxa"/>
              <w:right w:w="12" w:type="dxa"/>
            </w:tcMar>
            <w:vAlign w:val="center"/>
          </w:tcPr>
          <w:p w14:paraId="5C3C939A">
            <w:pPr>
              <w:pStyle w:val="42"/>
              <w:jc w:val="center"/>
              <w:rPr>
                <w:rFonts w:hint="default" w:ascii="Arial Regular" w:hAnsi="Arial Regular" w:cs="Arial Regular"/>
                <w:sz w:val="20"/>
                <w:szCs w:val="20"/>
              </w:rPr>
            </w:pPr>
            <w:r>
              <w:rPr>
                <w:rFonts w:hint="default" w:ascii="Arial Regular" w:hAnsi="Arial Regular" w:cs="Arial Regular"/>
                <w:sz w:val="20"/>
                <w:szCs w:val="20"/>
              </w:rPr>
              <w:t>0.039</w:t>
            </w:r>
          </w:p>
        </w:tc>
        <w:tc>
          <w:tcPr>
            <w:tcW w:w="0" w:type="auto"/>
            <w:shd w:val="clear" w:color="auto" w:fill="auto"/>
            <w:vAlign w:val="center"/>
          </w:tcPr>
          <w:p w14:paraId="1D0786CA">
            <w:pPr>
              <w:pStyle w:val="42"/>
              <w:jc w:val="center"/>
              <w:rPr>
                <w:rFonts w:hint="default" w:ascii="Arial Regular" w:hAnsi="Arial Regular" w:cs="Arial Regular"/>
                <w:sz w:val="20"/>
                <w:szCs w:val="20"/>
              </w:rPr>
            </w:pPr>
          </w:p>
        </w:tc>
        <w:tc>
          <w:tcPr>
            <w:tcW w:w="0" w:type="auto"/>
            <w:shd w:val="clear" w:color="auto" w:fill="auto"/>
            <w:vAlign w:val="center"/>
          </w:tcPr>
          <w:p w14:paraId="49B30B90">
            <w:pPr>
              <w:pStyle w:val="42"/>
              <w:jc w:val="center"/>
              <w:rPr>
                <w:rFonts w:hint="default" w:ascii="Arial Regular" w:hAnsi="Arial Regular" w:cs="Arial Regular"/>
                <w:sz w:val="20"/>
                <w:szCs w:val="20"/>
              </w:rPr>
            </w:pPr>
          </w:p>
        </w:tc>
        <w:tc>
          <w:tcPr>
            <w:tcW w:w="0" w:type="auto"/>
            <w:shd w:val="clear" w:color="auto" w:fill="auto"/>
            <w:vAlign w:val="center"/>
          </w:tcPr>
          <w:p w14:paraId="6A0EE3EA">
            <w:pPr>
              <w:pStyle w:val="42"/>
              <w:jc w:val="center"/>
              <w:rPr>
                <w:rFonts w:hint="default" w:ascii="Arial Regular" w:hAnsi="Arial Regular" w:cs="Arial Regular"/>
                <w:sz w:val="20"/>
                <w:szCs w:val="20"/>
              </w:rPr>
            </w:pPr>
          </w:p>
        </w:tc>
        <w:tc>
          <w:tcPr>
            <w:tcW w:w="0" w:type="auto"/>
            <w:shd w:val="clear" w:color="auto" w:fill="auto"/>
            <w:vAlign w:val="center"/>
          </w:tcPr>
          <w:p w14:paraId="67BCF172">
            <w:pPr>
              <w:pStyle w:val="42"/>
              <w:jc w:val="center"/>
              <w:rPr>
                <w:rFonts w:hint="default" w:ascii="Arial Regular" w:hAnsi="Arial Regular" w:cs="Arial Regular"/>
                <w:sz w:val="20"/>
                <w:szCs w:val="20"/>
              </w:rPr>
            </w:pPr>
          </w:p>
        </w:tc>
      </w:tr>
      <w:tr w14:paraId="233DF658">
        <w:trPr>
          <w:trHeight w:val="20" w:hRule="atLeast"/>
          <w:jc w:val="center"/>
        </w:trPr>
        <w:tc>
          <w:tcPr>
            <w:tcW w:w="0" w:type="auto"/>
            <w:shd w:val="clear" w:color="auto" w:fill="auto"/>
            <w:vAlign w:val="center"/>
          </w:tcPr>
          <w:p w14:paraId="19B83536">
            <w:pPr>
              <w:pStyle w:val="42"/>
              <w:jc w:val="center"/>
              <w:rPr>
                <w:rFonts w:hint="default" w:ascii="Arial Regular" w:hAnsi="Arial Regular" w:cs="Arial Regular"/>
                <w:sz w:val="20"/>
                <w:szCs w:val="20"/>
              </w:rPr>
            </w:pPr>
          </w:p>
        </w:tc>
        <w:tc>
          <w:tcPr>
            <w:tcW w:w="0" w:type="auto"/>
            <w:vMerge w:val="continue"/>
            <w:tcBorders>
              <w:top w:val="single" w:color="auto" w:sz="8" w:space="0"/>
              <w:left w:val="nil"/>
              <w:bottom w:val="single" w:color="auto" w:sz="12" w:space="0"/>
              <w:right w:val="nil"/>
            </w:tcBorders>
            <w:shd w:val="clear" w:color="auto" w:fill="auto"/>
            <w:vAlign w:val="center"/>
          </w:tcPr>
          <w:p w14:paraId="3B27F159">
            <w:pPr>
              <w:pStyle w:val="42"/>
              <w:jc w:val="center"/>
              <w:rPr>
                <w:rFonts w:hint="default" w:ascii="Arial Regular" w:hAnsi="Arial Regular" w:cs="Arial Regular"/>
                <w:sz w:val="20"/>
                <w:szCs w:val="20"/>
              </w:rPr>
            </w:pPr>
          </w:p>
        </w:tc>
        <w:tc>
          <w:tcPr>
            <w:tcW w:w="444" w:type="dxa"/>
            <w:shd w:val="clear" w:color="auto" w:fill="auto"/>
            <w:tcMar>
              <w:top w:w="12" w:type="dxa"/>
              <w:left w:w="12" w:type="dxa"/>
              <w:right w:w="12" w:type="dxa"/>
            </w:tcMar>
            <w:vAlign w:val="center"/>
          </w:tcPr>
          <w:p w14:paraId="65E9923F">
            <w:pPr>
              <w:pStyle w:val="42"/>
              <w:jc w:val="center"/>
              <w:rPr>
                <w:rFonts w:hint="default" w:ascii="Arial Regular" w:hAnsi="Arial Regular" w:cs="Arial Regular"/>
                <w:sz w:val="20"/>
                <w:szCs w:val="20"/>
              </w:rPr>
            </w:pPr>
            <w:r>
              <w:rPr>
                <w:rFonts w:hint="default" w:ascii="Arial Regular" w:hAnsi="Arial Regular" w:cs="Arial Regular"/>
                <w:sz w:val="20"/>
                <w:szCs w:val="20"/>
              </w:rPr>
              <w:t>H</w:t>
            </w:r>
          </w:p>
        </w:tc>
        <w:tc>
          <w:tcPr>
            <w:tcW w:w="444" w:type="dxa"/>
            <w:shd w:val="clear" w:color="auto" w:fill="auto"/>
            <w:tcMar>
              <w:top w:w="12" w:type="dxa"/>
              <w:left w:w="12" w:type="dxa"/>
              <w:right w:w="12" w:type="dxa"/>
            </w:tcMar>
            <w:vAlign w:val="center"/>
          </w:tcPr>
          <w:p w14:paraId="315A7410">
            <w:pPr>
              <w:pStyle w:val="42"/>
              <w:jc w:val="center"/>
              <w:rPr>
                <w:rFonts w:hint="default" w:ascii="Arial Regular" w:hAnsi="Arial Regular" w:cs="Arial Regular"/>
                <w:sz w:val="20"/>
                <w:szCs w:val="20"/>
              </w:rPr>
            </w:pPr>
            <w:r>
              <w:rPr>
                <w:rFonts w:hint="default" w:ascii="Arial Regular" w:hAnsi="Arial Regular" w:cs="Arial Regular"/>
                <w:sz w:val="20"/>
                <w:szCs w:val="20"/>
              </w:rPr>
              <w:t>18</w:t>
            </w:r>
          </w:p>
        </w:tc>
        <w:tc>
          <w:tcPr>
            <w:tcW w:w="882" w:type="dxa"/>
            <w:shd w:val="clear" w:color="auto" w:fill="auto"/>
            <w:tcMar>
              <w:top w:w="12" w:type="dxa"/>
              <w:left w:w="12" w:type="dxa"/>
              <w:right w:w="12" w:type="dxa"/>
            </w:tcMar>
            <w:vAlign w:val="center"/>
          </w:tcPr>
          <w:p w14:paraId="15FCC934">
            <w:pPr>
              <w:pStyle w:val="42"/>
              <w:jc w:val="center"/>
              <w:rPr>
                <w:rFonts w:hint="default" w:ascii="Arial Regular" w:hAnsi="Arial Regular" w:cs="Arial Regular"/>
                <w:sz w:val="20"/>
                <w:szCs w:val="20"/>
              </w:rPr>
            </w:pPr>
            <w:r>
              <w:rPr>
                <w:rFonts w:hint="default" w:ascii="Arial Regular" w:hAnsi="Arial Regular" w:cs="Arial Regular"/>
                <w:sz w:val="20"/>
                <w:szCs w:val="20"/>
              </w:rPr>
              <w:t>0.041</w:t>
            </w:r>
          </w:p>
        </w:tc>
        <w:tc>
          <w:tcPr>
            <w:tcW w:w="777" w:type="dxa"/>
            <w:shd w:val="clear" w:color="auto" w:fill="auto"/>
            <w:tcMar>
              <w:top w:w="12" w:type="dxa"/>
              <w:left w:w="12" w:type="dxa"/>
              <w:right w:w="12" w:type="dxa"/>
            </w:tcMar>
            <w:vAlign w:val="center"/>
          </w:tcPr>
          <w:p w14:paraId="2E8FAE17">
            <w:pPr>
              <w:pStyle w:val="42"/>
              <w:jc w:val="center"/>
              <w:rPr>
                <w:rFonts w:hint="default" w:ascii="Arial Regular" w:hAnsi="Arial Regular" w:cs="Arial Regular"/>
                <w:sz w:val="20"/>
                <w:szCs w:val="20"/>
              </w:rPr>
            </w:pPr>
            <w:r>
              <w:rPr>
                <w:rFonts w:hint="default" w:ascii="Arial Regular" w:hAnsi="Arial Regular" w:cs="Arial Regular"/>
                <w:sz w:val="20"/>
                <w:szCs w:val="20"/>
              </w:rPr>
              <w:t>0.038</w:t>
            </w:r>
          </w:p>
        </w:tc>
        <w:tc>
          <w:tcPr>
            <w:tcW w:w="777" w:type="dxa"/>
            <w:shd w:val="clear" w:color="auto" w:fill="auto"/>
            <w:tcMar>
              <w:top w:w="12" w:type="dxa"/>
              <w:left w:w="12" w:type="dxa"/>
              <w:right w:w="12" w:type="dxa"/>
            </w:tcMar>
            <w:vAlign w:val="center"/>
          </w:tcPr>
          <w:p w14:paraId="2FF3241F">
            <w:pPr>
              <w:pStyle w:val="42"/>
              <w:jc w:val="center"/>
              <w:rPr>
                <w:rFonts w:hint="default" w:ascii="Arial Regular" w:hAnsi="Arial Regular" w:cs="Arial Regular"/>
                <w:sz w:val="20"/>
                <w:szCs w:val="20"/>
              </w:rPr>
            </w:pPr>
            <w:r>
              <w:rPr>
                <w:rFonts w:hint="default" w:ascii="Arial Regular" w:hAnsi="Arial Regular" w:cs="Arial Regular"/>
                <w:sz w:val="20"/>
                <w:szCs w:val="20"/>
              </w:rPr>
              <w:t>0.039</w:t>
            </w:r>
          </w:p>
        </w:tc>
        <w:tc>
          <w:tcPr>
            <w:tcW w:w="0" w:type="auto"/>
            <w:shd w:val="clear" w:color="auto" w:fill="auto"/>
            <w:vAlign w:val="center"/>
          </w:tcPr>
          <w:p w14:paraId="3FA93AB6">
            <w:pPr>
              <w:pStyle w:val="42"/>
              <w:jc w:val="center"/>
              <w:rPr>
                <w:rFonts w:hint="default" w:ascii="Arial Regular" w:hAnsi="Arial Regular" w:cs="Arial Regular"/>
                <w:sz w:val="20"/>
                <w:szCs w:val="20"/>
              </w:rPr>
            </w:pPr>
          </w:p>
        </w:tc>
        <w:tc>
          <w:tcPr>
            <w:tcW w:w="0" w:type="auto"/>
            <w:shd w:val="clear" w:color="auto" w:fill="auto"/>
            <w:vAlign w:val="center"/>
          </w:tcPr>
          <w:p w14:paraId="539D9454">
            <w:pPr>
              <w:pStyle w:val="42"/>
              <w:jc w:val="center"/>
              <w:rPr>
                <w:rFonts w:hint="default" w:ascii="Arial Regular" w:hAnsi="Arial Regular" w:cs="Arial Regular"/>
                <w:sz w:val="20"/>
                <w:szCs w:val="20"/>
              </w:rPr>
            </w:pPr>
          </w:p>
        </w:tc>
        <w:tc>
          <w:tcPr>
            <w:tcW w:w="0" w:type="auto"/>
            <w:shd w:val="clear" w:color="auto" w:fill="auto"/>
            <w:vAlign w:val="center"/>
          </w:tcPr>
          <w:p w14:paraId="3D2AADAF">
            <w:pPr>
              <w:pStyle w:val="42"/>
              <w:jc w:val="center"/>
              <w:rPr>
                <w:rFonts w:hint="default" w:ascii="Arial Regular" w:hAnsi="Arial Regular" w:cs="Arial Regular"/>
                <w:sz w:val="20"/>
                <w:szCs w:val="20"/>
              </w:rPr>
            </w:pPr>
          </w:p>
        </w:tc>
        <w:tc>
          <w:tcPr>
            <w:tcW w:w="0" w:type="auto"/>
            <w:shd w:val="clear" w:color="auto" w:fill="auto"/>
            <w:vAlign w:val="center"/>
          </w:tcPr>
          <w:p w14:paraId="1F48F905">
            <w:pPr>
              <w:pStyle w:val="42"/>
              <w:jc w:val="center"/>
              <w:rPr>
                <w:rFonts w:hint="default" w:ascii="Arial Regular" w:hAnsi="Arial Regular" w:cs="Arial Regular"/>
                <w:sz w:val="20"/>
                <w:szCs w:val="20"/>
              </w:rPr>
            </w:pPr>
          </w:p>
        </w:tc>
      </w:tr>
      <w:tr w14:paraId="1775E0B2">
        <w:trPr>
          <w:trHeight w:val="20" w:hRule="atLeast"/>
          <w:jc w:val="center"/>
        </w:trPr>
        <w:tc>
          <w:tcPr>
            <w:tcW w:w="0" w:type="auto"/>
            <w:shd w:val="clear" w:color="auto" w:fill="auto"/>
            <w:vAlign w:val="center"/>
          </w:tcPr>
          <w:p w14:paraId="5DC652FD">
            <w:pPr>
              <w:pStyle w:val="42"/>
              <w:jc w:val="center"/>
              <w:rPr>
                <w:rFonts w:hint="default" w:ascii="Arial Regular" w:hAnsi="Arial Regular" w:cs="Arial Regular"/>
                <w:sz w:val="20"/>
                <w:szCs w:val="20"/>
              </w:rPr>
            </w:pPr>
          </w:p>
        </w:tc>
        <w:tc>
          <w:tcPr>
            <w:tcW w:w="0" w:type="auto"/>
            <w:vMerge w:val="continue"/>
            <w:tcBorders>
              <w:top w:val="single" w:color="auto" w:sz="8" w:space="0"/>
              <w:left w:val="nil"/>
              <w:bottom w:val="single" w:color="auto" w:sz="12" w:space="0"/>
              <w:right w:val="nil"/>
            </w:tcBorders>
            <w:shd w:val="clear" w:color="auto" w:fill="auto"/>
            <w:vAlign w:val="center"/>
          </w:tcPr>
          <w:p w14:paraId="09D69C5B">
            <w:pPr>
              <w:pStyle w:val="42"/>
              <w:jc w:val="center"/>
              <w:rPr>
                <w:rFonts w:hint="default" w:ascii="Arial Regular" w:hAnsi="Arial Regular" w:cs="Arial Regular"/>
                <w:sz w:val="20"/>
                <w:szCs w:val="20"/>
              </w:rPr>
            </w:pPr>
          </w:p>
        </w:tc>
        <w:tc>
          <w:tcPr>
            <w:tcW w:w="444" w:type="dxa"/>
            <w:shd w:val="clear" w:color="auto" w:fill="auto"/>
            <w:tcMar>
              <w:top w:w="12" w:type="dxa"/>
              <w:left w:w="12" w:type="dxa"/>
              <w:right w:w="12" w:type="dxa"/>
            </w:tcMar>
            <w:vAlign w:val="center"/>
          </w:tcPr>
          <w:p w14:paraId="15C09CD9">
            <w:pPr>
              <w:pStyle w:val="42"/>
              <w:jc w:val="center"/>
              <w:rPr>
                <w:rFonts w:hint="default" w:ascii="Arial Regular" w:hAnsi="Arial Regular" w:cs="Arial Regular"/>
                <w:sz w:val="20"/>
                <w:szCs w:val="20"/>
              </w:rPr>
            </w:pPr>
            <w:r>
              <w:rPr>
                <w:rFonts w:hint="default" w:ascii="Arial Regular" w:hAnsi="Arial Regular" w:cs="Arial Regular"/>
                <w:sz w:val="20"/>
                <w:szCs w:val="20"/>
              </w:rPr>
              <w:t>H</w:t>
            </w:r>
          </w:p>
        </w:tc>
        <w:tc>
          <w:tcPr>
            <w:tcW w:w="444" w:type="dxa"/>
            <w:shd w:val="clear" w:color="auto" w:fill="auto"/>
            <w:tcMar>
              <w:top w:w="12" w:type="dxa"/>
              <w:left w:w="12" w:type="dxa"/>
              <w:right w:w="12" w:type="dxa"/>
            </w:tcMar>
            <w:vAlign w:val="center"/>
          </w:tcPr>
          <w:p w14:paraId="4BE459BE">
            <w:pPr>
              <w:pStyle w:val="42"/>
              <w:jc w:val="center"/>
              <w:rPr>
                <w:rFonts w:hint="default" w:ascii="Arial Regular" w:hAnsi="Arial Regular" w:cs="Arial Regular"/>
                <w:sz w:val="20"/>
                <w:szCs w:val="20"/>
              </w:rPr>
            </w:pPr>
            <w:r>
              <w:rPr>
                <w:rFonts w:hint="default" w:ascii="Arial Regular" w:hAnsi="Arial Regular" w:cs="Arial Regular"/>
                <w:sz w:val="20"/>
                <w:szCs w:val="20"/>
              </w:rPr>
              <w:t>19</w:t>
            </w:r>
          </w:p>
        </w:tc>
        <w:tc>
          <w:tcPr>
            <w:tcW w:w="882" w:type="dxa"/>
            <w:shd w:val="clear" w:color="auto" w:fill="auto"/>
            <w:tcMar>
              <w:top w:w="12" w:type="dxa"/>
              <w:left w:w="12" w:type="dxa"/>
              <w:right w:w="12" w:type="dxa"/>
            </w:tcMar>
            <w:vAlign w:val="center"/>
          </w:tcPr>
          <w:p w14:paraId="602D1008">
            <w:pPr>
              <w:pStyle w:val="42"/>
              <w:jc w:val="center"/>
              <w:rPr>
                <w:rFonts w:hint="default" w:ascii="Arial Regular" w:hAnsi="Arial Regular" w:cs="Arial Regular"/>
                <w:sz w:val="20"/>
                <w:szCs w:val="20"/>
              </w:rPr>
            </w:pPr>
            <w:r>
              <w:rPr>
                <w:rFonts w:hint="default" w:ascii="Arial Regular" w:hAnsi="Arial Regular" w:cs="Arial Regular"/>
                <w:sz w:val="20"/>
                <w:szCs w:val="20"/>
              </w:rPr>
              <w:t>0.026</w:t>
            </w:r>
          </w:p>
        </w:tc>
        <w:tc>
          <w:tcPr>
            <w:tcW w:w="777" w:type="dxa"/>
            <w:shd w:val="clear" w:color="auto" w:fill="auto"/>
            <w:tcMar>
              <w:top w:w="12" w:type="dxa"/>
              <w:left w:w="12" w:type="dxa"/>
              <w:right w:w="12" w:type="dxa"/>
            </w:tcMar>
            <w:vAlign w:val="center"/>
          </w:tcPr>
          <w:p w14:paraId="1791B5A6">
            <w:pPr>
              <w:pStyle w:val="42"/>
              <w:jc w:val="center"/>
              <w:rPr>
                <w:rFonts w:hint="default" w:ascii="Arial Regular" w:hAnsi="Arial Regular" w:cs="Arial Regular"/>
                <w:sz w:val="20"/>
                <w:szCs w:val="20"/>
              </w:rPr>
            </w:pPr>
            <w:r>
              <w:rPr>
                <w:rFonts w:hint="default" w:ascii="Arial Regular" w:hAnsi="Arial Regular" w:cs="Arial Regular"/>
                <w:sz w:val="20"/>
                <w:szCs w:val="20"/>
              </w:rPr>
              <w:t>0.019</w:t>
            </w:r>
          </w:p>
        </w:tc>
        <w:tc>
          <w:tcPr>
            <w:tcW w:w="777" w:type="dxa"/>
            <w:shd w:val="clear" w:color="auto" w:fill="auto"/>
            <w:tcMar>
              <w:top w:w="12" w:type="dxa"/>
              <w:left w:w="12" w:type="dxa"/>
              <w:right w:w="12" w:type="dxa"/>
            </w:tcMar>
            <w:vAlign w:val="center"/>
          </w:tcPr>
          <w:p w14:paraId="0FA94DEC">
            <w:pPr>
              <w:pStyle w:val="42"/>
              <w:jc w:val="center"/>
              <w:rPr>
                <w:rFonts w:hint="default" w:ascii="Arial Regular" w:hAnsi="Arial Regular" w:cs="Arial Regular"/>
                <w:sz w:val="20"/>
                <w:szCs w:val="20"/>
              </w:rPr>
            </w:pPr>
            <w:r>
              <w:rPr>
                <w:rFonts w:hint="default" w:ascii="Arial Regular" w:hAnsi="Arial Regular" w:cs="Arial Regular"/>
                <w:sz w:val="20"/>
                <w:szCs w:val="20"/>
              </w:rPr>
              <w:t>0.022</w:t>
            </w:r>
          </w:p>
        </w:tc>
        <w:tc>
          <w:tcPr>
            <w:tcW w:w="0" w:type="auto"/>
            <w:shd w:val="clear" w:color="auto" w:fill="auto"/>
            <w:vAlign w:val="center"/>
          </w:tcPr>
          <w:p w14:paraId="365EED52">
            <w:pPr>
              <w:pStyle w:val="42"/>
              <w:jc w:val="center"/>
              <w:rPr>
                <w:rFonts w:hint="default" w:ascii="Arial Regular" w:hAnsi="Arial Regular" w:cs="Arial Regular"/>
                <w:sz w:val="20"/>
                <w:szCs w:val="20"/>
              </w:rPr>
            </w:pPr>
          </w:p>
        </w:tc>
        <w:tc>
          <w:tcPr>
            <w:tcW w:w="0" w:type="auto"/>
            <w:shd w:val="clear" w:color="auto" w:fill="auto"/>
            <w:vAlign w:val="center"/>
          </w:tcPr>
          <w:p w14:paraId="76614AB0">
            <w:pPr>
              <w:pStyle w:val="42"/>
              <w:jc w:val="center"/>
              <w:rPr>
                <w:rFonts w:hint="default" w:ascii="Arial Regular" w:hAnsi="Arial Regular" w:cs="Arial Regular"/>
                <w:sz w:val="20"/>
                <w:szCs w:val="20"/>
              </w:rPr>
            </w:pPr>
          </w:p>
        </w:tc>
        <w:tc>
          <w:tcPr>
            <w:tcW w:w="0" w:type="auto"/>
            <w:shd w:val="clear" w:color="auto" w:fill="auto"/>
            <w:vAlign w:val="center"/>
          </w:tcPr>
          <w:p w14:paraId="6290799E">
            <w:pPr>
              <w:pStyle w:val="42"/>
              <w:jc w:val="center"/>
              <w:rPr>
                <w:rFonts w:hint="default" w:ascii="Arial Regular" w:hAnsi="Arial Regular" w:cs="Arial Regular"/>
                <w:sz w:val="20"/>
                <w:szCs w:val="20"/>
              </w:rPr>
            </w:pPr>
          </w:p>
        </w:tc>
        <w:tc>
          <w:tcPr>
            <w:tcW w:w="0" w:type="auto"/>
            <w:shd w:val="clear" w:color="auto" w:fill="auto"/>
            <w:vAlign w:val="center"/>
          </w:tcPr>
          <w:p w14:paraId="45CE24ED">
            <w:pPr>
              <w:pStyle w:val="42"/>
              <w:jc w:val="center"/>
              <w:rPr>
                <w:rFonts w:hint="default" w:ascii="Arial Regular" w:hAnsi="Arial Regular" w:cs="Arial Regular"/>
                <w:sz w:val="20"/>
                <w:szCs w:val="20"/>
              </w:rPr>
            </w:pPr>
          </w:p>
        </w:tc>
      </w:tr>
      <w:tr w14:paraId="5A272149">
        <w:trPr>
          <w:trHeight w:val="20" w:hRule="atLeast"/>
          <w:jc w:val="center"/>
        </w:trPr>
        <w:tc>
          <w:tcPr>
            <w:tcW w:w="0" w:type="auto"/>
            <w:tcBorders>
              <w:top w:val="nil"/>
              <w:left w:val="nil"/>
              <w:bottom w:val="single" w:color="auto" w:sz="12" w:space="0"/>
              <w:right w:val="nil"/>
            </w:tcBorders>
            <w:shd w:val="clear" w:color="auto" w:fill="auto"/>
            <w:vAlign w:val="center"/>
          </w:tcPr>
          <w:p w14:paraId="410D6A1D">
            <w:pPr>
              <w:pStyle w:val="42"/>
              <w:jc w:val="center"/>
              <w:rPr>
                <w:rFonts w:hint="default" w:ascii="Arial Regular" w:hAnsi="Arial Regular" w:cs="Arial Regular"/>
                <w:sz w:val="20"/>
                <w:szCs w:val="20"/>
              </w:rPr>
            </w:pPr>
          </w:p>
        </w:tc>
        <w:tc>
          <w:tcPr>
            <w:tcW w:w="0" w:type="auto"/>
            <w:vMerge w:val="continue"/>
            <w:tcBorders>
              <w:top w:val="single" w:color="auto" w:sz="8" w:space="0"/>
              <w:left w:val="nil"/>
              <w:bottom w:val="single" w:color="auto" w:sz="12" w:space="0"/>
              <w:right w:val="nil"/>
            </w:tcBorders>
            <w:shd w:val="clear" w:color="auto" w:fill="auto"/>
            <w:vAlign w:val="center"/>
          </w:tcPr>
          <w:p w14:paraId="6A3EF686">
            <w:pPr>
              <w:pStyle w:val="42"/>
              <w:jc w:val="center"/>
              <w:rPr>
                <w:rFonts w:hint="default" w:ascii="Arial Regular" w:hAnsi="Arial Regular" w:cs="Arial Regular"/>
                <w:sz w:val="20"/>
                <w:szCs w:val="20"/>
              </w:rPr>
            </w:pPr>
          </w:p>
        </w:tc>
        <w:tc>
          <w:tcPr>
            <w:tcW w:w="444" w:type="dxa"/>
            <w:tcBorders>
              <w:top w:val="nil"/>
              <w:left w:val="nil"/>
              <w:bottom w:val="single" w:color="auto" w:sz="12" w:space="0"/>
              <w:right w:val="nil"/>
            </w:tcBorders>
            <w:shd w:val="clear" w:color="auto" w:fill="auto"/>
            <w:tcMar>
              <w:top w:w="12" w:type="dxa"/>
              <w:left w:w="12" w:type="dxa"/>
              <w:right w:w="12" w:type="dxa"/>
            </w:tcMar>
            <w:vAlign w:val="center"/>
          </w:tcPr>
          <w:p w14:paraId="4F46CE2F">
            <w:pPr>
              <w:pStyle w:val="42"/>
              <w:jc w:val="center"/>
              <w:rPr>
                <w:rFonts w:hint="default" w:ascii="Arial Regular" w:hAnsi="Arial Regular" w:cs="Arial Regular"/>
                <w:sz w:val="20"/>
                <w:szCs w:val="20"/>
              </w:rPr>
            </w:pPr>
            <w:r>
              <w:rPr>
                <w:rFonts w:hint="default" w:ascii="Arial Regular" w:hAnsi="Arial Regular" w:cs="Arial Regular"/>
                <w:sz w:val="20"/>
                <w:szCs w:val="20"/>
              </w:rPr>
              <w:t>H</w:t>
            </w:r>
          </w:p>
        </w:tc>
        <w:tc>
          <w:tcPr>
            <w:tcW w:w="444" w:type="dxa"/>
            <w:tcBorders>
              <w:top w:val="nil"/>
              <w:left w:val="nil"/>
              <w:bottom w:val="single" w:color="auto" w:sz="12" w:space="0"/>
              <w:right w:val="nil"/>
            </w:tcBorders>
            <w:shd w:val="clear" w:color="auto" w:fill="auto"/>
            <w:tcMar>
              <w:top w:w="12" w:type="dxa"/>
              <w:left w:w="12" w:type="dxa"/>
              <w:right w:w="12" w:type="dxa"/>
            </w:tcMar>
            <w:vAlign w:val="center"/>
          </w:tcPr>
          <w:p w14:paraId="120E766A">
            <w:pPr>
              <w:pStyle w:val="42"/>
              <w:jc w:val="center"/>
              <w:rPr>
                <w:rFonts w:hint="default" w:ascii="Arial Regular" w:hAnsi="Arial Regular" w:cs="Arial Regular"/>
                <w:sz w:val="20"/>
                <w:szCs w:val="20"/>
              </w:rPr>
            </w:pPr>
            <w:r>
              <w:rPr>
                <w:rFonts w:hint="default" w:ascii="Arial Regular" w:hAnsi="Arial Regular" w:cs="Arial Regular"/>
                <w:sz w:val="20"/>
                <w:szCs w:val="20"/>
              </w:rPr>
              <w:t>20</w:t>
            </w:r>
          </w:p>
        </w:tc>
        <w:tc>
          <w:tcPr>
            <w:tcW w:w="882" w:type="dxa"/>
            <w:tcBorders>
              <w:top w:val="nil"/>
              <w:left w:val="nil"/>
              <w:bottom w:val="single" w:color="auto" w:sz="12" w:space="0"/>
              <w:right w:val="nil"/>
            </w:tcBorders>
            <w:shd w:val="clear" w:color="auto" w:fill="auto"/>
            <w:tcMar>
              <w:top w:w="12" w:type="dxa"/>
              <w:left w:w="12" w:type="dxa"/>
              <w:right w:w="12" w:type="dxa"/>
            </w:tcMar>
            <w:vAlign w:val="center"/>
          </w:tcPr>
          <w:p w14:paraId="11CB2ED4">
            <w:pPr>
              <w:pStyle w:val="42"/>
              <w:jc w:val="center"/>
              <w:rPr>
                <w:rFonts w:hint="default" w:ascii="Arial Regular" w:hAnsi="Arial Regular" w:cs="Arial Regular"/>
                <w:sz w:val="20"/>
                <w:szCs w:val="20"/>
              </w:rPr>
            </w:pPr>
            <w:r>
              <w:rPr>
                <w:rFonts w:hint="default" w:ascii="Arial Regular" w:hAnsi="Arial Regular" w:cs="Arial Regular"/>
                <w:sz w:val="20"/>
                <w:szCs w:val="20"/>
              </w:rPr>
              <w:t>0.028</w:t>
            </w:r>
          </w:p>
        </w:tc>
        <w:tc>
          <w:tcPr>
            <w:tcW w:w="777" w:type="dxa"/>
            <w:tcBorders>
              <w:top w:val="nil"/>
              <w:left w:val="nil"/>
              <w:bottom w:val="single" w:color="auto" w:sz="12" w:space="0"/>
              <w:right w:val="nil"/>
            </w:tcBorders>
            <w:shd w:val="clear" w:color="auto" w:fill="auto"/>
            <w:tcMar>
              <w:top w:w="12" w:type="dxa"/>
              <w:left w:w="12" w:type="dxa"/>
              <w:right w:w="12" w:type="dxa"/>
            </w:tcMar>
            <w:vAlign w:val="center"/>
          </w:tcPr>
          <w:p w14:paraId="6CDB6E7D">
            <w:pPr>
              <w:pStyle w:val="42"/>
              <w:jc w:val="center"/>
              <w:rPr>
                <w:rFonts w:hint="default" w:ascii="Arial Regular" w:hAnsi="Arial Regular" w:cs="Arial Regular"/>
                <w:sz w:val="20"/>
                <w:szCs w:val="20"/>
              </w:rPr>
            </w:pPr>
            <w:r>
              <w:rPr>
                <w:rFonts w:hint="default" w:ascii="Arial Regular" w:hAnsi="Arial Regular" w:cs="Arial Regular"/>
                <w:sz w:val="20"/>
                <w:szCs w:val="20"/>
              </w:rPr>
              <w:t>0.030</w:t>
            </w:r>
          </w:p>
        </w:tc>
        <w:tc>
          <w:tcPr>
            <w:tcW w:w="777" w:type="dxa"/>
            <w:tcBorders>
              <w:top w:val="nil"/>
              <w:left w:val="nil"/>
              <w:bottom w:val="single" w:color="auto" w:sz="12" w:space="0"/>
              <w:right w:val="nil"/>
            </w:tcBorders>
            <w:shd w:val="clear" w:color="auto" w:fill="auto"/>
            <w:tcMar>
              <w:top w:w="12" w:type="dxa"/>
              <w:left w:w="12" w:type="dxa"/>
              <w:right w:w="12" w:type="dxa"/>
            </w:tcMar>
            <w:vAlign w:val="center"/>
          </w:tcPr>
          <w:p w14:paraId="2FF4A50E">
            <w:pPr>
              <w:pStyle w:val="42"/>
              <w:jc w:val="center"/>
              <w:rPr>
                <w:rFonts w:hint="default" w:ascii="Arial Regular" w:hAnsi="Arial Regular" w:cs="Arial Regular"/>
                <w:sz w:val="20"/>
                <w:szCs w:val="20"/>
              </w:rPr>
            </w:pPr>
            <w:r>
              <w:rPr>
                <w:rFonts w:hint="default" w:ascii="Arial Regular" w:hAnsi="Arial Regular" w:cs="Arial Regular"/>
                <w:sz w:val="20"/>
                <w:szCs w:val="20"/>
              </w:rPr>
              <w:t>0.029</w:t>
            </w:r>
          </w:p>
        </w:tc>
        <w:tc>
          <w:tcPr>
            <w:tcW w:w="0" w:type="auto"/>
            <w:tcBorders>
              <w:top w:val="nil"/>
              <w:left w:val="nil"/>
              <w:bottom w:val="single" w:color="auto" w:sz="12" w:space="0"/>
              <w:right w:val="nil"/>
            </w:tcBorders>
            <w:shd w:val="clear" w:color="auto" w:fill="auto"/>
            <w:vAlign w:val="center"/>
          </w:tcPr>
          <w:p w14:paraId="06951ECA">
            <w:pPr>
              <w:pStyle w:val="42"/>
              <w:jc w:val="center"/>
              <w:rPr>
                <w:rFonts w:hint="default" w:ascii="Arial Regular" w:hAnsi="Arial Regular" w:cs="Arial Regular"/>
                <w:sz w:val="20"/>
                <w:szCs w:val="20"/>
              </w:rPr>
            </w:pPr>
          </w:p>
        </w:tc>
        <w:tc>
          <w:tcPr>
            <w:tcW w:w="0" w:type="auto"/>
            <w:tcBorders>
              <w:top w:val="nil"/>
              <w:left w:val="nil"/>
              <w:bottom w:val="single" w:color="auto" w:sz="12" w:space="0"/>
              <w:right w:val="nil"/>
            </w:tcBorders>
            <w:shd w:val="clear" w:color="auto" w:fill="auto"/>
            <w:vAlign w:val="center"/>
          </w:tcPr>
          <w:p w14:paraId="5DAA936C">
            <w:pPr>
              <w:pStyle w:val="42"/>
              <w:jc w:val="center"/>
              <w:rPr>
                <w:rFonts w:hint="default" w:ascii="Arial Regular" w:hAnsi="Arial Regular" w:cs="Arial Regular"/>
                <w:sz w:val="20"/>
                <w:szCs w:val="20"/>
              </w:rPr>
            </w:pPr>
          </w:p>
        </w:tc>
        <w:tc>
          <w:tcPr>
            <w:tcW w:w="0" w:type="auto"/>
            <w:tcBorders>
              <w:top w:val="nil"/>
              <w:left w:val="nil"/>
              <w:bottom w:val="single" w:color="auto" w:sz="12" w:space="0"/>
              <w:right w:val="nil"/>
            </w:tcBorders>
            <w:shd w:val="clear" w:color="auto" w:fill="auto"/>
            <w:vAlign w:val="center"/>
          </w:tcPr>
          <w:p w14:paraId="700B30CA">
            <w:pPr>
              <w:pStyle w:val="42"/>
              <w:jc w:val="center"/>
              <w:rPr>
                <w:rFonts w:hint="default" w:ascii="Arial Regular" w:hAnsi="Arial Regular" w:cs="Arial Regular"/>
                <w:sz w:val="20"/>
                <w:szCs w:val="20"/>
              </w:rPr>
            </w:pPr>
          </w:p>
        </w:tc>
        <w:tc>
          <w:tcPr>
            <w:tcW w:w="0" w:type="auto"/>
            <w:tcBorders>
              <w:top w:val="nil"/>
              <w:left w:val="nil"/>
              <w:bottom w:val="single" w:color="auto" w:sz="12" w:space="0"/>
              <w:right w:val="nil"/>
            </w:tcBorders>
            <w:shd w:val="clear" w:color="auto" w:fill="auto"/>
            <w:vAlign w:val="center"/>
          </w:tcPr>
          <w:p w14:paraId="0E7442C4">
            <w:pPr>
              <w:pStyle w:val="42"/>
              <w:jc w:val="center"/>
              <w:rPr>
                <w:rFonts w:hint="default" w:ascii="Arial Regular" w:hAnsi="Arial Regular" w:cs="Arial Regular"/>
                <w:sz w:val="20"/>
                <w:szCs w:val="20"/>
              </w:rPr>
            </w:pPr>
          </w:p>
        </w:tc>
      </w:tr>
    </w:tbl>
    <w:p w14:paraId="2372E487">
      <w:pPr>
        <w:rPr>
          <w:rFonts w:hint="default" w:ascii="Arial Regular" w:hAnsi="Arial Regular" w:cs="Arial Regular"/>
          <w:b/>
          <w:sz w:val="20"/>
          <w:szCs w:val="20"/>
        </w:rPr>
      </w:pPr>
      <w:r>
        <w:rPr>
          <w:rFonts w:hint="default" w:ascii="Arial Regular" w:hAnsi="Arial Regular" w:cs="Arial Regular"/>
          <w:b/>
          <w:sz w:val="20"/>
          <w:szCs w:val="20"/>
        </w:rPr>
        <w:br w:type="page"/>
      </w:r>
    </w:p>
    <w:p w14:paraId="1E201DD2">
      <w:pPr>
        <w:pStyle w:val="3"/>
        <w:keepNext/>
        <w:keepLines/>
        <w:pageBreakBefore w:val="0"/>
        <w:widowControl w:val="0"/>
        <w:kinsoku/>
        <w:wordWrap/>
        <w:overflowPunct/>
        <w:topLinePunct w:val="0"/>
        <w:autoSpaceDE/>
        <w:autoSpaceDN/>
        <w:bidi w:val="0"/>
        <w:adjustRightInd/>
        <w:snapToGrid/>
        <w:spacing w:before="0" w:beforeLines="0" w:after="157" w:afterLines="50" w:line="240" w:lineRule="auto"/>
        <w:textAlignment w:val="auto"/>
        <w:rPr>
          <w:rFonts w:hint="default" w:ascii="Arial Regular" w:hAnsi="Arial Regular" w:cs="Arial Regular"/>
          <w:b/>
          <w:sz w:val="20"/>
          <w:szCs w:val="20"/>
        </w:rPr>
      </w:pPr>
      <w:r>
        <w:rPr>
          <w:rFonts w:hint="default" w:ascii="Arial Regular" w:hAnsi="Arial Regular" w:cs="Arial Regular"/>
          <w:b/>
          <w:bCs w:val="0"/>
          <w:sz w:val="20"/>
          <w:szCs w:val="20"/>
        </w:rPr>
        <w:t xml:space="preserve">Supplementary </w:t>
      </w:r>
      <w:r>
        <w:rPr>
          <w:rFonts w:hint="default" w:ascii="Arial Regular" w:hAnsi="Arial Regular" w:cs="Arial Regular"/>
          <w:b/>
          <w:sz w:val="20"/>
          <w:szCs w:val="20"/>
        </w:rPr>
        <w:t>Table 1</w:t>
      </w:r>
      <w:r>
        <w:rPr>
          <w:rFonts w:hint="default" w:ascii="Arial Regular" w:hAnsi="Arial Regular" w:cs="Arial Regular"/>
          <w:b/>
          <w:sz w:val="20"/>
          <w:szCs w:val="20"/>
          <w:lang w:val="en-US" w:eastAsia="zh-CN"/>
        </w:rPr>
        <w:t>2</w:t>
      </w:r>
      <w:r>
        <w:rPr>
          <w:rFonts w:hint="default" w:ascii="Arial Regular" w:hAnsi="Arial Regular" w:cs="Arial Regular"/>
          <w:b/>
          <w:sz w:val="20"/>
          <w:szCs w:val="20"/>
        </w:rPr>
        <w:t>. Fukui functions of D-glucosamine.</w:t>
      </w:r>
    </w:p>
    <w:tbl>
      <w:tblPr>
        <w:tblStyle w:val="10"/>
        <w:tblW w:w="0" w:type="auto"/>
        <w:jc w:val="center"/>
        <w:tblBorders>
          <w:top w:val="single" w:color="auto" w:sz="12" w:space="0"/>
          <w:left w:val="none" w:color="auto" w:sz="6" w:space="0"/>
          <w:bottom w:val="single" w:color="auto" w:sz="12"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3080"/>
        <w:gridCol w:w="485"/>
        <w:gridCol w:w="438"/>
        <w:gridCol w:w="876"/>
        <w:gridCol w:w="771"/>
        <w:gridCol w:w="771"/>
      </w:tblGrid>
      <w:tr w14:paraId="400994AA">
        <w:trPr>
          <w:trHeight w:val="23" w:hRule="atLeast"/>
          <w:jc w:val="center"/>
        </w:trPr>
        <w:tc>
          <w:tcPr>
            <w:tcW w:w="3072" w:type="dxa"/>
            <w:tcBorders>
              <w:top w:val="single" w:color="auto" w:sz="12" w:space="0"/>
              <w:left w:val="nil"/>
              <w:bottom w:val="single" w:color="auto" w:sz="8" w:space="0"/>
              <w:right w:val="nil"/>
            </w:tcBorders>
            <w:shd w:val="clear" w:color="auto" w:fill="E7E6E6" w:themeFill="background2"/>
            <w:vAlign w:val="center"/>
          </w:tcPr>
          <w:p w14:paraId="69268776">
            <w:pPr>
              <w:pStyle w:val="42"/>
              <w:jc w:val="center"/>
              <w:rPr>
                <w:rFonts w:hint="default" w:ascii="Arial Regular" w:hAnsi="Arial Regular" w:cs="Arial Regular"/>
                <w:sz w:val="20"/>
                <w:szCs w:val="20"/>
              </w:rPr>
            </w:pPr>
            <w:r>
              <w:rPr>
                <w:rFonts w:hint="default" w:ascii="Arial Regular" w:hAnsi="Arial Regular" w:cs="Arial Regular"/>
                <w:sz w:val="20"/>
                <w:szCs w:val="20"/>
                <w:lang w:val="en-US" w:eastAsia="zh-CN"/>
              </w:rPr>
              <w:t>S</w:t>
            </w:r>
            <w:r>
              <w:rPr>
                <w:rFonts w:hint="default" w:ascii="Arial Regular" w:hAnsi="Arial Regular" w:cs="Arial Regular" w:eastAsiaTheme="minorEastAsia"/>
                <w:sz w:val="20"/>
                <w:szCs w:val="20"/>
                <w:lang w:eastAsia="zh-CN"/>
              </w:rPr>
              <w:t>tructure</w:t>
            </w:r>
          </w:p>
        </w:tc>
        <w:tc>
          <w:tcPr>
            <w:tcW w:w="438" w:type="dxa"/>
            <w:tcBorders>
              <w:top w:val="single" w:color="auto" w:sz="12" w:space="0"/>
              <w:left w:val="nil"/>
              <w:bottom w:val="single" w:color="auto" w:sz="8" w:space="0"/>
              <w:right w:val="nil"/>
            </w:tcBorders>
            <w:shd w:val="clear" w:color="auto" w:fill="E7E6E6" w:themeFill="background2"/>
            <w:tcMar>
              <w:top w:w="9" w:type="dxa"/>
              <w:left w:w="9" w:type="dxa"/>
              <w:right w:w="9" w:type="dxa"/>
            </w:tcMar>
            <w:vAlign w:val="center"/>
          </w:tcPr>
          <w:p w14:paraId="007C2C6E">
            <w:pPr>
              <w:pStyle w:val="42"/>
              <w:jc w:val="center"/>
              <w:rPr>
                <w:rFonts w:hint="default" w:ascii="Arial Regular" w:hAnsi="Arial Regular" w:cs="Arial Regular"/>
                <w:sz w:val="20"/>
                <w:szCs w:val="20"/>
              </w:rPr>
            </w:pPr>
            <w:r>
              <w:rPr>
                <w:rFonts w:hint="default" w:ascii="Arial Regular" w:hAnsi="Arial Regular" w:cs="Arial Regular"/>
                <w:sz w:val="20"/>
                <w:szCs w:val="20"/>
                <w:lang w:val="en-US" w:eastAsia="zh-CN"/>
              </w:rPr>
              <w:t>Atom</w:t>
            </w:r>
          </w:p>
        </w:tc>
        <w:tc>
          <w:tcPr>
            <w:tcW w:w="438" w:type="dxa"/>
            <w:tcBorders>
              <w:top w:val="single" w:color="auto" w:sz="12" w:space="0"/>
              <w:left w:val="nil"/>
              <w:bottom w:val="single" w:color="auto" w:sz="8" w:space="0"/>
              <w:right w:val="nil"/>
            </w:tcBorders>
            <w:shd w:val="clear" w:color="auto" w:fill="E7E6E6" w:themeFill="background2"/>
            <w:tcMar>
              <w:top w:w="9" w:type="dxa"/>
              <w:left w:w="9" w:type="dxa"/>
              <w:right w:w="9" w:type="dxa"/>
            </w:tcMar>
            <w:vAlign w:val="center"/>
          </w:tcPr>
          <w:p w14:paraId="7DA504DB">
            <w:pPr>
              <w:pStyle w:val="42"/>
              <w:jc w:val="center"/>
              <w:rPr>
                <w:rFonts w:hint="default" w:ascii="Arial Regular" w:hAnsi="Arial Regular" w:cs="Arial Regular"/>
                <w:sz w:val="20"/>
                <w:szCs w:val="20"/>
              </w:rPr>
            </w:pPr>
            <w:r>
              <w:rPr>
                <w:rFonts w:hint="default" w:ascii="Arial Regular" w:hAnsi="Arial Regular" w:cs="Arial Regular"/>
                <w:sz w:val="20"/>
                <w:szCs w:val="20"/>
                <w:lang w:val="en-US" w:eastAsia="zh-CN"/>
              </w:rPr>
              <w:t>Site</w:t>
            </w:r>
          </w:p>
        </w:tc>
        <w:tc>
          <w:tcPr>
            <w:tcW w:w="876" w:type="dxa"/>
            <w:tcBorders>
              <w:top w:val="single" w:color="auto" w:sz="12" w:space="0"/>
              <w:left w:val="nil"/>
              <w:bottom w:val="single" w:color="auto" w:sz="8" w:space="0"/>
              <w:right w:val="nil"/>
            </w:tcBorders>
            <w:shd w:val="clear" w:color="auto" w:fill="E7E6E6" w:themeFill="background2"/>
            <w:tcMar>
              <w:top w:w="9" w:type="dxa"/>
              <w:left w:w="9" w:type="dxa"/>
              <w:right w:w="9" w:type="dxa"/>
            </w:tcMar>
            <w:vAlign w:val="center"/>
          </w:tcPr>
          <w:p w14:paraId="3B7CB0A2">
            <w:pPr>
              <w:pStyle w:val="42"/>
              <w:jc w:val="center"/>
              <w:rPr>
                <w:rFonts w:hint="default" w:ascii="Arial Regular" w:hAnsi="Arial Regular" w:cs="Arial Regular"/>
                <w:sz w:val="20"/>
                <w:szCs w:val="20"/>
              </w:rPr>
            </w:pPr>
            <w:r>
              <w:rPr>
                <w:rFonts w:hint="default" w:ascii="Arial Regular" w:hAnsi="Arial Regular" w:cs="Arial Regular"/>
                <w:sz w:val="20"/>
                <w:szCs w:val="20"/>
              </w:rPr>
              <w:t>f⁻</w:t>
            </w:r>
          </w:p>
        </w:tc>
        <w:tc>
          <w:tcPr>
            <w:tcW w:w="771" w:type="dxa"/>
            <w:tcBorders>
              <w:top w:val="single" w:color="auto" w:sz="12" w:space="0"/>
              <w:left w:val="nil"/>
              <w:bottom w:val="single" w:color="auto" w:sz="8" w:space="0"/>
              <w:right w:val="nil"/>
            </w:tcBorders>
            <w:shd w:val="clear" w:color="auto" w:fill="E7E6E6" w:themeFill="background2"/>
            <w:tcMar>
              <w:top w:w="9" w:type="dxa"/>
              <w:left w:w="9" w:type="dxa"/>
              <w:right w:w="9" w:type="dxa"/>
            </w:tcMar>
            <w:vAlign w:val="center"/>
          </w:tcPr>
          <w:p w14:paraId="5F7FFF7F">
            <w:pPr>
              <w:pStyle w:val="42"/>
              <w:jc w:val="center"/>
              <w:rPr>
                <w:rFonts w:hint="default" w:ascii="Arial Regular" w:hAnsi="Arial Regular" w:cs="Arial Regular"/>
                <w:sz w:val="20"/>
                <w:szCs w:val="20"/>
              </w:rPr>
            </w:pPr>
            <w:r>
              <w:rPr>
                <w:rFonts w:hint="default" w:ascii="Arial Regular" w:hAnsi="Arial Regular" w:cs="Arial Regular"/>
                <w:sz w:val="20"/>
                <w:szCs w:val="20"/>
              </w:rPr>
              <w:t>f</w:t>
            </w:r>
            <w:r>
              <w:rPr>
                <w:rFonts w:hint="default" w:ascii="Arial Regular" w:hAnsi="Arial Regular" w:cs="Arial Regular"/>
                <w:sz w:val="20"/>
                <w:szCs w:val="20"/>
                <w:vertAlign w:val="superscript"/>
              </w:rPr>
              <w:t>+</w:t>
            </w:r>
          </w:p>
        </w:tc>
        <w:tc>
          <w:tcPr>
            <w:tcW w:w="771" w:type="dxa"/>
            <w:tcBorders>
              <w:top w:val="single" w:color="auto" w:sz="12" w:space="0"/>
              <w:left w:val="nil"/>
              <w:bottom w:val="single" w:color="auto" w:sz="8" w:space="0"/>
              <w:right w:val="nil"/>
            </w:tcBorders>
            <w:shd w:val="clear" w:color="auto" w:fill="E7E6E6" w:themeFill="background2"/>
            <w:tcMar>
              <w:top w:w="9" w:type="dxa"/>
              <w:left w:w="9" w:type="dxa"/>
              <w:right w:w="9" w:type="dxa"/>
            </w:tcMar>
            <w:vAlign w:val="center"/>
          </w:tcPr>
          <w:p w14:paraId="196F6CD8">
            <w:pPr>
              <w:pStyle w:val="42"/>
              <w:jc w:val="center"/>
              <w:rPr>
                <w:rFonts w:hint="default" w:ascii="Arial Regular" w:hAnsi="Arial Regular" w:cs="Arial Regular"/>
                <w:sz w:val="20"/>
                <w:szCs w:val="20"/>
              </w:rPr>
            </w:pPr>
            <w:r>
              <w:rPr>
                <w:rFonts w:hint="default" w:ascii="Arial Regular" w:hAnsi="Arial Regular" w:cs="Arial Regular"/>
                <w:sz w:val="20"/>
                <w:szCs w:val="20"/>
              </w:rPr>
              <w:t>f</w:t>
            </w:r>
            <w:r>
              <w:rPr>
                <w:rFonts w:hint="default" w:ascii="Arial Regular" w:hAnsi="Arial Regular" w:cs="Arial Regular"/>
                <w:sz w:val="20"/>
                <w:szCs w:val="20"/>
                <w:vertAlign w:val="superscript"/>
              </w:rPr>
              <w:t>0</w:t>
            </w:r>
          </w:p>
        </w:tc>
      </w:tr>
      <w:tr w14:paraId="59245714">
        <w:trPr>
          <w:trHeight w:val="23" w:hRule="atLeast"/>
          <w:jc w:val="center"/>
        </w:trPr>
        <w:tc>
          <w:tcPr>
            <w:tcW w:w="0" w:type="auto"/>
            <w:vMerge w:val="restart"/>
            <w:tcBorders>
              <w:top w:val="single" w:color="auto" w:sz="8" w:space="0"/>
              <w:left w:val="nil"/>
              <w:bottom w:val="single" w:color="auto" w:sz="12" w:space="0"/>
              <w:right w:val="nil"/>
            </w:tcBorders>
            <w:shd w:val="clear" w:color="auto" w:fill="auto"/>
            <w:vAlign w:val="center"/>
          </w:tcPr>
          <w:p w14:paraId="212D7CC0">
            <w:pPr>
              <w:pStyle w:val="8"/>
              <w:widowControl/>
              <w:spacing w:beforeAutospacing="0" w:afterAutospacing="0" w:line="280" w:lineRule="atLeast"/>
              <w:ind w:firstLine="0" w:firstLineChars="0"/>
              <w:jc w:val="center"/>
              <w:rPr>
                <w:rFonts w:hint="default" w:ascii="Arial Regular" w:hAnsi="Arial Regular" w:cs="Arial Regular"/>
                <w:color w:val="000000"/>
                <w:sz w:val="20"/>
                <w:szCs w:val="20"/>
                <w:lang w:bidi="ar"/>
              </w:rPr>
            </w:pPr>
            <w:r>
              <w:rPr>
                <w:rFonts w:hint="default" w:ascii="Arial Regular" w:hAnsi="Arial Regular" w:cs="Arial Regular"/>
                <w:sz w:val="20"/>
                <w:szCs w:val="20"/>
              </w:rPr>
              <w:drawing>
                <wp:inline distT="0" distB="0" distL="114300" distR="114300">
                  <wp:extent cx="1943735" cy="1746250"/>
                  <wp:effectExtent l="0" t="0" r="12065" b="6350"/>
                  <wp:docPr id="8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1"/>
                          <pic:cNvPicPr>
                            <a:picLocks noChangeAspect="1"/>
                          </pic:cNvPicPr>
                        </pic:nvPicPr>
                        <pic:blipFill>
                          <a:blip r:embed="rId40" cstate="print">
                            <a:extLst>
                              <a:ext uri="{28A0092B-C50C-407E-A947-70E740481C1C}">
                                <a14:useLocalDpi xmlns:a14="http://schemas.microsoft.com/office/drawing/2010/main" val="0"/>
                              </a:ext>
                            </a:extLst>
                          </a:blip>
                          <a:srcRect l="22649" r="21126"/>
                          <a:stretch>
                            <a:fillRect/>
                          </a:stretch>
                        </pic:blipFill>
                        <pic:spPr>
                          <a:xfrm>
                            <a:off x="0" y="0"/>
                            <a:ext cx="1943735" cy="1746250"/>
                          </a:xfrm>
                          <a:prstGeom prst="rect">
                            <a:avLst/>
                          </a:prstGeom>
                        </pic:spPr>
                      </pic:pic>
                    </a:graphicData>
                  </a:graphic>
                </wp:inline>
              </w:drawing>
            </w:r>
          </w:p>
          <w:p w14:paraId="13DFDAA4">
            <w:pPr>
              <w:pStyle w:val="8"/>
              <w:widowControl/>
              <w:spacing w:beforeAutospacing="0" w:afterAutospacing="0" w:line="280" w:lineRule="atLeast"/>
              <w:ind w:firstLine="0" w:firstLineChars="0"/>
              <w:jc w:val="center"/>
              <w:rPr>
                <w:rFonts w:hint="default" w:ascii="Arial Regular" w:hAnsi="Arial Regular" w:cs="Arial Regular"/>
                <w:color w:val="000000"/>
                <w:sz w:val="20"/>
                <w:szCs w:val="20"/>
                <w:lang w:bidi="ar"/>
              </w:rPr>
            </w:pPr>
            <w:r>
              <w:rPr>
                <w:rFonts w:hint="default" w:ascii="Arial Regular" w:hAnsi="Arial Regular" w:cs="Arial Regular"/>
                <w:b w:val="0"/>
                <w:bCs w:val="0"/>
                <w:sz w:val="20"/>
                <w:szCs w:val="20"/>
              </w:rPr>
              <w:t>D-glucosamine</w:t>
            </w:r>
          </w:p>
        </w:tc>
        <w:tc>
          <w:tcPr>
            <w:tcW w:w="438" w:type="dxa"/>
            <w:tcBorders>
              <w:top w:val="single" w:color="auto" w:sz="8" w:space="0"/>
              <w:left w:val="nil"/>
              <w:bottom w:val="nil"/>
              <w:right w:val="nil"/>
            </w:tcBorders>
            <w:shd w:val="clear" w:color="auto" w:fill="auto"/>
            <w:tcMar>
              <w:top w:w="9" w:type="dxa"/>
              <w:left w:w="9" w:type="dxa"/>
              <w:right w:w="9" w:type="dxa"/>
            </w:tcMar>
            <w:vAlign w:val="center"/>
          </w:tcPr>
          <w:p w14:paraId="6BED03BD">
            <w:pPr>
              <w:pStyle w:val="42"/>
              <w:jc w:val="center"/>
              <w:rPr>
                <w:rFonts w:hint="default" w:ascii="Arial Regular" w:hAnsi="Arial Regular" w:cs="Arial Regular"/>
                <w:sz w:val="20"/>
                <w:szCs w:val="20"/>
              </w:rPr>
            </w:pPr>
            <w:r>
              <w:rPr>
                <w:rFonts w:hint="default" w:ascii="Arial Regular" w:hAnsi="Arial Regular" w:cs="Arial Regular"/>
                <w:sz w:val="20"/>
                <w:szCs w:val="20"/>
              </w:rPr>
              <w:t>O</w:t>
            </w:r>
          </w:p>
        </w:tc>
        <w:tc>
          <w:tcPr>
            <w:tcW w:w="0" w:type="auto"/>
            <w:tcBorders>
              <w:top w:val="single" w:color="auto" w:sz="8" w:space="0"/>
              <w:left w:val="nil"/>
              <w:bottom w:val="nil"/>
              <w:right w:val="nil"/>
            </w:tcBorders>
            <w:shd w:val="clear" w:color="auto" w:fill="auto"/>
            <w:tcMar>
              <w:top w:w="9" w:type="dxa"/>
              <w:left w:w="9" w:type="dxa"/>
              <w:right w:w="9" w:type="dxa"/>
            </w:tcMar>
            <w:vAlign w:val="center"/>
          </w:tcPr>
          <w:p w14:paraId="1C1E05FE">
            <w:pPr>
              <w:pStyle w:val="8"/>
              <w:widowControl/>
              <w:spacing w:beforeAutospacing="0" w:afterAutospacing="0" w:line="280" w:lineRule="atLeast"/>
              <w:ind w:firstLine="0" w:firstLineChars="0"/>
              <w:jc w:val="center"/>
              <w:rPr>
                <w:rFonts w:hint="default" w:ascii="Arial Regular" w:hAnsi="Arial Regular" w:cs="Arial Regular"/>
                <w:sz w:val="20"/>
                <w:szCs w:val="20"/>
              </w:rPr>
            </w:pPr>
            <w:r>
              <w:rPr>
                <w:rFonts w:hint="default" w:ascii="Arial Regular" w:hAnsi="Arial Regular" w:cs="Arial Regular"/>
                <w:color w:val="000000"/>
                <w:sz w:val="20"/>
                <w:szCs w:val="20"/>
                <w:lang w:bidi="ar"/>
              </w:rPr>
              <w:t>1</w:t>
            </w:r>
          </w:p>
        </w:tc>
        <w:tc>
          <w:tcPr>
            <w:tcW w:w="876" w:type="dxa"/>
            <w:tcBorders>
              <w:top w:val="single" w:color="auto" w:sz="8" w:space="0"/>
              <w:left w:val="nil"/>
              <w:bottom w:val="nil"/>
              <w:right w:val="nil"/>
            </w:tcBorders>
            <w:shd w:val="clear" w:color="auto" w:fill="auto"/>
            <w:tcMar>
              <w:top w:w="9" w:type="dxa"/>
              <w:left w:w="9" w:type="dxa"/>
              <w:right w:w="9" w:type="dxa"/>
            </w:tcMar>
            <w:vAlign w:val="center"/>
          </w:tcPr>
          <w:p w14:paraId="0F80C8DE">
            <w:pPr>
              <w:pStyle w:val="42"/>
              <w:jc w:val="center"/>
              <w:rPr>
                <w:rFonts w:hint="default" w:ascii="Arial Regular" w:hAnsi="Arial Regular" w:cs="Arial Regular"/>
                <w:sz w:val="20"/>
                <w:szCs w:val="20"/>
              </w:rPr>
            </w:pPr>
            <w:r>
              <w:rPr>
                <w:rFonts w:hint="default" w:ascii="Arial Regular" w:hAnsi="Arial Regular" w:cs="Arial Regular"/>
                <w:sz w:val="20"/>
                <w:szCs w:val="20"/>
              </w:rPr>
              <w:t>0.019</w:t>
            </w:r>
          </w:p>
        </w:tc>
        <w:tc>
          <w:tcPr>
            <w:tcW w:w="771" w:type="dxa"/>
            <w:tcBorders>
              <w:top w:val="single" w:color="auto" w:sz="8" w:space="0"/>
              <w:left w:val="nil"/>
              <w:bottom w:val="nil"/>
              <w:right w:val="nil"/>
            </w:tcBorders>
            <w:shd w:val="clear" w:color="auto" w:fill="auto"/>
            <w:tcMar>
              <w:top w:w="9" w:type="dxa"/>
              <w:left w:w="9" w:type="dxa"/>
              <w:right w:w="9" w:type="dxa"/>
            </w:tcMar>
            <w:vAlign w:val="center"/>
          </w:tcPr>
          <w:p w14:paraId="2645E9B4">
            <w:pPr>
              <w:pStyle w:val="42"/>
              <w:jc w:val="center"/>
              <w:rPr>
                <w:rFonts w:hint="default" w:ascii="Arial Regular" w:hAnsi="Arial Regular" w:cs="Arial Regular"/>
                <w:sz w:val="20"/>
                <w:szCs w:val="20"/>
              </w:rPr>
            </w:pPr>
            <w:r>
              <w:rPr>
                <w:rFonts w:hint="default" w:ascii="Arial Regular" w:hAnsi="Arial Regular" w:cs="Arial Regular"/>
                <w:sz w:val="20"/>
                <w:szCs w:val="20"/>
              </w:rPr>
              <w:t>0.014</w:t>
            </w:r>
          </w:p>
        </w:tc>
        <w:tc>
          <w:tcPr>
            <w:tcW w:w="771" w:type="dxa"/>
            <w:tcBorders>
              <w:top w:val="single" w:color="auto" w:sz="8" w:space="0"/>
              <w:left w:val="nil"/>
              <w:bottom w:val="nil"/>
              <w:right w:val="nil"/>
            </w:tcBorders>
            <w:shd w:val="clear" w:color="auto" w:fill="auto"/>
            <w:tcMar>
              <w:top w:w="9" w:type="dxa"/>
              <w:left w:w="9" w:type="dxa"/>
              <w:right w:w="9" w:type="dxa"/>
            </w:tcMar>
            <w:vAlign w:val="center"/>
          </w:tcPr>
          <w:p w14:paraId="28EE37F5">
            <w:pPr>
              <w:pStyle w:val="42"/>
              <w:jc w:val="center"/>
              <w:rPr>
                <w:rFonts w:hint="default" w:ascii="Arial Regular" w:hAnsi="Arial Regular" w:cs="Arial Regular"/>
                <w:sz w:val="20"/>
                <w:szCs w:val="20"/>
              </w:rPr>
            </w:pPr>
            <w:r>
              <w:rPr>
                <w:rFonts w:hint="default" w:ascii="Arial Regular" w:hAnsi="Arial Regular" w:cs="Arial Regular"/>
                <w:sz w:val="20"/>
                <w:szCs w:val="20"/>
              </w:rPr>
              <w:t>0.017</w:t>
            </w:r>
          </w:p>
        </w:tc>
      </w:tr>
      <w:tr w14:paraId="6E234399">
        <w:trPr>
          <w:trHeight w:val="23" w:hRule="atLeast"/>
          <w:jc w:val="center"/>
        </w:trPr>
        <w:tc>
          <w:tcPr>
            <w:tcW w:w="0" w:type="auto"/>
            <w:vMerge w:val="continue"/>
            <w:tcBorders>
              <w:top w:val="single" w:color="auto" w:sz="8" w:space="0"/>
              <w:left w:val="nil"/>
              <w:bottom w:val="single" w:color="auto" w:sz="12" w:space="0"/>
              <w:right w:val="nil"/>
            </w:tcBorders>
            <w:shd w:val="clear" w:color="auto" w:fill="auto"/>
            <w:vAlign w:val="center"/>
          </w:tcPr>
          <w:p w14:paraId="3577F7E2">
            <w:pPr>
              <w:ind w:firstLine="400"/>
              <w:jc w:val="center"/>
              <w:rPr>
                <w:rFonts w:hint="default" w:ascii="Arial Regular" w:hAnsi="Arial Regular" w:cs="Arial Regular"/>
                <w:sz w:val="20"/>
                <w:szCs w:val="20"/>
              </w:rPr>
            </w:pPr>
          </w:p>
        </w:tc>
        <w:tc>
          <w:tcPr>
            <w:tcW w:w="438" w:type="dxa"/>
            <w:tcBorders>
              <w:top w:val="nil"/>
              <w:left w:val="nil"/>
              <w:bottom w:val="nil"/>
              <w:right w:val="nil"/>
            </w:tcBorders>
            <w:shd w:val="clear" w:color="auto" w:fill="auto"/>
            <w:tcMar>
              <w:top w:w="9" w:type="dxa"/>
              <w:left w:w="9" w:type="dxa"/>
              <w:right w:w="9" w:type="dxa"/>
            </w:tcMar>
            <w:vAlign w:val="center"/>
          </w:tcPr>
          <w:p w14:paraId="14FEA494">
            <w:pPr>
              <w:pStyle w:val="42"/>
              <w:jc w:val="center"/>
              <w:rPr>
                <w:rFonts w:hint="default" w:ascii="Arial Regular" w:hAnsi="Arial Regular" w:cs="Arial Regular"/>
                <w:sz w:val="20"/>
                <w:szCs w:val="20"/>
              </w:rPr>
            </w:pPr>
            <w:r>
              <w:rPr>
                <w:rFonts w:hint="default" w:ascii="Arial Regular" w:hAnsi="Arial Regular" w:cs="Arial Regular"/>
                <w:sz w:val="20"/>
                <w:szCs w:val="20"/>
              </w:rPr>
              <w:t>O</w:t>
            </w:r>
          </w:p>
        </w:tc>
        <w:tc>
          <w:tcPr>
            <w:tcW w:w="0" w:type="auto"/>
            <w:tcBorders>
              <w:top w:val="nil"/>
              <w:left w:val="nil"/>
              <w:bottom w:val="nil"/>
              <w:right w:val="nil"/>
            </w:tcBorders>
            <w:shd w:val="clear" w:color="auto" w:fill="auto"/>
            <w:tcMar>
              <w:top w:w="9" w:type="dxa"/>
              <w:left w:w="9" w:type="dxa"/>
              <w:right w:w="9" w:type="dxa"/>
            </w:tcMar>
            <w:vAlign w:val="center"/>
          </w:tcPr>
          <w:p w14:paraId="272C9B88">
            <w:pPr>
              <w:pStyle w:val="8"/>
              <w:widowControl/>
              <w:spacing w:beforeAutospacing="0" w:afterAutospacing="0" w:line="280" w:lineRule="atLeast"/>
              <w:ind w:firstLine="0" w:firstLineChars="0"/>
              <w:jc w:val="center"/>
              <w:rPr>
                <w:rFonts w:hint="default" w:ascii="Arial Regular" w:hAnsi="Arial Regular" w:cs="Arial Regular"/>
                <w:sz w:val="20"/>
                <w:szCs w:val="20"/>
              </w:rPr>
            </w:pPr>
            <w:r>
              <w:rPr>
                <w:rFonts w:hint="default" w:ascii="Arial Regular" w:hAnsi="Arial Regular" w:cs="Arial Regular"/>
                <w:color w:val="000000"/>
                <w:sz w:val="20"/>
                <w:szCs w:val="20"/>
                <w:lang w:bidi="ar"/>
              </w:rPr>
              <w:t>2</w:t>
            </w:r>
          </w:p>
        </w:tc>
        <w:tc>
          <w:tcPr>
            <w:tcW w:w="876" w:type="dxa"/>
            <w:tcBorders>
              <w:top w:val="nil"/>
              <w:left w:val="nil"/>
              <w:bottom w:val="nil"/>
              <w:right w:val="nil"/>
            </w:tcBorders>
            <w:shd w:val="clear" w:color="auto" w:fill="auto"/>
            <w:tcMar>
              <w:top w:w="9" w:type="dxa"/>
              <w:left w:w="9" w:type="dxa"/>
              <w:right w:w="9" w:type="dxa"/>
            </w:tcMar>
            <w:vAlign w:val="center"/>
          </w:tcPr>
          <w:p w14:paraId="565D4D72">
            <w:pPr>
              <w:pStyle w:val="42"/>
              <w:jc w:val="center"/>
              <w:rPr>
                <w:rFonts w:hint="default" w:ascii="Arial Regular" w:hAnsi="Arial Regular" w:cs="Arial Regular"/>
                <w:sz w:val="20"/>
                <w:szCs w:val="20"/>
              </w:rPr>
            </w:pPr>
            <w:r>
              <w:rPr>
                <w:rFonts w:hint="default" w:ascii="Arial Regular" w:hAnsi="Arial Regular" w:cs="Arial Regular"/>
                <w:sz w:val="20"/>
                <w:szCs w:val="20"/>
              </w:rPr>
              <w:t>0.066</w:t>
            </w:r>
          </w:p>
        </w:tc>
        <w:tc>
          <w:tcPr>
            <w:tcW w:w="771" w:type="dxa"/>
            <w:tcBorders>
              <w:top w:val="nil"/>
              <w:left w:val="nil"/>
              <w:bottom w:val="nil"/>
              <w:right w:val="nil"/>
            </w:tcBorders>
            <w:shd w:val="clear" w:color="auto" w:fill="auto"/>
            <w:tcMar>
              <w:top w:w="9" w:type="dxa"/>
              <w:left w:w="9" w:type="dxa"/>
              <w:right w:w="9" w:type="dxa"/>
            </w:tcMar>
            <w:vAlign w:val="center"/>
          </w:tcPr>
          <w:p w14:paraId="3D589AE6">
            <w:pPr>
              <w:pStyle w:val="42"/>
              <w:jc w:val="center"/>
              <w:rPr>
                <w:rFonts w:hint="default" w:ascii="Arial Regular" w:hAnsi="Arial Regular" w:cs="Arial Regular"/>
                <w:sz w:val="20"/>
                <w:szCs w:val="20"/>
              </w:rPr>
            </w:pPr>
            <w:r>
              <w:rPr>
                <w:rFonts w:hint="default" w:ascii="Arial Regular" w:hAnsi="Arial Regular" w:cs="Arial Regular"/>
                <w:sz w:val="20"/>
                <w:szCs w:val="20"/>
              </w:rPr>
              <w:t>0.039</w:t>
            </w:r>
          </w:p>
        </w:tc>
        <w:tc>
          <w:tcPr>
            <w:tcW w:w="771" w:type="dxa"/>
            <w:tcBorders>
              <w:top w:val="nil"/>
              <w:left w:val="nil"/>
              <w:bottom w:val="nil"/>
              <w:right w:val="nil"/>
            </w:tcBorders>
            <w:shd w:val="clear" w:color="auto" w:fill="auto"/>
            <w:tcMar>
              <w:top w:w="9" w:type="dxa"/>
              <w:left w:w="9" w:type="dxa"/>
              <w:right w:w="9" w:type="dxa"/>
            </w:tcMar>
            <w:vAlign w:val="center"/>
          </w:tcPr>
          <w:p w14:paraId="57963637">
            <w:pPr>
              <w:pStyle w:val="42"/>
              <w:jc w:val="center"/>
              <w:rPr>
                <w:rFonts w:hint="default" w:ascii="Arial Regular" w:hAnsi="Arial Regular" w:cs="Arial Regular"/>
                <w:sz w:val="20"/>
                <w:szCs w:val="20"/>
              </w:rPr>
            </w:pPr>
            <w:r>
              <w:rPr>
                <w:rFonts w:hint="default" w:ascii="Arial Regular" w:hAnsi="Arial Regular" w:cs="Arial Regular"/>
                <w:sz w:val="20"/>
                <w:szCs w:val="20"/>
              </w:rPr>
              <w:t>0.052</w:t>
            </w:r>
          </w:p>
        </w:tc>
      </w:tr>
      <w:tr w14:paraId="47F06097">
        <w:trPr>
          <w:trHeight w:val="23" w:hRule="atLeast"/>
          <w:jc w:val="center"/>
        </w:trPr>
        <w:tc>
          <w:tcPr>
            <w:tcW w:w="0" w:type="auto"/>
            <w:vMerge w:val="continue"/>
            <w:tcBorders>
              <w:top w:val="single" w:color="auto" w:sz="8" w:space="0"/>
              <w:left w:val="nil"/>
              <w:bottom w:val="single" w:color="auto" w:sz="12" w:space="0"/>
              <w:right w:val="nil"/>
            </w:tcBorders>
            <w:shd w:val="clear" w:color="auto" w:fill="auto"/>
            <w:vAlign w:val="center"/>
          </w:tcPr>
          <w:p w14:paraId="30F7570C">
            <w:pPr>
              <w:ind w:firstLine="400"/>
              <w:jc w:val="center"/>
              <w:rPr>
                <w:rFonts w:hint="default" w:ascii="Arial Regular" w:hAnsi="Arial Regular" w:cs="Arial Regular"/>
                <w:sz w:val="20"/>
                <w:szCs w:val="20"/>
              </w:rPr>
            </w:pPr>
          </w:p>
        </w:tc>
        <w:tc>
          <w:tcPr>
            <w:tcW w:w="438" w:type="dxa"/>
            <w:tcBorders>
              <w:top w:val="nil"/>
              <w:left w:val="nil"/>
              <w:bottom w:val="nil"/>
              <w:right w:val="nil"/>
            </w:tcBorders>
            <w:shd w:val="clear" w:color="auto" w:fill="auto"/>
            <w:tcMar>
              <w:top w:w="9" w:type="dxa"/>
              <w:left w:w="9" w:type="dxa"/>
              <w:right w:w="9" w:type="dxa"/>
            </w:tcMar>
            <w:vAlign w:val="center"/>
          </w:tcPr>
          <w:p w14:paraId="1E58A1E8">
            <w:pPr>
              <w:pStyle w:val="42"/>
              <w:jc w:val="center"/>
              <w:rPr>
                <w:rFonts w:hint="default" w:ascii="Arial Regular" w:hAnsi="Arial Regular" w:cs="Arial Regular"/>
                <w:sz w:val="20"/>
                <w:szCs w:val="20"/>
              </w:rPr>
            </w:pPr>
            <w:r>
              <w:rPr>
                <w:rFonts w:hint="default" w:ascii="Arial Regular" w:hAnsi="Arial Regular" w:cs="Arial Regular"/>
                <w:sz w:val="20"/>
                <w:szCs w:val="20"/>
              </w:rPr>
              <w:t>O</w:t>
            </w:r>
          </w:p>
        </w:tc>
        <w:tc>
          <w:tcPr>
            <w:tcW w:w="0" w:type="auto"/>
            <w:tcBorders>
              <w:top w:val="nil"/>
              <w:left w:val="nil"/>
              <w:bottom w:val="nil"/>
              <w:right w:val="nil"/>
            </w:tcBorders>
            <w:shd w:val="clear" w:color="auto" w:fill="auto"/>
            <w:tcMar>
              <w:top w:w="9" w:type="dxa"/>
              <w:left w:w="9" w:type="dxa"/>
              <w:right w:w="9" w:type="dxa"/>
            </w:tcMar>
            <w:vAlign w:val="center"/>
          </w:tcPr>
          <w:p w14:paraId="27C5EE20">
            <w:pPr>
              <w:pStyle w:val="8"/>
              <w:widowControl/>
              <w:spacing w:beforeAutospacing="0" w:afterAutospacing="0" w:line="280" w:lineRule="atLeast"/>
              <w:ind w:firstLine="0" w:firstLineChars="0"/>
              <w:jc w:val="center"/>
              <w:rPr>
                <w:rFonts w:hint="default" w:ascii="Arial Regular" w:hAnsi="Arial Regular" w:cs="Arial Regular"/>
                <w:sz w:val="20"/>
                <w:szCs w:val="20"/>
              </w:rPr>
            </w:pPr>
            <w:r>
              <w:rPr>
                <w:rFonts w:hint="default" w:ascii="Arial Regular" w:hAnsi="Arial Regular" w:cs="Arial Regular"/>
                <w:color w:val="000000"/>
                <w:sz w:val="20"/>
                <w:szCs w:val="20"/>
                <w:lang w:bidi="ar"/>
              </w:rPr>
              <w:t>3</w:t>
            </w:r>
          </w:p>
        </w:tc>
        <w:tc>
          <w:tcPr>
            <w:tcW w:w="876" w:type="dxa"/>
            <w:tcBorders>
              <w:top w:val="nil"/>
              <w:left w:val="nil"/>
              <w:bottom w:val="nil"/>
              <w:right w:val="nil"/>
            </w:tcBorders>
            <w:shd w:val="clear" w:color="auto" w:fill="auto"/>
            <w:tcMar>
              <w:top w:w="9" w:type="dxa"/>
              <w:left w:w="9" w:type="dxa"/>
              <w:right w:w="9" w:type="dxa"/>
            </w:tcMar>
            <w:vAlign w:val="center"/>
          </w:tcPr>
          <w:p w14:paraId="1EFEF346">
            <w:pPr>
              <w:pStyle w:val="42"/>
              <w:jc w:val="center"/>
              <w:rPr>
                <w:rFonts w:hint="default" w:ascii="Arial Regular" w:hAnsi="Arial Regular" w:cs="Arial Regular"/>
                <w:sz w:val="20"/>
                <w:szCs w:val="20"/>
              </w:rPr>
            </w:pPr>
            <w:r>
              <w:rPr>
                <w:rFonts w:hint="default" w:ascii="Arial Regular" w:hAnsi="Arial Regular" w:cs="Arial Regular"/>
                <w:sz w:val="20"/>
                <w:szCs w:val="20"/>
              </w:rPr>
              <w:t>0.045</w:t>
            </w:r>
          </w:p>
        </w:tc>
        <w:tc>
          <w:tcPr>
            <w:tcW w:w="771" w:type="dxa"/>
            <w:tcBorders>
              <w:top w:val="nil"/>
              <w:left w:val="nil"/>
              <w:bottom w:val="nil"/>
              <w:right w:val="nil"/>
            </w:tcBorders>
            <w:shd w:val="clear" w:color="auto" w:fill="auto"/>
            <w:tcMar>
              <w:top w:w="9" w:type="dxa"/>
              <w:left w:w="9" w:type="dxa"/>
              <w:right w:w="9" w:type="dxa"/>
            </w:tcMar>
            <w:vAlign w:val="center"/>
          </w:tcPr>
          <w:p w14:paraId="042E483C">
            <w:pPr>
              <w:pStyle w:val="42"/>
              <w:jc w:val="center"/>
              <w:rPr>
                <w:rFonts w:hint="default" w:ascii="Arial Regular" w:hAnsi="Arial Regular" w:cs="Arial Regular"/>
                <w:sz w:val="20"/>
                <w:szCs w:val="20"/>
              </w:rPr>
            </w:pPr>
            <w:r>
              <w:rPr>
                <w:rFonts w:hint="default" w:ascii="Arial Regular" w:hAnsi="Arial Regular" w:cs="Arial Regular"/>
                <w:sz w:val="20"/>
                <w:szCs w:val="20"/>
              </w:rPr>
              <w:t>0.056</w:t>
            </w:r>
          </w:p>
        </w:tc>
        <w:tc>
          <w:tcPr>
            <w:tcW w:w="771" w:type="dxa"/>
            <w:tcBorders>
              <w:top w:val="nil"/>
              <w:left w:val="nil"/>
              <w:bottom w:val="nil"/>
              <w:right w:val="nil"/>
            </w:tcBorders>
            <w:shd w:val="clear" w:color="auto" w:fill="auto"/>
            <w:tcMar>
              <w:top w:w="9" w:type="dxa"/>
              <w:left w:w="9" w:type="dxa"/>
              <w:right w:w="9" w:type="dxa"/>
            </w:tcMar>
            <w:vAlign w:val="center"/>
          </w:tcPr>
          <w:p w14:paraId="008E3660">
            <w:pPr>
              <w:pStyle w:val="42"/>
              <w:jc w:val="center"/>
              <w:rPr>
                <w:rFonts w:hint="default" w:ascii="Arial Regular" w:hAnsi="Arial Regular" w:cs="Arial Regular"/>
                <w:sz w:val="20"/>
                <w:szCs w:val="20"/>
              </w:rPr>
            </w:pPr>
            <w:r>
              <w:rPr>
                <w:rFonts w:hint="default" w:ascii="Arial Regular" w:hAnsi="Arial Regular" w:cs="Arial Regular"/>
                <w:sz w:val="20"/>
                <w:szCs w:val="20"/>
              </w:rPr>
              <w:t>0.050</w:t>
            </w:r>
          </w:p>
        </w:tc>
      </w:tr>
      <w:tr w14:paraId="57993870">
        <w:trPr>
          <w:trHeight w:val="23" w:hRule="atLeast"/>
          <w:jc w:val="center"/>
        </w:trPr>
        <w:tc>
          <w:tcPr>
            <w:tcW w:w="0" w:type="auto"/>
            <w:vMerge w:val="continue"/>
            <w:tcBorders>
              <w:top w:val="single" w:color="auto" w:sz="8" w:space="0"/>
              <w:left w:val="nil"/>
              <w:bottom w:val="single" w:color="auto" w:sz="12" w:space="0"/>
              <w:right w:val="nil"/>
            </w:tcBorders>
            <w:shd w:val="clear" w:color="auto" w:fill="auto"/>
            <w:vAlign w:val="center"/>
          </w:tcPr>
          <w:p w14:paraId="4C6F0BB9">
            <w:pPr>
              <w:ind w:firstLine="400"/>
              <w:jc w:val="center"/>
              <w:rPr>
                <w:rFonts w:hint="default" w:ascii="Arial Regular" w:hAnsi="Arial Regular" w:cs="Arial Regular"/>
                <w:sz w:val="20"/>
                <w:szCs w:val="20"/>
              </w:rPr>
            </w:pPr>
          </w:p>
        </w:tc>
        <w:tc>
          <w:tcPr>
            <w:tcW w:w="438" w:type="dxa"/>
            <w:tcBorders>
              <w:top w:val="nil"/>
              <w:left w:val="nil"/>
              <w:bottom w:val="nil"/>
              <w:right w:val="nil"/>
            </w:tcBorders>
            <w:shd w:val="clear" w:color="auto" w:fill="auto"/>
            <w:tcMar>
              <w:top w:w="9" w:type="dxa"/>
              <w:left w:w="9" w:type="dxa"/>
              <w:right w:w="9" w:type="dxa"/>
            </w:tcMar>
            <w:vAlign w:val="center"/>
          </w:tcPr>
          <w:p w14:paraId="37855454">
            <w:pPr>
              <w:pStyle w:val="42"/>
              <w:jc w:val="center"/>
              <w:rPr>
                <w:rFonts w:hint="default" w:ascii="Arial Regular" w:hAnsi="Arial Regular" w:cs="Arial Regular"/>
                <w:sz w:val="20"/>
                <w:szCs w:val="20"/>
              </w:rPr>
            </w:pPr>
            <w:r>
              <w:rPr>
                <w:rFonts w:hint="default" w:ascii="Arial Regular" w:hAnsi="Arial Regular" w:cs="Arial Regular"/>
                <w:sz w:val="20"/>
                <w:szCs w:val="20"/>
              </w:rPr>
              <w:t>O</w:t>
            </w:r>
          </w:p>
        </w:tc>
        <w:tc>
          <w:tcPr>
            <w:tcW w:w="0" w:type="auto"/>
            <w:tcBorders>
              <w:top w:val="nil"/>
              <w:left w:val="nil"/>
              <w:bottom w:val="nil"/>
              <w:right w:val="nil"/>
            </w:tcBorders>
            <w:shd w:val="clear" w:color="auto" w:fill="auto"/>
            <w:tcMar>
              <w:top w:w="9" w:type="dxa"/>
              <w:left w:w="9" w:type="dxa"/>
              <w:right w:w="9" w:type="dxa"/>
            </w:tcMar>
            <w:vAlign w:val="center"/>
          </w:tcPr>
          <w:p w14:paraId="6D96176E">
            <w:pPr>
              <w:pStyle w:val="8"/>
              <w:widowControl/>
              <w:spacing w:beforeAutospacing="0" w:afterAutospacing="0" w:line="280" w:lineRule="atLeast"/>
              <w:ind w:firstLine="0" w:firstLineChars="0"/>
              <w:jc w:val="center"/>
              <w:rPr>
                <w:rFonts w:hint="default" w:ascii="Arial Regular" w:hAnsi="Arial Regular" w:cs="Arial Regular"/>
                <w:sz w:val="20"/>
                <w:szCs w:val="20"/>
              </w:rPr>
            </w:pPr>
            <w:r>
              <w:rPr>
                <w:rFonts w:hint="default" w:ascii="Arial Regular" w:hAnsi="Arial Regular" w:cs="Arial Regular"/>
                <w:color w:val="000000"/>
                <w:sz w:val="20"/>
                <w:szCs w:val="20"/>
                <w:lang w:bidi="ar"/>
              </w:rPr>
              <w:t>4</w:t>
            </w:r>
          </w:p>
        </w:tc>
        <w:tc>
          <w:tcPr>
            <w:tcW w:w="876" w:type="dxa"/>
            <w:tcBorders>
              <w:top w:val="nil"/>
              <w:left w:val="nil"/>
              <w:bottom w:val="nil"/>
              <w:right w:val="nil"/>
            </w:tcBorders>
            <w:shd w:val="clear" w:color="auto" w:fill="auto"/>
            <w:tcMar>
              <w:top w:w="9" w:type="dxa"/>
              <w:left w:w="9" w:type="dxa"/>
              <w:right w:w="9" w:type="dxa"/>
            </w:tcMar>
            <w:vAlign w:val="center"/>
          </w:tcPr>
          <w:p w14:paraId="291752FA">
            <w:pPr>
              <w:pStyle w:val="42"/>
              <w:jc w:val="center"/>
              <w:rPr>
                <w:rFonts w:hint="default" w:ascii="Arial Regular" w:hAnsi="Arial Regular" w:cs="Arial Regular"/>
                <w:sz w:val="20"/>
                <w:szCs w:val="20"/>
              </w:rPr>
            </w:pPr>
            <w:r>
              <w:rPr>
                <w:rFonts w:hint="default" w:ascii="Arial Regular" w:hAnsi="Arial Regular" w:cs="Arial Regular"/>
                <w:sz w:val="20"/>
                <w:szCs w:val="20"/>
              </w:rPr>
              <w:t>0.024</w:t>
            </w:r>
          </w:p>
        </w:tc>
        <w:tc>
          <w:tcPr>
            <w:tcW w:w="771" w:type="dxa"/>
            <w:tcBorders>
              <w:top w:val="nil"/>
              <w:left w:val="nil"/>
              <w:bottom w:val="nil"/>
              <w:right w:val="nil"/>
            </w:tcBorders>
            <w:shd w:val="clear" w:color="auto" w:fill="auto"/>
            <w:tcMar>
              <w:top w:w="9" w:type="dxa"/>
              <w:left w:w="9" w:type="dxa"/>
              <w:right w:w="9" w:type="dxa"/>
            </w:tcMar>
            <w:vAlign w:val="center"/>
          </w:tcPr>
          <w:p w14:paraId="311A5AB3">
            <w:pPr>
              <w:pStyle w:val="42"/>
              <w:jc w:val="center"/>
              <w:rPr>
                <w:rFonts w:hint="default" w:ascii="Arial Regular" w:hAnsi="Arial Regular" w:cs="Arial Regular"/>
                <w:sz w:val="20"/>
                <w:szCs w:val="20"/>
              </w:rPr>
            </w:pPr>
            <w:r>
              <w:rPr>
                <w:rFonts w:hint="default" w:ascii="Arial Regular" w:hAnsi="Arial Regular" w:cs="Arial Regular"/>
                <w:sz w:val="20"/>
                <w:szCs w:val="20"/>
              </w:rPr>
              <w:t>0.046</w:t>
            </w:r>
          </w:p>
        </w:tc>
        <w:tc>
          <w:tcPr>
            <w:tcW w:w="771" w:type="dxa"/>
            <w:tcBorders>
              <w:top w:val="nil"/>
              <w:left w:val="nil"/>
              <w:bottom w:val="nil"/>
              <w:right w:val="nil"/>
            </w:tcBorders>
            <w:shd w:val="clear" w:color="auto" w:fill="auto"/>
            <w:tcMar>
              <w:top w:w="9" w:type="dxa"/>
              <w:left w:w="9" w:type="dxa"/>
              <w:right w:w="9" w:type="dxa"/>
            </w:tcMar>
            <w:vAlign w:val="center"/>
          </w:tcPr>
          <w:p w14:paraId="586D5D5F">
            <w:pPr>
              <w:pStyle w:val="42"/>
              <w:jc w:val="center"/>
              <w:rPr>
                <w:rFonts w:hint="default" w:ascii="Arial Regular" w:hAnsi="Arial Regular" w:cs="Arial Regular"/>
                <w:sz w:val="20"/>
                <w:szCs w:val="20"/>
              </w:rPr>
            </w:pPr>
            <w:r>
              <w:rPr>
                <w:rFonts w:hint="default" w:ascii="Arial Regular" w:hAnsi="Arial Regular" w:cs="Arial Regular"/>
                <w:sz w:val="20"/>
                <w:szCs w:val="20"/>
              </w:rPr>
              <w:t>0.035</w:t>
            </w:r>
          </w:p>
        </w:tc>
      </w:tr>
      <w:tr w14:paraId="14CBFEEF">
        <w:trPr>
          <w:trHeight w:val="23" w:hRule="atLeast"/>
          <w:jc w:val="center"/>
        </w:trPr>
        <w:tc>
          <w:tcPr>
            <w:tcW w:w="0" w:type="auto"/>
            <w:vMerge w:val="continue"/>
            <w:tcBorders>
              <w:top w:val="single" w:color="auto" w:sz="8" w:space="0"/>
              <w:left w:val="nil"/>
              <w:bottom w:val="single" w:color="auto" w:sz="12" w:space="0"/>
              <w:right w:val="nil"/>
            </w:tcBorders>
            <w:shd w:val="clear" w:color="auto" w:fill="auto"/>
            <w:vAlign w:val="center"/>
          </w:tcPr>
          <w:p w14:paraId="1C539605">
            <w:pPr>
              <w:ind w:firstLine="400"/>
              <w:jc w:val="center"/>
              <w:rPr>
                <w:rFonts w:hint="default" w:ascii="Arial Regular" w:hAnsi="Arial Regular" w:cs="Arial Regular"/>
                <w:sz w:val="20"/>
                <w:szCs w:val="20"/>
              </w:rPr>
            </w:pPr>
          </w:p>
        </w:tc>
        <w:tc>
          <w:tcPr>
            <w:tcW w:w="438" w:type="dxa"/>
            <w:tcBorders>
              <w:top w:val="nil"/>
              <w:left w:val="nil"/>
              <w:bottom w:val="nil"/>
              <w:right w:val="nil"/>
            </w:tcBorders>
            <w:shd w:val="clear" w:color="auto" w:fill="auto"/>
            <w:tcMar>
              <w:top w:w="9" w:type="dxa"/>
              <w:left w:w="9" w:type="dxa"/>
              <w:right w:w="9" w:type="dxa"/>
            </w:tcMar>
            <w:vAlign w:val="center"/>
          </w:tcPr>
          <w:p w14:paraId="43B66A48">
            <w:pPr>
              <w:pStyle w:val="42"/>
              <w:jc w:val="center"/>
              <w:rPr>
                <w:rFonts w:hint="default" w:ascii="Arial Regular" w:hAnsi="Arial Regular" w:cs="Arial Regular"/>
                <w:sz w:val="20"/>
                <w:szCs w:val="20"/>
              </w:rPr>
            </w:pPr>
            <w:r>
              <w:rPr>
                <w:rFonts w:hint="default" w:ascii="Arial Regular" w:hAnsi="Arial Regular" w:cs="Arial Regular"/>
                <w:sz w:val="20"/>
                <w:szCs w:val="20"/>
              </w:rPr>
              <w:t>O</w:t>
            </w:r>
          </w:p>
        </w:tc>
        <w:tc>
          <w:tcPr>
            <w:tcW w:w="0" w:type="auto"/>
            <w:tcBorders>
              <w:top w:val="nil"/>
              <w:left w:val="nil"/>
              <w:bottom w:val="nil"/>
              <w:right w:val="nil"/>
            </w:tcBorders>
            <w:shd w:val="clear" w:color="auto" w:fill="auto"/>
            <w:tcMar>
              <w:top w:w="9" w:type="dxa"/>
              <w:left w:w="9" w:type="dxa"/>
              <w:right w:w="9" w:type="dxa"/>
            </w:tcMar>
            <w:vAlign w:val="center"/>
          </w:tcPr>
          <w:p w14:paraId="65A961A3">
            <w:pPr>
              <w:pStyle w:val="8"/>
              <w:widowControl/>
              <w:spacing w:beforeAutospacing="0" w:afterAutospacing="0" w:line="280" w:lineRule="atLeast"/>
              <w:ind w:firstLine="0" w:firstLineChars="0"/>
              <w:jc w:val="center"/>
              <w:rPr>
                <w:rFonts w:hint="default" w:ascii="Arial Regular" w:hAnsi="Arial Regular" w:cs="Arial Regular"/>
                <w:sz w:val="20"/>
                <w:szCs w:val="20"/>
              </w:rPr>
            </w:pPr>
            <w:r>
              <w:rPr>
                <w:rFonts w:hint="default" w:ascii="Arial Regular" w:hAnsi="Arial Regular" w:cs="Arial Regular"/>
                <w:color w:val="000000"/>
                <w:sz w:val="20"/>
                <w:szCs w:val="20"/>
                <w:lang w:bidi="ar"/>
              </w:rPr>
              <w:t>5</w:t>
            </w:r>
          </w:p>
        </w:tc>
        <w:tc>
          <w:tcPr>
            <w:tcW w:w="876" w:type="dxa"/>
            <w:tcBorders>
              <w:top w:val="nil"/>
              <w:left w:val="nil"/>
              <w:bottom w:val="nil"/>
              <w:right w:val="nil"/>
            </w:tcBorders>
            <w:shd w:val="clear" w:color="auto" w:fill="auto"/>
            <w:tcMar>
              <w:top w:w="9" w:type="dxa"/>
              <w:left w:w="9" w:type="dxa"/>
              <w:right w:w="9" w:type="dxa"/>
            </w:tcMar>
            <w:vAlign w:val="center"/>
          </w:tcPr>
          <w:p w14:paraId="7AF39256">
            <w:pPr>
              <w:pStyle w:val="42"/>
              <w:jc w:val="center"/>
              <w:rPr>
                <w:rFonts w:hint="default" w:ascii="Arial Regular" w:hAnsi="Arial Regular" w:cs="Arial Regular"/>
                <w:sz w:val="20"/>
                <w:szCs w:val="20"/>
              </w:rPr>
            </w:pPr>
            <w:r>
              <w:rPr>
                <w:rFonts w:hint="default" w:ascii="Arial Regular" w:hAnsi="Arial Regular" w:cs="Arial Regular"/>
                <w:sz w:val="20"/>
                <w:szCs w:val="20"/>
              </w:rPr>
              <w:t>0.101</w:t>
            </w:r>
          </w:p>
        </w:tc>
        <w:tc>
          <w:tcPr>
            <w:tcW w:w="771" w:type="dxa"/>
            <w:tcBorders>
              <w:top w:val="nil"/>
              <w:left w:val="nil"/>
              <w:bottom w:val="nil"/>
              <w:right w:val="nil"/>
            </w:tcBorders>
            <w:shd w:val="clear" w:color="auto" w:fill="auto"/>
            <w:tcMar>
              <w:top w:w="9" w:type="dxa"/>
              <w:left w:w="9" w:type="dxa"/>
              <w:right w:w="9" w:type="dxa"/>
            </w:tcMar>
            <w:vAlign w:val="center"/>
          </w:tcPr>
          <w:p w14:paraId="1470DA4B">
            <w:pPr>
              <w:pStyle w:val="42"/>
              <w:jc w:val="center"/>
              <w:rPr>
                <w:rFonts w:hint="default" w:ascii="Arial Regular" w:hAnsi="Arial Regular" w:cs="Arial Regular"/>
                <w:sz w:val="20"/>
                <w:szCs w:val="20"/>
              </w:rPr>
            </w:pPr>
            <w:r>
              <w:rPr>
                <w:rFonts w:hint="default" w:ascii="Arial Regular" w:hAnsi="Arial Regular" w:cs="Arial Regular"/>
                <w:sz w:val="20"/>
                <w:szCs w:val="20"/>
              </w:rPr>
              <w:t>0.035</w:t>
            </w:r>
          </w:p>
        </w:tc>
        <w:tc>
          <w:tcPr>
            <w:tcW w:w="771" w:type="dxa"/>
            <w:tcBorders>
              <w:top w:val="nil"/>
              <w:left w:val="nil"/>
              <w:bottom w:val="nil"/>
              <w:right w:val="nil"/>
            </w:tcBorders>
            <w:shd w:val="clear" w:color="auto" w:fill="auto"/>
            <w:tcMar>
              <w:top w:w="9" w:type="dxa"/>
              <w:left w:w="9" w:type="dxa"/>
              <w:right w:w="9" w:type="dxa"/>
            </w:tcMar>
            <w:vAlign w:val="center"/>
          </w:tcPr>
          <w:p w14:paraId="54645AA5">
            <w:pPr>
              <w:pStyle w:val="42"/>
              <w:jc w:val="center"/>
              <w:rPr>
                <w:rFonts w:hint="default" w:ascii="Arial Regular" w:hAnsi="Arial Regular" w:cs="Arial Regular"/>
                <w:sz w:val="20"/>
                <w:szCs w:val="20"/>
              </w:rPr>
            </w:pPr>
            <w:r>
              <w:rPr>
                <w:rFonts w:hint="default" w:ascii="Arial Regular" w:hAnsi="Arial Regular" w:cs="Arial Regular"/>
                <w:sz w:val="20"/>
                <w:szCs w:val="20"/>
              </w:rPr>
              <w:t>0.068</w:t>
            </w:r>
          </w:p>
        </w:tc>
      </w:tr>
      <w:tr w14:paraId="141549A5">
        <w:trPr>
          <w:trHeight w:val="23" w:hRule="atLeast"/>
          <w:jc w:val="center"/>
        </w:trPr>
        <w:tc>
          <w:tcPr>
            <w:tcW w:w="0" w:type="auto"/>
            <w:vMerge w:val="continue"/>
            <w:tcBorders>
              <w:top w:val="single" w:color="auto" w:sz="8" w:space="0"/>
              <w:left w:val="nil"/>
              <w:bottom w:val="single" w:color="auto" w:sz="12" w:space="0"/>
              <w:right w:val="nil"/>
            </w:tcBorders>
            <w:shd w:val="clear" w:color="auto" w:fill="auto"/>
            <w:vAlign w:val="center"/>
          </w:tcPr>
          <w:p w14:paraId="51B008FD">
            <w:pPr>
              <w:ind w:firstLine="400"/>
              <w:jc w:val="center"/>
              <w:rPr>
                <w:rFonts w:hint="default" w:ascii="Arial Regular" w:hAnsi="Arial Regular" w:cs="Arial Regular"/>
                <w:sz w:val="20"/>
                <w:szCs w:val="20"/>
              </w:rPr>
            </w:pPr>
          </w:p>
        </w:tc>
        <w:tc>
          <w:tcPr>
            <w:tcW w:w="438" w:type="dxa"/>
            <w:tcBorders>
              <w:top w:val="nil"/>
              <w:left w:val="nil"/>
              <w:bottom w:val="nil"/>
              <w:right w:val="nil"/>
            </w:tcBorders>
            <w:shd w:val="clear" w:color="auto" w:fill="auto"/>
            <w:tcMar>
              <w:top w:w="9" w:type="dxa"/>
              <w:left w:w="9" w:type="dxa"/>
              <w:right w:w="9" w:type="dxa"/>
            </w:tcMar>
            <w:vAlign w:val="center"/>
          </w:tcPr>
          <w:p w14:paraId="0BF10A48">
            <w:pPr>
              <w:pStyle w:val="42"/>
              <w:jc w:val="center"/>
              <w:rPr>
                <w:rFonts w:hint="default" w:ascii="Arial Regular" w:hAnsi="Arial Regular" w:cs="Arial Regular"/>
                <w:sz w:val="20"/>
                <w:szCs w:val="20"/>
              </w:rPr>
            </w:pPr>
            <w:r>
              <w:rPr>
                <w:rFonts w:hint="default" w:ascii="Arial Regular" w:hAnsi="Arial Regular" w:cs="Arial Regular"/>
                <w:sz w:val="20"/>
                <w:szCs w:val="20"/>
              </w:rPr>
              <w:t>N</w:t>
            </w:r>
          </w:p>
        </w:tc>
        <w:tc>
          <w:tcPr>
            <w:tcW w:w="0" w:type="auto"/>
            <w:tcBorders>
              <w:top w:val="nil"/>
              <w:left w:val="nil"/>
              <w:bottom w:val="nil"/>
              <w:right w:val="nil"/>
            </w:tcBorders>
            <w:shd w:val="clear" w:color="auto" w:fill="auto"/>
            <w:tcMar>
              <w:top w:w="9" w:type="dxa"/>
              <w:left w:w="9" w:type="dxa"/>
              <w:right w:w="9" w:type="dxa"/>
            </w:tcMar>
            <w:vAlign w:val="center"/>
          </w:tcPr>
          <w:p w14:paraId="15D78220">
            <w:pPr>
              <w:pStyle w:val="8"/>
              <w:widowControl/>
              <w:spacing w:beforeAutospacing="0" w:afterAutospacing="0" w:line="280" w:lineRule="atLeast"/>
              <w:ind w:firstLine="0" w:firstLineChars="0"/>
              <w:jc w:val="center"/>
              <w:rPr>
                <w:rFonts w:hint="default" w:ascii="Arial Regular" w:hAnsi="Arial Regular" w:cs="Arial Regular"/>
                <w:sz w:val="20"/>
                <w:szCs w:val="20"/>
              </w:rPr>
            </w:pPr>
            <w:r>
              <w:rPr>
                <w:rFonts w:hint="default" w:ascii="Arial Regular" w:hAnsi="Arial Regular" w:cs="Arial Regular"/>
                <w:color w:val="000000"/>
                <w:sz w:val="20"/>
                <w:szCs w:val="20"/>
                <w:lang w:bidi="ar"/>
              </w:rPr>
              <w:t>6</w:t>
            </w:r>
          </w:p>
        </w:tc>
        <w:tc>
          <w:tcPr>
            <w:tcW w:w="876" w:type="dxa"/>
            <w:tcBorders>
              <w:top w:val="nil"/>
              <w:left w:val="nil"/>
              <w:bottom w:val="nil"/>
              <w:right w:val="nil"/>
            </w:tcBorders>
            <w:shd w:val="clear" w:color="auto" w:fill="auto"/>
            <w:tcMar>
              <w:top w:w="9" w:type="dxa"/>
              <w:left w:w="9" w:type="dxa"/>
              <w:right w:w="9" w:type="dxa"/>
            </w:tcMar>
            <w:vAlign w:val="center"/>
          </w:tcPr>
          <w:p w14:paraId="00387CD3">
            <w:pPr>
              <w:pStyle w:val="42"/>
              <w:jc w:val="center"/>
              <w:rPr>
                <w:rFonts w:hint="default" w:ascii="Arial Regular" w:hAnsi="Arial Regular" w:cs="Arial Regular"/>
                <w:sz w:val="20"/>
                <w:szCs w:val="20"/>
              </w:rPr>
            </w:pPr>
            <w:r>
              <w:rPr>
                <w:rFonts w:hint="default" w:ascii="Arial Regular" w:hAnsi="Arial Regular" w:cs="Arial Regular"/>
                <w:sz w:val="20"/>
                <w:szCs w:val="20"/>
              </w:rPr>
              <w:t>0.215</w:t>
            </w:r>
          </w:p>
        </w:tc>
        <w:tc>
          <w:tcPr>
            <w:tcW w:w="771" w:type="dxa"/>
            <w:tcBorders>
              <w:top w:val="nil"/>
              <w:left w:val="nil"/>
              <w:bottom w:val="nil"/>
              <w:right w:val="nil"/>
            </w:tcBorders>
            <w:shd w:val="clear" w:color="auto" w:fill="auto"/>
            <w:tcMar>
              <w:top w:w="9" w:type="dxa"/>
              <w:left w:w="9" w:type="dxa"/>
              <w:right w:w="9" w:type="dxa"/>
            </w:tcMar>
            <w:vAlign w:val="center"/>
          </w:tcPr>
          <w:p w14:paraId="26F38779">
            <w:pPr>
              <w:pStyle w:val="42"/>
              <w:jc w:val="center"/>
              <w:rPr>
                <w:rFonts w:hint="default" w:ascii="Arial Regular" w:hAnsi="Arial Regular" w:cs="Arial Regular"/>
                <w:sz w:val="20"/>
                <w:szCs w:val="20"/>
              </w:rPr>
            </w:pPr>
            <w:r>
              <w:rPr>
                <w:rFonts w:hint="default" w:ascii="Arial Regular" w:hAnsi="Arial Regular" w:cs="Arial Regular"/>
                <w:sz w:val="20"/>
                <w:szCs w:val="20"/>
              </w:rPr>
              <w:t>0.020</w:t>
            </w:r>
          </w:p>
        </w:tc>
        <w:tc>
          <w:tcPr>
            <w:tcW w:w="771" w:type="dxa"/>
            <w:tcBorders>
              <w:top w:val="nil"/>
              <w:left w:val="nil"/>
              <w:bottom w:val="nil"/>
              <w:right w:val="nil"/>
            </w:tcBorders>
            <w:shd w:val="clear" w:color="auto" w:fill="auto"/>
            <w:tcMar>
              <w:top w:w="9" w:type="dxa"/>
              <w:left w:w="9" w:type="dxa"/>
              <w:right w:w="9" w:type="dxa"/>
            </w:tcMar>
            <w:vAlign w:val="center"/>
          </w:tcPr>
          <w:p w14:paraId="46A1296C">
            <w:pPr>
              <w:pStyle w:val="42"/>
              <w:jc w:val="center"/>
              <w:rPr>
                <w:rFonts w:hint="default" w:ascii="Arial Regular" w:hAnsi="Arial Regular" w:cs="Arial Regular"/>
                <w:sz w:val="20"/>
                <w:szCs w:val="20"/>
              </w:rPr>
            </w:pPr>
            <w:r>
              <w:rPr>
                <w:rFonts w:hint="default" w:ascii="Arial Regular" w:hAnsi="Arial Regular" w:cs="Arial Regular"/>
                <w:sz w:val="20"/>
                <w:szCs w:val="20"/>
              </w:rPr>
              <w:t>0.117</w:t>
            </w:r>
          </w:p>
        </w:tc>
      </w:tr>
      <w:tr w14:paraId="4009BC59">
        <w:trPr>
          <w:trHeight w:val="23" w:hRule="atLeast"/>
          <w:jc w:val="center"/>
        </w:trPr>
        <w:tc>
          <w:tcPr>
            <w:tcW w:w="0" w:type="auto"/>
            <w:vMerge w:val="continue"/>
            <w:tcBorders>
              <w:top w:val="single" w:color="auto" w:sz="8" w:space="0"/>
              <w:left w:val="nil"/>
              <w:bottom w:val="single" w:color="auto" w:sz="12" w:space="0"/>
              <w:right w:val="nil"/>
            </w:tcBorders>
            <w:shd w:val="clear" w:color="auto" w:fill="auto"/>
            <w:vAlign w:val="center"/>
          </w:tcPr>
          <w:p w14:paraId="3400B67A">
            <w:pPr>
              <w:ind w:firstLine="400"/>
              <w:jc w:val="center"/>
              <w:rPr>
                <w:rFonts w:hint="default" w:ascii="Arial Regular" w:hAnsi="Arial Regular" w:cs="Arial Regular"/>
                <w:sz w:val="20"/>
                <w:szCs w:val="20"/>
              </w:rPr>
            </w:pPr>
          </w:p>
        </w:tc>
        <w:tc>
          <w:tcPr>
            <w:tcW w:w="438" w:type="dxa"/>
            <w:tcBorders>
              <w:top w:val="nil"/>
              <w:left w:val="nil"/>
              <w:bottom w:val="nil"/>
              <w:right w:val="nil"/>
            </w:tcBorders>
            <w:shd w:val="clear" w:color="auto" w:fill="auto"/>
            <w:tcMar>
              <w:top w:w="9" w:type="dxa"/>
              <w:left w:w="9" w:type="dxa"/>
              <w:right w:w="9" w:type="dxa"/>
            </w:tcMar>
            <w:vAlign w:val="center"/>
          </w:tcPr>
          <w:p w14:paraId="06C490EC">
            <w:pPr>
              <w:pStyle w:val="42"/>
              <w:jc w:val="center"/>
              <w:rPr>
                <w:rFonts w:hint="default" w:ascii="Arial Regular" w:hAnsi="Arial Regular" w:cs="Arial Regular"/>
                <w:sz w:val="20"/>
                <w:szCs w:val="20"/>
              </w:rPr>
            </w:pPr>
            <w:r>
              <w:rPr>
                <w:rFonts w:hint="default" w:ascii="Arial Regular" w:hAnsi="Arial Regular" w:cs="Arial Regular"/>
                <w:sz w:val="20"/>
                <w:szCs w:val="20"/>
              </w:rPr>
              <w:t>C</w:t>
            </w:r>
          </w:p>
        </w:tc>
        <w:tc>
          <w:tcPr>
            <w:tcW w:w="0" w:type="auto"/>
            <w:tcBorders>
              <w:top w:val="nil"/>
              <w:left w:val="nil"/>
              <w:bottom w:val="nil"/>
              <w:right w:val="nil"/>
            </w:tcBorders>
            <w:shd w:val="clear" w:color="auto" w:fill="auto"/>
            <w:tcMar>
              <w:top w:w="9" w:type="dxa"/>
              <w:left w:w="9" w:type="dxa"/>
              <w:right w:w="9" w:type="dxa"/>
            </w:tcMar>
            <w:vAlign w:val="center"/>
          </w:tcPr>
          <w:p w14:paraId="70EA169E">
            <w:pPr>
              <w:pStyle w:val="8"/>
              <w:widowControl/>
              <w:spacing w:beforeAutospacing="0" w:afterAutospacing="0" w:line="280" w:lineRule="atLeast"/>
              <w:ind w:firstLine="0" w:firstLineChars="0"/>
              <w:jc w:val="center"/>
              <w:rPr>
                <w:rFonts w:hint="default" w:ascii="Arial Regular" w:hAnsi="Arial Regular" w:cs="Arial Regular"/>
                <w:sz w:val="20"/>
                <w:szCs w:val="20"/>
              </w:rPr>
            </w:pPr>
            <w:r>
              <w:rPr>
                <w:rFonts w:hint="default" w:ascii="Arial Regular" w:hAnsi="Arial Regular" w:cs="Arial Regular"/>
                <w:color w:val="000000"/>
                <w:sz w:val="20"/>
                <w:szCs w:val="20"/>
                <w:lang w:bidi="ar"/>
              </w:rPr>
              <w:t>7</w:t>
            </w:r>
          </w:p>
        </w:tc>
        <w:tc>
          <w:tcPr>
            <w:tcW w:w="876" w:type="dxa"/>
            <w:tcBorders>
              <w:top w:val="nil"/>
              <w:left w:val="nil"/>
              <w:bottom w:val="nil"/>
              <w:right w:val="nil"/>
            </w:tcBorders>
            <w:shd w:val="clear" w:color="auto" w:fill="auto"/>
            <w:tcMar>
              <w:top w:w="9" w:type="dxa"/>
              <w:left w:w="9" w:type="dxa"/>
              <w:right w:w="9" w:type="dxa"/>
            </w:tcMar>
            <w:vAlign w:val="center"/>
          </w:tcPr>
          <w:p w14:paraId="5010EA0A">
            <w:pPr>
              <w:pStyle w:val="42"/>
              <w:jc w:val="center"/>
              <w:rPr>
                <w:rFonts w:hint="default" w:ascii="Arial Regular" w:hAnsi="Arial Regular" w:cs="Arial Regular"/>
                <w:sz w:val="20"/>
                <w:szCs w:val="20"/>
              </w:rPr>
            </w:pPr>
            <w:r>
              <w:rPr>
                <w:rFonts w:hint="default" w:ascii="Arial Regular" w:hAnsi="Arial Regular" w:cs="Arial Regular"/>
                <w:sz w:val="20"/>
                <w:szCs w:val="20"/>
              </w:rPr>
              <w:t>0.035</w:t>
            </w:r>
          </w:p>
        </w:tc>
        <w:tc>
          <w:tcPr>
            <w:tcW w:w="771" w:type="dxa"/>
            <w:tcBorders>
              <w:top w:val="nil"/>
              <w:left w:val="nil"/>
              <w:bottom w:val="nil"/>
              <w:right w:val="nil"/>
            </w:tcBorders>
            <w:shd w:val="clear" w:color="auto" w:fill="auto"/>
            <w:tcMar>
              <w:top w:w="9" w:type="dxa"/>
              <w:left w:w="9" w:type="dxa"/>
              <w:right w:w="9" w:type="dxa"/>
            </w:tcMar>
            <w:vAlign w:val="center"/>
          </w:tcPr>
          <w:p w14:paraId="7F3F28DF">
            <w:pPr>
              <w:pStyle w:val="42"/>
              <w:jc w:val="center"/>
              <w:rPr>
                <w:rFonts w:hint="default" w:ascii="Arial Regular" w:hAnsi="Arial Regular" w:cs="Arial Regular"/>
                <w:sz w:val="20"/>
                <w:szCs w:val="20"/>
              </w:rPr>
            </w:pPr>
            <w:r>
              <w:rPr>
                <w:rFonts w:hint="default" w:ascii="Arial Regular" w:hAnsi="Arial Regular" w:cs="Arial Regular"/>
                <w:sz w:val="20"/>
                <w:szCs w:val="20"/>
              </w:rPr>
              <w:t>0.010</w:t>
            </w:r>
          </w:p>
        </w:tc>
        <w:tc>
          <w:tcPr>
            <w:tcW w:w="771" w:type="dxa"/>
            <w:tcBorders>
              <w:top w:val="nil"/>
              <w:left w:val="nil"/>
              <w:bottom w:val="nil"/>
              <w:right w:val="nil"/>
            </w:tcBorders>
            <w:shd w:val="clear" w:color="auto" w:fill="auto"/>
            <w:tcMar>
              <w:top w:w="9" w:type="dxa"/>
              <w:left w:w="9" w:type="dxa"/>
              <w:right w:w="9" w:type="dxa"/>
            </w:tcMar>
            <w:vAlign w:val="center"/>
          </w:tcPr>
          <w:p w14:paraId="5CE4A401">
            <w:pPr>
              <w:pStyle w:val="42"/>
              <w:jc w:val="center"/>
              <w:rPr>
                <w:rFonts w:hint="default" w:ascii="Arial Regular" w:hAnsi="Arial Regular" w:cs="Arial Regular"/>
                <w:sz w:val="20"/>
                <w:szCs w:val="20"/>
              </w:rPr>
            </w:pPr>
            <w:r>
              <w:rPr>
                <w:rFonts w:hint="default" w:ascii="Arial Regular" w:hAnsi="Arial Regular" w:cs="Arial Regular"/>
                <w:sz w:val="20"/>
                <w:szCs w:val="20"/>
              </w:rPr>
              <w:t>0.023</w:t>
            </w:r>
          </w:p>
        </w:tc>
      </w:tr>
      <w:tr w14:paraId="403FE4CC">
        <w:trPr>
          <w:trHeight w:val="23" w:hRule="atLeast"/>
          <w:jc w:val="center"/>
        </w:trPr>
        <w:tc>
          <w:tcPr>
            <w:tcW w:w="0" w:type="auto"/>
            <w:vMerge w:val="continue"/>
            <w:tcBorders>
              <w:top w:val="single" w:color="auto" w:sz="8" w:space="0"/>
              <w:left w:val="nil"/>
              <w:bottom w:val="single" w:color="auto" w:sz="12" w:space="0"/>
              <w:right w:val="nil"/>
            </w:tcBorders>
            <w:shd w:val="clear" w:color="auto" w:fill="auto"/>
            <w:vAlign w:val="center"/>
          </w:tcPr>
          <w:p w14:paraId="4D4B019E">
            <w:pPr>
              <w:ind w:firstLine="400"/>
              <w:jc w:val="center"/>
              <w:rPr>
                <w:rFonts w:hint="default" w:ascii="Arial Regular" w:hAnsi="Arial Regular" w:cs="Arial Regular"/>
                <w:sz w:val="20"/>
                <w:szCs w:val="20"/>
              </w:rPr>
            </w:pPr>
          </w:p>
        </w:tc>
        <w:tc>
          <w:tcPr>
            <w:tcW w:w="438" w:type="dxa"/>
            <w:tcBorders>
              <w:top w:val="nil"/>
              <w:left w:val="nil"/>
              <w:bottom w:val="nil"/>
              <w:right w:val="nil"/>
            </w:tcBorders>
            <w:shd w:val="clear" w:color="auto" w:fill="auto"/>
            <w:tcMar>
              <w:top w:w="9" w:type="dxa"/>
              <w:left w:w="9" w:type="dxa"/>
              <w:right w:w="9" w:type="dxa"/>
            </w:tcMar>
            <w:vAlign w:val="center"/>
          </w:tcPr>
          <w:p w14:paraId="3A60FB53">
            <w:pPr>
              <w:pStyle w:val="42"/>
              <w:jc w:val="center"/>
              <w:rPr>
                <w:rFonts w:hint="default" w:ascii="Arial Regular" w:hAnsi="Arial Regular" w:cs="Arial Regular"/>
                <w:sz w:val="20"/>
                <w:szCs w:val="20"/>
              </w:rPr>
            </w:pPr>
            <w:r>
              <w:rPr>
                <w:rFonts w:hint="default" w:ascii="Arial Regular" w:hAnsi="Arial Regular" w:cs="Arial Regular"/>
                <w:sz w:val="20"/>
                <w:szCs w:val="20"/>
              </w:rPr>
              <w:t>C</w:t>
            </w:r>
          </w:p>
        </w:tc>
        <w:tc>
          <w:tcPr>
            <w:tcW w:w="0" w:type="auto"/>
            <w:tcBorders>
              <w:top w:val="nil"/>
              <w:left w:val="nil"/>
              <w:bottom w:val="nil"/>
              <w:right w:val="nil"/>
            </w:tcBorders>
            <w:shd w:val="clear" w:color="auto" w:fill="auto"/>
            <w:tcMar>
              <w:top w:w="9" w:type="dxa"/>
              <w:left w:w="9" w:type="dxa"/>
              <w:right w:w="9" w:type="dxa"/>
            </w:tcMar>
            <w:vAlign w:val="center"/>
          </w:tcPr>
          <w:p w14:paraId="22D0DA92">
            <w:pPr>
              <w:pStyle w:val="8"/>
              <w:widowControl/>
              <w:spacing w:beforeAutospacing="0" w:afterAutospacing="0" w:line="280" w:lineRule="atLeast"/>
              <w:ind w:firstLine="0" w:firstLineChars="0"/>
              <w:jc w:val="center"/>
              <w:rPr>
                <w:rFonts w:hint="default" w:ascii="Arial Regular" w:hAnsi="Arial Regular" w:cs="Arial Regular"/>
                <w:sz w:val="20"/>
                <w:szCs w:val="20"/>
              </w:rPr>
            </w:pPr>
            <w:r>
              <w:rPr>
                <w:rFonts w:hint="default" w:ascii="Arial Regular" w:hAnsi="Arial Regular" w:cs="Arial Regular"/>
                <w:color w:val="000000"/>
                <w:sz w:val="20"/>
                <w:szCs w:val="20"/>
                <w:lang w:bidi="ar"/>
              </w:rPr>
              <w:t>8</w:t>
            </w:r>
          </w:p>
        </w:tc>
        <w:tc>
          <w:tcPr>
            <w:tcW w:w="876" w:type="dxa"/>
            <w:tcBorders>
              <w:top w:val="nil"/>
              <w:left w:val="nil"/>
              <w:bottom w:val="nil"/>
              <w:right w:val="nil"/>
            </w:tcBorders>
            <w:shd w:val="clear" w:color="auto" w:fill="auto"/>
            <w:tcMar>
              <w:top w:w="9" w:type="dxa"/>
              <w:left w:w="9" w:type="dxa"/>
              <w:right w:w="9" w:type="dxa"/>
            </w:tcMar>
            <w:vAlign w:val="center"/>
          </w:tcPr>
          <w:p w14:paraId="275DED67">
            <w:pPr>
              <w:pStyle w:val="42"/>
              <w:jc w:val="center"/>
              <w:rPr>
                <w:rFonts w:hint="default" w:ascii="Arial Regular" w:hAnsi="Arial Regular" w:cs="Arial Regular"/>
                <w:sz w:val="20"/>
                <w:szCs w:val="20"/>
              </w:rPr>
            </w:pPr>
            <w:r>
              <w:rPr>
                <w:rFonts w:hint="default" w:ascii="Arial Regular" w:hAnsi="Arial Regular" w:cs="Arial Regular"/>
                <w:sz w:val="20"/>
                <w:szCs w:val="20"/>
              </w:rPr>
              <w:t>0.024</w:t>
            </w:r>
          </w:p>
        </w:tc>
        <w:tc>
          <w:tcPr>
            <w:tcW w:w="771" w:type="dxa"/>
            <w:tcBorders>
              <w:top w:val="nil"/>
              <w:left w:val="nil"/>
              <w:bottom w:val="nil"/>
              <w:right w:val="nil"/>
            </w:tcBorders>
            <w:shd w:val="clear" w:color="auto" w:fill="auto"/>
            <w:tcMar>
              <w:top w:w="9" w:type="dxa"/>
              <w:left w:w="9" w:type="dxa"/>
              <w:right w:w="9" w:type="dxa"/>
            </w:tcMar>
            <w:vAlign w:val="center"/>
          </w:tcPr>
          <w:p w14:paraId="1EF41A46">
            <w:pPr>
              <w:pStyle w:val="42"/>
              <w:jc w:val="center"/>
              <w:rPr>
                <w:rFonts w:hint="default" w:ascii="Arial Regular" w:hAnsi="Arial Regular" w:cs="Arial Regular"/>
                <w:sz w:val="20"/>
                <w:szCs w:val="20"/>
              </w:rPr>
            </w:pPr>
            <w:r>
              <w:rPr>
                <w:rFonts w:hint="default" w:ascii="Arial Regular" w:hAnsi="Arial Regular" w:cs="Arial Regular"/>
                <w:sz w:val="20"/>
                <w:szCs w:val="20"/>
              </w:rPr>
              <w:t>0.031</w:t>
            </w:r>
          </w:p>
        </w:tc>
        <w:tc>
          <w:tcPr>
            <w:tcW w:w="771" w:type="dxa"/>
            <w:tcBorders>
              <w:top w:val="nil"/>
              <w:left w:val="nil"/>
              <w:bottom w:val="nil"/>
              <w:right w:val="nil"/>
            </w:tcBorders>
            <w:shd w:val="clear" w:color="auto" w:fill="auto"/>
            <w:tcMar>
              <w:top w:w="9" w:type="dxa"/>
              <w:left w:w="9" w:type="dxa"/>
              <w:right w:w="9" w:type="dxa"/>
            </w:tcMar>
            <w:vAlign w:val="center"/>
          </w:tcPr>
          <w:p w14:paraId="38DACA19">
            <w:pPr>
              <w:pStyle w:val="42"/>
              <w:jc w:val="center"/>
              <w:rPr>
                <w:rFonts w:hint="default" w:ascii="Arial Regular" w:hAnsi="Arial Regular" w:cs="Arial Regular"/>
                <w:sz w:val="20"/>
                <w:szCs w:val="20"/>
              </w:rPr>
            </w:pPr>
            <w:r>
              <w:rPr>
                <w:rFonts w:hint="default" w:ascii="Arial Regular" w:hAnsi="Arial Regular" w:cs="Arial Regular"/>
                <w:sz w:val="20"/>
                <w:szCs w:val="20"/>
              </w:rPr>
              <w:t>0.027</w:t>
            </w:r>
          </w:p>
        </w:tc>
      </w:tr>
      <w:tr w14:paraId="23519FC9">
        <w:trPr>
          <w:trHeight w:val="23" w:hRule="atLeast"/>
          <w:jc w:val="center"/>
        </w:trPr>
        <w:tc>
          <w:tcPr>
            <w:tcW w:w="0" w:type="auto"/>
            <w:vMerge w:val="continue"/>
            <w:tcBorders>
              <w:top w:val="single" w:color="auto" w:sz="8" w:space="0"/>
              <w:left w:val="nil"/>
              <w:bottom w:val="single" w:color="auto" w:sz="12" w:space="0"/>
              <w:right w:val="nil"/>
            </w:tcBorders>
            <w:shd w:val="clear" w:color="auto" w:fill="auto"/>
            <w:vAlign w:val="center"/>
          </w:tcPr>
          <w:p w14:paraId="78DB3910">
            <w:pPr>
              <w:ind w:firstLine="400"/>
              <w:jc w:val="center"/>
              <w:rPr>
                <w:rFonts w:hint="default" w:ascii="Arial Regular" w:hAnsi="Arial Regular" w:cs="Arial Regular"/>
                <w:sz w:val="20"/>
                <w:szCs w:val="20"/>
              </w:rPr>
            </w:pPr>
          </w:p>
        </w:tc>
        <w:tc>
          <w:tcPr>
            <w:tcW w:w="438" w:type="dxa"/>
            <w:tcBorders>
              <w:top w:val="nil"/>
              <w:left w:val="nil"/>
              <w:bottom w:val="nil"/>
              <w:right w:val="nil"/>
            </w:tcBorders>
            <w:shd w:val="clear" w:color="auto" w:fill="auto"/>
            <w:tcMar>
              <w:top w:w="9" w:type="dxa"/>
              <w:left w:w="9" w:type="dxa"/>
              <w:right w:w="9" w:type="dxa"/>
            </w:tcMar>
            <w:vAlign w:val="center"/>
          </w:tcPr>
          <w:p w14:paraId="14CA86A4">
            <w:pPr>
              <w:pStyle w:val="42"/>
              <w:jc w:val="center"/>
              <w:rPr>
                <w:rFonts w:hint="default" w:ascii="Arial Regular" w:hAnsi="Arial Regular" w:cs="Arial Regular"/>
                <w:sz w:val="20"/>
                <w:szCs w:val="20"/>
              </w:rPr>
            </w:pPr>
            <w:r>
              <w:rPr>
                <w:rFonts w:hint="default" w:ascii="Arial Regular" w:hAnsi="Arial Regular" w:cs="Arial Regular"/>
                <w:sz w:val="20"/>
                <w:szCs w:val="20"/>
              </w:rPr>
              <w:t>C</w:t>
            </w:r>
          </w:p>
        </w:tc>
        <w:tc>
          <w:tcPr>
            <w:tcW w:w="0" w:type="auto"/>
            <w:tcBorders>
              <w:top w:val="nil"/>
              <w:left w:val="nil"/>
              <w:bottom w:val="nil"/>
              <w:right w:val="nil"/>
            </w:tcBorders>
            <w:shd w:val="clear" w:color="auto" w:fill="auto"/>
            <w:tcMar>
              <w:top w:w="9" w:type="dxa"/>
              <w:left w:w="9" w:type="dxa"/>
              <w:right w:w="9" w:type="dxa"/>
            </w:tcMar>
            <w:vAlign w:val="center"/>
          </w:tcPr>
          <w:p w14:paraId="3866F05E">
            <w:pPr>
              <w:pStyle w:val="8"/>
              <w:widowControl/>
              <w:spacing w:beforeAutospacing="0" w:afterAutospacing="0" w:line="280" w:lineRule="atLeast"/>
              <w:ind w:firstLine="0" w:firstLineChars="0"/>
              <w:jc w:val="center"/>
              <w:rPr>
                <w:rFonts w:hint="default" w:ascii="Arial Regular" w:hAnsi="Arial Regular" w:cs="Arial Regular"/>
                <w:sz w:val="20"/>
                <w:szCs w:val="20"/>
              </w:rPr>
            </w:pPr>
            <w:r>
              <w:rPr>
                <w:rFonts w:hint="default" w:ascii="Arial Regular" w:hAnsi="Arial Regular" w:cs="Arial Regular"/>
                <w:color w:val="000000"/>
                <w:sz w:val="20"/>
                <w:szCs w:val="20"/>
                <w:lang w:bidi="ar"/>
              </w:rPr>
              <w:t>9</w:t>
            </w:r>
          </w:p>
        </w:tc>
        <w:tc>
          <w:tcPr>
            <w:tcW w:w="876" w:type="dxa"/>
            <w:tcBorders>
              <w:top w:val="nil"/>
              <w:left w:val="nil"/>
              <w:bottom w:val="nil"/>
              <w:right w:val="nil"/>
            </w:tcBorders>
            <w:shd w:val="clear" w:color="auto" w:fill="auto"/>
            <w:tcMar>
              <w:top w:w="9" w:type="dxa"/>
              <w:left w:w="9" w:type="dxa"/>
              <w:right w:w="9" w:type="dxa"/>
            </w:tcMar>
            <w:vAlign w:val="center"/>
          </w:tcPr>
          <w:p w14:paraId="3A4432D7">
            <w:pPr>
              <w:pStyle w:val="42"/>
              <w:jc w:val="center"/>
              <w:rPr>
                <w:rFonts w:hint="default" w:ascii="Arial Regular" w:hAnsi="Arial Regular" w:cs="Arial Regular"/>
                <w:sz w:val="20"/>
                <w:szCs w:val="20"/>
              </w:rPr>
            </w:pPr>
            <w:r>
              <w:rPr>
                <w:rFonts w:hint="default" w:ascii="Arial Regular" w:hAnsi="Arial Regular" w:cs="Arial Regular"/>
                <w:sz w:val="20"/>
                <w:szCs w:val="20"/>
              </w:rPr>
              <w:t>0.031</w:t>
            </w:r>
          </w:p>
        </w:tc>
        <w:tc>
          <w:tcPr>
            <w:tcW w:w="771" w:type="dxa"/>
            <w:tcBorders>
              <w:top w:val="nil"/>
              <w:left w:val="nil"/>
              <w:bottom w:val="nil"/>
              <w:right w:val="nil"/>
            </w:tcBorders>
            <w:shd w:val="clear" w:color="auto" w:fill="auto"/>
            <w:tcMar>
              <w:top w:w="9" w:type="dxa"/>
              <w:left w:w="9" w:type="dxa"/>
              <w:right w:w="9" w:type="dxa"/>
            </w:tcMar>
            <w:vAlign w:val="center"/>
          </w:tcPr>
          <w:p w14:paraId="5AF6D4E1">
            <w:pPr>
              <w:pStyle w:val="42"/>
              <w:jc w:val="center"/>
              <w:rPr>
                <w:rFonts w:hint="default" w:ascii="Arial Regular" w:hAnsi="Arial Regular" w:cs="Arial Regular"/>
                <w:sz w:val="20"/>
                <w:szCs w:val="20"/>
              </w:rPr>
            </w:pPr>
            <w:r>
              <w:rPr>
                <w:rFonts w:hint="default" w:ascii="Arial Regular" w:hAnsi="Arial Regular" w:cs="Arial Regular"/>
                <w:sz w:val="20"/>
                <w:szCs w:val="20"/>
              </w:rPr>
              <w:t>0.010</w:t>
            </w:r>
          </w:p>
        </w:tc>
        <w:tc>
          <w:tcPr>
            <w:tcW w:w="771" w:type="dxa"/>
            <w:tcBorders>
              <w:top w:val="nil"/>
              <w:left w:val="nil"/>
              <w:bottom w:val="nil"/>
              <w:right w:val="nil"/>
            </w:tcBorders>
            <w:shd w:val="clear" w:color="auto" w:fill="auto"/>
            <w:tcMar>
              <w:top w:w="9" w:type="dxa"/>
              <w:left w:w="9" w:type="dxa"/>
              <w:right w:w="9" w:type="dxa"/>
            </w:tcMar>
            <w:vAlign w:val="center"/>
          </w:tcPr>
          <w:p w14:paraId="6A0BC756">
            <w:pPr>
              <w:pStyle w:val="42"/>
              <w:jc w:val="center"/>
              <w:rPr>
                <w:rFonts w:hint="default" w:ascii="Arial Regular" w:hAnsi="Arial Regular" w:cs="Arial Regular"/>
                <w:sz w:val="20"/>
                <w:szCs w:val="20"/>
              </w:rPr>
            </w:pPr>
            <w:r>
              <w:rPr>
                <w:rFonts w:hint="default" w:ascii="Arial Regular" w:hAnsi="Arial Regular" w:cs="Arial Regular"/>
                <w:sz w:val="20"/>
                <w:szCs w:val="20"/>
              </w:rPr>
              <w:t>0.020</w:t>
            </w:r>
          </w:p>
        </w:tc>
      </w:tr>
      <w:tr w14:paraId="34808DCC">
        <w:trPr>
          <w:trHeight w:val="23" w:hRule="atLeast"/>
          <w:jc w:val="center"/>
        </w:trPr>
        <w:tc>
          <w:tcPr>
            <w:tcW w:w="0" w:type="auto"/>
            <w:vMerge w:val="continue"/>
            <w:tcBorders>
              <w:top w:val="single" w:color="auto" w:sz="8" w:space="0"/>
              <w:left w:val="nil"/>
              <w:bottom w:val="single" w:color="auto" w:sz="12" w:space="0"/>
              <w:right w:val="nil"/>
            </w:tcBorders>
            <w:shd w:val="clear" w:color="auto" w:fill="auto"/>
            <w:vAlign w:val="center"/>
          </w:tcPr>
          <w:p w14:paraId="3AE6E9DB">
            <w:pPr>
              <w:ind w:firstLine="400"/>
              <w:jc w:val="center"/>
              <w:rPr>
                <w:rFonts w:hint="default" w:ascii="Arial Regular" w:hAnsi="Arial Regular" w:cs="Arial Regular"/>
                <w:sz w:val="20"/>
                <w:szCs w:val="20"/>
              </w:rPr>
            </w:pPr>
          </w:p>
        </w:tc>
        <w:tc>
          <w:tcPr>
            <w:tcW w:w="438" w:type="dxa"/>
            <w:tcBorders>
              <w:top w:val="nil"/>
              <w:left w:val="nil"/>
              <w:bottom w:val="nil"/>
              <w:right w:val="nil"/>
            </w:tcBorders>
            <w:shd w:val="clear" w:color="auto" w:fill="auto"/>
            <w:tcMar>
              <w:top w:w="9" w:type="dxa"/>
              <w:left w:w="9" w:type="dxa"/>
              <w:right w:w="9" w:type="dxa"/>
            </w:tcMar>
            <w:vAlign w:val="center"/>
          </w:tcPr>
          <w:p w14:paraId="2ECBA34B">
            <w:pPr>
              <w:pStyle w:val="42"/>
              <w:jc w:val="center"/>
              <w:rPr>
                <w:rFonts w:hint="default" w:ascii="Arial Regular" w:hAnsi="Arial Regular" w:cs="Arial Regular"/>
                <w:sz w:val="20"/>
                <w:szCs w:val="20"/>
              </w:rPr>
            </w:pPr>
            <w:r>
              <w:rPr>
                <w:rFonts w:hint="default" w:ascii="Arial Regular" w:hAnsi="Arial Regular" w:cs="Arial Regular"/>
                <w:sz w:val="20"/>
                <w:szCs w:val="20"/>
              </w:rPr>
              <w:t>C</w:t>
            </w:r>
          </w:p>
        </w:tc>
        <w:tc>
          <w:tcPr>
            <w:tcW w:w="0" w:type="auto"/>
            <w:tcBorders>
              <w:top w:val="nil"/>
              <w:left w:val="nil"/>
              <w:bottom w:val="nil"/>
              <w:right w:val="nil"/>
            </w:tcBorders>
            <w:shd w:val="clear" w:color="auto" w:fill="auto"/>
            <w:tcMar>
              <w:top w:w="9" w:type="dxa"/>
              <w:left w:w="9" w:type="dxa"/>
              <w:right w:w="9" w:type="dxa"/>
            </w:tcMar>
            <w:vAlign w:val="center"/>
          </w:tcPr>
          <w:p w14:paraId="1392F5C3">
            <w:pPr>
              <w:pStyle w:val="8"/>
              <w:widowControl/>
              <w:spacing w:beforeAutospacing="0" w:afterAutospacing="0" w:line="280" w:lineRule="atLeast"/>
              <w:ind w:firstLine="0" w:firstLineChars="0"/>
              <w:jc w:val="center"/>
              <w:rPr>
                <w:rFonts w:hint="default" w:ascii="Arial Regular" w:hAnsi="Arial Regular" w:cs="Arial Regular"/>
                <w:sz w:val="20"/>
                <w:szCs w:val="20"/>
              </w:rPr>
            </w:pPr>
            <w:r>
              <w:rPr>
                <w:rFonts w:hint="default" w:ascii="Arial Regular" w:hAnsi="Arial Regular" w:cs="Arial Regular"/>
                <w:color w:val="000000"/>
                <w:sz w:val="20"/>
                <w:szCs w:val="20"/>
                <w:lang w:bidi="ar"/>
              </w:rPr>
              <w:t>10</w:t>
            </w:r>
          </w:p>
        </w:tc>
        <w:tc>
          <w:tcPr>
            <w:tcW w:w="876" w:type="dxa"/>
            <w:tcBorders>
              <w:top w:val="nil"/>
              <w:left w:val="nil"/>
              <w:bottom w:val="nil"/>
              <w:right w:val="nil"/>
            </w:tcBorders>
            <w:shd w:val="clear" w:color="auto" w:fill="auto"/>
            <w:tcMar>
              <w:top w:w="9" w:type="dxa"/>
              <w:left w:w="9" w:type="dxa"/>
              <w:right w:w="9" w:type="dxa"/>
            </w:tcMar>
            <w:vAlign w:val="center"/>
          </w:tcPr>
          <w:p w14:paraId="762A036C">
            <w:pPr>
              <w:pStyle w:val="42"/>
              <w:jc w:val="center"/>
              <w:rPr>
                <w:rFonts w:hint="default" w:ascii="Arial Regular" w:hAnsi="Arial Regular" w:cs="Arial Regular"/>
                <w:sz w:val="20"/>
                <w:szCs w:val="20"/>
              </w:rPr>
            </w:pPr>
            <w:r>
              <w:rPr>
                <w:rFonts w:hint="default" w:ascii="Arial Regular" w:hAnsi="Arial Regular" w:cs="Arial Regular"/>
                <w:sz w:val="20"/>
                <w:szCs w:val="20"/>
              </w:rPr>
              <w:t>0.015</w:t>
            </w:r>
          </w:p>
        </w:tc>
        <w:tc>
          <w:tcPr>
            <w:tcW w:w="771" w:type="dxa"/>
            <w:tcBorders>
              <w:top w:val="nil"/>
              <w:left w:val="nil"/>
              <w:bottom w:val="nil"/>
              <w:right w:val="nil"/>
            </w:tcBorders>
            <w:shd w:val="clear" w:color="auto" w:fill="auto"/>
            <w:tcMar>
              <w:top w:w="9" w:type="dxa"/>
              <w:left w:w="9" w:type="dxa"/>
              <w:right w:w="9" w:type="dxa"/>
            </w:tcMar>
            <w:vAlign w:val="center"/>
          </w:tcPr>
          <w:p w14:paraId="1D8C4141">
            <w:pPr>
              <w:pStyle w:val="42"/>
              <w:jc w:val="center"/>
              <w:rPr>
                <w:rFonts w:hint="default" w:ascii="Arial Regular" w:hAnsi="Arial Regular" w:cs="Arial Regular"/>
                <w:sz w:val="20"/>
                <w:szCs w:val="20"/>
              </w:rPr>
            </w:pPr>
            <w:r>
              <w:rPr>
                <w:rFonts w:hint="default" w:ascii="Arial Regular" w:hAnsi="Arial Regular" w:cs="Arial Regular"/>
                <w:sz w:val="20"/>
                <w:szCs w:val="20"/>
              </w:rPr>
              <w:t>0.013</w:t>
            </w:r>
          </w:p>
        </w:tc>
        <w:tc>
          <w:tcPr>
            <w:tcW w:w="771" w:type="dxa"/>
            <w:tcBorders>
              <w:top w:val="nil"/>
              <w:left w:val="nil"/>
              <w:bottom w:val="nil"/>
              <w:right w:val="nil"/>
            </w:tcBorders>
            <w:shd w:val="clear" w:color="auto" w:fill="auto"/>
            <w:tcMar>
              <w:top w:w="9" w:type="dxa"/>
              <w:left w:w="9" w:type="dxa"/>
              <w:right w:w="9" w:type="dxa"/>
            </w:tcMar>
            <w:vAlign w:val="center"/>
          </w:tcPr>
          <w:p w14:paraId="1945604E">
            <w:pPr>
              <w:pStyle w:val="42"/>
              <w:jc w:val="center"/>
              <w:rPr>
                <w:rFonts w:hint="default" w:ascii="Arial Regular" w:hAnsi="Arial Regular" w:cs="Arial Regular"/>
                <w:sz w:val="20"/>
                <w:szCs w:val="20"/>
              </w:rPr>
            </w:pPr>
            <w:r>
              <w:rPr>
                <w:rFonts w:hint="default" w:ascii="Arial Regular" w:hAnsi="Arial Regular" w:cs="Arial Regular"/>
                <w:sz w:val="20"/>
                <w:szCs w:val="20"/>
              </w:rPr>
              <w:t>0.014</w:t>
            </w:r>
          </w:p>
        </w:tc>
      </w:tr>
      <w:tr w14:paraId="5D94DC22">
        <w:trPr>
          <w:trHeight w:val="23" w:hRule="atLeast"/>
          <w:jc w:val="center"/>
        </w:trPr>
        <w:tc>
          <w:tcPr>
            <w:tcW w:w="0" w:type="auto"/>
            <w:vMerge w:val="continue"/>
            <w:tcBorders>
              <w:top w:val="single" w:color="auto" w:sz="8" w:space="0"/>
              <w:left w:val="nil"/>
              <w:bottom w:val="single" w:color="auto" w:sz="12" w:space="0"/>
              <w:right w:val="nil"/>
            </w:tcBorders>
            <w:shd w:val="clear" w:color="auto" w:fill="auto"/>
            <w:vAlign w:val="center"/>
          </w:tcPr>
          <w:p w14:paraId="343C6433">
            <w:pPr>
              <w:ind w:firstLine="400"/>
              <w:jc w:val="center"/>
              <w:rPr>
                <w:rFonts w:hint="default" w:ascii="Arial Regular" w:hAnsi="Arial Regular" w:cs="Arial Regular"/>
                <w:sz w:val="20"/>
                <w:szCs w:val="20"/>
              </w:rPr>
            </w:pPr>
          </w:p>
        </w:tc>
        <w:tc>
          <w:tcPr>
            <w:tcW w:w="438" w:type="dxa"/>
            <w:tcBorders>
              <w:top w:val="nil"/>
              <w:left w:val="nil"/>
              <w:bottom w:val="nil"/>
              <w:right w:val="nil"/>
            </w:tcBorders>
            <w:shd w:val="clear" w:color="auto" w:fill="auto"/>
            <w:tcMar>
              <w:top w:w="9" w:type="dxa"/>
              <w:left w:w="9" w:type="dxa"/>
              <w:right w:w="9" w:type="dxa"/>
            </w:tcMar>
            <w:vAlign w:val="center"/>
          </w:tcPr>
          <w:p w14:paraId="0FF28876">
            <w:pPr>
              <w:pStyle w:val="42"/>
              <w:jc w:val="center"/>
              <w:rPr>
                <w:rFonts w:hint="default" w:ascii="Arial Regular" w:hAnsi="Arial Regular" w:cs="Arial Regular"/>
                <w:sz w:val="20"/>
                <w:szCs w:val="20"/>
              </w:rPr>
            </w:pPr>
            <w:r>
              <w:rPr>
                <w:rFonts w:hint="default" w:ascii="Arial Regular" w:hAnsi="Arial Regular" w:cs="Arial Regular"/>
                <w:sz w:val="20"/>
                <w:szCs w:val="20"/>
              </w:rPr>
              <w:t>C</w:t>
            </w:r>
          </w:p>
        </w:tc>
        <w:tc>
          <w:tcPr>
            <w:tcW w:w="0" w:type="auto"/>
            <w:tcBorders>
              <w:top w:val="nil"/>
              <w:left w:val="nil"/>
              <w:bottom w:val="nil"/>
              <w:right w:val="nil"/>
            </w:tcBorders>
            <w:shd w:val="clear" w:color="auto" w:fill="auto"/>
            <w:tcMar>
              <w:top w:w="9" w:type="dxa"/>
              <w:left w:w="9" w:type="dxa"/>
              <w:right w:w="9" w:type="dxa"/>
            </w:tcMar>
            <w:vAlign w:val="center"/>
          </w:tcPr>
          <w:p w14:paraId="5603B802">
            <w:pPr>
              <w:pStyle w:val="8"/>
              <w:widowControl/>
              <w:spacing w:beforeAutospacing="0" w:afterAutospacing="0" w:line="280" w:lineRule="atLeast"/>
              <w:ind w:firstLine="0" w:firstLineChars="0"/>
              <w:jc w:val="center"/>
              <w:rPr>
                <w:rFonts w:hint="default" w:ascii="Arial Regular" w:hAnsi="Arial Regular" w:cs="Arial Regular"/>
                <w:sz w:val="20"/>
                <w:szCs w:val="20"/>
              </w:rPr>
            </w:pPr>
            <w:r>
              <w:rPr>
                <w:rFonts w:hint="default" w:ascii="Arial Regular" w:hAnsi="Arial Regular" w:cs="Arial Regular"/>
                <w:color w:val="000000"/>
                <w:sz w:val="20"/>
                <w:szCs w:val="20"/>
                <w:lang w:bidi="ar"/>
              </w:rPr>
              <w:t>11</w:t>
            </w:r>
          </w:p>
        </w:tc>
        <w:tc>
          <w:tcPr>
            <w:tcW w:w="876" w:type="dxa"/>
            <w:tcBorders>
              <w:top w:val="nil"/>
              <w:left w:val="nil"/>
              <w:bottom w:val="nil"/>
              <w:right w:val="nil"/>
            </w:tcBorders>
            <w:shd w:val="clear" w:color="auto" w:fill="auto"/>
            <w:tcMar>
              <w:top w:w="9" w:type="dxa"/>
              <w:left w:w="9" w:type="dxa"/>
              <w:right w:w="9" w:type="dxa"/>
            </w:tcMar>
            <w:vAlign w:val="center"/>
          </w:tcPr>
          <w:p w14:paraId="2548B6BC">
            <w:pPr>
              <w:pStyle w:val="42"/>
              <w:jc w:val="center"/>
              <w:rPr>
                <w:rFonts w:hint="default" w:ascii="Arial Regular" w:hAnsi="Arial Regular" w:cs="Arial Regular"/>
                <w:sz w:val="20"/>
                <w:szCs w:val="20"/>
              </w:rPr>
            </w:pPr>
            <w:r>
              <w:rPr>
                <w:rFonts w:hint="default" w:ascii="Arial Regular" w:hAnsi="Arial Regular" w:cs="Arial Regular"/>
                <w:sz w:val="20"/>
                <w:szCs w:val="20"/>
              </w:rPr>
              <w:t>0.008</w:t>
            </w:r>
          </w:p>
        </w:tc>
        <w:tc>
          <w:tcPr>
            <w:tcW w:w="771" w:type="dxa"/>
            <w:tcBorders>
              <w:top w:val="nil"/>
              <w:left w:val="nil"/>
              <w:bottom w:val="nil"/>
              <w:right w:val="nil"/>
            </w:tcBorders>
            <w:shd w:val="clear" w:color="auto" w:fill="auto"/>
            <w:tcMar>
              <w:top w:w="9" w:type="dxa"/>
              <w:left w:w="9" w:type="dxa"/>
              <w:right w:w="9" w:type="dxa"/>
            </w:tcMar>
            <w:vAlign w:val="center"/>
          </w:tcPr>
          <w:p w14:paraId="634A7878">
            <w:pPr>
              <w:pStyle w:val="42"/>
              <w:jc w:val="center"/>
              <w:rPr>
                <w:rFonts w:hint="default" w:ascii="Arial Regular" w:hAnsi="Arial Regular" w:cs="Arial Regular"/>
                <w:sz w:val="20"/>
                <w:szCs w:val="20"/>
              </w:rPr>
            </w:pPr>
            <w:r>
              <w:rPr>
                <w:rFonts w:hint="default" w:ascii="Arial Regular" w:hAnsi="Arial Regular" w:cs="Arial Regular"/>
                <w:sz w:val="20"/>
                <w:szCs w:val="20"/>
              </w:rPr>
              <w:t>0.028</w:t>
            </w:r>
          </w:p>
        </w:tc>
        <w:tc>
          <w:tcPr>
            <w:tcW w:w="771" w:type="dxa"/>
            <w:tcBorders>
              <w:top w:val="nil"/>
              <w:left w:val="nil"/>
              <w:bottom w:val="nil"/>
              <w:right w:val="nil"/>
            </w:tcBorders>
            <w:shd w:val="clear" w:color="auto" w:fill="auto"/>
            <w:tcMar>
              <w:top w:w="9" w:type="dxa"/>
              <w:left w:w="9" w:type="dxa"/>
              <w:right w:w="9" w:type="dxa"/>
            </w:tcMar>
            <w:vAlign w:val="center"/>
          </w:tcPr>
          <w:p w14:paraId="4FB2EE6A">
            <w:pPr>
              <w:pStyle w:val="42"/>
              <w:jc w:val="center"/>
              <w:rPr>
                <w:rFonts w:hint="default" w:ascii="Arial Regular" w:hAnsi="Arial Regular" w:cs="Arial Regular"/>
                <w:sz w:val="20"/>
                <w:szCs w:val="20"/>
              </w:rPr>
            </w:pPr>
            <w:r>
              <w:rPr>
                <w:rFonts w:hint="default" w:ascii="Arial Regular" w:hAnsi="Arial Regular" w:cs="Arial Regular"/>
                <w:sz w:val="20"/>
                <w:szCs w:val="20"/>
              </w:rPr>
              <w:t>0.018</w:t>
            </w:r>
          </w:p>
        </w:tc>
      </w:tr>
      <w:tr w14:paraId="7E647C6A">
        <w:trPr>
          <w:trHeight w:val="23" w:hRule="atLeast"/>
          <w:jc w:val="center"/>
        </w:trPr>
        <w:tc>
          <w:tcPr>
            <w:tcW w:w="0" w:type="auto"/>
            <w:vMerge w:val="continue"/>
            <w:tcBorders>
              <w:top w:val="single" w:color="auto" w:sz="8" w:space="0"/>
              <w:left w:val="nil"/>
              <w:bottom w:val="single" w:color="auto" w:sz="12" w:space="0"/>
              <w:right w:val="nil"/>
            </w:tcBorders>
            <w:shd w:val="clear" w:color="auto" w:fill="auto"/>
            <w:vAlign w:val="center"/>
          </w:tcPr>
          <w:p w14:paraId="17B5717F">
            <w:pPr>
              <w:ind w:firstLine="400"/>
              <w:jc w:val="center"/>
              <w:rPr>
                <w:rFonts w:hint="default" w:ascii="Arial Regular" w:hAnsi="Arial Regular" w:cs="Arial Regular"/>
                <w:sz w:val="20"/>
                <w:szCs w:val="20"/>
              </w:rPr>
            </w:pPr>
          </w:p>
        </w:tc>
        <w:tc>
          <w:tcPr>
            <w:tcW w:w="438" w:type="dxa"/>
            <w:tcBorders>
              <w:top w:val="nil"/>
              <w:left w:val="nil"/>
              <w:bottom w:val="nil"/>
              <w:right w:val="nil"/>
            </w:tcBorders>
            <w:shd w:val="clear" w:color="auto" w:fill="auto"/>
            <w:tcMar>
              <w:top w:w="9" w:type="dxa"/>
              <w:left w:w="9" w:type="dxa"/>
              <w:right w:w="9" w:type="dxa"/>
            </w:tcMar>
            <w:vAlign w:val="center"/>
          </w:tcPr>
          <w:p w14:paraId="3A50D459">
            <w:pPr>
              <w:pStyle w:val="42"/>
              <w:jc w:val="center"/>
              <w:rPr>
                <w:rFonts w:hint="default" w:ascii="Arial Regular" w:hAnsi="Arial Regular" w:cs="Arial Regular"/>
                <w:sz w:val="20"/>
                <w:szCs w:val="20"/>
              </w:rPr>
            </w:pPr>
            <w:r>
              <w:rPr>
                <w:rFonts w:hint="default" w:ascii="Arial Regular" w:hAnsi="Arial Regular" w:cs="Arial Regular"/>
                <w:sz w:val="20"/>
                <w:szCs w:val="20"/>
              </w:rPr>
              <w:t>C</w:t>
            </w:r>
          </w:p>
        </w:tc>
        <w:tc>
          <w:tcPr>
            <w:tcW w:w="0" w:type="auto"/>
            <w:tcBorders>
              <w:top w:val="nil"/>
              <w:left w:val="nil"/>
              <w:bottom w:val="nil"/>
              <w:right w:val="nil"/>
            </w:tcBorders>
            <w:shd w:val="clear" w:color="auto" w:fill="auto"/>
            <w:tcMar>
              <w:top w:w="9" w:type="dxa"/>
              <w:left w:w="9" w:type="dxa"/>
              <w:right w:w="9" w:type="dxa"/>
            </w:tcMar>
            <w:vAlign w:val="center"/>
          </w:tcPr>
          <w:p w14:paraId="26F798EB">
            <w:pPr>
              <w:pStyle w:val="8"/>
              <w:widowControl/>
              <w:spacing w:beforeAutospacing="0" w:afterAutospacing="0" w:line="280" w:lineRule="atLeast"/>
              <w:ind w:firstLine="0" w:firstLineChars="0"/>
              <w:jc w:val="center"/>
              <w:rPr>
                <w:rFonts w:hint="default" w:ascii="Arial Regular" w:hAnsi="Arial Regular" w:cs="Arial Regular"/>
                <w:sz w:val="20"/>
                <w:szCs w:val="20"/>
              </w:rPr>
            </w:pPr>
            <w:r>
              <w:rPr>
                <w:rFonts w:hint="default" w:ascii="Arial Regular" w:hAnsi="Arial Regular" w:cs="Arial Regular"/>
                <w:color w:val="000000"/>
                <w:sz w:val="20"/>
                <w:szCs w:val="20"/>
                <w:lang w:bidi="ar"/>
              </w:rPr>
              <w:t>12</w:t>
            </w:r>
          </w:p>
        </w:tc>
        <w:tc>
          <w:tcPr>
            <w:tcW w:w="876" w:type="dxa"/>
            <w:tcBorders>
              <w:top w:val="nil"/>
              <w:left w:val="nil"/>
              <w:bottom w:val="nil"/>
              <w:right w:val="nil"/>
            </w:tcBorders>
            <w:shd w:val="clear" w:color="auto" w:fill="auto"/>
            <w:tcMar>
              <w:top w:w="9" w:type="dxa"/>
              <w:left w:w="9" w:type="dxa"/>
              <w:right w:w="9" w:type="dxa"/>
            </w:tcMar>
            <w:vAlign w:val="center"/>
          </w:tcPr>
          <w:p w14:paraId="2E96E7F8">
            <w:pPr>
              <w:pStyle w:val="42"/>
              <w:jc w:val="center"/>
              <w:rPr>
                <w:rFonts w:hint="default" w:ascii="Arial Regular" w:hAnsi="Arial Regular" w:cs="Arial Regular"/>
                <w:sz w:val="20"/>
                <w:szCs w:val="20"/>
              </w:rPr>
            </w:pPr>
            <w:r>
              <w:rPr>
                <w:rFonts w:hint="default" w:ascii="Arial Regular" w:hAnsi="Arial Regular" w:cs="Arial Regular"/>
                <w:sz w:val="20"/>
                <w:szCs w:val="20"/>
              </w:rPr>
              <w:t>0.025</w:t>
            </w:r>
          </w:p>
        </w:tc>
        <w:tc>
          <w:tcPr>
            <w:tcW w:w="771" w:type="dxa"/>
            <w:tcBorders>
              <w:top w:val="nil"/>
              <w:left w:val="nil"/>
              <w:bottom w:val="nil"/>
              <w:right w:val="nil"/>
            </w:tcBorders>
            <w:shd w:val="clear" w:color="auto" w:fill="auto"/>
            <w:tcMar>
              <w:top w:w="9" w:type="dxa"/>
              <w:left w:w="9" w:type="dxa"/>
              <w:right w:w="9" w:type="dxa"/>
            </w:tcMar>
            <w:vAlign w:val="center"/>
          </w:tcPr>
          <w:p w14:paraId="657E9496">
            <w:pPr>
              <w:pStyle w:val="42"/>
              <w:jc w:val="center"/>
              <w:rPr>
                <w:rFonts w:hint="default" w:ascii="Arial Regular" w:hAnsi="Arial Regular" w:cs="Arial Regular"/>
                <w:sz w:val="20"/>
                <w:szCs w:val="20"/>
              </w:rPr>
            </w:pPr>
            <w:r>
              <w:rPr>
                <w:rFonts w:hint="default" w:ascii="Arial Regular" w:hAnsi="Arial Regular" w:cs="Arial Regular"/>
                <w:sz w:val="20"/>
                <w:szCs w:val="20"/>
              </w:rPr>
              <w:t>0.019</w:t>
            </w:r>
          </w:p>
        </w:tc>
        <w:tc>
          <w:tcPr>
            <w:tcW w:w="771" w:type="dxa"/>
            <w:tcBorders>
              <w:top w:val="nil"/>
              <w:left w:val="nil"/>
              <w:bottom w:val="nil"/>
              <w:right w:val="nil"/>
            </w:tcBorders>
            <w:shd w:val="clear" w:color="auto" w:fill="auto"/>
            <w:tcMar>
              <w:top w:w="9" w:type="dxa"/>
              <w:left w:w="9" w:type="dxa"/>
              <w:right w:w="9" w:type="dxa"/>
            </w:tcMar>
            <w:vAlign w:val="center"/>
          </w:tcPr>
          <w:p w14:paraId="790CECA4">
            <w:pPr>
              <w:pStyle w:val="42"/>
              <w:jc w:val="center"/>
              <w:rPr>
                <w:rFonts w:hint="default" w:ascii="Arial Regular" w:hAnsi="Arial Regular" w:cs="Arial Regular"/>
                <w:sz w:val="20"/>
                <w:szCs w:val="20"/>
              </w:rPr>
            </w:pPr>
            <w:r>
              <w:rPr>
                <w:rFonts w:hint="default" w:ascii="Arial Regular" w:hAnsi="Arial Regular" w:cs="Arial Regular"/>
                <w:sz w:val="20"/>
                <w:szCs w:val="20"/>
              </w:rPr>
              <w:t>0.022</w:t>
            </w:r>
          </w:p>
        </w:tc>
      </w:tr>
      <w:tr w14:paraId="370F892E">
        <w:trPr>
          <w:trHeight w:val="23" w:hRule="atLeast"/>
          <w:jc w:val="center"/>
        </w:trPr>
        <w:tc>
          <w:tcPr>
            <w:tcW w:w="0" w:type="auto"/>
            <w:vMerge w:val="continue"/>
            <w:tcBorders>
              <w:top w:val="single" w:color="auto" w:sz="8" w:space="0"/>
              <w:left w:val="nil"/>
              <w:bottom w:val="single" w:color="auto" w:sz="12" w:space="0"/>
              <w:right w:val="nil"/>
            </w:tcBorders>
            <w:shd w:val="clear" w:color="auto" w:fill="auto"/>
            <w:vAlign w:val="center"/>
          </w:tcPr>
          <w:p w14:paraId="6EFDB1AD">
            <w:pPr>
              <w:ind w:firstLine="400"/>
              <w:jc w:val="center"/>
              <w:rPr>
                <w:rFonts w:hint="default" w:ascii="Arial Regular" w:hAnsi="Arial Regular" w:cs="Arial Regular"/>
                <w:sz w:val="20"/>
                <w:szCs w:val="20"/>
              </w:rPr>
            </w:pPr>
          </w:p>
        </w:tc>
        <w:tc>
          <w:tcPr>
            <w:tcW w:w="438" w:type="dxa"/>
            <w:tcBorders>
              <w:top w:val="nil"/>
              <w:left w:val="nil"/>
              <w:bottom w:val="nil"/>
              <w:right w:val="nil"/>
            </w:tcBorders>
            <w:shd w:val="clear" w:color="auto" w:fill="auto"/>
            <w:tcMar>
              <w:top w:w="9" w:type="dxa"/>
              <w:left w:w="9" w:type="dxa"/>
              <w:right w:w="9" w:type="dxa"/>
            </w:tcMar>
            <w:vAlign w:val="center"/>
          </w:tcPr>
          <w:p w14:paraId="0E707F85">
            <w:pPr>
              <w:pStyle w:val="42"/>
              <w:jc w:val="center"/>
              <w:rPr>
                <w:rFonts w:hint="default" w:ascii="Arial Regular" w:hAnsi="Arial Regular" w:cs="Arial Regular"/>
                <w:sz w:val="20"/>
                <w:szCs w:val="20"/>
              </w:rPr>
            </w:pPr>
            <w:r>
              <w:rPr>
                <w:rFonts w:hint="default" w:ascii="Arial Regular" w:hAnsi="Arial Regular" w:cs="Arial Regular"/>
                <w:sz w:val="20"/>
                <w:szCs w:val="20"/>
              </w:rPr>
              <w:t>H</w:t>
            </w:r>
          </w:p>
        </w:tc>
        <w:tc>
          <w:tcPr>
            <w:tcW w:w="0" w:type="auto"/>
            <w:tcBorders>
              <w:top w:val="nil"/>
              <w:left w:val="nil"/>
              <w:bottom w:val="nil"/>
              <w:right w:val="nil"/>
            </w:tcBorders>
            <w:shd w:val="clear" w:color="auto" w:fill="auto"/>
            <w:tcMar>
              <w:top w:w="9" w:type="dxa"/>
              <w:left w:w="9" w:type="dxa"/>
              <w:right w:w="9" w:type="dxa"/>
            </w:tcMar>
            <w:vAlign w:val="center"/>
          </w:tcPr>
          <w:p w14:paraId="5F3FDF75">
            <w:pPr>
              <w:pStyle w:val="8"/>
              <w:widowControl/>
              <w:spacing w:beforeAutospacing="0" w:afterAutospacing="0" w:line="280" w:lineRule="atLeast"/>
              <w:ind w:firstLine="0" w:firstLineChars="0"/>
              <w:jc w:val="center"/>
              <w:rPr>
                <w:rFonts w:hint="default" w:ascii="Arial Regular" w:hAnsi="Arial Regular" w:cs="Arial Regular"/>
                <w:sz w:val="20"/>
                <w:szCs w:val="20"/>
              </w:rPr>
            </w:pPr>
            <w:r>
              <w:rPr>
                <w:rFonts w:hint="default" w:ascii="Arial Regular" w:hAnsi="Arial Regular" w:cs="Arial Regular"/>
                <w:color w:val="000000"/>
                <w:sz w:val="20"/>
                <w:szCs w:val="20"/>
                <w:lang w:bidi="ar"/>
              </w:rPr>
              <w:t>13</w:t>
            </w:r>
          </w:p>
        </w:tc>
        <w:tc>
          <w:tcPr>
            <w:tcW w:w="876" w:type="dxa"/>
            <w:tcBorders>
              <w:top w:val="nil"/>
              <w:left w:val="nil"/>
              <w:bottom w:val="nil"/>
              <w:right w:val="nil"/>
            </w:tcBorders>
            <w:shd w:val="clear" w:color="auto" w:fill="auto"/>
            <w:tcMar>
              <w:top w:w="9" w:type="dxa"/>
              <w:left w:w="9" w:type="dxa"/>
              <w:right w:w="9" w:type="dxa"/>
            </w:tcMar>
            <w:vAlign w:val="center"/>
          </w:tcPr>
          <w:p w14:paraId="17F3980C">
            <w:pPr>
              <w:pStyle w:val="42"/>
              <w:jc w:val="center"/>
              <w:rPr>
                <w:rFonts w:hint="default" w:ascii="Arial Regular" w:hAnsi="Arial Regular" w:cs="Arial Regular"/>
                <w:sz w:val="20"/>
                <w:szCs w:val="20"/>
              </w:rPr>
            </w:pPr>
            <w:r>
              <w:rPr>
                <w:rFonts w:hint="default" w:ascii="Arial Regular" w:hAnsi="Arial Regular" w:cs="Arial Regular"/>
                <w:sz w:val="20"/>
                <w:szCs w:val="20"/>
              </w:rPr>
              <w:t>0.024</w:t>
            </w:r>
          </w:p>
        </w:tc>
        <w:tc>
          <w:tcPr>
            <w:tcW w:w="771" w:type="dxa"/>
            <w:tcBorders>
              <w:top w:val="nil"/>
              <w:left w:val="nil"/>
              <w:bottom w:val="nil"/>
              <w:right w:val="nil"/>
            </w:tcBorders>
            <w:shd w:val="clear" w:color="auto" w:fill="auto"/>
            <w:tcMar>
              <w:top w:w="9" w:type="dxa"/>
              <w:left w:w="9" w:type="dxa"/>
              <w:right w:w="9" w:type="dxa"/>
            </w:tcMar>
            <w:vAlign w:val="center"/>
          </w:tcPr>
          <w:p w14:paraId="0E184748">
            <w:pPr>
              <w:pStyle w:val="42"/>
              <w:jc w:val="center"/>
              <w:rPr>
                <w:rFonts w:hint="default" w:ascii="Arial Regular" w:hAnsi="Arial Regular" w:cs="Arial Regular"/>
                <w:sz w:val="20"/>
                <w:szCs w:val="20"/>
              </w:rPr>
            </w:pPr>
            <w:r>
              <w:rPr>
                <w:rFonts w:hint="default" w:ascii="Arial Regular" w:hAnsi="Arial Regular" w:cs="Arial Regular"/>
                <w:sz w:val="20"/>
                <w:szCs w:val="20"/>
              </w:rPr>
              <w:t>0.026</w:t>
            </w:r>
          </w:p>
        </w:tc>
        <w:tc>
          <w:tcPr>
            <w:tcW w:w="771" w:type="dxa"/>
            <w:tcBorders>
              <w:top w:val="nil"/>
              <w:left w:val="nil"/>
              <w:bottom w:val="nil"/>
              <w:right w:val="nil"/>
            </w:tcBorders>
            <w:shd w:val="clear" w:color="auto" w:fill="auto"/>
            <w:tcMar>
              <w:top w:w="9" w:type="dxa"/>
              <w:left w:w="9" w:type="dxa"/>
              <w:right w:w="9" w:type="dxa"/>
            </w:tcMar>
            <w:vAlign w:val="center"/>
          </w:tcPr>
          <w:p w14:paraId="7BCDEF69">
            <w:pPr>
              <w:pStyle w:val="42"/>
              <w:jc w:val="center"/>
              <w:rPr>
                <w:rFonts w:hint="default" w:ascii="Arial Regular" w:hAnsi="Arial Regular" w:cs="Arial Regular"/>
                <w:sz w:val="20"/>
                <w:szCs w:val="20"/>
              </w:rPr>
            </w:pPr>
            <w:r>
              <w:rPr>
                <w:rFonts w:hint="default" w:ascii="Arial Regular" w:hAnsi="Arial Regular" w:cs="Arial Regular"/>
                <w:sz w:val="20"/>
                <w:szCs w:val="20"/>
              </w:rPr>
              <w:t>0.025</w:t>
            </w:r>
          </w:p>
        </w:tc>
      </w:tr>
      <w:tr w14:paraId="258BCA7B">
        <w:trPr>
          <w:trHeight w:val="23" w:hRule="atLeast"/>
          <w:jc w:val="center"/>
        </w:trPr>
        <w:tc>
          <w:tcPr>
            <w:tcW w:w="0" w:type="auto"/>
            <w:vMerge w:val="continue"/>
            <w:tcBorders>
              <w:top w:val="single" w:color="auto" w:sz="8" w:space="0"/>
              <w:left w:val="nil"/>
              <w:bottom w:val="single" w:color="auto" w:sz="12" w:space="0"/>
              <w:right w:val="nil"/>
            </w:tcBorders>
            <w:shd w:val="clear" w:color="auto" w:fill="auto"/>
            <w:vAlign w:val="center"/>
          </w:tcPr>
          <w:p w14:paraId="66B677B4">
            <w:pPr>
              <w:ind w:firstLine="400"/>
              <w:jc w:val="center"/>
              <w:rPr>
                <w:rFonts w:hint="default" w:ascii="Arial Regular" w:hAnsi="Arial Regular" w:cs="Arial Regular"/>
                <w:sz w:val="20"/>
                <w:szCs w:val="20"/>
              </w:rPr>
            </w:pPr>
          </w:p>
        </w:tc>
        <w:tc>
          <w:tcPr>
            <w:tcW w:w="438" w:type="dxa"/>
            <w:tcBorders>
              <w:top w:val="nil"/>
              <w:left w:val="nil"/>
              <w:bottom w:val="nil"/>
              <w:right w:val="nil"/>
            </w:tcBorders>
            <w:shd w:val="clear" w:color="auto" w:fill="auto"/>
            <w:tcMar>
              <w:top w:w="9" w:type="dxa"/>
              <w:left w:w="9" w:type="dxa"/>
              <w:right w:w="9" w:type="dxa"/>
            </w:tcMar>
            <w:vAlign w:val="center"/>
          </w:tcPr>
          <w:p w14:paraId="23BF36B6">
            <w:pPr>
              <w:pStyle w:val="42"/>
              <w:jc w:val="center"/>
              <w:rPr>
                <w:rFonts w:hint="default" w:ascii="Arial Regular" w:hAnsi="Arial Regular" w:cs="Arial Regular"/>
                <w:sz w:val="20"/>
                <w:szCs w:val="20"/>
              </w:rPr>
            </w:pPr>
            <w:r>
              <w:rPr>
                <w:rFonts w:hint="default" w:ascii="Arial Regular" w:hAnsi="Arial Regular" w:cs="Arial Regular"/>
                <w:sz w:val="20"/>
                <w:szCs w:val="20"/>
              </w:rPr>
              <w:t>H</w:t>
            </w:r>
          </w:p>
        </w:tc>
        <w:tc>
          <w:tcPr>
            <w:tcW w:w="0" w:type="auto"/>
            <w:tcBorders>
              <w:top w:val="nil"/>
              <w:left w:val="nil"/>
              <w:bottom w:val="nil"/>
              <w:right w:val="nil"/>
            </w:tcBorders>
            <w:shd w:val="clear" w:color="auto" w:fill="auto"/>
            <w:tcMar>
              <w:top w:w="9" w:type="dxa"/>
              <w:left w:w="9" w:type="dxa"/>
              <w:right w:w="9" w:type="dxa"/>
            </w:tcMar>
            <w:vAlign w:val="center"/>
          </w:tcPr>
          <w:p w14:paraId="765DD401">
            <w:pPr>
              <w:pStyle w:val="8"/>
              <w:widowControl/>
              <w:spacing w:beforeAutospacing="0" w:afterAutospacing="0" w:line="280" w:lineRule="atLeast"/>
              <w:ind w:firstLine="0" w:firstLineChars="0"/>
              <w:jc w:val="center"/>
              <w:rPr>
                <w:rFonts w:hint="default" w:ascii="Arial Regular" w:hAnsi="Arial Regular" w:cs="Arial Regular"/>
                <w:sz w:val="20"/>
                <w:szCs w:val="20"/>
              </w:rPr>
            </w:pPr>
            <w:r>
              <w:rPr>
                <w:rFonts w:hint="default" w:ascii="Arial Regular" w:hAnsi="Arial Regular" w:cs="Arial Regular"/>
                <w:color w:val="000000"/>
                <w:sz w:val="20"/>
                <w:szCs w:val="20"/>
                <w:lang w:bidi="ar"/>
              </w:rPr>
              <w:t>14</w:t>
            </w:r>
          </w:p>
        </w:tc>
        <w:tc>
          <w:tcPr>
            <w:tcW w:w="876" w:type="dxa"/>
            <w:tcBorders>
              <w:top w:val="nil"/>
              <w:left w:val="nil"/>
              <w:bottom w:val="nil"/>
              <w:right w:val="nil"/>
            </w:tcBorders>
            <w:shd w:val="clear" w:color="auto" w:fill="auto"/>
            <w:tcMar>
              <w:top w:w="9" w:type="dxa"/>
              <w:left w:w="9" w:type="dxa"/>
              <w:right w:w="9" w:type="dxa"/>
            </w:tcMar>
            <w:vAlign w:val="center"/>
          </w:tcPr>
          <w:p w14:paraId="3AAD37D3">
            <w:pPr>
              <w:pStyle w:val="42"/>
              <w:jc w:val="center"/>
              <w:rPr>
                <w:rFonts w:hint="default" w:ascii="Arial Regular" w:hAnsi="Arial Regular" w:cs="Arial Regular"/>
                <w:sz w:val="20"/>
                <w:szCs w:val="20"/>
              </w:rPr>
            </w:pPr>
            <w:r>
              <w:rPr>
                <w:rFonts w:hint="default" w:ascii="Arial Regular" w:hAnsi="Arial Regular" w:cs="Arial Regular"/>
                <w:sz w:val="20"/>
                <w:szCs w:val="20"/>
              </w:rPr>
              <w:t>0.020</w:t>
            </w:r>
          </w:p>
        </w:tc>
        <w:tc>
          <w:tcPr>
            <w:tcW w:w="771" w:type="dxa"/>
            <w:tcBorders>
              <w:top w:val="nil"/>
              <w:left w:val="nil"/>
              <w:bottom w:val="nil"/>
              <w:right w:val="nil"/>
            </w:tcBorders>
            <w:shd w:val="clear" w:color="auto" w:fill="auto"/>
            <w:tcMar>
              <w:top w:w="9" w:type="dxa"/>
              <w:left w:w="9" w:type="dxa"/>
              <w:right w:w="9" w:type="dxa"/>
            </w:tcMar>
            <w:vAlign w:val="center"/>
          </w:tcPr>
          <w:p w14:paraId="58A3DD24">
            <w:pPr>
              <w:pStyle w:val="42"/>
              <w:jc w:val="center"/>
              <w:rPr>
                <w:rFonts w:hint="default" w:ascii="Arial Regular" w:hAnsi="Arial Regular" w:cs="Arial Regular"/>
                <w:sz w:val="20"/>
                <w:szCs w:val="20"/>
              </w:rPr>
            </w:pPr>
            <w:r>
              <w:rPr>
                <w:rFonts w:hint="default" w:ascii="Arial Regular" w:hAnsi="Arial Regular" w:cs="Arial Regular"/>
                <w:sz w:val="20"/>
                <w:szCs w:val="20"/>
              </w:rPr>
              <w:t>0.068</w:t>
            </w:r>
          </w:p>
        </w:tc>
        <w:tc>
          <w:tcPr>
            <w:tcW w:w="771" w:type="dxa"/>
            <w:tcBorders>
              <w:top w:val="nil"/>
              <w:left w:val="nil"/>
              <w:bottom w:val="nil"/>
              <w:right w:val="nil"/>
            </w:tcBorders>
            <w:shd w:val="clear" w:color="auto" w:fill="auto"/>
            <w:tcMar>
              <w:top w:w="9" w:type="dxa"/>
              <w:left w:w="9" w:type="dxa"/>
              <w:right w:w="9" w:type="dxa"/>
            </w:tcMar>
            <w:vAlign w:val="center"/>
          </w:tcPr>
          <w:p w14:paraId="54B0D54D">
            <w:pPr>
              <w:pStyle w:val="42"/>
              <w:jc w:val="center"/>
              <w:rPr>
                <w:rFonts w:hint="default" w:ascii="Arial Regular" w:hAnsi="Arial Regular" w:cs="Arial Regular"/>
                <w:sz w:val="20"/>
                <w:szCs w:val="20"/>
              </w:rPr>
            </w:pPr>
            <w:r>
              <w:rPr>
                <w:rFonts w:hint="default" w:ascii="Arial Regular" w:hAnsi="Arial Regular" w:cs="Arial Regular"/>
                <w:sz w:val="20"/>
                <w:szCs w:val="20"/>
              </w:rPr>
              <w:t>0.044</w:t>
            </w:r>
          </w:p>
        </w:tc>
      </w:tr>
      <w:tr w14:paraId="40F6B82B">
        <w:trPr>
          <w:trHeight w:val="23" w:hRule="atLeast"/>
          <w:jc w:val="center"/>
        </w:trPr>
        <w:tc>
          <w:tcPr>
            <w:tcW w:w="0" w:type="auto"/>
            <w:vMerge w:val="continue"/>
            <w:tcBorders>
              <w:top w:val="single" w:color="auto" w:sz="8" w:space="0"/>
              <w:left w:val="nil"/>
              <w:bottom w:val="single" w:color="auto" w:sz="12" w:space="0"/>
              <w:right w:val="nil"/>
            </w:tcBorders>
            <w:shd w:val="clear" w:color="auto" w:fill="auto"/>
            <w:vAlign w:val="center"/>
          </w:tcPr>
          <w:p w14:paraId="2E1D861E">
            <w:pPr>
              <w:ind w:firstLine="400"/>
              <w:jc w:val="center"/>
              <w:rPr>
                <w:rFonts w:hint="default" w:ascii="Arial Regular" w:hAnsi="Arial Regular" w:cs="Arial Regular"/>
                <w:sz w:val="20"/>
                <w:szCs w:val="20"/>
              </w:rPr>
            </w:pPr>
          </w:p>
        </w:tc>
        <w:tc>
          <w:tcPr>
            <w:tcW w:w="438" w:type="dxa"/>
            <w:tcBorders>
              <w:top w:val="nil"/>
              <w:left w:val="nil"/>
              <w:bottom w:val="nil"/>
              <w:right w:val="nil"/>
            </w:tcBorders>
            <w:shd w:val="clear" w:color="auto" w:fill="auto"/>
            <w:tcMar>
              <w:top w:w="9" w:type="dxa"/>
              <w:left w:w="9" w:type="dxa"/>
              <w:right w:w="9" w:type="dxa"/>
            </w:tcMar>
            <w:vAlign w:val="center"/>
          </w:tcPr>
          <w:p w14:paraId="24B7EAD6">
            <w:pPr>
              <w:pStyle w:val="42"/>
              <w:jc w:val="center"/>
              <w:rPr>
                <w:rFonts w:hint="default" w:ascii="Arial Regular" w:hAnsi="Arial Regular" w:cs="Arial Regular"/>
                <w:sz w:val="20"/>
                <w:szCs w:val="20"/>
              </w:rPr>
            </w:pPr>
            <w:r>
              <w:rPr>
                <w:rFonts w:hint="default" w:ascii="Arial Regular" w:hAnsi="Arial Regular" w:cs="Arial Regular"/>
                <w:sz w:val="20"/>
                <w:szCs w:val="20"/>
              </w:rPr>
              <w:t>H</w:t>
            </w:r>
          </w:p>
        </w:tc>
        <w:tc>
          <w:tcPr>
            <w:tcW w:w="0" w:type="auto"/>
            <w:tcBorders>
              <w:top w:val="nil"/>
              <w:left w:val="nil"/>
              <w:bottom w:val="nil"/>
              <w:right w:val="nil"/>
            </w:tcBorders>
            <w:shd w:val="clear" w:color="auto" w:fill="auto"/>
            <w:tcMar>
              <w:top w:w="9" w:type="dxa"/>
              <w:left w:w="9" w:type="dxa"/>
              <w:right w:w="9" w:type="dxa"/>
            </w:tcMar>
            <w:vAlign w:val="center"/>
          </w:tcPr>
          <w:p w14:paraId="1B375735">
            <w:pPr>
              <w:pStyle w:val="8"/>
              <w:widowControl/>
              <w:spacing w:beforeAutospacing="0" w:afterAutospacing="0" w:line="280" w:lineRule="atLeast"/>
              <w:ind w:firstLine="0" w:firstLineChars="0"/>
              <w:jc w:val="center"/>
              <w:rPr>
                <w:rFonts w:hint="default" w:ascii="Arial Regular" w:hAnsi="Arial Regular" w:cs="Arial Regular"/>
                <w:sz w:val="20"/>
                <w:szCs w:val="20"/>
              </w:rPr>
            </w:pPr>
            <w:r>
              <w:rPr>
                <w:rFonts w:hint="default" w:ascii="Arial Regular" w:hAnsi="Arial Regular" w:cs="Arial Regular"/>
                <w:color w:val="000000"/>
                <w:sz w:val="20"/>
                <w:szCs w:val="20"/>
                <w:lang w:bidi="ar"/>
              </w:rPr>
              <w:t>15</w:t>
            </w:r>
          </w:p>
        </w:tc>
        <w:tc>
          <w:tcPr>
            <w:tcW w:w="876" w:type="dxa"/>
            <w:tcBorders>
              <w:top w:val="nil"/>
              <w:left w:val="nil"/>
              <w:bottom w:val="nil"/>
              <w:right w:val="nil"/>
            </w:tcBorders>
            <w:shd w:val="clear" w:color="auto" w:fill="auto"/>
            <w:tcMar>
              <w:top w:w="9" w:type="dxa"/>
              <w:left w:w="9" w:type="dxa"/>
              <w:right w:w="9" w:type="dxa"/>
            </w:tcMar>
            <w:vAlign w:val="center"/>
          </w:tcPr>
          <w:p w14:paraId="013A458C">
            <w:pPr>
              <w:pStyle w:val="42"/>
              <w:jc w:val="center"/>
              <w:rPr>
                <w:rFonts w:hint="default" w:ascii="Arial Regular" w:hAnsi="Arial Regular" w:cs="Arial Regular"/>
                <w:sz w:val="20"/>
                <w:szCs w:val="20"/>
              </w:rPr>
            </w:pPr>
            <w:r>
              <w:rPr>
                <w:rFonts w:hint="default" w:ascii="Arial Regular" w:hAnsi="Arial Regular" w:cs="Arial Regular"/>
                <w:sz w:val="20"/>
                <w:szCs w:val="20"/>
              </w:rPr>
              <w:t>0.032</w:t>
            </w:r>
          </w:p>
        </w:tc>
        <w:tc>
          <w:tcPr>
            <w:tcW w:w="771" w:type="dxa"/>
            <w:tcBorders>
              <w:top w:val="nil"/>
              <w:left w:val="nil"/>
              <w:bottom w:val="nil"/>
              <w:right w:val="nil"/>
            </w:tcBorders>
            <w:shd w:val="clear" w:color="auto" w:fill="auto"/>
            <w:tcMar>
              <w:top w:w="9" w:type="dxa"/>
              <w:left w:w="9" w:type="dxa"/>
              <w:right w:w="9" w:type="dxa"/>
            </w:tcMar>
            <w:vAlign w:val="center"/>
          </w:tcPr>
          <w:p w14:paraId="21ED2529">
            <w:pPr>
              <w:pStyle w:val="42"/>
              <w:jc w:val="center"/>
              <w:rPr>
                <w:rFonts w:hint="default" w:ascii="Arial Regular" w:hAnsi="Arial Regular" w:cs="Arial Regular"/>
                <w:sz w:val="20"/>
                <w:szCs w:val="20"/>
              </w:rPr>
            </w:pPr>
            <w:r>
              <w:rPr>
                <w:rFonts w:hint="default" w:ascii="Arial Regular" w:hAnsi="Arial Regular" w:cs="Arial Regular"/>
                <w:sz w:val="20"/>
                <w:szCs w:val="20"/>
              </w:rPr>
              <w:t>0.025</w:t>
            </w:r>
          </w:p>
        </w:tc>
        <w:tc>
          <w:tcPr>
            <w:tcW w:w="771" w:type="dxa"/>
            <w:tcBorders>
              <w:top w:val="nil"/>
              <w:left w:val="nil"/>
              <w:bottom w:val="nil"/>
              <w:right w:val="nil"/>
            </w:tcBorders>
            <w:shd w:val="clear" w:color="auto" w:fill="auto"/>
            <w:tcMar>
              <w:top w:w="9" w:type="dxa"/>
              <w:left w:w="9" w:type="dxa"/>
              <w:right w:w="9" w:type="dxa"/>
            </w:tcMar>
            <w:vAlign w:val="center"/>
          </w:tcPr>
          <w:p w14:paraId="56A6D69C">
            <w:pPr>
              <w:pStyle w:val="42"/>
              <w:jc w:val="center"/>
              <w:rPr>
                <w:rFonts w:hint="default" w:ascii="Arial Regular" w:hAnsi="Arial Regular" w:cs="Arial Regular"/>
                <w:sz w:val="20"/>
                <w:szCs w:val="20"/>
              </w:rPr>
            </w:pPr>
            <w:r>
              <w:rPr>
                <w:rFonts w:hint="default" w:ascii="Arial Regular" w:hAnsi="Arial Regular" w:cs="Arial Regular"/>
                <w:sz w:val="20"/>
                <w:szCs w:val="20"/>
              </w:rPr>
              <w:t>0.029</w:t>
            </w:r>
          </w:p>
        </w:tc>
      </w:tr>
      <w:tr w14:paraId="420CB508">
        <w:trPr>
          <w:trHeight w:val="23" w:hRule="atLeast"/>
          <w:jc w:val="center"/>
        </w:trPr>
        <w:tc>
          <w:tcPr>
            <w:tcW w:w="0" w:type="auto"/>
            <w:vMerge w:val="continue"/>
            <w:tcBorders>
              <w:top w:val="single" w:color="auto" w:sz="8" w:space="0"/>
              <w:left w:val="nil"/>
              <w:bottom w:val="single" w:color="auto" w:sz="12" w:space="0"/>
              <w:right w:val="nil"/>
            </w:tcBorders>
            <w:shd w:val="clear" w:color="auto" w:fill="auto"/>
            <w:vAlign w:val="center"/>
          </w:tcPr>
          <w:p w14:paraId="4A2AEE4B">
            <w:pPr>
              <w:ind w:firstLine="400"/>
              <w:jc w:val="center"/>
              <w:rPr>
                <w:rFonts w:hint="default" w:ascii="Arial Regular" w:hAnsi="Arial Regular" w:cs="Arial Regular"/>
                <w:sz w:val="20"/>
                <w:szCs w:val="20"/>
              </w:rPr>
            </w:pPr>
          </w:p>
        </w:tc>
        <w:tc>
          <w:tcPr>
            <w:tcW w:w="438" w:type="dxa"/>
            <w:tcBorders>
              <w:top w:val="nil"/>
              <w:left w:val="nil"/>
              <w:bottom w:val="nil"/>
              <w:right w:val="nil"/>
            </w:tcBorders>
            <w:shd w:val="clear" w:color="auto" w:fill="auto"/>
            <w:tcMar>
              <w:top w:w="9" w:type="dxa"/>
              <w:left w:w="9" w:type="dxa"/>
              <w:right w:w="9" w:type="dxa"/>
            </w:tcMar>
            <w:vAlign w:val="center"/>
          </w:tcPr>
          <w:p w14:paraId="7EAF65B8">
            <w:pPr>
              <w:pStyle w:val="42"/>
              <w:jc w:val="center"/>
              <w:rPr>
                <w:rFonts w:hint="default" w:ascii="Arial Regular" w:hAnsi="Arial Regular" w:cs="Arial Regular"/>
                <w:sz w:val="20"/>
                <w:szCs w:val="20"/>
              </w:rPr>
            </w:pPr>
            <w:r>
              <w:rPr>
                <w:rFonts w:hint="default" w:ascii="Arial Regular" w:hAnsi="Arial Regular" w:cs="Arial Regular"/>
                <w:sz w:val="20"/>
                <w:szCs w:val="20"/>
              </w:rPr>
              <w:t>H</w:t>
            </w:r>
          </w:p>
        </w:tc>
        <w:tc>
          <w:tcPr>
            <w:tcW w:w="0" w:type="auto"/>
            <w:tcBorders>
              <w:top w:val="nil"/>
              <w:left w:val="nil"/>
              <w:bottom w:val="nil"/>
              <w:right w:val="nil"/>
            </w:tcBorders>
            <w:shd w:val="clear" w:color="auto" w:fill="auto"/>
            <w:tcMar>
              <w:top w:w="9" w:type="dxa"/>
              <w:left w:w="9" w:type="dxa"/>
              <w:right w:w="9" w:type="dxa"/>
            </w:tcMar>
            <w:vAlign w:val="center"/>
          </w:tcPr>
          <w:p w14:paraId="540834BC">
            <w:pPr>
              <w:pStyle w:val="8"/>
              <w:widowControl/>
              <w:spacing w:beforeAutospacing="0" w:afterAutospacing="0" w:line="280" w:lineRule="atLeast"/>
              <w:ind w:firstLine="0" w:firstLineChars="0"/>
              <w:jc w:val="center"/>
              <w:rPr>
                <w:rFonts w:hint="default" w:ascii="Arial Regular" w:hAnsi="Arial Regular" w:cs="Arial Regular"/>
                <w:sz w:val="20"/>
                <w:szCs w:val="20"/>
              </w:rPr>
            </w:pPr>
            <w:r>
              <w:rPr>
                <w:rFonts w:hint="default" w:ascii="Arial Regular" w:hAnsi="Arial Regular" w:cs="Arial Regular"/>
                <w:color w:val="000000"/>
                <w:sz w:val="20"/>
                <w:szCs w:val="20"/>
                <w:lang w:bidi="ar"/>
              </w:rPr>
              <w:t>16</w:t>
            </w:r>
          </w:p>
        </w:tc>
        <w:tc>
          <w:tcPr>
            <w:tcW w:w="876" w:type="dxa"/>
            <w:tcBorders>
              <w:top w:val="nil"/>
              <w:left w:val="nil"/>
              <w:bottom w:val="nil"/>
              <w:right w:val="nil"/>
            </w:tcBorders>
            <w:shd w:val="clear" w:color="auto" w:fill="auto"/>
            <w:tcMar>
              <w:top w:w="9" w:type="dxa"/>
              <w:left w:w="9" w:type="dxa"/>
              <w:right w:w="9" w:type="dxa"/>
            </w:tcMar>
            <w:vAlign w:val="center"/>
          </w:tcPr>
          <w:p w14:paraId="37DAD6A2">
            <w:pPr>
              <w:pStyle w:val="42"/>
              <w:jc w:val="center"/>
              <w:rPr>
                <w:rFonts w:hint="default" w:ascii="Arial Regular" w:hAnsi="Arial Regular" w:cs="Arial Regular"/>
                <w:sz w:val="20"/>
                <w:szCs w:val="20"/>
              </w:rPr>
            </w:pPr>
            <w:r>
              <w:rPr>
                <w:rFonts w:hint="default" w:ascii="Arial Regular" w:hAnsi="Arial Regular" w:cs="Arial Regular"/>
                <w:sz w:val="20"/>
                <w:szCs w:val="20"/>
              </w:rPr>
              <w:t>0.018</w:t>
            </w:r>
          </w:p>
        </w:tc>
        <w:tc>
          <w:tcPr>
            <w:tcW w:w="771" w:type="dxa"/>
            <w:tcBorders>
              <w:top w:val="nil"/>
              <w:left w:val="nil"/>
              <w:bottom w:val="nil"/>
              <w:right w:val="nil"/>
            </w:tcBorders>
            <w:shd w:val="clear" w:color="auto" w:fill="auto"/>
            <w:tcMar>
              <w:top w:w="9" w:type="dxa"/>
              <w:left w:w="9" w:type="dxa"/>
              <w:right w:w="9" w:type="dxa"/>
            </w:tcMar>
            <w:vAlign w:val="center"/>
          </w:tcPr>
          <w:p w14:paraId="2405A9F5">
            <w:pPr>
              <w:pStyle w:val="42"/>
              <w:jc w:val="center"/>
              <w:rPr>
                <w:rFonts w:hint="default" w:ascii="Arial Regular" w:hAnsi="Arial Regular" w:cs="Arial Regular"/>
                <w:sz w:val="20"/>
                <w:szCs w:val="20"/>
              </w:rPr>
            </w:pPr>
            <w:r>
              <w:rPr>
                <w:rFonts w:hint="default" w:ascii="Arial Regular" w:hAnsi="Arial Regular" w:cs="Arial Regular"/>
                <w:sz w:val="20"/>
                <w:szCs w:val="20"/>
              </w:rPr>
              <w:t>0.029</w:t>
            </w:r>
          </w:p>
        </w:tc>
        <w:tc>
          <w:tcPr>
            <w:tcW w:w="771" w:type="dxa"/>
            <w:tcBorders>
              <w:top w:val="nil"/>
              <w:left w:val="nil"/>
              <w:bottom w:val="nil"/>
              <w:right w:val="nil"/>
            </w:tcBorders>
            <w:shd w:val="clear" w:color="auto" w:fill="auto"/>
            <w:tcMar>
              <w:top w:w="9" w:type="dxa"/>
              <w:left w:w="9" w:type="dxa"/>
              <w:right w:w="9" w:type="dxa"/>
            </w:tcMar>
            <w:vAlign w:val="center"/>
          </w:tcPr>
          <w:p w14:paraId="24C5B79D">
            <w:pPr>
              <w:pStyle w:val="42"/>
              <w:jc w:val="center"/>
              <w:rPr>
                <w:rFonts w:hint="default" w:ascii="Arial Regular" w:hAnsi="Arial Regular" w:cs="Arial Regular"/>
                <w:sz w:val="20"/>
                <w:szCs w:val="20"/>
              </w:rPr>
            </w:pPr>
            <w:r>
              <w:rPr>
                <w:rFonts w:hint="default" w:ascii="Arial Regular" w:hAnsi="Arial Regular" w:cs="Arial Regular"/>
                <w:sz w:val="20"/>
                <w:szCs w:val="20"/>
              </w:rPr>
              <w:t>0.024</w:t>
            </w:r>
          </w:p>
        </w:tc>
      </w:tr>
      <w:tr w14:paraId="372696F1">
        <w:trPr>
          <w:trHeight w:val="23" w:hRule="atLeast"/>
          <w:jc w:val="center"/>
        </w:trPr>
        <w:tc>
          <w:tcPr>
            <w:tcW w:w="0" w:type="auto"/>
            <w:vMerge w:val="continue"/>
            <w:tcBorders>
              <w:top w:val="single" w:color="auto" w:sz="8" w:space="0"/>
              <w:left w:val="nil"/>
              <w:bottom w:val="single" w:color="auto" w:sz="12" w:space="0"/>
              <w:right w:val="nil"/>
            </w:tcBorders>
            <w:shd w:val="clear" w:color="auto" w:fill="auto"/>
            <w:vAlign w:val="center"/>
          </w:tcPr>
          <w:p w14:paraId="384FC29E">
            <w:pPr>
              <w:ind w:firstLine="400"/>
              <w:jc w:val="center"/>
              <w:rPr>
                <w:rFonts w:hint="default" w:ascii="Arial Regular" w:hAnsi="Arial Regular" w:cs="Arial Regular"/>
                <w:sz w:val="20"/>
                <w:szCs w:val="20"/>
              </w:rPr>
            </w:pPr>
          </w:p>
        </w:tc>
        <w:tc>
          <w:tcPr>
            <w:tcW w:w="438" w:type="dxa"/>
            <w:tcBorders>
              <w:top w:val="nil"/>
              <w:left w:val="nil"/>
              <w:bottom w:val="nil"/>
              <w:right w:val="nil"/>
            </w:tcBorders>
            <w:shd w:val="clear" w:color="auto" w:fill="auto"/>
            <w:tcMar>
              <w:top w:w="9" w:type="dxa"/>
              <w:left w:w="9" w:type="dxa"/>
              <w:right w:w="9" w:type="dxa"/>
            </w:tcMar>
            <w:vAlign w:val="center"/>
          </w:tcPr>
          <w:p w14:paraId="5D7B4645">
            <w:pPr>
              <w:pStyle w:val="42"/>
              <w:jc w:val="center"/>
              <w:rPr>
                <w:rFonts w:hint="default" w:ascii="Arial Regular" w:hAnsi="Arial Regular" w:cs="Arial Regular"/>
                <w:sz w:val="20"/>
                <w:szCs w:val="20"/>
              </w:rPr>
            </w:pPr>
            <w:r>
              <w:rPr>
                <w:rFonts w:hint="default" w:ascii="Arial Regular" w:hAnsi="Arial Regular" w:cs="Arial Regular"/>
                <w:sz w:val="20"/>
                <w:szCs w:val="20"/>
              </w:rPr>
              <w:t>H</w:t>
            </w:r>
          </w:p>
        </w:tc>
        <w:tc>
          <w:tcPr>
            <w:tcW w:w="0" w:type="auto"/>
            <w:tcBorders>
              <w:top w:val="nil"/>
              <w:left w:val="nil"/>
              <w:bottom w:val="nil"/>
              <w:right w:val="nil"/>
            </w:tcBorders>
            <w:shd w:val="clear" w:color="auto" w:fill="auto"/>
            <w:tcMar>
              <w:top w:w="9" w:type="dxa"/>
              <w:left w:w="9" w:type="dxa"/>
              <w:right w:w="9" w:type="dxa"/>
            </w:tcMar>
            <w:vAlign w:val="center"/>
          </w:tcPr>
          <w:p w14:paraId="035660DD">
            <w:pPr>
              <w:pStyle w:val="8"/>
              <w:widowControl/>
              <w:spacing w:beforeAutospacing="0" w:afterAutospacing="0" w:line="280" w:lineRule="atLeast"/>
              <w:ind w:firstLine="0" w:firstLineChars="0"/>
              <w:jc w:val="center"/>
              <w:rPr>
                <w:rFonts w:hint="default" w:ascii="Arial Regular" w:hAnsi="Arial Regular" w:cs="Arial Regular"/>
                <w:sz w:val="20"/>
                <w:szCs w:val="20"/>
              </w:rPr>
            </w:pPr>
            <w:r>
              <w:rPr>
                <w:rFonts w:hint="default" w:ascii="Arial Regular" w:hAnsi="Arial Regular" w:cs="Arial Regular"/>
                <w:color w:val="000000"/>
                <w:sz w:val="20"/>
                <w:szCs w:val="20"/>
                <w:lang w:bidi="ar"/>
              </w:rPr>
              <w:t>17</w:t>
            </w:r>
          </w:p>
        </w:tc>
        <w:tc>
          <w:tcPr>
            <w:tcW w:w="876" w:type="dxa"/>
            <w:tcBorders>
              <w:top w:val="nil"/>
              <w:left w:val="nil"/>
              <w:bottom w:val="nil"/>
              <w:right w:val="nil"/>
            </w:tcBorders>
            <w:shd w:val="clear" w:color="auto" w:fill="auto"/>
            <w:tcMar>
              <w:top w:w="9" w:type="dxa"/>
              <w:left w:w="9" w:type="dxa"/>
              <w:right w:w="9" w:type="dxa"/>
            </w:tcMar>
            <w:vAlign w:val="center"/>
          </w:tcPr>
          <w:p w14:paraId="02C0A568">
            <w:pPr>
              <w:pStyle w:val="42"/>
              <w:jc w:val="center"/>
              <w:rPr>
                <w:rFonts w:hint="default" w:ascii="Arial Regular" w:hAnsi="Arial Regular" w:cs="Arial Regular"/>
                <w:sz w:val="20"/>
                <w:szCs w:val="20"/>
              </w:rPr>
            </w:pPr>
            <w:r>
              <w:rPr>
                <w:rFonts w:hint="default" w:ascii="Arial Regular" w:hAnsi="Arial Regular" w:cs="Arial Regular"/>
                <w:sz w:val="20"/>
                <w:szCs w:val="20"/>
              </w:rPr>
              <w:t>0.016</w:t>
            </w:r>
          </w:p>
        </w:tc>
        <w:tc>
          <w:tcPr>
            <w:tcW w:w="771" w:type="dxa"/>
            <w:tcBorders>
              <w:top w:val="nil"/>
              <w:left w:val="nil"/>
              <w:bottom w:val="nil"/>
              <w:right w:val="nil"/>
            </w:tcBorders>
            <w:shd w:val="clear" w:color="auto" w:fill="auto"/>
            <w:tcMar>
              <w:top w:w="9" w:type="dxa"/>
              <w:left w:w="9" w:type="dxa"/>
              <w:right w:w="9" w:type="dxa"/>
            </w:tcMar>
            <w:vAlign w:val="center"/>
          </w:tcPr>
          <w:p w14:paraId="0B8B70CE">
            <w:pPr>
              <w:pStyle w:val="42"/>
              <w:jc w:val="center"/>
              <w:rPr>
                <w:rFonts w:hint="default" w:ascii="Arial Regular" w:hAnsi="Arial Regular" w:cs="Arial Regular"/>
                <w:sz w:val="20"/>
                <w:szCs w:val="20"/>
              </w:rPr>
            </w:pPr>
            <w:r>
              <w:rPr>
                <w:rFonts w:hint="default" w:ascii="Arial Regular" w:hAnsi="Arial Regular" w:cs="Arial Regular"/>
                <w:sz w:val="20"/>
                <w:szCs w:val="20"/>
              </w:rPr>
              <w:t>0.059</w:t>
            </w:r>
          </w:p>
        </w:tc>
        <w:tc>
          <w:tcPr>
            <w:tcW w:w="771" w:type="dxa"/>
            <w:tcBorders>
              <w:top w:val="nil"/>
              <w:left w:val="nil"/>
              <w:bottom w:val="nil"/>
              <w:right w:val="nil"/>
            </w:tcBorders>
            <w:shd w:val="clear" w:color="auto" w:fill="auto"/>
            <w:tcMar>
              <w:top w:w="9" w:type="dxa"/>
              <w:left w:w="9" w:type="dxa"/>
              <w:right w:w="9" w:type="dxa"/>
            </w:tcMar>
            <w:vAlign w:val="center"/>
          </w:tcPr>
          <w:p w14:paraId="651FEE1B">
            <w:pPr>
              <w:pStyle w:val="42"/>
              <w:jc w:val="center"/>
              <w:rPr>
                <w:rFonts w:hint="default" w:ascii="Arial Regular" w:hAnsi="Arial Regular" w:cs="Arial Regular"/>
                <w:sz w:val="20"/>
                <w:szCs w:val="20"/>
              </w:rPr>
            </w:pPr>
            <w:r>
              <w:rPr>
                <w:rFonts w:hint="default" w:ascii="Arial Regular" w:hAnsi="Arial Regular" w:cs="Arial Regular"/>
                <w:sz w:val="20"/>
                <w:szCs w:val="20"/>
              </w:rPr>
              <w:t>0.038</w:t>
            </w:r>
          </w:p>
        </w:tc>
      </w:tr>
      <w:tr w14:paraId="4E19E9AD">
        <w:trPr>
          <w:trHeight w:val="23" w:hRule="atLeast"/>
          <w:jc w:val="center"/>
        </w:trPr>
        <w:tc>
          <w:tcPr>
            <w:tcW w:w="0" w:type="auto"/>
            <w:vMerge w:val="continue"/>
            <w:tcBorders>
              <w:top w:val="single" w:color="auto" w:sz="8" w:space="0"/>
              <w:left w:val="nil"/>
              <w:bottom w:val="single" w:color="auto" w:sz="12" w:space="0"/>
              <w:right w:val="nil"/>
            </w:tcBorders>
            <w:shd w:val="clear" w:color="auto" w:fill="auto"/>
            <w:vAlign w:val="center"/>
          </w:tcPr>
          <w:p w14:paraId="3E67B510">
            <w:pPr>
              <w:ind w:firstLine="400"/>
              <w:jc w:val="center"/>
              <w:rPr>
                <w:rFonts w:hint="default" w:ascii="Arial Regular" w:hAnsi="Arial Regular" w:cs="Arial Regular"/>
                <w:sz w:val="20"/>
                <w:szCs w:val="20"/>
              </w:rPr>
            </w:pPr>
          </w:p>
        </w:tc>
        <w:tc>
          <w:tcPr>
            <w:tcW w:w="438" w:type="dxa"/>
            <w:tcBorders>
              <w:top w:val="nil"/>
              <w:left w:val="nil"/>
              <w:bottom w:val="nil"/>
              <w:right w:val="nil"/>
            </w:tcBorders>
            <w:shd w:val="clear" w:color="auto" w:fill="auto"/>
            <w:tcMar>
              <w:top w:w="9" w:type="dxa"/>
              <w:left w:w="9" w:type="dxa"/>
              <w:right w:w="9" w:type="dxa"/>
            </w:tcMar>
            <w:vAlign w:val="center"/>
          </w:tcPr>
          <w:p w14:paraId="615F7ADF">
            <w:pPr>
              <w:pStyle w:val="42"/>
              <w:jc w:val="center"/>
              <w:rPr>
                <w:rFonts w:hint="default" w:ascii="Arial Regular" w:hAnsi="Arial Regular" w:cs="Arial Regular"/>
                <w:sz w:val="20"/>
                <w:szCs w:val="20"/>
              </w:rPr>
            </w:pPr>
            <w:r>
              <w:rPr>
                <w:rFonts w:hint="default" w:ascii="Arial Regular" w:hAnsi="Arial Regular" w:cs="Arial Regular"/>
                <w:sz w:val="20"/>
                <w:szCs w:val="20"/>
              </w:rPr>
              <w:t>H</w:t>
            </w:r>
          </w:p>
        </w:tc>
        <w:tc>
          <w:tcPr>
            <w:tcW w:w="0" w:type="auto"/>
            <w:tcBorders>
              <w:top w:val="nil"/>
              <w:left w:val="nil"/>
              <w:bottom w:val="nil"/>
              <w:right w:val="nil"/>
            </w:tcBorders>
            <w:shd w:val="clear" w:color="auto" w:fill="auto"/>
            <w:tcMar>
              <w:top w:w="9" w:type="dxa"/>
              <w:left w:w="9" w:type="dxa"/>
              <w:right w:w="9" w:type="dxa"/>
            </w:tcMar>
            <w:vAlign w:val="center"/>
          </w:tcPr>
          <w:p w14:paraId="58B369BB">
            <w:pPr>
              <w:pStyle w:val="8"/>
              <w:widowControl/>
              <w:spacing w:beforeAutospacing="0" w:afterAutospacing="0" w:line="280" w:lineRule="atLeast"/>
              <w:ind w:firstLine="0" w:firstLineChars="0"/>
              <w:jc w:val="center"/>
              <w:rPr>
                <w:rFonts w:hint="default" w:ascii="Arial Regular" w:hAnsi="Arial Regular" w:cs="Arial Regular"/>
                <w:sz w:val="20"/>
                <w:szCs w:val="20"/>
              </w:rPr>
            </w:pPr>
            <w:r>
              <w:rPr>
                <w:rFonts w:hint="default" w:ascii="Arial Regular" w:hAnsi="Arial Regular" w:cs="Arial Regular"/>
                <w:color w:val="000000"/>
                <w:sz w:val="20"/>
                <w:szCs w:val="20"/>
                <w:lang w:bidi="ar"/>
              </w:rPr>
              <w:t>18</w:t>
            </w:r>
          </w:p>
        </w:tc>
        <w:tc>
          <w:tcPr>
            <w:tcW w:w="876" w:type="dxa"/>
            <w:tcBorders>
              <w:top w:val="nil"/>
              <w:left w:val="nil"/>
              <w:bottom w:val="nil"/>
              <w:right w:val="nil"/>
            </w:tcBorders>
            <w:shd w:val="clear" w:color="auto" w:fill="auto"/>
            <w:tcMar>
              <w:top w:w="9" w:type="dxa"/>
              <w:left w:w="9" w:type="dxa"/>
              <w:right w:w="9" w:type="dxa"/>
            </w:tcMar>
            <w:vAlign w:val="center"/>
          </w:tcPr>
          <w:p w14:paraId="326848DF">
            <w:pPr>
              <w:pStyle w:val="42"/>
              <w:jc w:val="center"/>
              <w:rPr>
                <w:rFonts w:hint="default" w:ascii="Arial Regular" w:hAnsi="Arial Regular" w:cs="Arial Regular"/>
                <w:sz w:val="20"/>
                <w:szCs w:val="20"/>
              </w:rPr>
            </w:pPr>
            <w:r>
              <w:rPr>
                <w:rFonts w:hint="default" w:ascii="Arial Regular" w:hAnsi="Arial Regular" w:cs="Arial Regular"/>
                <w:sz w:val="20"/>
                <w:szCs w:val="20"/>
              </w:rPr>
              <w:t>0.029</w:t>
            </w:r>
          </w:p>
        </w:tc>
        <w:tc>
          <w:tcPr>
            <w:tcW w:w="771" w:type="dxa"/>
            <w:tcBorders>
              <w:top w:val="nil"/>
              <w:left w:val="nil"/>
              <w:bottom w:val="nil"/>
              <w:right w:val="nil"/>
            </w:tcBorders>
            <w:shd w:val="clear" w:color="auto" w:fill="auto"/>
            <w:tcMar>
              <w:top w:w="9" w:type="dxa"/>
              <w:left w:w="9" w:type="dxa"/>
              <w:right w:w="9" w:type="dxa"/>
            </w:tcMar>
            <w:vAlign w:val="center"/>
          </w:tcPr>
          <w:p w14:paraId="04246FA0">
            <w:pPr>
              <w:pStyle w:val="42"/>
              <w:jc w:val="center"/>
              <w:rPr>
                <w:rFonts w:hint="default" w:ascii="Arial Regular" w:hAnsi="Arial Regular" w:cs="Arial Regular"/>
                <w:sz w:val="20"/>
                <w:szCs w:val="20"/>
              </w:rPr>
            </w:pPr>
            <w:r>
              <w:rPr>
                <w:rFonts w:hint="default" w:ascii="Arial Regular" w:hAnsi="Arial Regular" w:cs="Arial Regular"/>
                <w:sz w:val="20"/>
                <w:szCs w:val="20"/>
              </w:rPr>
              <w:t>0.028</w:t>
            </w:r>
          </w:p>
        </w:tc>
        <w:tc>
          <w:tcPr>
            <w:tcW w:w="771" w:type="dxa"/>
            <w:tcBorders>
              <w:top w:val="nil"/>
              <w:left w:val="nil"/>
              <w:bottom w:val="nil"/>
              <w:right w:val="nil"/>
            </w:tcBorders>
            <w:shd w:val="clear" w:color="auto" w:fill="auto"/>
            <w:tcMar>
              <w:top w:w="9" w:type="dxa"/>
              <w:left w:w="9" w:type="dxa"/>
              <w:right w:w="9" w:type="dxa"/>
            </w:tcMar>
            <w:vAlign w:val="center"/>
          </w:tcPr>
          <w:p w14:paraId="3118F0A2">
            <w:pPr>
              <w:pStyle w:val="42"/>
              <w:jc w:val="center"/>
              <w:rPr>
                <w:rFonts w:hint="default" w:ascii="Arial Regular" w:hAnsi="Arial Regular" w:cs="Arial Regular"/>
                <w:sz w:val="20"/>
                <w:szCs w:val="20"/>
              </w:rPr>
            </w:pPr>
            <w:r>
              <w:rPr>
                <w:rFonts w:hint="default" w:ascii="Arial Regular" w:hAnsi="Arial Regular" w:cs="Arial Regular"/>
                <w:sz w:val="20"/>
                <w:szCs w:val="20"/>
              </w:rPr>
              <w:t>0.028</w:t>
            </w:r>
          </w:p>
        </w:tc>
      </w:tr>
      <w:tr w14:paraId="247CF261">
        <w:trPr>
          <w:trHeight w:val="23" w:hRule="atLeast"/>
          <w:jc w:val="center"/>
        </w:trPr>
        <w:tc>
          <w:tcPr>
            <w:tcW w:w="0" w:type="auto"/>
            <w:vMerge w:val="continue"/>
            <w:tcBorders>
              <w:top w:val="single" w:color="auto" w:sz="8" w:space="0"/>
              <w:left w:val="nil"/>
              <w:bottom w:val="single" w:color="auto" w:sz="12" w:space="0"/>
              <w:right w:val="nil"/>
            </w:tcBorders>
            <w:shd w:val="clear" w:color="auto" w:fill="auto"/>
            <w:vAlign w:val="center"/>
          </w:tcPr>
          <w:p w14:paraId="152BD033">
            <w:pPr>
              <w:ind w:firstLine="400"/>
              <w:jc w:val="center"/>
              <w:rPr>
                <w:rFonts w:hint="default" w:ascii="Arial Regular" w:hAnsi="Arial Regular" w:cs="Arial Regular"/>
                <w:sz w:val="20"/>
                <w:szCs w:val="20"/>
              </w:rPr>
            </w:pPr>
          </w:p>
        </w:tc>
        <w:tc>
          <w:tcPr>
            <w:tcW w:w="438" w:type="dxa"/>
            <w:tcBorders>
              <w:top w:val="nil"/>
              <w:left w:val="nil"/>
              <w:bottom w:val="nil"/>
              <w:right w:val="nil"/>
            </w:tcBorders>
            <w:shd w:val="clear" w:color="auto" w:fill="auto"/>
            <w:tcMar>
              <w:top w:w="9" w:type="dxa"/>
              <w:left w:w="9" w:type="dxa"/>
              <w:right w:w="9" w:type="dxa"/>
            </w:tcMar>
            <w:vAlign w:val="center"/>
          </w:tcPr>
          <w:p w14:paraId="5064D845">
            <w:pPr>
              <w:pStyle w:val="42"/>
              <w:jc w:val="center"/>
              <w:rPr>
                <w:rFonts w:hint="default" w:ascii="Arial Regular" w:hAnsi="Arial Regular" w:cs="Arial Regular"/>
                <w:sz w:val="20"/>
                <w:szCs w:val="20"/>
              </w:rPr>
            </w:pPr>
            <w:r>
              <w:rPr>
                <w:rFonts w:hint="default" w:ascii="Arial Regular" w:hAnsi="Arial Regular" w:cs="Arial Regular"/>
                <w:sz w:val="20"/>
                <w:szCs w:val="20"/>
              </w:rPr>
              <w:t>H</w:t>
            </w:r>
          </w:p>
        </w:tc>
        <w:tc>
          <w:tcPr>
            <w:tcW w:w="0" w:type="auto"/>
            <w:tcBorders>
              <w:top w:val="nil"/>
              <w:left w:val="nil"/>
              <w:bottom w:val="nil"/>
              <w:right w:val="nil"/>
            </w:tcBorders>
            <w:shd w:val="clear" w:color="auto" w:fill="auto"/>
            <w:tcMar>
              <w:top w:w="9" w:type="dxa"/>
              <w:left w:w="9" w:type="dxa"/>
              <w:right w:w="9" w:type="dxa"/>
            </w:tcMar>
            <w:vAlign w:val="center"/>
          </w:tcPr>
          <w:p w14:paraId="12BC4675">
            <w:pPr>
              <w:pStyle w:val="8"/>
              <w:widowControl/>
              <w:spacing w:beforeAutospacing="0" w:afterAutospacing="0" w:line="280" w:lineRule="atLeast"/>
              <w:ind w:firstLine="0" w:firstLineChars="0"/>
              <w:jc w:val="center"/>
              <w:rPr>
                <w:rFonts w:hint="default" w:ascii="Arial Regular" w:hAnsi="Arial Regular" w:cs="Arial Regular"/>
                <w:sz w:val="20"/>
                <w:szCs w:val="20"/>
              </w:rPr>
            </w:pPr>
            <w:r>
              <w:rPr>
                <w:rFonts w:hint="default" w:ascii="Arial Regular" w:hAnsi="Arial Regular" w:cs="Arial Regular"/>
                <w:color w:val="000000"/>
                <w:sz w:val="20"/>
                <w:szCs w:val="20"/>
                <w:lang w:bidi="ar"/>
              </w:rPr>
              <w:t>19</w:t>
            </w:r>
          </w:p>
        </w:tc>
        <w:tc>
          <w:tcPr>
            <w:tcW w:w="876" w:type="dxa"/>
            <w:tcBorders>
              <w:top w:val="nil"/>
              <w:left w:val="nil"/>
              <w:bottom w:val="nil"/>
              <w:right w:val="nil"/>
            </w:tcBorders>
            <w:shd w:val="clear" w:color="auto" w:fill="auto"/>
            <w:tcMar>
              <w:top w:w="9" w:type="dxa"/>
              <w:left w:w="9" w:type="dxa"/>
              <w:right w:w="9" w:type="dxa"/>
            </w:tcMar>
            <w:vAlign w:val="center"/>
          </w:tcPr>
          <w:p w14:paraId="738A51E9">
            <w:pPr>
              <w:pStyle w:val="42"/>
              <w:jc w:val="center"/>
              <w:rPr>
                <w:rFonts w:hint="default" w:ascii="Arial Regular" w:hAnsi="Arial Regular" w:cs="Arial Regular"/>
                <w:sz w:val="20"/>
                <w:szCs w:val="20"/>
              </w:rPr>
            </w:pPr>
            <w:r>
              <w:rPr>
                <w:rFonts w:hint="default" w:ascii="Arial Regular" w:hAnsi="Arial Regular" w:cs="Arial Regular"/>
                <w:sz w:val="20"/>
                <w:szCs w:val="20"/>
              </w:rPr>
              <w:t>0.022</w:t>
            </w:r>
          </w:p>
        </w:tc>
        <w:tc>
          <w:tcPr>
            <w:tcW w:w="771" w:type="dxa"/>
            <w:tcBorders>
              <w:top w:val="nil"/>
              <w:left w:val="nil"/>
              <w:bottom w:val="nil"/>
              <w:right w:val="nil"/>
            </w:tcBorders>
            <w:shd w:val="clear" w:color="auto" w:fill="auto"/>
            <w:tcMar>
              <w:top w:w="9" w:type="dxa"/>
              <w:left w:w="9" w:type="dxa"/>
              <w:right w:w="9" w:type="dxa"/>
            </w:tcMar>
            <w:vAlign w:val="center"/>
          </w:tcPr>
          <w:p w14:paraId="29689A9F">
            <w:pPr>
              <w:pStyle w:val="42"/>
              <w:jc w:val="center"/>
              <w:rPr>
                <w:rFonts w:hint="default" w:ascii="Arial Regular" w:hAnsi="Arial Regular" w:cs="Arial Regular"/>
                <w:sz w:val="20"/>
                <w:szCs w:val="20"/>
              </w:rPr>
            </w:pPr>
            <w:r>
              <w:rPr>
                <w:rFonts w:hint="default" w:ascii="Arial Regular" w:hAnsi="Arial Regular" w:cs="Arial Regular"/>
                <w:sz w:val="20"/>
                <w:szCs w:val="20"/>
              </w:rPr>
              <w:t>0.029</w:t>
            </w:r>
          </w:p>
        </w:tc>
        <w:tc>
          <w:tcPr>
            <w:tcW w:w="771" w:type="dxa"/>
            <w:tcBorders>
              <w:top w:val="nil"/>
              <w:left w:val="nil"/>
              <w:bottom w:val="nil"/>
              <w:right w:val="nil"/>
            </w:tcBorders>
            <w:shd w:val="clear" w:color="auto" w:fill="auto"/>
            <w:tcMar>
              <w:top w:w="9" w:type="dxa"/>
              <w:left w:w="9" w:type="dxa"/>
              <w:right w:w="9" w:type="dxa"/>
            </w:tcMar>
            <w:vAlign w:val="center"/>
          </w:tcPr>
          <w:p w14:paraId="17CB6CDD">
            <w:pPr>
              <w:pStyle w:val="42"/>
              <w:jc w:val="center"/>
              <w:rPr>
                <w:rFonts w:hint="default" w:ascii="Arial Regular" w:hAnsi="Arial Regular" w:cs="Arial Regular"/>
                <w:sz w:val="20"/>
                <w:szCs w:val="20"/>
              </w:rPr>
            </w:pPr>
            <w:r>
              <w:rPr>
                <w:rFonts w:hint="default" w:ascii="Arial Regular" w:hAnsi="Arial Regular" w:cs="Arial Regular"/>
                <w:sz w:val="20"/>
                <w:szCs w:val="20"/>
              </w:rPr>
              <w:t>0.026</w:t>
            </w:r>
          </w:p>
        </w:tc>
      </w:tr>
      <w:tr w14:paraId="07A11690">
        <w:trPr>
          <w:trHeight w:val="23" w:hRule="atLeast"/>
          <w:jc w:val="center"/>
        </w:trPr>
        <w:tc>
          <w:tcPr>
            <w:tcW w:w="0" w:type="auto"/>
            <w:vMerge w:val="continue"/>
            <w:tcBorders>
              <w:top w:val="single" w:color="auto" w:sz="8" w:space="0"/>
              <w:left w:val="nil"/>
              <w:bottom w:val="single" w:color="auto" w:sz="12" w:space="0"/>
              <w:right w:val="nil"/>
            </w:tcBorders>
            <w:shd w:val="clear" w:color="auto" w:fill="auto"/>
            <w:vAlign w:val="center"/>
          </w:tcPr>
          <w:p w14:paraId="3DCE396A">
            <w:pPr>
              <w:ind w:firstLine="400"/>
              <w:jc w:val="center"/>
              <w:rPr>
                <w:rFonts w:hint="default" w:ascii="Arial Regular" w:hAnsi="Arial Regular" w:cs="Arial Regular"/>
                <w:sz w:val="20"/>
                <w:szCs w:val="20"/>
              </w:rPr>
            </w:pPr>
          </w:p>
        </w:tc>
        <w:tc>
          <w:tcPr>
            <w:tcW w:w="438" w:type="dxa"/>
            <w:tcBorders>
              <w:top w:val="nil"/>
              <w:left w:val="nil"/>
              <w:bottom w:val="nil"/>
              <w:right w:val="nil"/>
            </w:tcBorders>
            <w:shd w:val="clear" w:color="auto" w:fill="auto"/>
            <w:tcMar>
              <w:top w:w="9" w:type="dxa"/>
              <w:left w:w="9" w:type="dxa"/>
              <w:right w:w="9" w:type="dxa"/>
            </w:tcMar>
            <w:vAlign w:val="center"/>
          </w:tcPr>
          <w:p w14:paraId="5417874E">
            <w:pPr>
              <w:pStyle w:val="42"/>
              <w:jc w:val="center"/>
              <w:rPr>
                <w:rFonts w:hint="default" w:ascii="Arial Regular" w:hAnsi="Arial Regular" w:cs="Arial Regular"/>
                <w:sz w:val="20"/>
                <w:szCs w:val="20"/>
              </w:rPr>
            </w:pPr>
            <w:r>
              <w:rPr>
                <w:rFonts w:hint="default" w:ascii="Arial Regular" w:hAnsi="Arial Regular" w:cs="Arial Regular"/>
                <w:sz w:val="20"/>
                <w:szCs w:val="20"/>
              </w:rPr>
              <w:t>H</w:t>
            </w:r>
          </w:p>
        </w:tc>
        <w:tc>
          <w:tcPr>
            <w:tcW w:w="0" w:type="auto"/>
            <w:tcBorders>
              <w:top w:val="nil"/>
              <w:left w:val="nil"/>
              <w:bottom w:val="nil"/>
              <w:right w:val="nil"/>
            </w:tcBorders>
            <w:shd w:val="clear" w:color="auto" w:fill="auto"/>
            <w:tcMar>
              <w:top w:w="9" w:type="dxa"/>
              <w:left w:w="9" w:type="dxa"/>
              <w:right w:w="9" w:type="dxa"/>
            </w:tcMar>
            <w:vAlign w:val="center"/>
          </w:tcPr>
          <w:p w14:paraId="3C5252C5">
            <w:pPr>
              <w:pStyle w:val="8"/>
              <w:widowControl/>
              <w:spacing w:beforeAutospacing="0" w:afterAutospacing="0" w:line="280" w:lineRule="atLeast"/>
              <w:ind w:firstLine="0" w:firstLineChars="0"/>
              <w:jc w:val="center"/>
              <w:rPr>
                <w:rFonts w:hint="default" w:ascii="Arial Regular" w:hAnsi="Arial Regular" w:cs="Arial Regular"/>
                <w:sz w:val="20"/>
                <w:szCs w:val="20"/>
              </w:rPr>
            </w:pPr>
            <w:r>
              <w:rPr>
                <w:rFonts w:hint="default" w:ascii="Arial Regular" w:hAnsi="Arial Regular" w:cs="Arial Regular"/>
                <w:color w:val="000000"/>
                <w:sz w:val="20"/>
                <w:szCs w:val="20"/>
                <w:lang w:bidi="ar"/>
              </w:rPr>
              <w:t>20</w:t>
            </w:r>
          </w:p>
        </w:tc>
        <w:tc>
          <w:tcPr>
            <w:tcW w:w="876" w:type="dxa"/>
            <w:tcBorders>
              <w:top w:val="nil"/>
              <w:left w:val="nil"/>
              <w:bottom w:val="nil"/>
              <w:right w:val="nil"/>
            </w:tcBorders>
            <w:shd w:val="clear" w:color="auto" w:fill="auto"/>
            <w:tcMar>
              <w:top w:w="9" w:type="dxa"/>
              <w:left w:w="9" w:type="dxa"/>
              <w:right w:w="9" w:type="dxa"/>
            </w:tcMar>
            <w:vAlign w:val="center"/>
          </w:tcPr>
          <w:p w14:paraId="61422D03">
            <w:pPr>
              <w:pStyle w:val="42"/>
              <w:jc w:val="center"/>
              <w:rPr>
                <w:rFonts w:hint="default" w:ascii="Arial Regular" w:hAnsi="Arial Regular" w:cs="Arial Regular"/>
                <w:sz w:val="20"/>
                <w:szCs w:val="20"/>
              </w:rPr>
            </w:pPr>
            <w:r>
              <w:rPr>
                <w:rFonts w:hint="default" w:ascii="Arial Regular" w:hAnsi="Arial Regular" w:cs="Arial Regular"/>
                <w:sz w:val="20"/>
                <w:szCs w:val="20"/>
              </w:rPr>
              <w:t>0.063</w:t>
            </w:r>
          </w:p>
        </w:tc>
        <w:tc>
          <w:tcPr>
            <w:tcW w:w="771" w:type="dxa"/>
            <w:tcBorders>
              <w:top w:val="nil"/>
              <w:left w:val="nil"/>
              <w:bottom w:val="nil"/>
              <w:right w:val="nil"/>
            </w:tcBorders>
            <w:shd w:val="clear" w:color="auto" w:fill="auto"/>
            <w:tcMar>
              <w:top w:w="9" w:type="dxa"/>
              <w:left w:w="9" w:type="dxa"/>
              <w:right w:w="9" w:type="dxa"/>
            </w:tcMar>
            <w:vAlign w:val="center"/>
          </w:tcPr>
          <w:p w14:paraId="6C4F64F6">
            <w:pPr>
              <w:pStyle w:val="42"/>
              <w:jc w:val="center"/>
              <w:rPr>
                <w:rFonts w:hint="default" w:ascii="Arial Regular" w:hAnsi="Arial Regular" w:cs="Arial Regular"/>
                <w:sz w:val="20"/>
                <w:szCs w:val="20"/>
              </w:rPr>
            </w:pPr>
            <w:r>
              <w:rPr>
                <w:rFonts w:hint="default" w:ascii="Arial Regular" w:hAnsi="Arial Regular" w:cs="Arial Regular"/>
                <w:sz w:val="20"/>
                <w:szCs w:val="20"/>
              </w:rPr>
              <w:t>0.024</w:t>
            </w:r>
          </w:p>
        </w:tc>
        <w:tc>
          <w:tcPr>
            <w:tcW w:w="771" w:type="dxa"/>
            <w:tcBorders>
              <w:top w:val="nil"/>
              <w:left w:val="nil"/>
              <w:bottom w:val="nil"/>
              <w:right w:val="nil"/>
            </w:tcBorders>
            <w:shd w:val="clear" w:color="auto" w:fill="auto"/>
            <w:tcMar>
              <w:top w:w="9" w:type="dxa"/>
              <w:left w:w="9" w:type="dxa"/>
              <w:right w:w="9" w:type="dxa"/>
            </w:tcMar>
            <w:vAlign w:val="center"/>
          </w:tcPr>
          <w:p w14:paraId="21D7B69A">
            <w:pPr>
              <w:pStyle w:val="42"/>
              <w:jc w:val="center"/>
              <w:rPr>
                <w:rFonts w:hint="default" w:ascii="Arial Regular" w:hAnsi="Arial Regular" w:cs="Arial Regular"/>
                <w:sz w:val="20"/>
                <w:szCs w:val="20"/>
              </w:rPr>
            </w:pPr>
            <w:r>
              <w:rPr>
                <w:rFonts w:hint="default" w:ascii="Arial Regular" w:hAnsi="Arial Regular" w:cs="Arial Regular"/>
                <w:sz w:val="20"/>
                <w:szCs w:val="20"/>
              </w:rPr>
              <w:t>0.044</w:t>
            </w:r>
          </w:p>
        </w:tc>
      </w:tr>
      <w:tr w14:paraId="64D6A5A0">
        <w:trPr>
          <w:trHeight w:val="23" w:hRule="atLeast"/>
          <w:jc w:val="center"/>
        </w:trPr>
        <w:tc>
          <w:tcPr>
            <w:tcW w:w="0" w:type="auto"/>
            <w:vMerge w:val="continue"/>
            <w:tcBorders>
              <w:top w:val="single" w:color="auto" w:sz="8" w:space="0"/>
              <w:left w:val="nil"/>
              <w:bottom w:val="single" w:color="auto" w:sz="12" w:space="0"/>
              <w:right w:val="nil"/>
            </w:tcBorders>
            <w:shd w:val="clear" w:color="auto" w:fill="auto"/>
            <w:vAlign w:val="center"/>
          </w:tcPr>
          <w:p w14:paraId="06A6EE8C">
            <w:pPr>
              <w:ind w:firstLine="400"/>
              <w:jc w:val="center"/>
              <w:rPr>
                <w:rFonts w:hint="default" w:ascii="Arial Regular" w:hAnsi="Arial Regular" w:cs="Arial Regular"/>
                <w:sz w:val="20"/>
                <w:szCs w:val="20"/>
              </w:rPr>
            </w:pPr>
          </w:p>
        </w:tc>
        <w:tc>
          <w:tcPr>
            <w:tcW w:w="438" w:type="dxa"/>
            <w:tcBorders>
              <w:top w:val="nil"/>
              <w:left w:val="nil"/>
              <w:bottom w:val="nil"/>
              <w:right w:val="nil"/>
            </w:tcBorders>
            <w:shd w:val="clear" w:color="auto" w:fill="auto"/>
            <w:tcMar>
              <w:top w:w="9" w:type="dxa"/>
              <w:left w:w="9" w:type="dxa"/>
              <w:right w:w="9" w:type="dxa"/>
            </w:tcMar>
            <w:vAlign w:val="center"/>
          </w:tcPr>
          <w:p w14:paraId="22B43E47">
            <w:pPr>
              <w:pStyle w:val="42"/>
              <w:jc w:val="center"/>
              <w:rPr>
                <w:rFonts w:hint="default" w:ascii="Arial Regular" w:hAnsi="Arial Regular" w:cs="Arial Regular"/>
                <w:sz w:val="20"/>
                <w:szCs w:val="20"/>
              </w:rPr>
            </w:pPr>
            <w:r>
              <w:rPr>
                <w:rFonts w:hint="default" w:ascii="Arial Regular" w:hAnsi="Arial Regular" w:cs="Arial Regular"/>
                <w:sz w:val="20"/>
                <w:szCs w:val="20"/>
              </w:rPr>
              <w:t>H</w:t>
            </w:r>
          </w:p>
        </w:tc>
        <w:tc>
          <w:tcPr>
            <w:tcW w:w="0" w:type="auto"/>
            <w:tcBorders>
              <w:top w:val="nil"/>
              <w:left w:val="nil"/>
              <w:bottom w:val="nil"/>
              <w:right w:val="nil"/>
            </w:tcBorders>
            <w:shd w:val="clear" w:color="auto" w:fill="auto"/>
            <w:tcMar>
              <w:top w:w="9" w:type="dxa"/>
              <w:left w:w="9" w:type="dxa"/>
              <w:right w:w="9" w:type="dxa"/>
            </w:tcMar>
            <w:vAlign w:val="center"/>
          </w:tcPr>
          <w:p w14:paraId="0CC13080">
            <w:pPr>
              <w:pStyle w:val="8"/>
              <w:widowControl/>
              <w:spacing w:beforeAutospacing="0" w:afterAutospacing="0" w:line="280" w:lineRule="atLeast"/>
              <w:ind w:firstLine="0" w:firstLineChars="0"/>
              <w:jc w:val="center"/>
              <w:rPr>
                <w:rFonts w:hint="default" w:ascii="Arial Regular" w:hAnsi="Arial Regular" w:cs="Arial Regular"/>
                <w:sz w:val="20"/>
                <w:szCs w:val="20"/>
              </w:rPr>
            </w:pPr>
            <w:r>
              <w:rPr>
                <w:rFonts w:hint="default" w:ascii="Arial Regular" w:hAnsi="Arial Regular" w:cs="Arial Regular"/>
                <w:color w:val="000000"/>
                <w:sz w:val="20"/>
                <w:szCs w:val="20"/>
                <w:lang w:bidi="ar"/>
              </w:rPr>
              <w:t>21</w:t>
            </w:r>
          </w:p>
        </w:tc>
        <w:tc>
          <w:tcPr>
            <w:tcW w:w="876" w:type="dxa"/>
            <w:tcBorders>
              <w:top w:val="nil"/>
              <w:left w:val="nil"/>
              <w:bottom w:val="nil"/>
              <w:right w:val="nil"/>
            </w:tcBorders>
            <w:shd w:val="clear" w:color="auto" w:fill="auto"/>
            <w:tcMar>
              <w:top w:w="9" w:type="dxa"/>
              <w:left w:w="9" w:type="dxa"/>
              <w:right w:w="9" w:type="dxa"/>
            </w:tcMar>
            <w:vAlign w:val="center"/>
          </w:tcPr>
          <w:p w14:paraId="07B87C9C">
            <w:pPr>
              <w:pStyle w:val="42"/>
              <w:jc w:val="center"/>
              <w:rPr>
                <w:rFonts w:hint="default" w:ascii="Arial Regular" w:hAnsi="Arial Regular" w:cs="Arial Regular"/>
                <w:sz w:val="20"/>
                <w:szCs w:val="20"/>
              </w:rPr>
            </w:pPr>
            <w:r>
              <w:rPr>
                <w:rFonts w:hint="default" w:ascii="Arial Regular" w:hAnsi="Arial Regular" w:cs="Arial Regular"/>
                <w:sz w:val="20"/>
                <w:szCs w:val="20"/>
              </w:rPr>
              <w:t>0.061</w:t>
            </w:r>
          </w:p>
        </w:tc>
        <w:tc>
          <w:tcPr>
            <w:tcW w:w="771" w:type="dxa"/>
            <w:tcBorders>
              <w:top w:val="nil"/>
              <w:left w:val="nil"/>
              <w:bottom w:val="nil"/>
              <w:right w:val="nil"/>
            </w:tcBorders>
            <w:shd w:val="clear" w:color="auto" w:fill="auto"/>
            <w:tcMar>
              <w:top w:w="9" w:type="dxa"/>
              <w:left w:w="9" w:type="dxa"/>
              <w:right w:w="9" w:type="dxa"/>
            </w:tcMar>
            <w:vAlign w:val="center"/>
          </w:tcPr>
          <w:p w14:paraId="2EF06824">
            <w:pPr>
              <w:pStyle w:val="42"/>
              <w:jc w:val="center"/>
              <w:rPr>
                <w:rFonts w:hint="default" w:ascii="Arial Regular" w:hAnsi="Arial Regular" w:cs="Arial Regular"/>
                <w:sz w:val="20"/>
                <w:szCs w:val="20"/>
              </w:rPr>
            </w:pPr>
            <w:r>
              <w:rPr>
                <w:rFonts w:hint="default" w:ascii="Arial Regular" w:hAnsi="Arial Regular" w:cs="Arial Regular"/>
                <w:sz w:val="20"/>
                <w:szCs w:val="20"/>
              </w:rPr>
              <w:t>0.017</w:t>
            </w:r>
          </w:p>
        </w:tc>
        <w:tc>
          <w:tcPr>
            <w:tcW w:w="771" w:type="dxa"/>
            <w:tcBorders>
              <w:top w:val="nil"/>
              <w:left w:val="nil"/>
              <w:bottom w:val="nil"/>
              <w:right w:val="nil"/>
            </w:tcBorders>
            <w:shd w:val="clear" w:color="auto" w:fill="auto"/>
            <w:tcMar>
              <w:top w:w="9" w:type="dxa"/>
              <w:left w:w="9" w:type="dxa"/>
              <w:right w:w="9" w:type="dxa"/>
            </w:tcMar>
            <w:vAlign w:val="center"/>
          </w:tcPr>
          <w:p w14:paraId="3AF24A69">
            <w:pPr>
              <w:pStyle w:val="42"/>
              <w:jc w:val="center"/>
              <w:rPr>
                <w:rFonts w:hint="default" w:ascii="Arial Regular" w:hAnsi="Arial Regular" w:cs="Arial Regular"/>
                <w:sz w:val="20"/>
                <w:szCs w:val="20"/>
              </w:rPr>
            </w:pPr>
            <w:r>
              <w:rPr>
                <w:rFonts w:hint="default" w:ascii="Arial Regular" w:hAnsi="Arial Regular" w:cs="Arial Regular"/>
                <w:sz w:val="20"/>
                <w:szCs w:val="20"/>
              </w:rPr>
              <w:t>0.039</w:t>
            </w:r>
          </w:p>
        </w:tc>
      </w:tr>
      <w:tr w14:paraId="15875600">
        <w:trPr>
          <w:trHeight w:val="23" w:hRule="atLeast"/>
          <w:jc w:val="center"/>
        </w:trPr>
        <w:tc>
          <w:tcPr>
            <w:tcW w:w="0" w:type="auto"/>
            <w:vMerge w:val="continue"/>
            <w:tcBorders>
              <w:top w:val="single" w:color="auto" w:sz="8" w:space="0"/>
              <w:left w:val="nil"/>
              <w:bottom w:val="single" w:color="auto" w:sz="12" w:space="0"/>
              <w:right w:val="nil"/>
            </w:tcBorders>
            <w:shd w:val="clear" w:color="auto" w:fill="auto"/>
            <w:vAlign w:val="center"/>
          </w:tcPr>
          <w:p w14:paraId="7F86CEA6">
            <w:pPr>
              <w:ind w:firstLine="400"/>
              <w:jc w:val="center"/>
              <w:rPr>
                <w:rFonts w:hint="default" w:ascii="Arial Regular" w:hAnsi="Arial Regular" w:cs="Arial Regular"/>
                <w:sz w:val="20"/>
                <w:szCs w:val="20"/>
              </w:rPr>
            </w:pPr>
          </w:p>
        </w:tc>
        <w:tc>
          <w:tcPr>
            <w:tcW w:w="438" w:type="dxa"/>
            <w:tcBorders>
              <w:top w:val="nil"/>
              <w:left w:val="nil"/>
              <w:bottom w:val="nil"/>
              <w:right w:val="nil"/>
            </w:tcBorders>
            <w:shd w:val="clear" w:color="auto" w:fill="auto"/>
            <w:tcMar>
              <w:top w:w="9" w:type="dxa"/>
              <w:left w:w="9" w:type="dxa"/>
              <w:right w:w="9" w:type="dxa"/>
            </w:tcMar>
            <w:vAlign w:val="center"/>
          </w:tcPr>
          <w:p w14:paraId="250888EF">
            <w:pPr>
              <w:pStyle w:val="42"/>
              <w:jc w:val="center"/>
              <w:rPr>
                <w:rFonts w:hint="default" w:ascii="Arial Regular" w:hAnsi="Arial Regular" w:cs="Arial Regular"/>
                <w:sz w:val="20"/>
                <w:szCs w:val="20"/>
              </w:rPr>
            </w:pPr>
            <w:r>
              <w:rPr>
                <w:rFonts w:hint="default" w:ascii="Arial Regular" w:hAnsi="Arial Regular" w:cs="Arial Regular"/>
                <w:sz w:val="20"/>
                <w:szCs w:val="20"/>
              </w:rPr>
              <w:t>H</w:t>
            </w:r>
          </w:p>
        </w:tc>
        <w:tc>
          <w:tcPr>
            <w:tcW w:w="0" w:type="auto"/>
            <w:tcBorders>
              <w:top w:val="nil"/>
              <w:left w:val="nil"/>
              <w:bottom w:val="nil"/>
              <w:right w:val="nil"/>
            </w:tcBorders>
            <w:shd w:val="clear" w:color="auto" w:fill="auto"/>
            <w:tcMar>
              <w:top w:w="9" w:type="dxa"/>
              <w:left w:w="9" w:type="dxa"/>
              <w:right w:w="9" w:type="dxa"/>
            </w:tcMar>
            <w:vAlign w:val="center"/>
          </w:tcPr>
          <w:p w14:paraId="46140031">
            <w:pPr>
              <w:pStyle w:val="8"/>
              <w:widowControl/>
              <w:spacing w:beforeAutospacing="0" w:afterAutospacing="0" w:line="280" w:lineRule="atLeast"/>
              <w:ind w:firstLine="0" w:firstLineChars="0"/>
              <w:jc w:val="center"/>
              <w:rPr>
                <w:rFonts w:hint="default" w:ascii="Arial Regular" w:hAnsi="Arial Regular" w:cs="Arial Regular"/>
                <w:sz w:val="20"/>
                <w:szCs w:val="20"/>
              </w:rPr>
            </w:pPr>
            <w:r>
              <w:rPr>
                <w:rFonts w:hint="default" w:ascii="Arial Regular" w:hAnsi="Arial Regular" w:cs="Arial Regular"/>
                <w:color w:val="000000"/>
                <w:sz w:val="20"/>
                <w:szCs w:val="20"/>
                <w:lang w:bidi="ar"/>
              </w:rPr>
              <w:t>22</w:t>
            </w:r>
          </w:p>
        </w:tc>
        <w:tc>
          <w:tcPr>
            <w:tcW w:w="876" w:type="dxa"/>
            <w:tcBorders>
              <w:top w:val="nil"/>
              <w:left w:val="nil"/>
              <w:bottom w:val="nil"/>
              <w:right w:val="nil"/>
            </w:tcBorders>
            <w:shd w:val="clear" w:color="auto" w:fill="auto"/>
            <w:tcMar>
              <w:top w:w="9" w:type="dxa"/>
              <w:left w:w="9" w:type="dxa"/>
              <w:right w:w="9" w:type="dxa"/>
            </w:tcMar>
            <w:vAlign w:val="center"/>
          </w:tcPr>
          <w:p w14:paraId="4C1E1338">
            <w:pPr>
              <w:pStyle w:val="42"/>
              <w:jc w:val="center"/>
              <w:rPr>
                <w:rFonts w:hint="default" w:ascii="Arial Regular" w:hAnsi="Arial Regular" w:cs="Arial Regular"/>
                <w:sz w:val="20"/>
                <w:szCs w:val="20"/>
              </w:rPr>
            </w:pPr>
            <w:r>
              <w:rPr>
                <w:rFonts w:hint="default" w:ascii="Arial Regular" w:hAnsi="Arial Regular" w:cs="Arial Regular"/>
                <w:sz w:val="20"/>
                <w:szCs w:val="20"/>
              </w:rPr>
              <w:t>0.028</w:t>
            </w:r>
          </w:p>
        </w:tc>
        <w:tc>
          <w:tcPr>
            <w:tcW w:w="771" w:type="dxa"/>
            <w:tcBorders>
              <w:top w:val="nil"/>
              <w:left w:val="nil"/>
              <w:bottom w:val="nil"/>
              <w:right w:val="nil"/>
            </w:tcBorders>
            <w:shd w:val="clear" w:color="auto" w:fill="auto"/>
            <w:tcMar>
              <w:top w:w="9" w:type="dxa"/>
              <w:left w:w="9" w:type="dxa"/>
              <w:right w:w="9" w:type="dxa"/>
            </w:tcMar>
            <w:vAlign w:val="center"/>
          </w:tcPr>
          <w:p w14:paraId="6FC10390">
            <w:pPr>
              <w:pStyle w:val="42"/>
              <w:jc w:val="center"/>
              <w:rPr>
                <w:rFonts w:hint="default" w:ascii="Arial Regular" w:hAnsi="Arial Regular" w:cs="Arial Regular"/>
                <w:sz w:val="20"/>
                <w:szCs w:val="20"/>
              </w:rPr>
            </w:pPr>
            <w:r>
              <w:rPr>
                <w:rFonts w:hint="default" w:ascii="Arial Regular" w:hAnsi="Arial Regular" w:cs="Arial Regular"/>
                <w:sz w:val="20"/>
                <w:szCs w:val="20"/>
              </w:rPr>
              <w:t>0.082</w:t>
            </w:r>
          </w:p>
        </w:tc>
        <w:tc>
          <w:tcPr>
            <w:tcW w:w="771" w:type="dxa"/>
            <w:tcBorders>
              <w:top w:val="nil"/>
              <w:left w:val="nil"/>
              <w:bottom w:val="nil"/>
              <w:right w:val="nil"/>
            </w:tcBorders>
            <w:shd w:val="clear" w:color="auto" w:fill="auto"/>
            <w:tcMar>
              <w:top w:w="9" w:type="dxa"/>
              <w:left w:w="9" w:type="dxa"/>
              <w:right w:w="9" w:type="dxa"/>
            </w:tcMar>
            <w:vAlign w:val="center"/>
          </w:tcPr>
          <w:p w14:paraId="424B273B">
            <w:pPr>
              <w:pStyle w:val="42"/>
              <w:jc w:val="center"/>
              <w:rPr>
                <w:rFonts w:hint="default" w:ascii="Arial Regular" w:hAnsi="Arial Regular" w:cs="Arial Regular"/>
                <w:sz w:val="20"/>
                <w:szCs w:val="20"/>
              </w:rPr>
            </w:pPr>
            <w:r>
              <w:rPr>
                <w:rFonts w:hint="default" w:ascii="Arial Regular" w:hAnsi="Arial Regular" w:cs="Arial Regular"/>
                <w:sz w:val="20"/>
                <w:szCs w:val="20"/>
              </w:rPr>
              <w:t>0.055</w:t>
            </w:r>
          </w:p>
        </w:tc>
      </w:tr>
      <w:tr w14:paraId="5D14CEBF">
        <w:trPr>
          <w:trHeight w:val="23" w:hRule="atLeast"/>
          <w:jc w:val="center"/>
        </w:trPr>
        <w:tc>
          <w:tcPr>
            <w:tcW w:w="0" w:type="auto"/>
            <w:vMerge w:val="continue"/>
            <w:tcBorders>
              <w:top w:val="single" w:color="auto" w:sz="8" w:space="0"/>
              <w:left w:val="nil"/>
              <w:bottom w:val="single" w:color="auto" w:sz="12" w:space="0"/>
              <w:right w:val="nil"/>
            </w:tcBorders>
            <w:shd w:val="clear" w:color="auto" w:fill="auto"/>
            <w:vAlign w:val="center"/>
          </w:tcPr>
          <w:p w14:paraId="365CA4A4">
            <w:pPr>
              <w:ind w:firstLine="400"/>
              <w:jc w:val="center"/>
              <w:rPr>
                <w:rFonts w:hint="default" w:ascii="Arial Regular" w:hAnsi="Arial Regular" w:cs="Arial Regular"/>
                <w:sz w:val="20"/>
                <w:szCs w:val="20"/>
              </w:rPr>
            </w:pPr>
          </w:p>
        </w:tc>
        <w:tc>
          <w:tcPr>
            <w:tcW w:w="438" w:type="dxa"/>
            <w:tcBorders>
              <w:top w:val="nil"/>
              <w:left w:val="nil"/>
              <w:bottom w:val="nil"/>
              <w:right w:val="nil"/>
            </w:tcBorders>
            <w:shd w:val="clear" w:color="auto" w:fill="auto"/>
            <w:tcMar>
              <w:top w:w="9" w:type="dxa"/>
              <w:left w:w="9" w:type="dxa"/>
              <w:right w:w="9" w:type="dxa"/>
            </w:tcMar>
            <w:vAlign w:val="center"/>
          </w:tcPr>
          <w:p w14:paraId="4979B01A">
            <w:pPr>
              <w:pStyle w:val="42"/>
              <w:jc w:val="center"/>
              <w:rPr>
                <w:rFonts w:hint="default" w:ascii="Arial Regular" w:hAnsi="Arial Regular" w:cs="Arial Regular"/>
                <w:sz w:val="20"/>
                <w:szCs w:val="20"/>
              </w:rPr>
            </w:pPr>
            <w:r>
              <w:rPr>
                <w:rFonts w:hint="default" w:ascii="Arial Regular" w:hAnsi="Arial Regular" w:cs="Arial Regular"/>
                <w:sz w:val="20"/>
                <w:szCs w:val="20"/>
              </w:rPr>
              <w:t>H</w:t>
            </w:r>
          </w:p>
        </w:tc>
        <w:tc>
          <w:tcPr>
            <w:tcW w:w="0" w:type="auto"/>
            <w:tcBorders>
              <w:top w:val="nil"/>
              <w:left w:val="nil"/>
              <w:bottom w:val="nil"/>
              <w:right w:val="nil"/>
            </w:tcBorders>
            <w:shd w:val="clear" w:color="auto" w:fill="auto"/>
            <w:tcMar>
              <w:top w:w="9" w:type="dxa"/>
              <w:left w:w="9" w:type="dxa"/>
              <w:right w:w="9" w:type="dxa"/>
            </w:tcMar>
            <w:vAlign w:val="center"/>
          </w:tcPr>
          <w:p w14:paraId="34089013">
            <w:pPr>
              <w:pStyle w:val="8"/>
              <w:widowControl/>
              <w:spacing w:beforeAutospacing="0" w:afterAutospacing="0" w:line="280" w:lineRule="atLeast"/>
              <w:ind w:firstLine="0" w:firstLineChars="0"/>
              <w:jc w:val="center"/>
              <w:rPr>
                <w:rFonts w:hint="default" w:ascii="Arial Regular" w:hAnsi="Arial Regular" w:cs="Arial Regular"/>
                <w:sz w:val="20"/>
                <w:szCs w:val="20"/>
              </w:rPr>
            </w:pPr>
            <w:r>
              <w:rPr>
                <w:rFonts w:hint="default" w:ascii="Arial Regular" w:hAnsi="Arial Regular" w:cs="Arial Regular"/>
                <w:color w:val="000000"/>
                <w:sz w:val="20"/>
                <w:szCs w:val="20"/>
                <w:lang w:bidi="ar"/>
              </w:rPr>
              <w:t>23</w:t>
            </w:r>
          </w:p>
        </w:tc>
        <w:tc>
          <w:tcPr>
            <w:tcW w:w="876" w:type="dxa"/>
            <w:tcBorders>
              <w:top w:val="nil"/>
              <w:left w:val="nil"/>
              <w:bottom w:val="nil"/>
              <w:right w:val="nil"/>
            </w:tcBorders>
            <w:shd w:val="clear" w:color="auto" w:fill="auto"/>
            <w:tcMar>
              <w:top w:w="9" w:type="dxa"/>
              <w:left w:w="9" w:type="dxa"/>
              <w:right w:w="9" w:type="dxa"/>
            </w:tcMar>
            <w:vAlign w:val="center"/>
          </w:tcPr>
          <w:p w14:paraId="4DF9640A">
            <w:pPr>
              <w:pStyle w:val="42"/>
              <w:jc w:val="center"/>
              <w:rPr>
                <w:rFonts w:hint="default" w:ascii="Arial Regular" w:hAnsi="Arial Regular" w:cs="Arial Regular"/>
                <w:sz w:val="20"/>
                <w:szCs w:val="20"/>
              </w:rPr>
            </w:pPr>
            <w:r>
              <w:rPr>
                <w:rFonts w:hint="default" w:ascii="Arial Regular" w:hAnsi="Arial Regular" w:cs="Arial Regular"/>
                <w:sz w:val="20"/>
                <w:szCs w:val="20"/>
              </w:rPr>
              <w:t>0.028</w:t>
            </w:r>
          </w:p>
        </w:tc>
        <w:tc>
          <w:tcPr>
            <w:tcW w:w="771" w:type="dxa"/>
            <w:tcBorders>
              <w:top w:val="nil"/>
              <w:left w:val="nil"/>
              <w:bottom w:val="nil"/>
              <w:right w:val="nil"/>
            </w:tcBorders>
            <w:shd w:val="clear" w:color="auto" w:fill="auto"/>
            <w:tcMar>
              <w:top w:w="9" w:type="dxa"/>
              <w:left w:w="9" w:type="dxa"/>
              <w:right w:w="9" w:type="dxa"/>
            </w:tcMar>
            <w:vAlign w:val="center"/>
          </w:tcPr>
          <w:p w14:paraId="5D43A5F4">
            <w:pPr>
              <w:pStyle w:val="42"/>
              <w:jc w:val="center"/>
              <w:rPr>
                <w:rFonts w:hint="default" w:ascii="Arial Regular" w:hAnsi="Arial Regular" w:cs="Arial Regular"/>
                <w:sz w:val="20"/>
                <w:szCs w:val="20"/>
              </w:rPr>
            </w:pPr>
            <w:r>
              <w:rPr>
                <w:rFonts w:hint="default" w:ascii="Arial Regular" w:hAnsi="Arial Regular" w:cs="Arial Regular"/>
                <w:sz w:val="20"/>
                <w:szCs w:val="20"/>
              </w:rPr>
              <w:t>0.136</w:t>
            </w:r>
          </w:p>
        </w:tc>
        <w:tc>
          <w:tcPr>
            <w:tcW w:w="771" w:type="dxa"/>
            <w:tcBorders>
              <w:top w:val="nil"/>
              <w:left w:val="nil"/>
              <w:bottom w:val="nil"/>
              <w:right w:val="nil"/>
            </w:tcBorders>
            <w:shd w:val="clear" w:color="auto" w:fill="auto"/>
            <w:tcMar>
              <w:top w:w="9" w:type="dxa"/>
              <w:left w:w="9" w:type="dxa"/>
              <w:right w:w="9" w:type="dxa"/>
            </w:tcMar>
            <w:vAlign w:val="center"/>
          </w:tcPr>
          <w:p w14:paraId="5D850C01">
            <w:pPr>
              <w:pStyle w:val="42"/>
              <w:jc w:val="center"/>
              <w:rPr>
                <w:rFonts w:hint="default" w:ascii="Arial Regular" w:hAnsi="Arial Regular" w:cs="Arial Regular"/>
                <w:sz w:val="20"/>
                <w:szCs w:val="20"/>
              </w:rPr>
            </w:pPr>
            <w:r>
              <w:rPr>
                <w:rFonts w:hint="default" w:ascii="Arial Regular" w:hAnsi="Arial Regular" w:cs="Arial Regular"/>
                <w:sz w:val="20"/>
                <w:szCs w:val="20"/>
              </w:rPr>
              <w:t>0.082</w:t>
            </w:r>
          </w:p>
        </w:tc>
      </w:tr>
      <w:tr w14:paraId="42662CE1">
        <w:trPr>
          <w:trHeight w:val="23" w:hRule="atLeast"/>
          <w:jc w:val="center"/>
        </w:trPr>
        <w:tc>
          <w:tcPr>
            <w:tcW w:w="0" w:type="auto"/>
            <w:vMerge w:val="continue"/>
            <w:tcBorders>
              <w:top w:val="single" w:color="auto" w:sz="8" w:space="0"/>
              <w:left w:val="nil"/>
              <w:bottom w:val="single" w:color="auto" w:sz="12" w:space="0"/>
              <w:right w:val="nil"/>
            </w:tcBorders>
            <w:shd w:val="clear" w:color="auto" w:fill="auto"/>
            <w:vAlign w:val="center"/>
          </w:tcPr>
          <w:p w14:paraId="30D62297">
            <w:pPr>
              <w:ind w:firstLine="400"/>
              <w:jc w:val="center"/>
              <w:rPr>
                <w:rFonts w:hint="default" w:ascii="Arial Regular" w:hAnsi="Arial Regular" w:cs="Arial Regular"/>
                <w:sz w:val="20"/>
                <w:szCs w:val="20"/>
              </w:rPr>
            </w:pPr>
          </w:p>
        </w:tc>
        <w:tc>
          <w:tcPr>
            <w:tcW w:w="438" w:type="dxa"/>
            <w:tcBorders>
              <w:top w:val="nil"/>
              <w:left w:val="nil"/>
              <w:bottom w:val="nil"/>
              <w:right w:val="nil"/>
            </w:tcBorders>
            <w:shd w:val="clear" w:color="auto" w:fill="auto"/>
            <w:tcMar>
              <w:top w:w="9" w:type="dxa"/>
              <w:left w:w="9" w:type="dxa"/>
              <w:right w:w="9" w:type="dxa"/>
            </w:tcMar>
            <w:vAlign w:val="center"/>
          </w:tcPr>
          <w:p w14:paraId="58715B79">
            <w:pPr>
              <w:pStyle w:val="42"/>
              <w:jc w:val="center"/>
              <w:rPr>
                <w:rFonts w:hint="default" w:ascii="Arial Regular" w:hAnsi="Arial Regular" w:cs="Arial Regular"/>
                <w:sz w:val="20"/>
                <w:szCs w:val="20"/>
              </w:rPr>
            </w:pPr>
            <w:r>
              <w:rPr>
                <w:rFonts w:hint="default" w:ascii="Arial Regular" w:hAnsi="Arial Regular" w:cs="Arial Regular"/>
                <w:sz w:val="20"/>
                <w:szCs w:val="20"/>
              </w:rPr>
              <w:t>H</w:t>
            </w:r>
          </w:p>
        </w:tc>
        <w:tc>
          <w:tcPr>
            <w:tcW w:w="0" w:type="auto"/>
            <w:tcBorders>
              <w:top w:val="nil"/>
              <w:left w:val="nil"/>
              <w:bottom w:val="nil"/>
              <w:right w:val="nil"/>
            </w:tcBorders>
            <w:shd w:val="clear" w:color="auto" w:fill="auto"/>
            <w:tcMar>
              <w:top w:w="9" w:type="dxa"/>
              <w:left w:w="9" w:type="dxa"/>
              <w:right w:w="9" w:type="dxa"/>
            </w:tcMar>
            <w:vAlign w:val="center"/>
          </w:tcPr>
          <w:p w14:paraId="34361473">
            <w:pPr>
              <w:pStyle w:val="8"/>
              <w:widowControl/>
              <w:spacing w:beforeAutospacing="0" w:afterAutospacing="0" w:line="280" w:lineRule="atLeast"/>
              <w:ind w:firstLine="0" w:firstLineChars="0"/>
              <w:jc w:val="center"/>
              <w:rPr>
                <w:rFonts w:hint="default" w:ascii="Arial Regular" w:hAnsi="Arial Regular" w:cs="Arial Regular"/>
                <w:sz w:val="20"/>
                <w:szCs w:val="20"/>
              </w:rPr>
            </w:pPr>
            <w:r>
              <w:rPr>
                <w:rFonts w:hint="default" w:ascii="Arial Regular" w:hAnsi="Arial Regular" w:cs="Arial Regular"/>
                <w:color w:val="000000"/>
                <w:sz w:val="20"/>
                <w:szCs w:val="20"/>
                <w:lang w:bidi="ar"/>
              </w:rPr>
              <w:t>24</w:t>
            </w:r>
          </w:p>
        </w:tc>
        <w:tc>
          <w:tcPr>
            <w:tcW w:w="876" w:type="dxa"/>
            <w:tcBorders>
              <w:top w:val="nil"/>
              <w:left w:val="nil"/>
              <w:bottom w:val="nil"/>
              <w:right w:val="nil"/>
            </w:tcBorders>
            <w:shd w:val="clear" w:color="auto" w:fill="auto"/>
            <w:tcMar>
              <w:top w:w="9" w:type="dxa"/>
              <w:left w:w="9" w:type="dxa"/>
              <w:right w:w="9" w:type="dxa"/>
            </w:tcMar>
            <w:vAlign w:val="center"/>
          </w:tcPr>
          <w:p w14:paraId="3CC149A1">
            <w:pPr>
              <w:pStyle w:val="42"/>
              <w:jc w:val="center"/>
              <w:rPr>
                <w:rFonts w:hint="default" w:ascii="Arial Regular" w:hAnsi="Arial Regular" w:cs="Arial Regular"/>
                <w:sz w:val="20"/>
                <w:szCs w:val="20"/>
              </w:rPr>
            </w:pPr>
            <w:r>
              <w:rPr>
                <w:rFonts w:hint="default" w:ascii="Arial Regular" w:hAnsi="Arial Regular" w:cs="Arial Regular"/>
                <w:sz w:val="20"/>
                <w:szCs w:val="20"/>
              </w:rPr>
              <w:t>0.025</w:t>
            </w:r>
          </w:p>
        </w:tc>
        <w:tc>
          <w:tcPr>
            <w:tcW w:w="771" w:type="dxa"/>
            <w:tcBorders>
              <w:top w:val="nil"/>
              <w:left w:val="nil"/>
              <w:bottom w:val="nil"/>
              <w:right w:val="nil"/>
            </w:tcBorders>
            <w:shd w:val="clear" w:color="auto" w:fill="auto"/>
            <w:tcMar>
              <w:top w:w="9" w:type="dxa"/>
              <w:left w:w="9" w:type="dxa"/>
              <w:right w:w="9" w:type="dxa"/>
            </w:tcMar>
            <w:vAlign w:val="center"/>
          </w:tcPr>
          <w:p w14:paraId="34301CCD">
            <w:pPr>
              <w:pStyle w:val="42"/>
              <w:jc w:val="center"/>
              <w:rPr>
                <w:rFonts w:hint="default" w:ascii="Arial Regular" w:hAnsi="Arial Regular" w:cs="Arial Regular"/>
                <w:sz w:val="20"/>
                <w:szCs w:val="20"/>
              </w:rPr>
            </w:pPr>
            <w:r>
              <w:rPr>
                <w:rFonts w:hint="default" w:ascii="Arial Regular" w:hAnsi="Arial Regular" w:cs="Arial Regular"/>
                <w:sz w:val="20"/>
                <w:szCs w:val="20"/>
              </w:rPr>
              <w:t>0.110</w:t>
            </w:r>
          </w:p>
        </w:tc>
        <w:tc>
          <w:tcPr>
            <w:tcW w:w="771" w:type="dxa"/>
            <w:tcBorders>
              <w:top w:val="nil"/>
              <w:left w:val="nil"/>
              <w:bottom w:val="nil"/>
              <w:right w:val="nil"/>
            </w:tcBorders>
            <w:shd w:val="clear" w:color="auto" w:fill="auto"/>
            <w:tcMar>
              <w:top w:w="9" w:type="dxa"/>
              <w:left w:w="9" w:type="dxa"/>
              <w:right w:w="9" w:type="dxa"/>
            </w:tcMar>
            <w:vAlign w:val="center"/>
          </w:tcPr>
          <w:p w14:paraId="7216B43E">
            <w:pPr>
              <w:pStyle w:val="42"/>
              <w:jc w:val="center"/>
              <w:rPr>
                <w:rFonts w:hint="default" w:ascii="Arial Regular" w:hAnsi="Arial Regular" w:cs="Arial Regular"/>
                <w:sz w:val="20"/>
                <w:szCs w:val="20"/>
              </w:rPr>
            </w:pPr>
            <w:r>
              <w:rPr>
                <w:rFonts w:hint="default" w:ascii="Arial Regular" w:hAnsi="Arial Regular" w:cs="Arial Regular"/>
                <w:sz w:val="20"/>
                <w:szCs w:val="20"/>
              </w:rPr>
              <w:t>0.067</w:t>
            </w:r>
          </w:p>
        </w:tc>
      </w:tr>
      <w:tr w14:paraId="4A89B40F">
        <w:trPr>
          <w:trHeight w:val="23" w:hRule="atLeast"/>
          <w:jc w:val="center"/>
        </w:trPr>
        <w:tc>
          <w:tcPr>
            <w:tcW w:w="0" w:type="auto"/>
            <w:vMerge w:val="continue"/>
            <w:tcBorders>
              <w:top w:val="single" w:color="auto" w:sz="8" w:space="0"/>
              <w:left w:val="nil"/>
              <w:bottom w:val="single" w:color="auto" w:sz="12" w:space="0"/>
              <w:right w:val="nil"/>
            </w:tcBorders>
            <w:shd w:val="clear" w:color="auto" w:fill="auto"/>
            <w:vAlign w:val="center"/>
          </w:tcPr>
          <w:p w14:paraId="66E1A4E1">
            <w:pPr>
              <w:ind w:firstLine="400"/>
              <w:jc w:val="center"/>
              <w:rPr>
                <w:rFonts w:hint="default" w:ascii="Arial Regular" w:hAnsi="Arial Regular" w:cs="Arial Regular"/>
                <w:sz w:val="20"/>
                <w:szCs w:val="20"/>
              </w:rPr>
            </w:pPr>
          </w:p>
        </w:tc>
        <w:tc>
          <w:tcPr>
            <w:tcW w:w="438" w:type="dxa"/>
            <w:tcBorders>
              <w:top w:val="nil"/>
              <w:left w:val="nil"/>
              <w:bottom w:val="single" w:color="auto" w:sz="12" w:space="0"/>
              <w:right w:val="nil"/>
            </w:tcBorders>
            <w:shd w:val="clear" w:color="auto" w:fill="auto"/>
            <w:tcMar>
              <w:top w:w="9" w:type="dxa"/>
              <w:left w:w="9" w:type="dxa"/>
              <w:right w:w="9" w:type="dxa"/>
            </w:tcMar>
            <w:vAlign w:val="center"/>
          </w:tcPr>
          <w:p w14:paraId="555DF422">
            <w:pPr>
              <w:pStyle w:val="42"/>
              <w:jc w:val="center"/>
              <w:rPr>
                <w:rFonts w:hint="default" w:ascii="Arial Regular" w:hAnsi="Arial Regular" w:cs="Arial Regular"/>
                <w:sz w:val="20"/>
                <w:szCs w:val="20"/>
              </w:rPr>
            </w:pPr>
            <w:r>
              <w:rPr>
                <w:rFonts w:hint="default" w:ascii="Arial Regular" w:hAnsi="Arial Regular" w:cs="Arial Regular"/>
                <w:sz w:val="20"/>
                <w:szCs w:val="20"/>
              </w:rPr>
              <w:t>H</w:t>
            </w:r>
          </w:p>
        </w:tc>
        <w:tc>
          <w:tcPr>
            <w:tcW w:w="438" w:type="dxa"/>
            <w:tcBorders>
              <w:top w:val="nil"/>
              <w:left w:val="nil"/>
              <w:bottom w:val="single" w:color="auto" w:sz="12" w:space="0"/>
              <w:right w:val="nil"/>
            </w:tcBorders>
            <w:shd w:val="clear" w:color="auto" w:fill="auto"/>
            <w:tcMar>
              <w:top w:w="9" w:type="dxa"/>
              <w:left w:w="9" w:type="dxa"/>
              <w:right w:w="9" w:type="dxa"/>
            </w:tcMar>
            <w:vAlign w:val="center"/>
          </w:tcPr>
          <w:p w14:paraId="2A619AC7">
            <w:pPr>
              <w:pStyle w:val="8"/>
              <w:widowControl/>
              <w:spacing w:beforeAutospacing="0" w:afterAutospacing="0" w:line="280" w:lineRule="atLeast"/>
              <w:ind w:firstLine="0" w:firstLineChars="0"/>
              <w:jc w:val="center"/>
              <w:rPr>
                <w:rFonts w:hint="default" w:ascii="Arial Regular" w:hAnsi="Arial Regular" w:cs="Arial Regular"/>
                <w:sz w:val="20"/>
                <w:szCs w:val="20"/>
              </w:rPr>
            </w:pPr>
            <w:r>
              <w:rPr>
                <w:rFonts w:hint="default" w:ascii="Arial Regular" w:hAnsi="Arial Regular" w:cs="Arial Regular"/>
                <w:color w:val="000000"/>
                <w:sz w:val="20"/>
                <w:szCs w:val="20"/>
                <w:lang w:bidi="ar"/>
              </w:rPr>
              <w:t>25</w:t>
            </w:r>
          </w:p>
        </w:tc>
        <w:tc>
          <w:tcPr>
            <w:tcW w:w="876" w:type="dxa"/>
            <w:tcBorders>
              <w:top w:val="nil"/>
              <w:left w:val="nil"/>
              <w:bottom w:val="single" w:color="auto" w:sz="12" w:space="0"/>
              <w:right w:val="nil"/>
            </w:tcBorders>
            <w:shd w:val="clear" w:color="auto" w:fill="auto"/>
            <w:tcMar>
              <w:top w:w="9" w:type="dxa"/>
              <w:left w:w="9" w:type="dxa"/>
              <w:right w:w="9" w:type="dxa"/>
            </w:tcMar>
            <w:vAlign w:val="center"/>
          </w:tcPr>
          <w:p w14:paraId="5DABB514">
            <w:pPr>
              <w:pStyle w:val="42"/>
              <w:jc w:val="center"/>
              <w:rPr>
                <w:rFonts w:hint="default" w:ascii="Arial Regular" w:hAnsi="Arial Regular" w:cs="Arial Regular"/>
                <w:sz w:val="20"/>
                <w:szCs w:val="20"/>
              </w:rPr>
            </w:pPr>
            <w:r>
              <w:rPr>
                <w:rFonts w:hint="default" w:ascii="Arial Regular" w:hAnsi="Arial Regular" w:cs="Arial Regular"/>
                <w:sz w:val="20"/>
                <w:szCs w:val="20"/>
              </w:rPr>
              <w:t>0.027</w:t>
            </w:r>
          </w:p>
        </w:tc>
        <w:tc>
          <w:tcPr>
            <w:tcW w:w="771" w:type="dxa"/>
            <w:tcBorders>
              <w:top w:val="nil"/>
              <w:left w:val="nil"/>
              <w:bottom w:val="single" w:color="auto" w:sz="12" w:space="0"/>
              <w:right w:val="nil"/>
            </w:tcBorders>
            <w:shd w:val="clear" w:color="auto" w:fill="auto"/>
            <w:tcMar>
              <w:top w:w="9" w:type="dxa"/>
              <w:left w:w="9" w:type="dxa"/>
              <w:right w:w="9" w:type="dxa"/>
            </w:tcMar>
            <w:vAlign w:val="center"/>
          </w:tcPr>
          <w:p w14:paraId="676B3176">
            <w:pPr>
              <w:pStyle w:val="42"/>
              <w:jc w:val="center"/>
              <w:rPr>
                <w:rFonts w:hint="default" w:ascii="Arial Regular" w:hAnsi="Arial Regular" w:cs="Arial Regular"/>
                <w:sz w:val="20"/>
                <w:szCs w:val="20"/>
              </w:rPr>
            </w:pPr>
            <w:r>
              <w:rPr>
                <w:rFonts w:hint="default" w:ascii="Arial Regular" w:hAnsi="Arial Regular" w:cs="Arial Regular"/>
                <w:sz w:val="20"/>
                <w:szCs w:val="20"/>
              </w:rPr>
              <w:t>0.047</w:t>
            </w:r>
          </w:p>
        </w:tc>
        <w:tc>
          <w:tcPr>
            <w:tcW w:w="771" w:type="dxa"/>
            <w:tcBorders>
              <w:top w:val="nil"/>
              <w:left w:val="nil"/>
              <w:bottom w:val="single" w:color="auto" w:sz="12" w:space="0"/>
              <w:right w:val="nil"/>
            </w:tcBorders>
            <w:shd w:val="clear" w:color="auto" w:fill="auto"/>
            <w:tcMar>
              <w:top w:w="9" w:type="dxa"/>
              <w:left w:w="9" w:type="dxa"/>
              <w:right w:w="9" w:type="dxa"/>
            </w:tcMar>
            <w:vAlign w:val="center"/>
          </w:tcPr>
          <w:p w14:paraId="03F6D85E">
            <w:pPr>
              <w:pStyle w:val="42"/>
              <w:jc w:val="center"/>
              <w:rPr>
                <w:rFonts w:hint="default" w:ascii="Arial Regular" w:hAnsi="Arial Regular" w:cs="Arial Regular"/>
                <w:sz w:val="20"/>
                <w:szCs w:val="20"/>
              </w:rPr>
            </w:pPr>
            <w:r>
              <w:rPr>
                <w:rFonts w:hint="default" w:ascii="Arial Regular" w:hAnsi="Arial Regular" w:cs="Arial Regular"/>
                <w:sz w:val="20"/>
                <w:szCs w:val="20"/>
              </w:rPr>
              <w:t>0.037</w:t>
            </w:r>
          </w:p>
        </w:tc>
      </w:tr>
    </w:tbl>
    <w:p w14:paraId="12939763">
      <w:pPr>
        <w:rPr>
          <w:rFonts w:hint="default" w:ascii="Arial Regular" w:hAnsi="Arial Regular" w:cs="Arial Regular"/>
          <w:b/>
          <w:sz w:val="20"/>
          <w:szCs w:val="20"/>
        </w:rPr>
      </w:pPr>
      <w:r>
        <w:rPr>
          <w:rFonts w:hint="default" w:ascii="Arial Regular" w:hAnsi="Arial Regular" w:cs="Arial Regular"/>
          <w:b/>
          <w:sz w:val="20"/>
          <w:szCs w:val="20"/>
        </w:rPr>
        <w:br w:type="page"/>
      </w:r>
    </w:p>
    <w:p w14:paraId="17B31A0E">
      <w:pPr>
        <w:pStyle w:val="3"/>
        <w:keepNext/>
        <w:keepLines/>
        <w:pageBreakBefore w:val="0"/>
        <w:widowControl w:val="0"/>
        <w:kinsoku/>
        <w:wordWrap/>
        <w:overflowPunct/>
        <w:topLinePunct w:val="0"/>
        <w:autoSpaceDE/>
        <w:autoSpaceDN/>
        <w:bidi w:val="0"/>
        <w:adjustRightInd/>
        <w:snapToGrid/>
        <w:spacing w:before="0" w:beforeLines="0" w:after="157" w:afterLines="50" w:line="240" w:lineRule="auto"/>
        <w:textAlignment w:val="auto"/>
        <w:rPr>
          <w:rFonts w:hint="default" w:ascii="Arial Regular" w:hAnsi="Arial Regular" w:cs="Arial Regular"/>
          <w:b/>
          <w:sz w:val="20"/>
          <w:szCs w:val="20"/>
        </w:rPr>
      </w:pPr>
      <w:r>
        <w:rPr>
          <w:rFonts w:hint="default" w:ascii="Arial Regular" w:hAnsi="Arial Regular" w:cs="Arial Regular"/>
          <w:b/>
          <w:bCs w:val="0"/>
          <w:sz w:val="20"/>
          <w:szCs w:val="20"/>
        </w:rPr>
        <w:t xml:space="preserve">Supplementary </w:t>
      </w:r>
      <w:r>
        <w:rPr>
          <w:rFonts w:hint="default" w:ascii="Arial Regular" w:hAnsi="Arial Regular" w:cs="Arial Regular"/>
          <w:b/>
          <w:sz w:val="20"/>
          <w:szCs w:val="20"/>
        </w:rPr>
        <w:t>Table 1</w:t>
      </w:r>
      <w:r>
        <w:rPr>
          <w:rFonts w:hint="default" w:ascii="Arial Regular" w:hAnsi="Arial Regular" w:cs="Arial Regular"/>
          <w:b/>
          <w:sz w:val="20"/>
          <w:szCs w:val="20"/>
          <w:lang w:val="en-US" w:eastAsia="zh-CN"/>
        </w:rPr>
        <w:t>3</w:t>
      </w:r>
      <w:r>
        <w:rPr>
          <w:rFonts w:hint="default" w:ascii="Arial Regular" w:hAnsi="Arial Regular" w:cs="Arial Regular"/>
          <w:b/>
          <w:sz w:val="20"/>
          <w:szCs w:val="20"/>
        </w:rPr>
        <w:t>. Binding energies of 1,8-dihydroxynaphthalene and D-glucosamine with Cu(II).</w:t>
      </w:r>
    </w:p>
    <w:tbl>
      <w:tblPr>
        <w:tblStyle w:val="10"/>
        <w:tblW w:w="0" w:type="auto"/>
        <w:jc w:val="center"/>
        <w:tblCellSpacing w:w="15"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2410"/>
        <w:gridCol w:w="1205"/>
        <w:gridCol w:w="3442"/>
      </w:tblGrid>
      <w:tr w14:paraId="545B1FF5">
        <w:trPr>
          <w:tblHeader/>
          <w:tblCellSpacing w:w="15" w:type="dxa"/>
          <w:jc w:val="center"/>
        </w:trPr>
        <w:tc>
          <w:tcPr>
            <w:tcW w:w="0" w:type="auto"/>
            <w:tcBorders>
              <w:bottom w:val="single" w:color="auto" w:sz="8" w:space="0"/>
            </w:tcBorders>
            <w:shd w:val="clear" w:color="auto" w:fill="E7E6E6" w:themeFill="background2"/>
            <w:vAlign w:val="center"/>
          </w:tcPr>
          <w:p w14:paraId="35AE04A5">
            <w:pPr>
              <w:widowControl/>
              <w:jc w:val="center"/>
              <w:rPr>
                <w:rFonts w:hint="default" w:ascii="Arial Regular" w:hAnsi="Arial Regular" w:cs="Arial Regular"/>
                <w:b/>
                <w:bCs/>
                <w:sz w:val="20"/>
                <w:szCs w:val="20"/>
              </w:rPr>
            </w:pPr>
            <w:r>
              <w:rPr>
                <w:rFonts w:hint="default" w:ascii="Arial Regular" w:hAnsi="Arial Regular" w:eastAsia="宋体" w:cs="Arial Regular"/>
                <w:b/>
                <w:bCs/>
                <w:kern w:val="0"/>
                <w:sz w:val="20"/>
                <w:szCs w:val="20"/>
                <w:lang w:bidi="ar"/>
              </w:rPr>
              <w:t>Model compound</w:t>
            </w:r>
          </w:p>
        </w:tc>
        <w:tc>
          <w:tcPr>
            <w:tcW w:w="0" w:type="auto"/>
            <w:tcBorders>
              <w:bottom w:val="single" w:color="auto" w:sz="8" w:space="0"/>
            </w:tcBorders>
            <w:shd w:val="clear" w:color="auto" w:fill="E7E6E6" w:themeFill="background2"/>
            <w:vAlign w:val="center"/>
          </w:tcPr>
          <w:p w14:paraId="6AE628D4">
            <w:pPr>
              <w:widowControl/>
              <w:jc w:val="center"/>
              <w:rPr>
                <w:rFonts w:hint="default" w:ascii="Arial Regular" w:hAnsi="Arial Regular" w:cs="Arial Regular"/>
                <w:b/>
                <w:bCs/>
                <w:sz w:val="20"/>
                <w:szCs w:val="20"/>
              </w:rPr>
            </w:pPr>
            <w:r>
              <w:rPr>
                <w:rFonts w:hint="default" w:ascii="Arial Regular" w:hAnsi="Arial Regular" w:eastAsia="宋体" w:cs="Arial Regular"/>
                <w:b/>
                <w:bCs/>
                <w:kern w:val="0"/>
                <w:sz w:val="20"/>
                <w:szCs w:val="20"/>
                <w:lang w:bidi="ar"/>
              </w:rPr>
              <w:t>Binding site</w:t>
            </w:r>
          </w:p>
        </w:tc>
        <w:tc>
          <w:tcPr>
            <w:tcW w:w="0" w:type="auto"/>
            <w:tcBorders>
              <w:bottom w:val="single" w:color="auto" w:sz="8" w:space="0"/>
            </w:tcBorders>
            <w:shd w:val="clear" w:color="auto" w:fill="E7E6E6" w:themeFill="background2"/>
            <w:vAlign w:val="center"/>
          </w:tcPr>
          <w:p w14:paraId="1B108082">
            <w:pPr>
              <w:widowControl/>
              <w:jc w:val="center"/>
              <w:rPr>
                <w:rFonts w:hint="default" w:ascii="Arial Regular" w:hAnsi="Arial Regular" w:cs="Arial Regular"/>
                <w:b/>
                <w:bCs/>
                <w:sz w:val="20"/>
                <w:szCs w:val="20"/>
              </w:rPr>
            </w:pPr>
            <w:r>
              <w:rPr>
                <w:rFonts w:hint="default" w:ascii="Arial Regular" w:hAnsi="Arial Regular" w:eastAsia="宋体" w:cs="Arial Regular"/>
                <w:b/>
                <w:bCs/>
                <w:kern w:val="0"/>
                <w:sz w:val="20"/>
                <w:szCs w:val="20"/>
                <w:lang w:bidi="ar"/>
              </w:rPr>
              <w:t>Binding energy with Cu(II) (Hartree)</w:t>
            </w:r>
          </w:p>
        </w:tc>
      </w:tr>
      <w:tr w14:paraId="6F4261D0">
        <w:trPr>
          <w:tblCellSpacing w:w="15" w:type="dxa"/>
          <w:jc w:val="center"/>
        </w:trPr>
        <w:tc>
          <w:tcPr>
            <w:tcW w:w="0" w:type="auto"/>
            <w:vMerge w:val="restart"/>
            <w:shd w:val="clear" w:color="auto" w:fill="auto"/>
            <w:vAlign w:val="center"/>
          </w:tcPr>
          <w:p w14:paraId="7688D9D6">
            <w:pPr>
              <w:widowControl/>
              <w:jc w:val="center"/>
              <w:rPr>
                <w:rFonts w:hint="default" w:ascii="Arial Regular" w:hAnsi="Arial Regular" w:cs="Arial Regular"/>
                <w:sz w:val="20"/>
                <w:szCs w:val="20"/>
              </w:rPr>
            </w:pPr>
            <w:r>
              <w:rPr>
                <w:rFonts w:hint="default" w:ascii="Arial Regular" w:hAnsi="Arial Regular" w:eastAsia="宋体" w:cs="Arial Regular"/>
                <w:kern w:val="0"/>
                <w:sz w:val="20"/>
                <w:szCs w:val="20"/>
                <w:lang w:bidi="ar"/>
              </w:rPr>
              <w:t>1,8-Dihydroxynaphthalene</w:t>
            </w:r>
          </w:p>
        </w:tc>
        <w:tc>
          <w:tcPr>
            <w:tcW w:w="0" w:type="auto"/>
            <w:shd w:val="clear" w:color="auto" w:fill="auto"/>
            <w:vAlign w:val="center"/>
          </w:tcPr>
          <w:p w14:paraId="0304F435">
            <w:pPr>
              <w:widowControl/>
              <w:jc w:val="center"/>
              <w:rPr>
                <w:rFonts w:hint="default" w:ascii="Arial Regular" w:hAnsi="Arial Regular" w:cs="Arial Regular"/>
                <w:sz w:val="20"/>
                <w:szCs w:val="20"/>
              </w:rPr>
            </w:pPr>
            <w:r>
              <w:rPr>
                <w:rFonts w:hint="default" w:ascii="Arial Regular" w:hAnsi="Arial Regular" w:eastAsia="宋体" w:cs="Arial Regular"/>
                <w:kern w:val="0"/>
                <w:sz w:val="20"/>
                <w:szCs w:val="20"/>
                <w:lang w:bidi="ar"/>
              </w:rPr>
              <w:t>O11_O12</w:t>
            </w:r>
          </w:p>
        </w:tc>
        <w:tc>
          <w:tcPr>
            <w:tcW w:w="0" w:type="auto"/>
            <w:shd w:val="clear" w:color="auto" w:fill="auto"/>
            <w:vAlign w:val="center"/>
          </w:tcPr>
          <w:p w14:paraId="11926D4C">
            <w:pPr>
              <w:widowControl/>
              <w:jc w:val="center"/>
              <w:rPr>
                <w:rFonts w:hint="default" w:ascii="Arial Regular" w:hAnsi="Arial Regular" w:cs="Arial Regular"/>
                <w:sz w:val="20"/>
                <w:szCs w:val="20"/>
              </w:rPr>
            </w:pPr>
            <w:r>
              <w:rPr>
                <w:rFonts w:hint="default" w:ascii="Arial Regular" w:hAnsi="Arial Regular" w:eastAsia="宋体" w:cs="Arial Regular"/>
                <w:kern w:val="0"/>
                <w:sz w:val="20"/>
                <w:szCs w:val="20"/>
                <w:lang w:bidi="ar"/>
              </w:rPr>
              <w:t>–0.43</w:t>
            </w:r>
          </w:p>
        </w:tc>
      </w:tr>
      <w:tr w14:paraId="0AF26E8F">
        <w:trPr>
          <w:tblCellSpacing w:w="15" w:type="dxa"/>
          <w:jc w:val="center"/>
        </w:trPr>
        <w:tc>
          <w:tcPr>
            <w:tcW w:w="0" w:type="auto"/>
            <w:vMerge w:val="continue"/>
            <w:shd w:val="clear" w:color="auto" w:fill="auto"/>
            <w:vAlign w:val="center"/>
          </w:tcPr>
          <w:p w14:paraId="6F81F268">
            <w:pPr>
              <w:jc w:val="center"/>
              <w:rPr>
                <w:rFonts w:hint="default" w:ascii="Arial Regular" w:hAnsi="Arial Regular" w:cs="Arial Regular"/>
                <w:sz w:val="20"/>
                <w:szCs w:val="20"/>
              </w:rPr>
            </w:pPr>
          </w:p>
        </w:tc>
        <w:tc>
          <w:tcPr>
            <w:tcW w:w="0" w:type="auto"/>
            <w:shd w:val="clear" w:color="auto" w:fill="auto"/>
            <w:vAlign w:val="center"/>
          </w:tcPr>
          <w:p w14:paraId="5D4834C7">
            <w:pPr>
              <w:widowControl/>
              <w:jc w:val="center"/>
              <w:rPr>
                <w:rFonts w:hint="default" w:ascii="Arial Regular" w:hAnsi="Arial Regular" w:cs="Arial Regular"/>
                <w:sz w:val="20"/>
                <w:szCs w:val="20"/>
              </w:rPr>
            </w:pPr>
            <w:r>
              <w:rPr>
                <w:rFonts w:hint="default" w:ascii="Arial Regular" w:hAnsi="Arial Regular" w:eastAsia="宋体" w:cs="Arial Regular"/>
                <w:kern w:val="0"/>
                <w:sz w:val="20"/>
                <w:szCs w:val="20"/>
                <w:lang w:bidi="ar"/>
              </w:rPr>
              <w:t>O12</w:t>
            </w:r>
          </w:p>
        </w:tc>
        <w:tc>
          <w:tcPr>
            <w:tcW w:w="0" w:type="auto"/>
            <w:shd w:val="clear" w:color="auto" w:fill="auto"/>
            <w:vAlign w:val="center"/>
          </w:tcPr>
          <w:p w14:paraId="78DF1A84">
            <w:pPr>
              <w:widowControl/>
              <w:jc w:val="center"/>
              <w:rPr>
                <w:rFonts w:hint="default" w:ascii="Arial Regular" w:hAnsi="Arial Regular" w:cs="Arial Regular"/>
                <w:sz w:val="20"/>
                <w:szCs w:val="20"/>
              </w:rPr>
            </w:pPr>
            <w:r>
              <w:rPr>
                <w:rFonts w:hint="default" w:ascii="Arial Regular" w:hAnsi="Arial Regular" w:eastAsia="宋体" w:cs="Arial Regular"/>
                <w:kern w:val="0"/>
                <w:sz w:val="20"/>
                <w:szCs w:val="20"/>
                <w:lang w:bidi="ar"/>
              </w:rPr>
              <w:t>–0.44</w:t>
            </w:r>
          </w:p>
        </w:tc>
      </w:tr>
      <w:tr w14:paraId="23549F27">
        <w:trPr>
          <w:tblCellSpacing w:w="15" w:type="dxa"/>
          <w:jc w:val="center"/>
        </w:trPr>
        <w:tc>
          <w:tcPr>
            <w:tcW w:w="0" w:type="auto"/>
            <w:vMerge w:val="restart"/>
            <w:shd w:val="clear" w:color="auto" w:fill="auto"/>
            <w:vAlign w:val="center"/>
          </w:tcPr>
          <w:p w14:paraId="64DD9761">
            <w:pPr>
              <w:widowControl/>
              <w:jc w:val="center"/>
              <w:rPr>
                <w:rFonts w:hint="default" w:ascii="Arial Regular" w:hAnsi="Arial Regular" w:cs="Arial Regular"/>
                <w:sz w:val="20"/>
                <w:szCs w:val="20"/>
              </w:rPr>
            </w:pPr>
            <w:r>
              <w:rPr>
                <w:rFonts w:hint="default" w:ascii="Arial Regular" w:hAnsi="Arial Regular" w:eastAsia="宋体" w:cs="Arial Regular"/>
                <w:kern w:val="0"/>
                <w:sz w:val="20"/>
                <w:szCs w:val="20"/>
                <w:lang w:bidi="ar"/>
              </w:rPr>
              <w:t>D-Glucosamine</w:t>
            </w:r>
          </w:p>
        </w:tc>
        <w:tc>
          <w:tcPr>
            <w:tcW w:w="0" w:type="auto"/>
            <w:shd w:val="clear" w:color="auto" w:fill="auto"/>
            <w:vAlign w:val="center"/>
          </w:tcPr>
          <w:p w14:paraId="5C09490C">
            <w:pPr>
              <w:widowControl/>
              <w:jc w:val="center"/>
              <w:rPr>
                <w:rFonts w:hint="default" w:ascii="Arial Regular" w:hAnsi="Arial Regular" w:cs="Arial Regular"/>
                <w:sz w:val="20"/>
                <w:szCs w:val="20"/>
              </w:rPr>
            </w:pPr>
            <w:r>
              <w:rPr>
                <w:rFonts w:hint="default" w:ascii="Arial Regular" w:hAnsi="Arial Regular" w:eastAsia="宋体" w:cs="Arial Regular"/>
                <w:kern w:val="0"/>
                <w:sz w:val="20"/>
                <w:szCs w:val="20"/>
                <w:lang w:bidi="ar"/>
              </w:rPr>
              <w:t>N6</w:t>
            </w:r>
          </w:p>
        </w:tc>
        <w:tc>
          <w:tcPr>
            <w:tcW w:w="0" w:type="auto"/>
            <w:shd w:val="clear" w:color="auto" w:fill="auto"/>
            <w:vAlign w:val="center"/>
          </w:tcPr>
          <w:p w14:paraId="5B2A43D5">
            <w:pPr>
              <w:widowControl/>
              <w:jc w:val="center"/>
              <w:rPr>
                <w:rFonts w:hint="default" w:ascii="Arial Regular" w:hAnsi="Arial Regular" w:cs="Arial Regular"/>
                <w:sz w:val="20"/>
                <w:szCs w:val="20"/>
              </w:rPr>
            </w:pPr>
            <w:r>
              <w:rPr>
                <w:rFonts w:hint="default" w:ascii="Arial Regular" w:hAnsi="Arial Regular" w:eastAsia="宋体" w:cs="Arial Regular"/>
                <w:kern w:val="0"/>
                <w:sz w:val="20"/>
                <w:szCs w:val="20"/>
                <w:lang w:bidi="ar"/>
              </w:rPr>
              <w:t>–0.42</w:t>
            </w:r>
          </w:p>
        </w:tc>
      </w:tr>
      <w:tr w14:paraId="5AD3E64D">
        <w:trPr>
          <w:tblCellSpacing w:w="15" w:type="dxa"/>
          <w:jc w:val="center"/>
        </w:trPr>
        <w:tc>
          <w:tcPr>
            <w:tcW w:w="0" w:type="auto"/>
            <w:vMerge w:val="continue"/>
            <w:shd w:val="clear" w:color="auto" w:fill="auto"/>
            <w:vAlign w:val="center"/>
          </w:tcPr>
          <w:p w14:paraId="3F887DCD">
            <w:pPr>
              <w:jc w:val="center"/>
              <w:rPr>
                <w:rFonts w:hint="default" w:ascii="Arial Regular" w:hAnsi="Arial Regular" w:cs="Arial Regular"/>
                <w:sz w:val="20"/>
                <w:szCs w:val="20"/>
              </w:rPr>
            </w:pPr>
          </w:p>
        </w:tc>
        <w:tc>
          <w:tcPr>
            <w:tcW w:w="0" w:type="auto"/>
            <w:shd w:val="clear" w:color="auto" w:fill="auto"/>
            <w:vAlign w:val="center"/>
          </w:tcPr>
          <w:p w14:paraId="2EC5D76E">
            <w:pPr>
              <w:widowControl/>
              <w:jc w:val="center"/>
              <w:rPr>
                <w:rFonts w:hint="default" w:ascii="Arial Regular" w:hAnsi="Arial Regular" w:cs="Arial Regular"/>
                <w:sz w:val="20"/>
                <w:szCs w:val="20"/>
              </w:rPr>
            </w:pPr>
            <w:r>
              <w:rPr>
                <w:rFonts w:hint="default" w:ascii="Arial Regular" w:hAnsi="Arial Regular" w:eastAsia="宋体" w:cs="Arial Regular"/>
                <w:kern w:val="0"/>
                <w:sz w:val="20"/>
                <w:szCs w:val="20"/>
                <w:lang w:bidi="ar"/>
              </w:rPr>
              <w:t>O1</w:t>
            </w:r>
          </w:p>
        </w:tc>
        <w:tc>
          <w:tcPr>
            <w:tcW w:w="0" w:type="auto"/>
            <w:shd w:val="clear" w:color="auto" w:fill="auto"/>
            <w:vAlign w:val="center"/>
          </w:tcPr>
          <w:p w14:paraId="24D7B2BF">
            <w:pPr>
              <w:widowControl/>
              <w:jc w:val="center"/>
              <w:rPr>
                <w:rFonts w:hint="default" w:ascii="Arial Regular" w:hAnsi="Arial Regular" w:cs="Arial Regular"/>
                <w:sz w:val="20"/>
                <w:szCs w:val="20"/>
              </w:rPr>
            </w:pPr>
            <w:r>
              <w:rPr>
                <w:rFonts w:hint="default" w:ascii="Arial Regular" w:hAnsi="Arial Regular" w:eastAsia="宋体" w:cs="Arial Regular"/>
                <w:kern w:val="0"/>
                <w:sz w:val="20"/>
                <w:szCs w:val="20"/>
                <w:lang w:bidi="ar"/>
              </w:rPr>
              <w:t>–1.02</w:t>
            </w:r>
          </w:p>
        </w:tc>
      </w:tr>
      <w:tr w14:paraId="05B678CF">
        <w:trPr>
          <w:tblCellSpacing w:w="15" w:type="dxa"/>
          <w:jc w:val="center"/>
        </w:trPr>
        <w:tc>
          <w:tcPr>
            <w:tcW w:w="0" w:type="auto"/>
            <w:vMerge w:val="continue"/>
            <w:shd w:val="clear" w:color="auto" w:fill="auto"/>
            <w:vAlign w:val="center"/>
          </w:tcPr>
          <w:p w14:paraId="480A4EBA">
            <w:pPr>
              <w:jc w:val="center"/>
              <w:rPr>
                <w:rFonts w:hint="default" w:ascii="Arial Regular" w:hAnsi="Arial Regular" w:cs="Arial Regular"/>
                <w:sz w:val="20"/>
                <w:szCs w:val="20"/>
              </w:rPr>
            </w:pPr>
          </w:p>
        </w:tc>
        <w:tc>
          <w:tcPr>
            <w:tcW w:w="0" w:type="auto"/>
            <w:shd w:val="clear" w:color="auto" w:fill="auto"/>
            <w:vAlign w:val="center"/>
          </w:tcPr>
          <w:p w14:paraId="46EE72DC">
            <w:pPr>
              <w:widowControl/>
              <w:jc w:val="center"/>
              <w:rPr>
                <w:rFonts w:hint="default" w:ascii="Arial Regular" w:hAnsi="Arial Regular" w:cs="Arial Regular"/>
                <w:sz w:val="20"/>
                <w:szCs w:val="20"/>
              </w:rPr>
            </w:pPr>
            <w:r>
              <w:rPr>
                <w:rFonts w:hint="default" w:ascii="Arial Regular" w:hAnsi="Arial Regular" w:eastAsia="宋体" w:cs="Arial Regular"/>
                <w:kern w:val="0"/>
                <w:sz w:val="20"/>
                <w:szCs w:val="20"/>
                <w:lang w:bidi="ar"/>
              </w:rPr>
              <w:t>O2</w:t>
            </w:r>
          </w:p>
        </w:tc>
        <w:tc>
          <w:tcPr>
            <w:tcW w:w="0" w:type="auto"/>
            <w:shd w:val="clear" w:color="auto" w:fill="auto"/>
            <w:vAlign w:val="center"/>
          </w:tcPr>
          <w:p w14:paraId="435ADE9F">
            <w:pPr>
              <w:widowControl/>
              <w:jc w:val="center"/>
              <w:rPr>
                <w:rFonts w:hint="default" w:ascii="Arial Regular" w:hAnsi="Arial Regular" w:cs="Arial Regular"/>
                <w:sz w:val="20"/>
                <w:szCs w:val="20"/>
              </w:rPr>
            </w:pPr>
            <w:r>
              <w:rPr>
                <w:rFonts w:hint="default" w:ascii="Arial Regular" w:hAnsi="Arial Regular" w:eastAsia="宋体" w:cs="Arial Regular"/>
                <w:kern w:val="0"/>
                <w:sz w:val="20"/>
                <w:szCs w:val="20"/>
                <w:lang w:bidi="ar"/>
              </w:rPr>
              <w:t>–0.43</w:t>
            </w:r>
          </w:p>
        </w:tc>
      </w:tr>
      <w:tr w14:paraId="77E84BD6">
        <w:trPr>
          <w:tblCellSpacing w:w="15" w:type="dxa"/>
          <w:jc w:val="center"/>
        </w:trPr>
        <w:tc>
          <w:tcPr>
            <w:tcW w:w="0" w:type="auto"/>
            <w:vMerge w:val="continue"/>
            <w:shd w:val="clear" w:color="auto" w:fill="auto"/>
            <w:vAlign w:val="center"/>
          </w:tcPr>
          <w:p w14:paraId="78D72371">
            <w:pPr>
              <w:jc w:val="center"/>
              <w:rPr>
                <w:rFonts w:hint="default" w:ascii="Arial Regular" w:hAnsi="Arial Regular" w:cs="Arial Regular"/>
                <w:sz w:val="20"/>
                <w:szCs w:val="20"/>
              </w:rPr>
            </w:pPr>
          </w:p>
        </w:tc>
        <w:tc>
          <w:tcPr>
            <w:tcW w:w="0" w:type="auto"/>
            <w:shd w:val="clear" w:color="auto" w:fill="auto"/>
            <w:vAlign w:val="center"/>
          </w:tcPr>
          <w:p w14:paraId="22F7B0E2">
            <w:pPr>
              <w:widowControl/>
              <w:jc w:val="center"/>
              <w:rPr>
                <w:rFonts w:hint="default" w:ascii="Arial Regular" w:hAnsi="Arial Regular" w:cs="Arial Regular"/>
                <w:sz w:val="20"/>
                <w:szCs w:val="20"/>
              </w:rPr>
            </w:pPr>
            <w:r>
              <w:rPr>
                <w:rFonts w:hint="default" w:ascii="Arial Regular" w:hAnsi="Arial Regular" w:eastAsia="宋体" w:cs="Arial Regular"/>
                <w:kern w:val="0"/>
                <w:sz w:val="20"/>
                <w:szCs w:val="20"/>
                <w:lang w:bidi="ar"/>
              </w:rPr>
              <w:t>O2_O3</w:t>
            </w:r>
          </w:p>
        </w:tc>
        <w:tc>
          <w:tcPr>
            <w:tcW w:w="0" w:type="auto"/>
            <w:shd w:val="clear" w:color="auto" w:fill="auto"/>
            <w:vAlign w:val="center"/>
          </w:tcPr>
          <w:p w14:paraId="3603F23D">
            <w:pPr>
              <w:widowControl/>
              <w:jc w:val="center"/>
              <w:rPr>
                <w:rFonts w:hint="default" w:ascii="Arial Regular" w:hAnsi="Arial Regular" w:cs="Arial Regular"/>
                <w:sz w:val="20"/>
                <w:szCs w:val="20"/>
              </w:rPr>
            </w:pPr>
            <w:r>
              <w:rPr>
                <w:rFonts w:hint="default" w:ascii="Arial Regular" w:hAnsi="Arial Regular" w:eastAsia="宋体" w:cs="Arial Regular"/>
                <w:kern w:val="0"/>
                <w:sz w:val="20"/>
                <w:szCs w:val="20"/>
                <w:lang w:bidi="ar"/>
              </w:rPr>
              <w:t>/</w:t>
            </w:r>
          </w:p>
        </w:tc>
      </w:tr>
      <w:tr w14:paraId="02F49DFB">
        <w:trPr>
          <w:tblCellSpacing w:w="15" w:type="dxa"/>
          <w:jc w:val="center"/>
        </w:trPr>
        <w:tc>
          <w:tcPr>
            <w:tcW w:w="0" w:type="auto"/>
            <w:vMerge w:val="continue"/>
            <w:shd w:val="clear" w:color="auto" w:fill="auto"/>
            <w:vAlign w:val="center"/>
          </w:tcPr>
          <w:p w14:paraId="23C1117B">
            <w:pPr>
              <w:jc w:val="center"/>
              <w:rPr>
                <w:rFonts w:hint="default" w:ascii="Arial Regular" w:hAnsi="Arial Regular" w:cs="Arial Regular"/>
                <w:sz w:val="20"/>
                <w:szCs w:val="20"/>
              </w:rPr>
            </w:pPr>
          </w:p>
        </w:tc>
        <w:tc>
          <w:tcPr>
            <w:tcW w:w="0" w:type="auto"/>
            <w:shd w:val="clear" w:color="auto" w:fill="auto"/>
            <w:vAlign w:val="center"/>
          </w:tcPr>
          <w:p w14:paraId="0E54E97D">
            <w:pPr>
              <w:widowControl/>
              <w:jc w:val="center"/>
              <w:rPr>
                <w:rFonts w:hint="default" w:ascii="Arial Regular" w:hAnsi="Arial Regular" w:cs="Arial Regular"/>
                <w:sz w:val="20"/>
                <w:szCs w:val="20"/>
              </w:rPr>
            </w:pPr>
            <w:r>
              <w:rPr>
                <w:rFonts w:hint="default" w:ascii="Arial Regular" w:hAnsi="Arial Regular" w:eastAsia="宋体" w:cs="Arial Regular"/>
                <w:kern w:val="0"/>
                <w:sz w:val="20"/>
                <w:szCs w:val="20"/>
                <w:lang w:bidi="ar"/>
              </w:rPr>
              <w:t>O3</w:t>
            </w:r>
          </w:p>
        </w:tc>
        <w:tc>
          <w:tcPr>
            <w:tcW w:w="0" w:type="auto"/>
            <w:shd w:val="clear" w:color="auto" w:fill="auto"/>
            <w:vAlign w:val="center"/>
          </w:tcPr>
          <w:p w14:paraId="376ADC34">
            <w:pPr>
              <w:widowControl/>
              <w:jc w:val="center"/>
              <w:rPr>
                <w:rFonts w:hint="default" w:ascii="Arial Regular" w:hAnsi="Arial Regular" w:cs="Arial Regular"/>
                <w:sz w:val="20"/>
                <w:szCs w:val="20"/>
              </w:rPr>
            </w:pPr>
            <w:r>
              <w:rPr>
                <w:rFonts w:hint="default" w:ascii="Arial Regular" w:hAnsi="Arial Regular" w:eastAsia="宋体" w:cs="Arial Regular"/>
                <w:kern w:val="0"/>
                <w:sz w:val="20"/>
                <w:szCs w:val="20"/>
                <w:lang w:bidi="ar"/>
              </w:rPr>
              <w:t>–0.44</w:t>
            </w:r>
          </w:p>
        </w:tc>
      </w:tr>
      <w:tr w14:paraId="62762130">
        <w:trPr>
          <w:tblCellSpacing w:w="15" w:type="dxa"/>
          <w:jc w:val="center"/>
        </w:trPr>
        <w:tc>
          <w:tcPr>
            <w:tcW w:w="0" w:type="auto"/>
            <w:vMerge w:val="continue"/>
            <w:shd w:val="clear" w:color="auto" w:fill="auto"/>
            <w:vAlign w:val="center"/>
          </w:tcPr>
          <w:p w14:paraId="1A61D0C5">
            <w:pPr>
              <w:jc w:val="center"/>
              <w:rPr>
                <w:rFonts w:hint="default" w:ascii="Arial Regular" w:hAnsi="Arial Regular" w:cs="Arial Regular"/>
                <w:sz w:val="20"/>
                <w:szCs w:val="20"/>
              </w:rPr>
            </w:pPr>
          </w:p>
        </w:tc>
        <w:tc>
          <w:tcPr>
            <w:tcW w:w="0" w:type="auto"/>
            <w:shd w:val="clear" w:color="auto" w:fill="auto"/>
            <w:vAlign w:val="center"/>
          </w:tcPr>
          <w:p w14:paraId="3EF70C60">
            <w:pPr>
              <w:widowControl/>
              <w:jc w:val="center"/>
              <w:rPr>
                <w:rFonts w:hint="default" w:ascii="Arial Regular" w:hAnsi="Arial Regular" w:cs="Arial Regular"/>
                <w:sz w:val="20"/>
                <w:szCs w:val="20"/>
              </w:rPr>
            </w:pPr>
            <w:r>
              <w:rPr>
                <w:rFonts w:hint="default" w:ascii="Arial Regular" w:hAnsi="Arial Regular" w:eastAsia="宋体" w:cs="Arial Regular"/>
                <w:kern w:val="0"/>
                <w:sz w:val="20"/>
                <w:szCs w:val="20"/>
                <w:lang w:bidi="ar"/>
              </w:rPr>
              <w:t>O4</w:t>
            </w:r>
          </w:p>
        </w:tc>
        <w:tc>
          <w:tcPr>
            <w:tcW w:w="0" w:type="auto"/>
            <w:shd w:val="clear" w:color="auto" w:fill="auto"/>
            <w:vAlign w:val="center"/>
          </w:tcPr>
          <w:p w14:paraId="7B5595F2">
            <w:pPr>
              <w:widowControl/>
              <w:jc w:val="center"/>
              <w:rPr>
                <w:rFonts w:hint="default" w:ascii="Arial Regular" w:hAnsi="Arial Regular" w:cs="Arial Regular"/>
                <w:sz w:val="20"/>
                <w:szCs w:val="20"/>
              </w:rPr>
            </w:pPr>
            <w:r>
              <w:rPr>
                <w:rFonts w:hint="default" w:ascii="Arial Regular" w:hAnsi="Arial Regular" w:eastAsia="宋体" w:cs="Arial Regular"/>
                <w:kern w:val="0"/>
                <w:sz w:val="20"/>
                <w:szCs w:val="20"/>
                <w:lang w:bidi="ar"/>
              </w:rPr>
              <w:t>–0.45</w:t>
            </w:r>
          </w:p>
        </w:tc>
      </w:tr>
      <w:tr w14:paraId="3910A77C">
        <w:trPr>
          <w:tblCellSpacing w:w="15" w:type="dxa"/>
          <w:jc w:val="center"/>
        </w:trPr>
        <w:tc>
          <w:tcPr>
            <w:tcW w:w="0" w:type="auto"/>
            <w:vMerge w:val="continue"/>
            <w:shd w:val="clear" w:color="auto" w:fill="auto"/>
            <w:vAlign w:val="center"/>
          </w:tcPr>
          <w:p w14:paraId="5D57FA16">
            <w:pPr>
              <w:jc w:val="center"/>
              <w:rPr>
                <w:rFonts w:hint="default" w:ascii="Arial Regular" w:hAnsi="Arial Regular" w:cs="Arial Regular"/>
                <w:sz w:val="20"/>
                <w:szCs w:val="20"/>
              </w:rPr>
            </w:pPr>
          </w:p>
        </w:tc>
        <w:tc>
          <w:tcPr>
            <w:tcW w:w="0" w:type="auto"/>
            <w:shd w:val="clear" w:color="auto" w:fill="auto"/>
            <w:vAlign w:val="center"/>
          </w:tcPr>
          <w:p w14:paraId="288E3027">
            <w:pPr>
              <w:widowControl/>
              <w:jc w:val="center"/>
              <w:rPr>
                <w:rFonts w:hint="default" w:ascii="Arial Regular" w:hAnsi="Arial Regular" w:cs="Arial Regular"/>
                <w:sz w:val="20"/>
                <w:szCs w:val="20"/>
              </w:rPr>
            </w:pPr>
            <w:r>
              <w:rPr>
                <w:rFonts w:hint="default" w:ascii="Arial Regular" w:hAnsi="Arial Regular" w:eastAsia="宋体" w:cs="Arial Regular"/>
                <w:kern w:val="0"/>
                <w:sz w:val="20"/>
                <w:szCs w:val="20"/>
                <w:lang w:bidi="ar"/>
              </w:rPr>
              <w:t>O5</w:t>
            </w:r>
          </w:p>
        </w:tc>
        <w:tc>
          <w:tcPr>
            <w:tcW w:w="0" w:type="auto"/>
            <w:shd w:val="clear" w:color="auto" w:fill="auto"/>
            <w:vAlign w:val="center"/>
          </w:tcPr>
          <w:p w14:paraId="2FF8A049">
            <w:pPr>
              <w:widowControl/>
              <w:jc w:val="center"/>
              <w:rPr>
                <w:rFonts w:hint="default" w:ascii="Arial Regular" w:hAnsi="Arial Regular" w:cs="Arial Regular"/>
                <w:sz w:val="20"/>
                <w:szCs w:val="20"/>
              </w:rPr>
            </w:pPr>
            <w:r>
              <w:rPr>
                <w:rFonts w:hint="default" w:ascii="Arial Regular" w:hAnsi="Arial Regular" w:eastAsia="宋体" w:cs="Arial Regular"/>
                <w:kern w:val="0"/>
                <w:sz w:val="20"/>
                <w:szCs w:val="20"/>
                <w:lang w:bidi="ar"/>
              </w:rPr>
              <w:t>–0.43</w:t>
            </w:r>
          </w:p>
        </w:tc>
      </w:tr>
      <w:tr w14:paraId="5B8527C0">
        <w:trPr>
          <w:tblCellSpacing w:w="15" w:type="dxa"/>
          <w:jc w:val="center"/>
        </w:trPr>
        <w:tc>
          <w:tcPr>
            <w:tcW w:w="0" w:type="auto"/>
            <w:vMerge w:val="continue"/>
            <w:shd w:val="clear" w:color="auto" w:fill="auto"/>
            <w:vAlign w:val="center"/>
          </w:tcPr>
          <w:p w14:paraId="4A60EFB7">
            <w:pPr>
              <w:jc w:val="center"/>
              <w:rPr>
                <w:rFonts w:hint="default" w:ascii="Arial Regular" w:hAnsi="Arial Regular" w:cs="Arial Regular"/>
                <w:sz w:val="20"/>
                <w:szCs w:val="20"/>
              </w:rPr>
            </w:pPr>
          </w:p>
        </w:tc>
        <w:tc>
          <w:tcPr>
            <w:tcW w:w="0" w:type="auto"/>
            <w:shd w:val="clear" w:color="auto" w:fill="auto"/>
            <w:vAlign w:val="center"/>
          </w:tcPr>
          <w:p w14:paraId="25B2BB65">
            <w:pPr>
              <w:widowControl/>
              <w:jc w:val="center"/>
              <w:rPr>
                <w:rFonts w:hint="default" w:ascii="Arial Regular" w:hAnsi="Arial Regular" w:cs="Arial Regular"/>
                <w:sz w:val="20"/>
                <w:szCs w:val="20"/>
              </w:rPr>
            </w:pPr>
            <w:r>
              <w:rPr>
                <w:rFonts w:hint="default" w:ascii="Arial Regular" w:hAnsi="Arial Regular" w:eastAsia="宋体" w:cs="Arial Regular"/>
                <w:kern w:val="0"/>
                <w:sz w:val="20"/>
                <w:szCs w:val="20"/>
                <w:lang w:bidi="ar"/>
              </w:rPr>
              <w:t>O1_O5</w:t>
            </w:r>
          </w:p>
        </w:tc>
        <w:tc>
          <w:tcPr>
            <w:tcW w:w="0" w:type="auto"/>
            <w:shd w:val="clear" w:color="auto" w:fill="auto"/>
            <w:vAlign w:val="center"/>
          </w:tcPr>
          <w:p w14:paraId="4DD214C5">
            <w:pPr>
              <w:widowControl/>
              <w:jc w:val="center"/>
              <w:rPr>
                <w:rFonts w:hint="default" w:ascii="Arial Regular" w:hAnsi="Arial Regular" w:cs="Arial Regular"/>
                <w:sz w:val="20"/>
                <w:szCs w:val="20"/>
              </w:rPr>
            </w:pPr>
            <w:r>
              <w:rPr>
                <w:rFonts w:hint="default" w:ascii="Arial Regular" w:hAnsi="Arial Regular" w:eastAsia="宋体" w:cs="Arial Regular"/>
                <w:kern w:val="0"/>
                <w:sz w:val="20"/>
                <w:szCs w:val="20"/>
                <w:lang w:bidi="ar"/>
              </w:rPr>
              <w:t>–0.43</w:t>
            </w:r>
          </w:p>
        </w:tc>
      </w:tr>
    </w:tbl>
    <w:p w14:paraId="76EA4F01">
      <w:pPr>
        <w:widowControl/>
        <w:spacing w:line="360" w:lineRule="auto"/>
        <w:rPr>
          <w:rFonts w:hint="default" w:ascii="Arial Regular" w:hAnsi="Arial Regular" w:cs="Arial Regular"/>
          <w:b/>
          <w:sz w:val="20"/>
          <w:szCs w:val="20"/>
        </w:rPr>
      </w:pPr>
    </w:p>
    <w:p w14:paraId="215BA2C7">
      <w:pPr>
        <w:rPr>
          <w:rFonts w:hint="default" w:ascii="Arial Regular" w:hAnsi="Arial Regular" w:cs="Arial Regular"/>
          <w:color w:val="000000" w:themeColor="text1"/>
          <w14:textFill>
            <w14:solidFill>
              <w14:schemeClr w14:val="tx1"/>
            </w14:solidFill>
          </w14:textFill>
        </w:rPr>
      </w:pPr>
    </w:p>
    <w:sectPr>
      <w:pgSz w:w="12240" w:h="15840"/>
      <w:pgMar w:top="1440" w:right="1440" w:bottom="144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等线">
    <w:altName w:val="汉仪中等线KW"/>
    <w:panose1 w:val="00000000000000000000"/>
    <w:charset w:val="86"/>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汉仪中黑KW">
    <w:panose1 w:val="00020600040101010101"/>
    <w:charset w:val="86"/>
    <w:family w:val="auto"/>
    <w:pitch w:val="default"/>
    <w:sig w:usb0="A00002BF" w:usb1="18EF7CFA" w:usb2="00000016" w:usb3="00000000" w:csb0="00040000" w:csb1="00000000"/>
  </w:font>
  <w:font w:name="DengXian">
    <w:altName w:val="汉仪中等线KW"/>
    <w:panose1 w:val="02010600030101010101"/>
    <w:charset w:val="86"/>
    <w:family w:val="auto"/>
    <w:pitch w:val="default"/>
    <w:sig w:usb0="00000000" w:usb1="00000000" w:usb2="00000016" w:usb3="00000000" w:csb0="0004000F" w:csb1="00000000"/>
  </w:font>
  <w:font w:name="MS Mincho">
    <w:altName w:val="Hiragino Sans"/>
    <w:panose1 w:val="02020609040205080304"/>
    <w:charset w:val="80"/>
    <w:family w:val="modern"/>
    <w:pitch w:val="default"/>
    <w:sig w:usb0="00000000" w:usb1="00000000" w:usb2="08000012" w:usb3="00000000" w:csb0="0002009F" w:csb1="00000000"/>
  </w:font>
  <w:font w:name="Hiragino Sans">
    <w:panose1 w:val="020B0300000000000000"/>
    <w:charset w:val="80"/>
    <w:family w:val="auto"/>
    <w:pitch w:val="default"/>
    <w:sig w:usb0="E00002FF" w:usb1="7AE7FFFF" w:usb2="00000012" w:usb3="00000000" w:csb0="0002000D" w:csb1="00000000"/>
  </w:font>
  <w:font w:name="-윤명조120">
    <w:altName w:val="Apple SD Gothic Neo"/>
    <w:panose1 w:val="020B0604020202020204"/>
    <w:charset w:val="81"/>
    <w:family w:val="roman"/>
    <w:pitch w:val="default"/>
    <w:sig w:usb0="00000000" w:usb1="00000000" w:usb2="00000010" w:usb3="00000000" w:csb0="00080000" w:csb1="00000000"/>
  </w:font>
  <w:font w:name="Apple SD Gothic Neo">
    <w:panose1 w:val="02000300000000000000"/>
    <w:charset w:val="81"/>
    <w:family w:val="auto"/>
    <w:pitch w:val="default"/>
    <w:sig w:usb0="00000203" w:usb1="21D12C10" w:usb2="00000010" w:usb3="00000000" w:csb0="00280005" w:csb1="00000000"/>
  </w:font>
  <w:font w:name="Arial Regular">
    <w:panose1 w:val="020B0604020202090204"/>
    <w:charset w:val="00"/>
    <w:family w:val="auto"/>
    <w:pitch w:val="default"/>
    <w:sig w:usb0="E0000AFF" w:usb1="00007843" w:usb2="00000001" w:usb3="00000000" w:csb0="400001BF" w:csb1="DFF70000"/>
  </w:font>
  <w:font w:name="等线 Light">
    <w:altName w:val="汉仪中等线KW"/>
    <w:panose1 w:val="02010600030101010101"/>
    <w:charset w:val="86"/>
    <w:family w:val="auto"/>
    <w:pitch w:val="default"/>
    <w:sig w:usb0="00000000" w:usb1="00000000" w:usb2="00000016" w:usb3="00000000" w:csb0="0004000F" w:csb1="00000000"/>
  </w:font>
  <w:font w:name="Malgun Gothic">
    <w:altName w:val="Apple SD Gothic Neo"/>
    <w:panose1 w:val="020B0503020000020004"/>
    <w:charset w:val="81"/>
    <w:family w:val="swiss"/>
    <w:pitch w:val="default"/>
    <w:sig w:usb0="00000000" w:usb1="00000000" w:usb2="00000012" w:usb3="00000000" w:csb0="00080001" w:csb1="00000000"/>
  </w:font>
  <w:font w:name="Arial Italic">
    <w:panose1 w:val="020B0604020202090204"/>
    <w:charset w:val="00"/>
    <w:family w:val="auto"/>
    <w:pitch w:val="default"/>
    <w:sig w:usb0="E0000AFF" w:usb1="00007843" w:usb2="00000001" w:usb3="00000000" w:csb0="400001BF" w:csb1="DFF70000"/>
  </w:font>
  <w:font w:name="DejaVu Math TeX Gyre">
    <w:panose1 w:val="02000503000000000000"/>
    <w:charset w:val="00"/>
    <w:family w:val="auto"/>
    <w:pitch w:val="default"/>
    <w:sig w:usb0="A10000EF" w:usb1="4201F9EE" w:usb2="02000000" w:usb3="00000000" w:csb0="60000193" w:csb1="0DD40000"/>
  </w:font>
  <w:font w:name="宋体-简">
    <w:panose1 w:val="02010800040101010101"/>
    <w:charset w:val="86"/>
    <w:family w:val="auto"/>
    <w:pitch w:val="default"/>
    <w:sig w:usb0="00000001" w:usb1="080F0000" w:usb2="00000000" w:usb3="00000000" w:csb0="00040000" w:csb1="00000000"/>
  </w:font>
  <w:font w:name="Kingsoft Sign">
    <w:panose1 w:val="05050102010706020507"/>
    <w:charset w:val="00"/>
    <w:family w:val="auto"/>
    <w:pitch w:val="default"/>
    <w:sig w:usb0="00000000" w:usb1="10000000" w:usb2="00000000" w:usb3="00000000" w:csb0="00000001" w:csb1="00000000"/>
  </w:font>
  <w:font w:name="PingFang SC">
    <w:panose1 w:val="020B0400000000000000"/>
    <w:charset w:val="86"/>
    <w:family w:val="auto"/>
    <w:pitch w:val="default"/>
    <w:sig w:usb0="A00002FF" w:usb1="7ACFFDFB" w:usb2="00000017" w:usb3="00000000" w:csb0="00040001" w:csb1="00000000"/>
  </w:font>
  <w:font w:name="Tahoma">
    <w:panose1 w:val="020B0604030504040204"/>
    <w:charset w:val="00"/>
    <w:family w:val="auto"/>
    <w:pitch w:val="default"/>
    <w:sig w:usb0="E1002AFF" w:usb1="C000605B" w:usb2="00000029" w:usb3="00000000" w:csb0="200101FF" w:csb1="20280000"/>
  </w:font>
  <w:font w:name="Arial Unicode MS">
    <w:panose1 w:val="020B0604020202020204"/>
    <w:charset w:val="86"/>
    <w:family w:val="auto"/>
    <w:pitch w:val="default"/>
    <w:sig w:usb0="FFFFFFFF" w:usb1="E9FFFFFF" w:usb2="0000003F" w:usb3="00000000" w:csb0="603F01FF" w:csb1="FFFF0000"/>
  </w:font>
  <w:font w:name="MS Mincho">
    <w:altName w:val="Hiragino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Arial" w:hAnsi="Arial" w:cs="Arial"/>
        <w:sz w:val="20"/>
        <w:szCs w:val="20"/>
      </w:rPr>
      <w:id w:val="1737349122"/>
      <w:docPartObj>
        <w:docPartGallery w:val="autotext"/>
      </w:docPartObj>
    </w:sdtPr>
    <w:sdtEndPr>
      <w:rPr>
        <w:rFonts w:ascii="Arial" w:hAnsi="Arial" w:cs="Arial"/>
        <w:sz w:val="20"/>
        <w:szCs w:val="20"/>
      </w:rPr>
    </w:sdtEndPr>
    <w:sdtContent>
      <w:p w14:paraId="18C561D2">
        <w:pPr>
          <w:pStyle w:val="6"/>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PAGE   \* MERGEFORMAT</w:instrText>
        </w:r>
        <w:r>
          <w:rPr>
            <w:rFonts w:ascii="Arial" w:hAnsi="Arial" w:cs="Arial"/>
            <w:sz w:val="20"/>
            <w:szCs w:val="20"/>
          </w:rPr>
          <w:fldChar w:fldCharType="separate"/>
        </w:r>
        <w:r>
          <w:rPr>
            <w:rFonts w:ascii="Arial" w:hAnsi="Arial" w:cs="Arial"/>
            <w:sz w:val="20"/>
            <w:szCs w:val="20"/>
            <w:lang w:val="zh-CN"/>
          </w:rPr>
          <w:t>5</w:t>
        </w:r>
        <w:r>
          <w:rPr>
            <w:rFonts w:ascii="Arial" w:hAnsi="Arial" w:cs="Arial"/>
            <w:sz w:val="20"/>
            <w:szCs w:val="20"/>
          </w:rPr>
          <w:fldChar w:fldCharType="end"/>
        </w:r>
      </w:p>
    </w:sdtContent>
  </w:sdt>
  <w:p w14:paraId="67466F0F">
    <w:pPr>
      <w:pStyle w:val="6"/>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Arial" w:hAnsi="Arial" w:cs="Arial"/>
        <w:sz w:val="20"/>
        <w:szCs w:val="20"/>
      </w:rPr>
      <w:id w:val="-1"/>
      <w:docPartObj>
        <w:docPartGallery w:val="autotext"/>
      </w:docPartObj>
    </w:sdtPr>
    <w:sdtEndPr>
      <w:rPr>
        <w:rFonts w:ascii="Arial" w:hAnsi="Arial" w:cs="Arial"/>
        <w:sz w:val="20"/>
        <w:szCs w:val="20"/>
      </w:rPr>
    </w:sdtEndPr>
    <w:sdtContent>
      <w:p w14:paraId="0D047209">
        <w:pPr>
          <w:pStyle w:val="6"/>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PAGE   \* MERGEFORMAT</w:instrText>
        </w:r>
        <w:r>
          <w:rPr>
            <w:rFonts w:ascii="Arial" w:hAnsi="Arial" w:cs="Arial"/>
            <w:sz w:val="20"/>
            <w:szCs w:val="20"/>
          </w:rPr>
          <w:fldChar w:fldCharType="separate"/>
        </w:r>
        <w:r>
          <w:rPr>
            <w:rFonts w:ascii="Arial" w:hAnsi="Arial" w:cs="Arial"/>
            <w:sz w:val="20"/>
            <w:szCs w:val="20"/>
            <w:lang w:val="zh-CN"/>
          </w:rPr>
          <w:t>5</w:t>
        </w:r>
        <w:r>
          <w:rPr>
            <w:rFonts w:ascii="Arial" w:hAnsi="Arial" w:cs="Arial"/>
            <w:sz w:val="20"/>
            <w:szCs w:val="20"/>
          </w:rPr>
          <w:fldChar w:fldCharType="end"/>
        </w:r>
      </w:p>
    </w:sdtContent>
  </w:sdt>
  <w:p w14:paraId="7E9785F4">
    <w:pPr>
      <w:pStyle w:val="6"/>
      <w:rPr>
        <w:sz w:val="20"/>
        <w:szCs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8724D7"/>
    <w:multiLevelType w:val="singleLevel"/>
    <w:tmpl w:val="D78724D7"/>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4"/>
  <w:embedSystemFonts/>
  <w:bordersDoNotSurroundHeader w:val="1"/>
  <w:bordersDoNotSurroundFooter w:val="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DA0NTM0tDAwMzQzNjBV0lEKTi0uzszPAykwM64FAKGNM0ktAAAA"/>
    <w:docVar w:name="EN.InstantFormat" w:val="&lt;ENInstantFormat&gt;&lt;Enabled&gt;1&lt;/Enabled&gt;&lt;ScanUnformatted&gt;1&lt;/ScanUnformatted&gt;&lt;ScanChanges&gt;1&lt;/ScanChanges&gt;&lt;Suspended&gt;0&lt;/Suspended&gt;&lt;/ENInstantFormat&gt;"/>
    <w:docVar w:name="EN.Layout" w:val="&lt;ENLayout&gt;&lt;Style&gt;Nature Reviews&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vd2p2ardst5wwetaauxsp2r0tpvte2zstex&quot;&gt;lzs X&amp;apos;s EndNote Library-Converted&lt;record-ids&gt;&lt;item&gt;1206&lt;/item&gt;&lt;item&gt;1207&lt;/item&gt;&lt;/record-ids&gt;&lt;/item&gt;&lt;/Libraries&gt;"/>
  </w:docVars>
  <w:rsids>
    <w:rsidRoot w:val="00422518"/>
    <w:rsid w:val="000001D1"/>
    <w:rsid w:val="00000383"/>
    <w:rsid w:val="000006F1"/>
    <w:rsid w:val="000007D2"/>
    <w:rsid w:val="00000BD6"/>
    <w:rsid w:val="00000C6E"/>
    <w:rsid w:val="0000152C"/>
    <w:rsid w:val="00001557"/>
    <w:rsid w:val="000016D2"/>
    <w:rsid w:val="00001B52"/>
    <w:rsid w:val="00001EEE"/>
    <w:rsid w:val="00001EFE"/>
    <w:rsid w:val="000021B5"/>
    <w:rsid w:val="0000225F"/>
    <w:rsid w:val="00002BA2"/>
    <w:rsid w:val="00003068"/>
    <w:rsid w:val="00003231"/>
    <w:rsid w:val="00003AC1"/>
    <w:rsid w:val="00003EF3"/>
    <w:rsid w:val="000040EC"/>
    <w:rsid w:val="00004182"/>
    <w:rsid w:val="00004254"/>
    <w:rsid w:val="00004420"/>
    <w:rsid w:val="0000453D"/>
    <w:rsid w:val="00004B3C"/>
    <w:rsid w:val="00004DA5"/>
    <w:rsid w:val="0000531E"/>
    <w:rsid w:val="000053EF"/>
    <w:rsid w:val="000055F9"/>
    <w:rsid w:val="0000583F"/>
    <w:rsid w:val="00005FE5"/>
    <w:rsid w:val="0000602F"/>
    <w:rsid w:val="0000625B"/>
    <w:rsid w:val="000064DA"/>
    <w:rsid w:val="000067F5"/>
    <w:rsid w:val="00006E07"/>
    <w:rsid w:val="00006FC6"/>
    <w:rsid w:val="00007173"/>
    <w:rsid w:val="00007217"/>
    <w:rsid w:val="00007B0F"/>
    <w:rsid w:val="00007BE7"/>
    <w:rsid w:val="00007C32"/>
    <w:rsid w:val="00007DFE"/>
    <w:rsid w:val="00007ED5"/>
    <w:rsid w:val="0001063A"/>
    <w:rsid w:val="0001071D"/>
    <w:rsid w:val="00010747"/>
    <w:rsid w:val="00010E6F"/>
    <w:rsid w:val="00010FB5"/>
    <w:rsid w:val="000110E4"/>
    <w:rsid w:val="00011186"/>
    <w:rsid w:val="00011277"/>
    <w:rsid w:val="000114F3"/>
    <w:rsid w:val="000116A5"/>
    <w:rsid w:val="000117F0"/>
    <w:rsid w:val="00011D42"/>
    <w:rsid w:val="00012172"/>
    <w:rsid w:val="000123A0"/>
    <w:rsid w:val="0001269C"/>
    <w:rsid w:val="000127E3"/>
    <w:rsid w:val="00012EF7"/>
    <w:rsid w:val="0001307A"/>
    <w:rsid w:val="0001356D"/>
    <w:rsid w:val="00013708"/>
    <w:rsid w:val="00013970"/>
    <w:rsid w:val="00013C8E"/>
    <w:rsid w:val="0001410D"/>
    <w:rsid w:val="00014187"/>
    <w:rsid w:val="00014B9B"/>
    <w:rsid w:val="0001538F"/>
    <w:rsid w:val="000153B1"/>
    <w:rsid w:val="00015459"/>
    <w:rsid w:val="000156E4"/>
    <w:rsid w:val="0001570E"/>
    <w:rsid w:val="000160B6"/>
    <w:rsid w:val="00016273"/>
    <w:rsid w:val="00016386"/>
    <w:rsid w:val="0001690F"/>
    <w:rsid w:val="00016AC3"/>
    <w:rsid w:val="00016E40"/>
    <w:rsid w:val="000170BB"/>
    <w:rsid w:val="00017108"/>
    <w:rsid w:val="000175ED"/>
    <w:rsid w:val="00017606"/>
    <w:rsid w:val="00017C88"/>
    <w:rsid w:val="00017D44"/>
    <w:rsid w:val="00017D6B"/>
    <w:rsid w:val="00017DDB"/>
    <w:rsid w:val="00017E77"/>
    <w:rsid w:val="00017E7D"/>
    <w:rsid w:val="000201EF"/>
    <w:rsid w:val="000204BF"/>
    <w:rsid w:val="00020BDE"/>
    <w:rsid w:val="00020C8E"/>
    <w:rsid w:val="00020E9E"/>
    <w:rsid w:val="000214ED"/>
    <w:rsid w:val="000219DB"/>
    <w:rsid w:val="00021B13"/>
    <w:rsid w:val="00021EB3"/>
    <w:rsid w:val="000223D3"/>
    <w:rsid w:val="00022481"/>
    <w:rsid w:val="0002297E"/>
    <w:rsid w:val="00022A1F"/>
    <w:rsid w:val="00022D09"/>
    <w:rsid w:val="000234C0"/>
    <w:rsid w:val="00023B96"/>
    <w:rsid w:val="00023C86"/>
    <w:rsid w:val="000240AB"/>
    <w:rsid w:val="000240D2"/>
    <w:rsid w:val="00024970"/>
    <w:rsid w:val="00024AA4"/>
    <w:rsid w:val="00024C11"/>
    <w:rsid w:val="0002517A"/>
    <w:rsid w:val="000252D5"/>
    <w:rsid w:val="00025547"/>
    <w:rsid w:val="0002557D"/>
    <w:rsid w:val="00025B8B"/>
    <w:rsid w:val="00026059"/>
    <w:rsid w:val="00026083"/>
    <w:rsid w:val="000260F3"/>
    <w:rsid w:val="00026F64"/>
    <w:rsid w:val="000277C2"/>
    <w:rsid w:val="00027847"/>
    <w:rsid w:val="00027851"/>
    <w:rsid w:val="00027A5F"/>
    <w:rsid w:val="00027CE1"/>
    <w:rsid w:val="0003016D"/>
    <w:rsid w:val="000304E6"/>
    <w:rsid w:val="00030D2D"/>
    <w:rsid w:val="00030E12"/>
    <w:rsid w:val="00031A08"/>
    <w:rsid w:val="00031A48"/>
    <w:rsid w:val="00031ABA"/>
    <w:rsid w:val="00031E62"/>
    <w:rsid w:val="00032166"/>
    <w:rsid w:val="00032239"/>
    <w:rsid w:val="00032628"/>
    <w:rsid w:val="00032A1F"/>
    <w:rsid w:val="00032DC2"/>
    <w:rsid w:val="00033218"/>
    <w:rsid w:val="00033B9D"/>
    <w:rsid w:val="00034516"/>
    <w:rsid w:val="000345C4"/>
    <w:rsid w:val="00034A1E"/>
    <w:rsid w:val="000350E1"/>
    <w:rsid w:val="00035A2E"/>
    <w:rsid w:val="00035B52"/>
    <w:rsid w:val="00036201"/>
    <w:rsid w:val="000366A8"/>
    <w:rsid w:val="000366D0"/>
    <w:rsid w:val="000367EA"/>
    <w:rsid w:val="000374E3"/>
    <w:rsid w:val="00037C58"/>
    <w:rsid w:val="00037C9F"/>
    <w:rsid w:val="00037F97"/>
    <w:rsid w:val="0004007C"/>
    <w:rsid w:val="00040252"/>
    <w:rsid w:val="0004058E"/>
    <w:rsid w:val="000408A0"/>
    <w:rsid w:val="00040CED"/>
    <w:rsid w:val="00041074"/>
    <w:rsid w:val="00041496"/>
    <w:rsid w:val="000421BD"/>
    <w:rsid w:val="000424A6"/>
    <w:rsid w:val="000429B1"/>
    <w:rsid w:val="00042BCD"/>
    <w:rsid w:val="00042E84"/>
    <w:rsid w:val="000430E4"/>
    <w:rsid w:val="000431B1"/>
    <w:rsid w:val="000434A4"/>
    <w:rsid w:val="0004390A"/>
    <w:rsid w:val="00043B18"/>
    <w:rsid w:val="00043BEE"/>
    <w:rsid w:val="00043E2A"/>
    <w:rsid w:val="00044210"/>
    <w:rsid w:val="0004424C"/>
    <w:rsid w:val="00044344"/>
    <w:rsid w:val="00044427"/>
    <w:rsid w:val="0004491B"/>
    <w:rsid w:val="00044A65"/>
    <w:rsid w:val="00044E0D"/>
    <w:rsid w:val="0004572D"/>
    <w:rsid w:val="00045AD8"/>
    <w:rsid w:val="00045E8A"/>
    <w:rsid w:val="0004627D"/>
    <w:rsid w:val="0004635C"/>
    <w:rsid w:val="0004641B"/>
    <w:rsid w:val="000467BC"/>
    <w:rsid w:val="00046B11"/>
    <w:rsid w:val="00047140"/>
    <w:rsid w:val="00047518"/>
    <w:rsid w:val="00047BCB"/>
    <w:rsid w:val="00047D64"/>
    <w:rsid w:val="00047FD5"/>
    <w:rsid w:val="00047FDE"/>
    <w:rsid w:val="000501CC"/>
    <w:rsid w:val="000503EC"/>
    <w:rsid w:val="000504D8"/>
    <w:rsid w:val="000509BB"/>
    <w:rsid w:val="00050C02"/>
    <w:rsid w:val="00050E54"/>
    <w:rsid w:val="00050F83"/>
    <w:rsid w:val="0005157F"/>
    <w:rsid w:val="000517E0"/>
    <w:rsid w:val="00051FB7"/>
    <w:rsid w:val="00052172"/>
    <w:rsid w:val="00052786"/>
    <w:rsid w:val="00052C2C"/>
    <w:rsid w:val="00052C7B"/>
    <w:rsid w:val="00053258"/>
    <w:rsid w:val="00053C25"/>
    <w:rsid w:val="00053C4E"/>
    <w:rsid w:val="00053CEC"/>
    <w:rsid w:val="00053F53"/>
    <w:rsid w:val="0005425D"/>
    <w:rsid w:val="0005442A"/>
    <w:rsid w:val="00054865"/>
    <w:rsid w:val="00054A09"/>
    <w:rsid w:val="00054AB8"/>
    <w:rsid w:val="00054F95"/>
    <w:rsid w:val="000551AA"/>
    <w:rsid w:val="00055261"/>
    <w:rsid w:val="000555F8"/>
    <w:rsid w:val="00055A01"/>
    <w:rsid w:val="00056280"/>
    <w:rsid w:val="00056C2B"/>
    <w:rsid w:val="00056CC6"/>
    <w:rsid w:val="00057002"/>
    <w:rsid w:val="000570DB"/>
    <w:rsid w:val="000576CB"/>
    <w:rsid w:val="00057799"/>
    <w:rsid w:val="000577B3"/>
    <w:rsid w:val="00057902"/>
    <w:rsid w:val="000579B6"/>
    <w:rsid w:val="00057A86"/>
    <w:rsid w:val="000600DC"/>
    <w:rsid w:val="00060163"/>
    <w:rsid w:val="0006019F"/>
    <w:rsid w:val="00060469"/>
    <w:rsid w:val="00060790"/>
    <w:rsid w:val="00060C30"/>
    <w:rsid w:val="00060F3A"/>
    <w:rsid w:val="0006133C"/>
    <w:rsid w:val="000613AF"/>
    <w:rsid w:val="00061489"/>
    <w:rsid w:val="0006150B"/>
    <w:rsid w:val="000618A7"/>
    <w:rsid w:val="00061B5F"/>
    <w:rsid w:val="00061C0A"/>
    <w:rsid w:val="00061D6C"/>
    <w:rsid w:val="00061FF7"/>
    <w:rsid w:val="0006232C"/>
    <w:rsid w:val="00062798"/>
    <w:rsid w:val="000627A5"/>
    <w:rsid w:val="000627F2"/>
    <w:rsid w:val="00062F65"/>
    <w:rsid w:val="00062F66"/>
    <w:rsid w:val="0006368F"/>
    <w:rsid w:val="00063BF0"/>
    <w:rsid w:val="00063F29"/>
    <w:rsid w:val="0006406C"/>
    <w:rsid w:val="00064404"/>
    <w:rsid w:val="00064564"/>
    <w:rsid w:val="0006458A"/>
    <w:rsid w:val="0006486A"/>
    <w:rsid w:val="00064ACD"/>
    <w:rsid w:val="00064BAB"/>
    <w:rsid w:val="00064BE8"/>
    <w:rsid w:val="00064CBF"/>
    <w:rsid w:val="00064CD4"/>
    <w:rsid w:val="00064CD5"/>
    <w:rsid w:val="00064FE4"/>
    <w:rsid w:val="000657D6"/>
    <w:rsid w:val="00065965"/>
    <w:rsid w:val="00065A28"/>
    <w:rsid w:val="00066058"/>
    <w:rsid w:val="00066612"/>
    <w:rsid w:val="0006687B"/>
    <w:rsid w:val="00066A05"/>
    <w:rsid w:val="00066CB2"/>
    <w:rsid w:val="00066DE3"/>
    <w:rsid w:val="00066E01"/>
    <w:rsid w:val="00066F04"/>
    <w:rsid w:val="0006792B"/>
    <w:rsid w:val="00067977"/>
    <w:rsid w:val="0006799C"/>
    <w:rsid w:val="0007014D"/>
    <w:rsid w:val="00070214"/>
    <w:rsid w:val="00070CC6"/>
    <w:rsid w:val="00070D1A"/>
    <w:rsid w:val="00071453"/>
    <w:rsid w:val="00071B92"/>
    <w:rsid w:val="00071F11"/>
    <w:rsid w:val="00071F6F"/>
    <w:rsid w:val="000720BE"/>
    <w:rsid w:val="000725EC"/>
    <w:rsid w:val="00072830"/>
    <w:rsid w:val="00072E1A"/>
    <w:rsid w:val="000735D6"/>
    <w:rsid w:val="000737A0"/>
    <w:rsid w:val="000739AA"/>
    <w:rsid w:val="00073A37"/>
    <w:rsid w:val="00073A72"/>
    <w:rsid w:val="00073B05"/>
    <w:rsid w:val="00073DAF"/>
    <w:rsid w:val="00073E0F"/>
    <w:rsid w:val="000741CD"/>
    <w:rsid w:val="00074343"/>
    <w:rsid w:val="00074374"/>
    <w:rsid w:val="0007463F"/>
    <w:rsid w:val="00074655"/>
    <w:rsid w:val="00074889"/>
    <w:rsid w:val="0007499D"/>
    <w:rsid w:val="00074ADF"/>
    <w:rsid w:val="00074B03"/>
    <w:rsid w:val="0007529F"/>
    <w:rsid w:val="00075A86"/>
    <w:rsid w:val="00075CF0"/>
    <w:rsid w:val="00076196"/>
    <w:rsid w:val="000761E2"/>
    <w:rsid w:val="0007642E"/>
    <w:rsid w:val="00076870"/>
    <w:rsid w:val="0007700B"/>
    <w:rsid w:val="00077222"/>
    <w:rsid w:val="000772D2"/>
    <w:rsid w:val="00077AAA"/>
    <w:rsid w:val="000803F1"/>
    <w:rsid w:val="00080E3C"/>
    <w:rsid w:val="0008154B"/>
    <w:rsid w:val="00081575"/>
    <w:rsid w:val="00081E0C"/>
    <w:rsid w:val="00082647"/>
    <w:rsid w:val="00082654"/>
    <w:rsid w:val="00082679"/>
    <w:rsid w:val="000826C0"/>
    <w:rsid w:val="00082851"/>
    <w:rsid w:val="000832E2"/>
    <w:rsid w:val="000833A4"/>
    <w:rsid w:val="00083E98"/>
    <w:rsid w:val="00084678"/>
    <w:rsid w:val="000846A3"/>
    <w:rsid w:val="000847B2"/>
    <w:rsid w:val="00084819"/>
    <w:rsid w:val="00084BAA"/>
    <w:rsid w:val="00085165"/>
    <w:rsid w:val="0008516D"/>
    <w:rsid w:val="0008555E"/>
    <w:rsid w:val="000858A6"/>
    <w:rsid w:val="00085E9E"/>
    <w:rsid w:val="00085F31"/>
    <w:rsid w:val="000861EF"/>
    <w:rsid w:val="000863E7"/>
    <w:rsid w:val="00086573"/>
    <w:rsid w:val="00086642"/>
    <w:rsid w:val="0008673A"/>
    <w:rsid w:val="00086961"/>
    <w:rsid w:val="00086A84"/>
    <w:rsid w:val="00086D3B"/>
    <w:rsid w:val="00086D6A"/>
    <w:rsid w:val="000876E9"/>
    <w:rsid w:val="00087B64"/>
    <w:rsid w:val="00087E75"/>
    <w:rsid w:val="00087F3E"/>
    <w:rsid w:val="000903CE"/>
    <w:rsid w:val="000908C2"/>
    <w:rsid w:val="00090D4D"/>
    <w:rsid w:val="00090F1D"/>
    <w:rsid w:val="000910CB"/>
    <w:rsid w:val="00091560"/>
    <w:rsid w:val="00091628"/>
    <w:rsid w:val="000919BC"/>
    <w:rsid w:val="00091A0B"/>
    <w:rsid w:val="00091D45"/>
    <w:rsid w:val="00092A38"/>
    <w:rsid w:val="00092C38"/>
    <w:rsid w:val="00092C85"/>
    <w:rsid w:val="00092D1B"/>
    <w:rsid w:val="00092EA1"/>
    <w:rsid w:val="0009341C"/>
    <w:rsid w:val="0009353F"/>
    <w:rsid w:val="00093568"/>
    <w:rsid w:val="00093593"/>
    <w:rsid w:val="000938D0"/>
    <w:rsid w:val="00093F47"/>
    <w:rsid w:val="000942C9"/>
    <w:rsid w:val="00094B8C"/>
    <w:rsid w:val="00094C63"/>
    <w:rsid w:val="00094C7A"/>
    <w:rsid w:val="00094CC0"/>
    <w:rsid w:val="00095C83"/>
    <w:rsid w:val="00095CA0"/>
    <w:rsid w:val="000965C4"/>
    <w:rsid w:val="00096989"/>
    <w:rsid w:val="00096BD7"/>
    <w:rsid w:val="000977DA"/>
    <w:rsid w:val="000978AC"/>
    <w:rsid w:val="00097C48"/>
    <w:rsid w:val="00097F5E"/>
    <w:rsid w:val="000A03A2"/>
    <w:rsid w:val="000A0762"/>
    <w:rsid w:val="000A0CC3"/>
    <w:rsid w:val="000A1003"/>
    <w:rsid w:val="000A126A"/>
    <w:rsid w:val="000A13F3"/>
    <w:rsid w:val="000A146D"/>
    <w:rsid w:val="000A14A5"/>
    <w:rsid w:val="000A1514"/>
    <w:rsid w:val="000A1559"/>
    <w:rsid w:val="000A1656"/>
    <w:rsid w:val="000A1838"/>
    <w:rsid w:val="000A1941"/>
    <w:rsid w:val="000A1C74"/>
    <w:rsid w:val="000A1D43"/>
    <w:rsid w:val="000A1FB7"/>
    <w:rsid w:val="000A2E2B"/>
    <w:rsid w:val="000A3056"/>
    <w:rsid w:val="000A3477"/>
    <w:rsid w:val="000A3870"/>
    <w:rsid w:val="000A394D"/>
    <w:rsid w:val="000A3974"/>
    <w:rsid w:val="000A3C0E"/>
    <w:rsid w:val="000A41B2"/>
    <w:rsid w:val="000A4A0A"/>
    <w:rsid w:val="000A4B92"/>
    <w:rsid w:val="000A4D55"/>
    <w:rsid w:val="000A506B"/>
    <w:rsid w:val="000A54E1"/>
    <w:rsid w:val="000A5722"/>
    <w:rsid w:val="000A5AA0"/>
    <w:rsid w:val="000A5D32"/>
    <w:rsid w:val="000A6147"/>
    <w:rsid w:val="000A64F0"/>
    <w:rsid w:val="000A66C3"/>
    <w:rsid w:val="000A6A39"/>
    <w:rsid w:val="000A74B9"/>
    <w:rsid w:val="000A76D1"/>
    <w:rsid w:val="000A7B3E"/>
    <w:rsid w:val="000A7ECF"/>
    <w:rsid w:val="000B0163"/>
    <w:rsid w:val="000B080E"/>
    <w:rsid w:val="000B08FB"/>
    <w:rsid w:val="000B0928"/>
    <w:rsid w:val="000B0938"/>
    <w:rsid w:val="000B0F44"/>
    <w:rsid w:val="000B198A"/>
    <w:rsid w:val="000B1A52"/>
    <w:rsid w:val="000B1F4C"/>
    <w:rsid w:val="000B2016"/>
    <w:rsid w:val="000B22E4"/>
    <w:rsid w:val="000B2510"/>
    <w:rsid w:val="000B2630"/>
    <w:rsid w:val="000B27D5"/>
    <w:rsid w:val="000B2BEF"/>
    <w:rsid w:val="000B3167"/>
    <w:rsid w:val="000B31F1"/>
    <w:rsid w:val="000B332D"/>
    <w:rsid w:val="000B37D2"/>
    <w:rsid w:val="000B4025"/>
    <w:rsid w:val="000B484A"/>
    <w:rsid w:val="000B4A32"/>
    <w:rsid w:val="000B4B1A"/>
    <w:rsid w:val="000B4B9D"/>
    <w:rsid w:val="000B4F3A"/>
    <w:rsid w:val="000B52B1"/>
    <w:rsid w:val="000B5338"/>
    <w:rsid w:val="000B53B4"/>
    <w:rsid w:val="000B57BE"/>
    <w:rsid w:val="000B599D"/>
    <w:rsid w:val="000B5B7F"/>
    <w:rsid w:val="000B5C65"/>
    <w:rsid w:val="000B5D5A"/>
    <w:rsid w:val="000B663D"/>
    <w:rsid w:val="000B6733"/>
    <w:rsid w:val="000B7496"/>
    <w:rsid w:val="000B79D3"/>
    <w:rsid w:val="000B7F9D"/>
    <w:rsid w:val="000C010B"/>
    <w:rsid w:val="000C0424"/>
    <w:rsid w:val="000C0475"/>
    <w:rsid w:val="000C04C2"/>
    <w:rsid w:val="000C0A23"/>
    <w:rsid w:val="000C0C73"/>
    <w:rsid w:val="000C0CC0"/>
    <w:rsid w:val="000C0F2D"/>
    <w:rsid w:val="000C15A1"/>
    <w:rsid w:val="000C16A4"/>
    <w:rsid w:val="000C18B8"/>
    <w:rsid w:val="000C1A2B"/>
    <w:rsid w:val="000C249D"/>
    <w:rsid w:val="000C25D7"/>
    <w:rsid w:val="000C3411"/>
    <w:rsid w:val="000C344A"/>
    <w:rsid w:val="000C34E6"/>
    <w:rsid w:val="000C40C8"/>
    <w:rsid w:val="000C413E"/>
    <w:rsid w:val="000C41AB"/>
    <w:rsid w:val="000C4259"/>
    <w:rsid w:val="000C42E7"/>
    <w:rsid w:val="000C4C77"/>
    <w:rsid w:val="000C4D0B"/>
    <w:rsid w:val="000C5388"/>
    <w:rsid w:val="000C5A81"/>
    <w:rsid w:val="000C5A93"/>
    <w:rsid w:val="000C5AE2"/>
    <w:rsid w:val="000C5F4E"/>
    <w:rsid w:val="000C5F6E"/>
    <w:rsid w:val="000C61F7"/>
    <w:rsid w:val="000C6316"/>
    <w:rsid w:val="000C655F"/>
    <w:rsid w:val="000C657E"/>
    <w:rsid w:val="000C6B63"/>
    <w:rsid w:val="000C6BD6"/>
    <w:rsid w:val="000C6EB2"/>
    <w:rsid w:val="000C703B"/>
    <w:rsid w:val="000C7422"/>
    <w:rsid w:val="000C7632"/>
    <w:rsid w:val="000C76E9"/>
    <w:rsid w:val="000C79AC"/>
    <w:rsid w:val="000C7A7C"/>
    <w:rsid w:val="000D0BB6"/>
    <w:rsid w:val="000D0C1D"/>
    <w:rsid w:val="000D0E3E"/>
    <w:rsid w:val="000D123D"/>
    <w:rsid w:val="000D12A2"/>
    <w:rsid w:val="000D16F6"/>
    <w:rsid w:val="000D1B48"/>
    <w:rsid w:val="000D1BAF"/>
    <w:rsid w:val="000D1D18"/>
    <w:rsid w:val="000D1E9C"/>
    <w:rsid w:val="000D1EE6"/>
    <w:rsid w:val="000D1FFC"/>
    <w:rsid w:val="000D217F"/>
    <w:rsid w:val="000D2350"/>
    <w:rsid w:val="000D25FB"/>
    <w:rsid w:val="000D2A5E"/>
    <w:rsid w:val="000D2B6B"/>
    <w:rsid w:val="000D3274"/>
    <w:rsid w:val="000D348A"/>
    <w:rsid w:val="000D350B"/>
    <w:rsid w:val="000D3C38"/>
    <w:rsid w:val="000D3CDC"/>
    <w:rsid w:val="000D3DA8"/>
    <w:rsid w:val="000D40AC"/>
    <w:rsid w:val="000D4237"/>
    <w:rsid w:val="000D44FB"/>
    <w:rsid w:val="000D45FE"/>
    <w:rsid w:val="000D4C5A"/>
    <w:rsid w:val="000D4CED"/>
    <w:rsid w:val="000D4EE9"/>
    <w:rsid w:val="000D4F58"/>
    <w:rsid w:val="000D535D"/>
    <w:rsid w:val="000D53E3"/>
    <w:rsid w:val="000D5527"/>
    <w:rsid w:val="000D5BDE"/>
    <w:rsid w:val="000D5C36"/>
    <w:rsid w:val="000D5C40"/>
    <w:rsid w:val="000D5D60"/>
    <w:rsid w:val="000D5E95"/>
    <w:rsid w:val="000D6125"/>
    <w:rsid w:val="000D688B"/>
    <w:rsid w:val="000D69B0"/>
    <w:rsid w:val="000D6D7C"/>
    <w:rsid w:val="000D6FF2"/>
    <w:rsid w:val="000D7236"/>
    <w:rsid w:val="000D7835"/>
    <w:rsid w:val="000D7B50"/>
    <w:rsid w:val="000D7C41"/>
    <w:rsid w:val="000D7CCE"/>
    <w:rsid w:val="000D7E5E"/>
    <w:rsid w:val="000D7F20"/>
    <w:rsid w:val="000E01B3"/>
    <w:rsid w:val="000E0263"/>
    <w:rsid w:val="000E084F"/>
    <w:rsid w:val="000E1025"/>
    <w:rsid w:val="000E1457"/>
    <w:rsid w:val="000E195D"/>
    <w:rsid w:val="000E2106"/>
    <w:rsid w:val="000E21AC"/>
    <w:rsid w:val="000E22F8"/>
    <w:rsid w:val="000E2CB0"/>
    <w:rsid w:val="000E3158"/>
    <w:rsid w:val="000E327B"/>
    <w:rsid w:val="000E370B"/>
    <w:rsid w:val="000E374B"/>
    <w:rsid w:val="000E374F"/>
    <w:rsid w:val="000E3977"/>
    <w:rsid w:val="000E3AF8"/>
    <w:rsid w:val="000E3C9B"/>
    <w:rsid w:val="000E3CD1"/>
    <w:rsid w:val="000E3D19"/>
    <w:rsid w:val="000E3EB5"/>
    <w:rsid w:val="000E43A5"/>
    <w:rsid w:val="000E46B5"/>
    <w:rsid w:val="000E4878"/>
    <w:rsid w:val="000E4989"/>
    <w:rsid w:val="000E49CB"/>
    <w:rsid w:val="000E4AAE"/>
    <w:rsid w:val="000E4CD5"/>
    <w:rsid w:val="000E4F54"/>
    <w:rsid w:val="000E5DFC"/>
    <w:rsid w:val="000E622C"/>
    <w:rsid w:val="000E645C"/>
    <w:rsid w:val="000E6582"/>
    <w:rsid w:val="000E6CAA"/>
    <w:rsid w:val="000E6E28"/>
    <w:rsid w:val="000E7062"/>
    <w:rsid w:val="000E73C3"/>
    <w:rsid w:val="000E772E"/>
    <w:rsid w:val="000E7CB2"/>
    <w:rsid w:val="000F006B"/>
    <w:rsid w:val="000F012D"/>
    <w:rsid w:val="000F02A0"/>
    <w:rsid w:val="000F047D"/>
    <w:rsid w:val="000F052D"/>
    <w:rsid w:val="000F0597"/>
    <w:rsid w:val="000F05C4"/>
    <w:rsid w:val="000F0B76"/>
    <w:rsid w:val="000F0CA4"/>
    <w:rsid w:val="000F0CBC"/>
    <w:rsid w:val="000F0D22"/>
    <w:rsid w:val="000F0E1C"/>
    <w:rsid w:val="000F1080"/>
    <w:rsid w:val="000F174E"/>
    <w:rsid w:val="000F185A"/>
    <w:rsid w:val="000F18A9"/>
    <w:rsid w:val="000F1F4F"/>
    <w:rsid w:val="000F2093"/>
    <w:rsid w:val="000F2258"/>
    <w:rsid w:val="000F22A0"/>
    <w:rsid w:val="000F232F"/>
    <w:rsid w:val="000F23A4"/>
    <w:rsid w:val="000F23DC"/>
    <w:rsid w:val="000F2640"/>
    <w:rsid w:val="000F2746"/>
    <w:rsid w:val="000F2C91"/>
    <w:rsid w:val="000F2F05"/>
    <w:rsid w:val="000F2F71"/>
    <w:rsid w:val="000F3155"/>
    <w:rsid w:val="000F32C0"/>
    <w:rsid w:val="000F3789"/>
    <w:rsid w:val="000F38B2"/>
    <w:rsid w:val="000F3C95"/>
    <w:rsid w:val="000F3CE4"/>
    <w:rsid w:val="000F4266"/>
    <w:rsid w:val="000F4563"/>
    <w:rsid w:val="000F4759"/>
    <w:rsid w:val="000F4903"/>
    <w:rsid w:val="000F4958"/>
    <w:rsid w:val="000F4C9C"/>
    <w:rsid w:val="000F4D89"/>
    <w:rsid w:val="000F501A"/>
    <w:rsid w:val="000F502D"/>
    <w:rsid w:val="000F5862"/>
    <w:rsid w:val="000F586A"/>
    <w:rsid w:val="000F5A10"/>
    <w:rsid w:val="000F6073"/>
    <w:rsid w:val="000F690D"/>
    <w:rsid w:val="000F72DA"/>
    <w:rsid w:val="000F73C0"/>
    <w:rsid w:val="000F740D"/>
    <w:rsid w:val="000F7586"/>
    <w:rsid w:val="000F75EE"/>
    <w:rsid w:val="000F77B0"/>
    <w:rsid w:val="000F7A3A"/>
    <w:rsid w:val="000F7AC7"/>
    <w:rsid w:val="000F7E07"/>
    <w:rsid w:val="00100B0C"/>
    <w:rsid w:val="00100BD3"/>
    <w:rsid w:val="00101323"/>
    <w:rsid w:val="0010136C"/>
    <w:rsid w:val="0010188A"/>
    <w:rsid w:val="00101D58"/>
    <w:rsid w:val="00101F83"/>
    <w:rsid w:val="0010207B"/>
    <w:rsid w:val="001020D1"/>
    <w:rsid w:val="0010249C"/>
    <w:rsid w:val="00102A83"/>
    <w:rsid w:val="00102E60"/>
    <w:rsid w:val="00102E6A"/>
    <w:rsid w:val="0010331E"/>
    <w:rsid w:val="001034D6"/>
    <w:rsid w:val="00103B62"/>
    <w:rsid w:val="00103E3D"/>
    <w:rsid w:val="001042CB"/>
    <w:rsid w:val="001043A4"/>
    <w:rsid w:val="00104C8E"/>
    <w:rsid w:val="00104E75"/>
    <w:rsid w:val="001051A3"/>
    <w:rsid w:val="001051F8"/>
    <w:rsid w:val="00105462"/>
    <w:rsid w:val="00105B40"/>
    <w:rsid w:val="00105E3C"/>
    <w:rsid w:val="00106207"/>
    <w:rsid w:val="001062CB"/>
    <w:rsid w:val="00106513"/>
    <w:rsid w:val="00106692"/>
    <w:rsid w:val="001066E7"/>
    <w:rsid w:val="001067F5"/>
    <w:rsid w:val="00106C75"/>
    <w:rsid w:val="00106FB0"/>
    <w:rsid w:val="001070A0"/>
    <w:rsid w:val="001070A7"/>
    <w:rsid w:val="00107214"/>
    <w:rsid w:val="00107226"/>
    <w:rsid w:val="001077E7"/>
    <w:rsid w:val="001078DB"/>
    <w:rsid w:val="00107B12"/>
    <w:rsid w:val="00107D1C"/>
    <w:rsid w:val="00107D3B"/>
    <w:rsid w:val="001105F8"/>
    <w:rsid w:val="0011069B"/>
    <w:rsid w:val="001107CB"/>
    <w:rsid w:val="00110B21"/>
    <w:rsid w:val="00111736"/>
    <w:rsid w:val="00111EE8"/>
    <w:rsid w:val="00112070"/>
    <w:rsid w:val="001121EF"/>
    <w:rsid w:val="00112B09"/>
    <w:rsid w:val="00112BAC"/>
    <w:rsid w:val="0011371B"/>
    <w:rsid w:val="00113904"/>
    <w:rsid w:val="00113AAD"/>
    <w:rsid w:val="00113D88"/>
    <w:rsid w:val="00114455"/>
    <w:rsid w:val="001152D3"/>
    <w:rsid w:val="0011542A"/>
    <w:rsid w:val="00115945"/>
    <w:rsid w:val="00115C55"/>
    <w:rsid w:val="00116137"/>
    <w:rsid w:val="00116463"/>
    <w:rsid w:val="00116511"/>
    <w:rsid w:val="0011678B"/>
    <w:rsid w:val="00116F59"/>
    <w:rsid w:val="001174A5"/>
    <w:rsid w:val="00117FC6"/>
    <w:rsid w:val="00120008"/>
    <w:rsid w:val="001200A3"/>
    <w:rsid w:val="001201F9"/>
    <w:rsid w:val="001202E1"/>
    <w:rsid w:val="00120490"/>
    <w:rsid w:val="00120636"/>
    <w:rsid w:val="001206D9"/>
    <w:rsid w:val="001208C8"/>
    <w:rsid w:val="00120E02"/>
    <w:rsid w:val="00121451"/>
    <w:rsid w:val="0012168A"/>
    <w:rsid w:val="00121A52"/>
    <w:rsid w:val="00121BA3"/>
    <w:rsid w:val="00121CB2"/>
    <w:rsid w:val="00121D0F"/>
    <w:rsid w:val="00121DC7"/>
    <w:rsid w:val="00121F29"/>
    <w:rsid w:val="001224E3"/>
    <w:rsid w:val="001224EA"/>
    <w:rsid w:val="001229CF"/>
    <w:rsid w:val="00122A42"/>
    <w:rsid w:val="00122A57"/>
    <w:rsid w:val="00122A61"/>
    <w:rsid w:val="00123484"/>
    <w:rsid w:val="00123806"/>
    <w:rsid w:val="001238AE"/>
    <w:rsid w:val="00123F73"/>
    <w:rsid w:val="0012401B"/>
    <w:rsid w:val="001240F9"/>
    <w:rsid w:val="00124B63"/>
    <w:rsid w:val="00124BA1"/>
    <w:rsid w:val="001251D2"/>
    <w:rsid w:val="001253D8"/>
    <w:rsid w:val="00125436"/>
    <w:rsid w:val="001254CB"/>
    <w:rsid w:val="001255D9"/>
    <w:rsid w:val="00125C51"/>
    <w:rsid w:val="001264F9"/>
    <w:rsid w:val="001266AB"/>
    <w:rsid w:val="00126780"/>
    <w:rsid w:val="00126A13"/>
    <w:rsid w:val="00126F8B"/>
    <w:rsid w:val="0012783E"/>
    <w:rsid w:val="0012792F"/>
    <w:rsid w:val="001279DD"/>
    <w:rsid w:val="00127DCB"/>
    <w:rsid w:val="00127F0B"/>
    <w:rsid w:val="001300C7"/>
    <w:rsid w:val="001306AB"/>
    <w:rsid w:val="00130808"/>
    <w:rsid w:val="001308F8"/>
    <w:rsid w:val="0013098A"/>
    <w:rsid w:val="00130AC3"/>
    <w:rsid w:val="00130C4D"/>
    <w:rsid w:val="00130D9C"/>
    <w:rsid w:val="00131221"/>
    <w:rsid w:val="001313EC"/>
    <w:rsid w:val="001315EB"/>
    <w:rsid w:val="0013176E"/>
    <w:rsid w:val="00131B51"/>
    <w:rsid w:val="00131BC7"/>
    <w:rsid w:val="00131F7F"/>
    <w:rsid w:val="00131FE4"/>
    <w:rsid w:val="00132180"/>
    <w:rsid w:val="001323F9"/>
    <w:rsid w:val="00132533"/>
    <w:rsid w:val="001325BE"/>
    <w:rsid w:val="00132634"/>
    <w:rsid w:val="00132AD1"/>
    <w:rsid w:val="00132F66"/>
    <w:rsid w:val="00133465"/>
    <w:rsid w:val="0013416B"/>
    <w:rsid w:val="001347BE"/>
    <w:rsid w:val="00134B88"/>
    <w:rsid w:val="00134F86"/>
    <w:rsid w:val="001350D3"/>
    <w:rsid w:val="001351A2"/>
    <w:rsid w:val="001351B7"/>
    <w:rsid w:val="001356FB"/>
    <w:rsid w:val="00135900"/>
    <w:rsid w:val="00135CED"/>
    <w:rsid w:val="00135D4D"/>
    <w:rsid w:val="00136667"/>
    <w:rsid w:val="00136894"/>
    <w:rsid w:val="00136AB5"/>
    <w:rsid w:val="00137100"/>
    <w:rsid w:val="001377EB"/>
    <w:rsid w:val="00137D77"/>
    <w:rsid w:val="00137F5C"/>
    <w:rsid w:val="00137F83"/>
    <w:rsid w:val="0014076C"/>
    <w:rsid w:val="0014099F"/>
    <w:rsid w:val="00141103"/>
    <w:rsid w:val="00141187"/>
    <w:rsid w:val="001412B4"/>
    <w:rsid w:val="001413C1"/>
    <w:rsid w:val="001416DD"/>
    <w:rsid w:val="00141A8B"/>
    <w:rsid w:val="00141E78"/>
    <w:rsid w:val="0014252B"/>
    <w:rsid w:val="00142755"/>
    <w:rsid w:val="00142CB1"/>
    <w:rsid w:val="00143038"/>
    <w:rsid w:val="0014333F"/>
    <w:rsid w:val="00143400"/>
    <w:rsid w:val="0014357A"/>
    <w:rsid w:val="00143C95"/>
    <w:rsid w:val="00143D3E"/>
    <w:rsid w:val="00143D75"/>
    <w:rsid w:val="00143E24"/>
    <w:rsid w:val="00143FB7"/>
    <w:rsid w:val="00144D12"/>
    <w:rsid w:val="00145512"/>
    <w:rsid w:val="00145C6E"/>
    <w:rsid w:val="00145E35"/>
    <w:rsid w:val="00145E84"/>
    <w:rsid w:val="00145F74"/>
    <w:rsid w:val="00145F85"/>
    <w:rsid w:val="001460BF"/>
    <w:rsid w:val="001460C1"/>
    <w:rsid w:val="0014621A"/>
    <w:rsid w:val="001463F0"/>
    <w:rsid w:val="00146D2D"/>
    <w:rsid w:val="00146E00"/>
    <w:rsid w:val="001471DC"/>
    <w:rsid w:val="00147268"/>
    <w:rsid w:val="0014732D"/>
    <w:rsid w:val="00147342"/>
    <w:rsid w:val="00147D75"/>
    <w:rsid w:val="001500E2"/>
    <w:rsid w:val="001503D8"/>
    <w:rsid w:val="00150A41"/>
    <w:rsid w:val="00150D95"/>
    <w:rsid w:val="0015111B"/>
    <w:rsid w:val="00151780"/>
    <w:rsid w:val="00151923"/>
    <w:rsid w:val="001526E2"/>
    <w:rsid w:val="00152803"/>
    <w:rsid w:val="00152A2B"/>
    <w:rsid w:val="00152FB3"/>
    <w:rsid w:val="001533AF"/>
    <w:rsid w:val="00153668"/>
    <w:rsid w:val="001538FF"/>
    <w:rsid w:val="00153BF7"/>
    <w:rsid w:val="00153FB0"/>
    <w:rsid w:val="00154362"/>
    <w:rsid w:val="00154430"/>
    <w:rsid w:val="0015464C"/>
    <w:rsid w:val="001549F6"/>
    <w:rsid w:val="00154A15"/>
    <w:rsid w:val="00154CC2"/>
    <w:rsid w:val="00154D19"/>
    <w:rsid w:val="00154D6C"/>
    <w:rsid w:val="00155790"/>
    <w:rsid w:val="00155A0C"/>
    <w:rsid w:val="00155BE4"/>
    <w:rsid w:val="00155CCD"/>
    <w:rsid w:val="001560AD"/>
    <w:rsid w:val="00156131"/>
    <w:rsid w:val="001563D0"/>
    <w:rsid w:val="001565C3"/>
    <w:rsid w:val="001568C4"/>
    <w:rsid w:val="00156EEF"/>
    <w:rsid w:val="00157168"/>
    <w:rsid w:val="00157223"/>
    <w:rsid w:val="0015735E"/>
    <w:rsid w:val="00157E2D"/>
    <w:rsid w:val="00157F85"/>
    <w:rsid w:val="00157FE6"/>
    <w:rsid w:val="00160238"/>
    <w:rsid w:val="001603C3"/>
    <w:rsid w:val="001603DC"/>
    <w:rsid w:val="00160D73"/>
    <w:rsid w:val="001610DD"/>
    <w:rsid w:val="00161183"/>
    <w:rsid w:val="00161494"/>
    <w:rsid w:val="0016171A"/>
    <w:rsid w:val="001617C9"/>
    <w:rsid w:val="001618D8"/>
    <w:rsid w:val="001618FB"/>
    <w:rsid w:val="00161B76"/>
    <w:rsid w:val="00161BC7"/>
    <w:rsid w:val="0016219A"/>
    <w:rsid w:val="00162366"/>
    <w:rsid w:val="0016263A"/>
    <w:rsid w:val="00162972"/>
    <w:rsid w:val="00162A07"/>
    <w:rsid w:val="00162C95"/>
    <w:rsid w:val="00162E0A"/>
    <w:rsid w:val="00163163"/>
    <w:rsid w:val="001631B5"/>
    <w:rsid w:val="00163746"/>
    <w:rsid w:val="00163775"/>
    <w:rsid w:val="001638AD"/>
    <w:rsid w:val="00163A9A"/>
    <w:rsid w:val="00163B72"/>
    <w:rsid w:val="00163C80"/>
    <w:rsid w:val="00163EAE"/>
    <w:rsid w:val="00164137"/>
    <w:rsid w:val="001647CD"/>
    <w:rsid w:val="00164865"/>
    <w:rsid w:val="00164C06"/>
    <w:rsid w:val="00164C52"/>
    <w:rsid w:val="00164ED2"/>
    <w:rsid w:val="00164FF6"/>
    <w:rsid w:val="001650CE"/>
    <w:rsid w:val="0016547D"/>
    <w:rsid w:val="001658FC"/>
    <w:rsid w:val="00165BAF"/>
    <w:rsid w:val="00165C45"/>
    <w:rsid w:val="00165ECB"/>
    <w:rsid w:val="00165FC8"/>
    <w:rsid w:val="001661C6"/>
    <w:rsid w:val="00166E74"/>
    <w:rsid w:val="00166E9E"/>
    <w:rsid w:val="00167020"/>
    <w:rsid w:val="001671EC"/>
    <w:rsid w:val="001676B0"/>
    <w:rsid w:val="0016777E"/>
    <w:rsid w:val="001677F2"/>
    <w:rsid w:val="00167F78"/>
    <w:rsid w:val="0017003E"/>
    <w:rsid w:val="001702BE"/>
    <w:rsid w:val="00170473"/>
    <w:rsid w:val="001704F7"/>
    <w:rsid w:val="001706C6"/>
    <w:rsid w:val="001707ED"/>
    <w:rsid w:val="00170C92"/>
    <w:rsid w:val="00170D37"/>
    <w:rsid w:val="00171315"/>
    <w:rsid w:val="00171BAE"/>
    <w:rsid w:val="00171D5F"/>
    <w:rsid w:val="00171EA1"/>
    <w:rsid w:val="001726DB"/>
    <w:rsid w:val="0017270C"/>
    <w:rsid w:val="00172928"/>
    <w:rsid w:val="00172966"/>
    <w:rsid w:val="00172A2B"/>
    <w:rsid w:val="00172AE3"/>
    <w:rsid w:val="00172E63"/>
    <w:rsid w:val="0017410D"/>
    <w:rsid w:val="00174B74"/>
    <w:rsid w:val="00174E87"/>
    <w:rsid w:val="001752DB"/>
    <w:rsid w:val="001753BB"/>
    <w:rsid w:val="001753BC"/>
    <w:rsid w:val="001756EB"/>
    <w:rsid w:val="001759FF"/>
    <w:rsid w:val="00175A99"/>
    <w:rsid w:val="00175CB9"/>
    <w:rsid w:val="00175FAF"/>
    <w:rsid w:val="001760D8"/>
    <w:rsid w:val="001772F4"/>
    <w:rsid w:val="00177638"/>
    <w:rsid w:val="0017768A"/>
    <w:rsid w:val="001776A1"/>
    <w:rsid w:val="001776C3"/>
    <w:rsid w:val="00177EC3"/>
    <w:rsid w:val="00177F34"/>
    <w:rsid w:val="00180534"/>
    <w:rsid w:val="00180864"/>
    <w:rsid w:val="00180B62"/>
    <w:rsid w:val="0018113A"/>
    <w:rsid w:val="0018174D"/>
    <w:rsid w:val="00181AFD"/>
    <w:rsid w:val="00182262"/>
    <w:rsid w:val="00182338"/>
    <w:rsid w:val="001825EC"/>
    <w:rsid w:val="00182807"/>
    <w:rsid w:val="00182EDA"/>
    <w:rsid w:val="0018362D"/>
    <w:rsid w:val="0018370D"/>
    <w:rsid w:val="00183A16"/>
    <w:rsid w:val="00183A87"/>
    <w:rsid w:val="00183FD2"/>
    <w:rsid w:val="001840FE"/>
    <w:rsid w:val="0018496D"/>
    <w:rsid w:val="00184F26"/>
    <w:rsid w:val="00185403"/>
    <w:rsid w:val="00185442"/>
    <w:rsid w:val="00185848"/>
    <w:rsid w:val="00185970"/>
    <w:rsid w:val="00185A44"/>
    <w:rsid w:val="00185AC3"/>
    <w:rsid w:val="00185DB9"/>
    <w:rsid w:val="00185DFC"/>
    <w:rsid w:val="00186497"/>
    <w:rsid w:val="001864E9"/>
    <w:rsid w:val="00186F6F"/>
    <w:rsid w:val="001870FC"/>
    <w:rsid w:val="0018733E"/>
    <w:rsid w:val="00187499"/>
    <w:rsid w:val="00187732"/>
    <w:rsid w:val="00187942"/>
    <w:rsid w:val="001879B6"/>
    <w:rsid w:val="00187C7D"/>
    <w:rsid w:val="00187CCE"/>
    <w:rsid w:val="00187E26"/>
    <w:rsid w:val="00190322"/>
    <w:rsid w:val="00190A94"/>
    <w:rsid w:val="00190AAB"/>
    <w:rsid w:val="00190C5A"/>
    <w:rsid w:val="001912E3"/>
    <w:rsid w:val="001915E6"/>
    <w:rsid w:val="001917DB"/>
    <w:rsid w:val="00191EA5"/>
    <w:rsid w:val="00191FE1"/>
    <w:rsid w:val="00192175"/>
    <w:rsid w:val="001922B6"/>
    <w:rsid w:val="001924CB"/>
    <w:rsid w:val="00192A42"/>
    <w:rsid w:val="00192C27"/>
    <w:rsid w:val="00192FBD"/>
    <w:rsid w:val="0019340D"/>
    <w:rsid w:val="00193620"/>
    <w:rsid w:val="00193738"/>
    <w:rsid w:val="00193A56"/>
    <w:rsid w:val="0019448F"/>
    <w:rsid w:val="0019449D"/>
    <w:rsid w:val="001947F4"/>
    <w:rsid w:val="00194B4E"/>
    <w:rsid w:val="00194CEA"/>
    <w:rsid w:val="00194D20"/>
    <w:rsid w:val="00194E60"/>
    <w:rsid w:val="001953D6"/>
    <w:rsid w:val="00195523"/>
    <w:rsid w:val="001955A7"/>
    <w:rsid w:val="001955E7"/>
    <w:rsid w:val="00195959"/>
    <w:rsid w:val="00195C69"/>
    <w:rsid w:val="00195C89"/>
    <w:rsid w:val="00195D64"/>
    <w:rsid w:val="00195F40"/>
    <w:rsid w:val="00195FBB"/>
    <w:rsid w:val="00196060"/>
    <w:rsid w:val="00196230"/>
    <w:rsid w:val="0019631D"/>
    <w:rsid w:val="0019633B"/>
    <w:rsid w:val="0019642E"/>
    <w:rsid w:val="001969F5"/>
    <w:rsid w:val="00196CF5"/>
    <w:rsid w:val="00196D41"/>
    <w:rsid w:val="00196E89"/>
    <w:rsid w:val="00196EF3"/>
    <w:rsid w:val="00197971"/>
    <w:rsid w:val="00197982"/>
    <w:rsid w:val="00197A8B"/>
    <w:rsid w:val="00197F78"/>
    <w:rsid w:val="00197F9B"/>
    <w:rsid w:val="001A02D6"/>
    <w:rsid w:val="001A0510"/>
    <w:rsid w:val="001A1094"/>
    <w:rsid w:val="001A170C"/>
    <w:rsid w:val="001A1A9C"/>
    <w:rsid w:val="001A1D20"/>
    <w:rsid w:val="001A1F21"/>
    <w:rsid w:val="001A1FF7"/>
    <w:rsid w:val="001A2018"/>
    <w:rsid w:val="001A2449"/>
    <w:rsid w:val="001A357D"/>
    <w:rsid w:val="001A36DC"/>
    <w:rsid w:val="001A3809"/>
    <w:rsid w:val="001A3A31"/>
    <w:rsid w:val="001A414F"/>
    <w:rsid w:val="001A4215"/>
    <w:rsid w:val="001A49BC"/>
    <w:rsid w:val="001A4FAE"/>
    <w:rsid w:val="001A58DF"/>
    <w:rsid w:val="001A5B48"/>
    <w:rsid w:val="001A5E07"/>
    <w:rsid w:val="001A614A"/>
    <w:rsid w:val="001A64F8"/>
    <w:rsid w:val="001A6575"/>
    <w:rsid w:val="001A6618"/>
    <w:rsid w:val="001A6692"/>
    <w:rsid w:val="001A67A2"/>
    <w:rsid w:val="001A6C91"/>
    <w:rsid w:val="001A702A"/>
    <w:rsid w:val="001A7357"/>
    <w:rsid w:val="001A7437"/>
    <w:rsid w:val="001A7506"/>
    <w:rsid w:val="001A75E4"/>
    <w:rsid w:val="001A7645"/>
    <w:rsid w:val="001A7A7B"/>
    <w:rsid w:val="001A7BD5"/>
    <w:rsid w:val="001A7C47"/>
    <w:rsid w:val="001A7D33"/>
    <w:rsid w:val="001A7DA1"/>
    <w:rsid w:val="001A7EA6"/>
    <w:rsid w:val="001A7F17"/>
    <w:rsid w:val="001B0182"/>
    <w:rsid w:val="001B01A7"/>
    <w:rsid w:val="001B032B"/>
    <w:rsid w:val="001B03FE"/>
    <w:rsid w:val="001B0708"/>
    <w:rsid w:val="001B0A97"/>
    <w:rsid w:val="001B0F69"/>
    <w:rsid w:val="001B180D"/>
    <w:rsid w:val="001B2423"/>
    <w:rsid w:val="001B26E6"/>
    <w:rsid w:val="001B28C4"/>
    <w:rsid w:val="001B36BC"/>
    <w:rsid w:val="001B36D1"/>
    <w:rsid w:val="001B392E"/>
    <w:rsid w:val="001B3BA0"/>
    <w:rsid w:val="001B4294"/>
    <w:rsid w:val="001B4861"/>
    <w:rsid w:val="001B4DCA"/>
    <w:rsid w:val="001B4FF9"/>
    <w:rsid w:val="001B558C"/>
    <w:rsid w:val="001B5A41"/>
    <w:rsid w:val="001B5C0A"/>
    <w:rsid w:val="001B6302"/>
    <w:rsid w:val="001B6784"/>
    <w:rsid w:val="001B68D5"/>
    <w:rsid w:val="001B7DAE"/>
    <w:rsid w:val="001B7EEC"/>
    <w:rsid w:val="001B7EFD"/>
    <w:rsid w:val="001B7FDE"/>
    <w:rsid w:val="001C0717"/>
    <w:rsid w:val="001C0AC9"/>
    <w:rsid w:val="001C101C"/>
    <w:rsid w:val="001C14AD"/>
    <w:rsid w:val="001C1588"/>
    <w:rsid w:val="001C176D"/>
    <w:rsid w:val="001C1C76"/>
    <w:rsid w:val="001C1DD3"/>
    <w:rsid w:val="001C1E09"/>
    <w:rsid w:val="001C269B"/>
    <w:rsid w:val="001C2E97"/>
    <w:rsid w:val="001C2FCD"/>
    <w:rsid w:val="001C2FF6"/>
    <w:rsid w:val="001C339D"/>
    <w:rsid w:val="001C37AB"/>
    <w:rsid w:val="001C388C"/>
    <w:rsid w:val="001C3957"/>
    <w:rsid w:val="001C3A58"/>
    <w:rsid w:val="001C40AB"/>
    <w:rsid w:val="001C4266"/>
    <w:rsid w:val="001C43DA"/>
    <w:rsid w:val="001C4C43"/>
    <w:rsid w:val="001C4CE4"/>
    <w:rsid w:val="001C4D1C"/>
    <w:rsid w:val="001C4E71"/>
    <w:rsid w:val="001C5026"/>
    <w:rsid w:val="001C59C3"/>
    <w:rsid w:val="001C5C85"/>
    <w:rsid w:val="001C5F2D"/>
    <w:rsid w:val="001C680D"/>
    <w:rsid w:val="001C6F3E"/>
    <w:rsid w:val="001C702D"/>
    <w:rsid w:val="001C78AE"/>
    <w:rsid w:val="001C79FB"/>
    <w:rsid w:val="001C7E36"/>
    <w:rsid w:val="001C7F77"/>
    <w:rsid w:val="001D0248"/>
    <w:rsid w:val="001D0A06"/>
    <w:rsid w:val="001D0F01"/>
    <w:rsid w:val="001D103B"/>
    <w:rsid w:val="001D12AB"/>
    <w:rsid w:val="001D144F"/>
    <w:rsid w:val="001D15C0"/>
    <w:rsid w:val="001D172A"/>
    <w:rsid w:val="001D19B3"/>
    <w:rsid w:val="001D1A94"/>
    <w:rsid w:val="001D1C9A"/>
    <w:rsid w:val="001D1D26"/>
    <w:rsid w:val="001D21CE"/>
    <w:rsid w:val="001D2463"/>
    <w:rsid w:val="001D265A"/>
    <w:rsid w:val="001D313F"/>
    <w:rsid w:val="001D3617"/>
    <w:rsid w:val="001D37EE"/>
    <w:rsid w:val="001D3D4D"/>
    <w:rsid w:val="001D3F3D"/>
    <w:rsid w:val="001D41D8"/>
    <w:rsid w:val="001D4798"/>
    <w:rsid w:val="001D48A8"/>
    <w:rsid w:val="001D4FCE"/>
    <w:rsid w:val="001D54E7"/>
    <w:rsid w:val="001D555F"/>
    <w:rsid w:val="001D55AB"/>
    <w:rsid w:val="001D564E"/>
    <w:rsid w:val="001D5B9F"/>
    <w:rsid w:val="001D5E73"/>
    <w:rsid w:val="001D5FC2"/>
    <w:rsid w:val="001D60E3"/>
    <w:rsid w:val="001D6918"/>
    <w:rsid w:val="001D7245"/>
    <w:rsid w:val="001D75CA"/>
    <w:rsid w:val="001D7B98"/>
    <w:rsid w:val="001D7C37"/>
    <w:rsid w:val="001D7C41"/>
    <w:rsid w:val="001D7CF2"/>
    <w:rsid w:val="001D7F25"/>
    <w:rsid w:val="001D7F90"/>
    <w:rsid w:val="001D7FA0"/>
    <w:rsid w:val="001E046D"/>
    <w:rsid w:val="001E10AE"/>
    <w:rsid w:val="001E1635"/>
    <w:rsid w:val="001E1947"/>
    <w:rsid w:val="001E1B1F"/>
    <w:rsid w:val="001E1D29"/>
    <w:rsid w:val="001E1DA1"/>
    <w:rsid w:val="001E1E15"/>
    <w:rsid w:val="001E1E34"/>
    <w:rsid w:val="001E1FDA"/>
    <w:rsid w:val="001E2057"/>
    <w:rsid w:val="001E211A"/>
    <w:rsid w:val="001E21BB"/>
    <w:rsid w:val="001E22ED"/>
    <w:rsid w:val="001E29EB"/>
    <w:rsid w:val="001E2A07"/>
    <w:rsid w:val="001E300F"/>
    <w:rsid w:val="001E338D"/>
    <w:rsid w:val="001E3794"/>
    <w:rsid w:val="001E3A32"/>
    <w:rsid w:val="001E3B4F"/>
    <w:rsid w:val="001E3DCC"/>
    <w:rsid w:val="001E4434"/>
    <w:rsid w:val="001E4687"/>
    <w:rsid w:val="001E4CC7"/>
    <w:rsid w:val="001E4FB0"/>
    <w:rsid w:val="001E5021"/>
    <w:rsid w:val="001E5173"/>
    <w:rsid w:val="001E5A9B"/>
    <w:rsid w:val="001E6084"/>
    <w:rsid w:val="001E62C6"/>
    <w:rsid w:val="001E632D"/>
    <w:rsid w:val="001E65F5"/>
    <w:rsid w:val="001E6E21"/>
    <w:rsid w:val="001E6F2A"/>
    <w:rsid w:val="001E705B"/>
    <w:rsid w:val="001E7B46"/>
    <w:rsid w:val="001E7B4C"/>
    <w:rsid w:val="001E7CD7"/>
    <w:rsid w:val="001E7D69"/>
    <w:rsid w:val="001F0102"/>
    <w:rsid w:val="001F074F"/>
    <w:rsid w:val="001F0C0A"/>
    <w:rsid w:val="001F0E91"/>
    <w:rsid w:val="001F100A"/>
    <w:rsid w:val="001F10BB"/>
    <w:rsid w:val="001F113B"/>
    <w:rsid w:val="001F1167"/>
    <w:rsid w:val="001F132D"/>
    <w:rsid w:val="001F13C9"/>
    <w:rsid w:val="001F1768"/>
    <w:rsid w:val="001F1C2F"/>
    <w:rsid w:val="001F1DEF"/>
    <w:rsid w:val="001F2009"/>
    <w:rsid w:val="001F2260"/>
    <w:rsid w:val="001F24EC"/>
    <w:rsid w:val="001F277B"/>
    <w:rsid w:val="001F2904"/>
    <w:rsid w:val="001F2D67"/>
    <w:rsid w:val="001F2D69"/>
    <w:rsid w:val="001F2D87"/>
    <w:rsid w:val="001F2DEF"/>
    <w:rsid w:val="001F2F0C"/>
    <w:rsid w:val="001F331B"/>
    <w:rsid w:val="001F3348"/>
    <w:rsid w:val="001F349C"/>
    <w:rsid w:val="001F354E"/>
    <w:rsid w:val="001F35F1"/>
    <w:rsid w:val="001F3832"/>
    <w:rsid w:val="001F3ACA"/>
    <w:rsid w:val="001F3CD7"/>
    <w:rsid w:val="001F3DDA"/>
    <w:rsid w:val="001F4029"/>
    <w:rsid w:val="001F4064"/>
    <w:rsid w:val="001F4578"/>
    <w:rsid w:val="001F4FE3"/>
    <w:rsid w:val="001F53EA"/>
    <w:rsid w:val="001F554C"/>
    <w:rsid w:val="001F557C"/>
    <w:rsid w:val="001F5DEA"/>
    <w:rsid w:val="001F6569"/>
    <w:rsid w:val="001F657C"/>
    <w:rsid w:val="001F6DC6"/>
    <w:rsid w:val="001F712F"/>
    <w:rsid w:val="001F71A6"/>
    <w:rsid w:val="001F75CB"/>
    <w:rsid w:val="001F7B1D"/>
    <w:rsid w:val="001F7DBF"/>
    <w:rsid w:val="001F7E0B"/>
    <w:rsid w:val="001F7F37"/>
    <w:rsid w:val="001F7F60"/>
    <w:rsid w:val="0020006F"/>
    <w:rsid w:val="00200490"/>
    <w:rsid w:val="00200C08"/>
    <w:rsid w:val="00200CB3"/>
    <w:rsid w:val="00200DCB"/>
    <w:rsid w:val="00200FAE"/>
    <w:rsid w:val="00201134"/>
    <w:rsid w:val="002012FD"/>
    <w:rsid w:val="00201740"/>
    <w:rsid w:val="00201899"/>
    <w:rsid w:val="00201A5A"/>
    <w:rsid w:val="00201B66"/>
    <w:rsid w:val="00202632"/>
    <w:rsid w:val="00202A94"/>
    <w:rsid w:val="00203195"/>
    <w:rsid w:val="0020321A"/>
    <w:rsid w:val="0020324F"/>
    <w:rsid w:val="0020374F"/>
    <w:rsid w:val="00203A8F"/>
    <w:rsid w:val="00203EE0"/>
    <w:rsid w:val="002040D5"/>
    <w:rsid w:val="002045EB"/>
    <w:rsid w:val="002046E2"/>
    <w:rsid w:val="0020472B"/>
    <w:rsid w:val="00204BB3"/>
    <w:rsid w:val="00205578"/>
    <w:rsid w:val="00205632"/>
    <w:rsid w:val="0020573E"/>
    <w:rsid w:val="00205860"/>
    <w:rsid w:val="00206161"/>
    <w:rsid w:val="002061F6"/>
    <w:rsid w:val="00206282"/>
    <w:rsid w:val="00206B5E"/>
    <w:rsid w:val="00206CF5"/>
    <w:rsid w:val="0020713B"/>
    <w:rsid w:val="00207233"/>
    <w:rsid w:val="002072C5"/>
    <w:rsid w:val="0020730F"/>
    <w:rsid w:val="002075A1"/>
    <w:rsid w:val="00207656"/>
    <w:rsid w:val="00207C58"/>
    <w:rsid w:val="00210152"/>
    <w:rsid w:val="002106CF"/>
    <w:rsid w:val="00210836"/>
    <w:rsid w:val="00210A5E"/>
    <w:rsid w:val="00210B8A"/>
    <w:rsid w:val="00210CC0"/>
    <w:rsid w:val="00210F1B"/>
    <w:rsid w:val="00211035"/>
    <w:rsid w:val="002110C5"/>
    <w:rsid w:val="002114AF"/>
    <w:rsid w:val="00211676"/>
    <w:rsid w:val="002119D6"/>
    <w:rsid w:val="00211FF9"/>
    <w:rsid w:val="0021221D"/>
    <w:rsid w:val="002127E7"/>
    <w:rsid w:val="00212816"/>
    <w:rsid w:val="00212CE0"/>
    <w:rsid w:val="00212F4F"/>
    <w:rsid w:val="00213323"/>
    <w:rsid w:val="002138AA"/>
    <w:rsid w:val="00213E71"/>
    <w:rsid w:val="002141FA"/>
    <w:rsid w:val="00214376"/>
    <w:rsid w:val="00214380"/>
    <w:rsid w:val="00214A4D"/>
    <w:rsid w:val="00214BC5"/>
    <w:rsid w:val="00214C39"/>
    <w:rsid w:val="00214D1E"/>
    <w:rsid w:val="00215047"/>
    <w:rsid w:val="002151FF"/>
    <w:rsid w:val="00215300"/>
    <w:rsid w:val="00215685"/>
    <w:rsid w:val="00215744"/>
    <w:rsid w:val="0021598B"/>
    <w:rsid w:val="00215C7D"/>
    <w:rsid w:val="00215D3B"/>
    <w:rsid w:val="00215E5A"/>
    <w:rsid w:val="00216302"/>
    <w:rsid w:val="00216948"/>
    <w:rsid w:val="00216AC5"/>
    <w:rsid w:val="00216C77"/>
    <w:rsid w:val="00216CE9"/>
    <w:rsid w:val="00216EFE"/>
    <w:rsid w:val="00217110"/>
    <w:rsid w:val="0021713A"/>
    <w:rsid w:val="00217841"/>
    <w:rsid w:val="002178BF"/>
    <w:rsid w:val="00217BFE"/>
    <w:rsid w:val="00217F39"/>
    <w:rsid w:val="00220141"/>
    <w:rsid w:val="002202EE"/>
    <w:rsid w:val="002203DC"/>
    <w:rsid w:val="00220595"/>
    <w:rsid w:val="002207B0"/>
    <w:rsid w:val="002209C0"/>
    <w:rsid w:val="00220F2D"/>
    <w:rsid w:val="00221066"/>
    <w:rsid w:val="00221333"/>
    <w:rsid w:val="002213D7"/>
    <w:rsid w:val="0022188C"/>
    <w:rsid w:val="002219F4"/>
    <w:rsid w:val="00221D20"/>
    <w:rsid w:val="002228B8"/>
    <w:rsid w:val="00222CE7"/>
    <w:rsid w:val="00222CEF"/>
    <w:rsid w:val="00222DB6"/>
    <w:rsid w:val="00222E96"/>
    <w:rsid w:val="00222FEB"/>
    <w:rsid w:val="00223469"/>
    <w:rsid w:val="0022368B"/>
    <w:rsid w:val="002237B0"/>
    <w:rsid w:val="00223A0D"/>
    <w:rsid w:val="00224C90"/>
    <w:rsid w:val="00224D90"/>
    <w:rsid w:val="00224E59"/>
    <w:rsid w:val="00224F47"/>
    <w:rsid w:val="00225042"/>
    <w:rsid w:val="002255D0"/>
    <w:rsid w:val="00225ACA"/>
    <w:rsid w:val="002260D7"/>
    <w:rsid w:val="0022643E"/>
    <w:rsid w:val="002264AA"/>
    <w:rsid w:val="00226A7F"/>
    <w:rsid w:val="00226AA3"/>
    <w:rsid w:val="00226B96"/>
    <w:rsid w:val="00226DA0"/>
    <w:rsid w:val="002272B2"/>
    <w:rsid w:val="0022756F"/>
    <w:rsid w:val="002279C6"/>
    <w:rsid w:val="00227A02"/>
    <w:rsid w:val="0023027D"/>
    <w:rsid w:val="0023030A"/>
    <w:rsid w:val="00230A88"/>
    <w:rsid w:val="00230B46"/>
    <w:rsid w:val="00230E22"/>
    <w:rsid w:val="00231090"/>
    <w:rsid w:val="002310ED"/>
    <w:rsid w:val="00231236"/>
    <w:rsid w:val="00231647"/>
    <w:rsid w:val="00231909"/>
    <w:rsid w:val="00231C2E"/>
    <w:rsid w:val="00232264"/>
    <w:rsid w:val="002322E5"/>
    <w:rsid w:val="00232346"/>
    <w:rsid w:val="0023258C"/>
    <w:rsid w:val="002325EE"/>
    <w:rsid w:val="002327A4"/>
    <w:rsid w:val="00233106"/>
    <w:rsid w:val="002333D5"/>
    <w:rsid w:val="0023384F"/>
    <w:rsid w:val="002339E2"/>
    <w:rsid w:val="00233F1A"/>
    <w:rsid w:val="002341DE"/>
    <w:rsid w:val="00234212"/>
    <w:rsid w:val="002345A9"/>
    <w:rsid w:val="00234B69"/>
    <w:rsid w:val="00234BA5"/>
    <w:rsid w:val="00234F36"/>
    <w:rsid w:val="002355ED"/>
    <w:rsid w:val="00235A09"/>
    <w:rsid w:val="00235C35"/>
    <w:rsid w:val="00235E81"/>
    <w:rsid w:val="0023618E"/>
    <w:rsid w:val="0023625B"/>
    <w:rsid w:val="002362CA"/>
    <w:rsid w:val="002363CD"/>
    <w:rsid w:val="0023645E"/>
    <w:rsid w:val="00237049"/>
    <w:rsid w:val="0023715C"/>
    <w:rsid w:val="00237179"/>
    <w:rsid w:val="0023780D"/>
    <w:rsid w:val="00237ACF"/>
    <w:rsid w:val="00237D7F"/>
    <w:rsid w:val="00237DCE"/>
    <w:rsid w:val="0024089D"/>
    <w:rsid w:val="002410ED"/>
    <w:rsid w:val="002411EE"/>
    <w:rsid w:val="0024122F"/>
    <w:rsid w:val="00241C16"/>
    <w:rsid w:val="00241CF0"/>
    <w:rsid w:val="00241E27"/>
    <w:rsid w:val="00242440"/>
    <w:rsid w:val="00242562"/>
    <w:rsid w:val="00242807"/>
    <w:rsid w:val="00242A15"/>
    <w:rsid w:val="00242B90"/>
    <w:rsid w:val="00242F7A"/>
    <w:rsid w:val="00243048"/>
    <w:rsid w:val="002431DE"/>
    <w:rsid w:val="00243259"/>
    <w:rsid w:val="002433B3"/>
    <w:rsid w:val="002439A7"/>
    <w:rsid w:val="00243C46"/>
    <w:rsid w:val="00243C56"/>
    <w:rsid w:val="002440CA"/>
    <w:rsid w:val="002441D2"/>
    <w:rsid w:val="002447B6"/>
    <w:rsid w:val="00244E26"/>
    <w:rsid w:val="00244FD8"/>
    <w:rsid w:val="0024508E"/>
    <w:rsid w:val="00245392"/>
    <w:rsid w:val="00245A50"/>
    <w:rsid w:val="00245C02"/>
    <w:rsid w:val="00245C0A"/>
    <w:rsid w:val="00245C77"/>
    <w:rsid w:val="00245E0D"/>
    <w:rsid w:val="0024602B"/>
    <w:rsid w:val="0024627B"/>
    <w:rsid w:val="00246457"/>
    <w:rsid w:val="002464CC"/>
    <w:rsid w:val="00246BA9"/>
    <w:rsid w:val="00246C66"/>
    <w:rsid w:val="00246CFA"/>
    <w:rsid w:val="00247361"/>
    <w:rsid w:val="0024790F"/>
    <w:rsid w:val="00247BD2"/>
    <w:rsid w:val="00247C41"/>
    <w:rsid w:val="00247C50"/>
    <w:rsid w:val="00247FDF"/>
    <w:rsid w:val="0025017F"/>
    <w:rsid w:val="00250382"/>
    <w:rsid w:val="00250B60"/>
    <w:rsid w:val="00250CBD"/>
    <w:rsid w:val="00250DD2"/>
    <w:rsid w:val="0025151C"/>
    <w:rsid w:val="002515D4"/>
    <w:rsid w:val="002517FE"/>
    <w:rsid w:val="00251920"/>
    <w:rsid w:val="00251943"/>
    <w:rsid w:val="00251A60"/>
    <w:rsid w:val="00251EBE"/>
    <w:rsid w:val="002521B2"/>
    <w:rsid w:val="00252777"/>
    <w:rsid w:val="00252999"/>
    <w:rsid w:val="00252D8B"/>
    <w:rsid w:val="00253088"/>
    <w:rsid w:val="0025379D"/>
    <w:rsid w:val="002539EA"/>
    <w:rsid w:val="00253A06"/>
    <w:rsid w:val="00253A29"/>
    <w:rsid w:val="00253A2D"/>
    <w:rsid w:val="002547E2"/>
    <w:rsid w:val="00254A00"/>
    <w:rsid w:val="002551BF"/>
    <w:rsid w:val="00255319"/>
    <w:rsid w:val="0025531D"/>
    <w:rsid w:val="00255866"/>
    <w:rsid w:val="002558F2"/>
    <w:rsid w:val="00255A52"/>
    <w:rsid w:val="00255C1D"/>
    <w:rsid w:val="00255E42"/>
    <w:rsid w:val="002561E7"/>
    <w:rsid w:val="00256501"/>
    <w:rsid w:val="0025658D"/>
    <w:rsid w:val="00256872"/>
    <w:rsid w:val="00256881"/>
    <w:rsid w:val="00256E0C"/>
    <w:rsid w:val="00257269"/>
    <w:rsid w:val="0025740A"/>
    <w:rsid w:val="00257B4B"/>
    <w:rsid w:val="002603AA"/>
    <w:rsid w:val="0026049A"/>
    <w:rsid w:val="002604C9"/>
    <w:rsid w:val="00260896"/>
    <w:rsid w:val="00261594"/>
    <w:rsid w:val="0026174D"/>
    <w:rsid w:val="002619ED"/>
    <w:rsid w:val="00261B57"/>
    <w:rsid w:val="00261B75"/>
    <w:rsid w:val="00261C02"/>
    <w:rsid w:val="00261C17"/>
    <w:rsid w:val="00261EE6"/>
    <w:rsid w:val="00262013"/>
    <w:rsid w:val="002622FA"/>
    <w:rsid w:val="0026238E"/>
    <w:rsid w:val="00262C27"/>
    <w:rsid w:val="0026399E"/>
    <w:rsid w:val="002639A4"/>
    <w:rsid w:val="002639D3"/>
    <w:rsid w:val="00263B0D"/>
    <w:rsid w:val="00263B37"/>
    <w:rsid w:val="00263D09"/>
    <w:rsid w:val="00263F7E"/>
    <w:rsid w:val="002640F5"/>
    <w:rsid w:val="002641E5"/>
    <w:rsid w:val="002643AC"/>
    <w:rsid w:val="00264822"/>
    <w:rsid w:val="0026482E"/>
    <w:rsid w:val="00264842"/>
    <w:rsid w:val="00264DA1"/>
    <w:rsid w:val="002650B0"/>
    <w:rsid w:val="002650E9"/>
    <w:rsid w:val="00265402"/>
    <w:rsid w:val="002659CE"/>
    <w:rsid w:val="00265A77"/>
    <w:rsid w:val="00265A88"/>
    <w:rsid w:val="00265C33"/>
    <w:rsid w:val="00265C57"/>
    <w:rsid w:val="0026607B"/>
    <w:rsid w:val="00266BCD"/>
    <w:rsid w:val="00266EDF"/>
    <w:rsid w:val="00267142"/>
    <w:rsid w:val="00267850"/>
    <w:rsid w:val="0026793E"/>
    <w:rsid w:val="00267D93"/>
    <w:rsid w:val="002700EF"/>
    <w:rsid w:val="0027040C"/>
    <w:rsid w:val="002708DB"/>
    <w:rsid w:val="00270BC2"/>
    <w:rsid w:val="00270DFE"/>
    <w:rsid w:val="00270E82"/>
    <w:rsid w:val="00271030"/>
    <w:rsid w:val="00271042"/>
    <w:rsid w:val="00271638"/>
    <w:rsid w:val="002716AC"/>
    <w:rsid w:val="00271C3B"/>
    <w:rsid w:val="0027211D"/>
    <w:rsid w:val="002725FF"/>
    <w:rsid w:val="00272671"/>
    <w:rsid w:val="002728CA"/>
    <w:rsid w:val="002729B9"/>
    <w:rsid w:val="00272C82"/>
    <w:rsid w:val="00272DAC"/>
    <w:rsid w:val="00272ECD"/>
    <w:rsid w:val="00272FFB"/>
    <w:rsid w:val="0027305C"/>
    <w:rsid w:val="002731C2"/>
    <w:rsid w:val="00273413"/>
    <w:rsid w:val="0027379D"/>
    <w:rsid w:val="00273815"/>
    <w:rsid w:val="00273944"/>
    <w:rsid w:val="00273A83"/>
    <w:rsid w:val="00273C38"/>
    <w:rsid w:val="00273D85"/>
    <w:rsid w:val="00273E85"/>
    <w:rsid w:val="00274340"/>
    <w:rsid w:val="00274403"/>
    <w:rsid w:val="0027474F"/>
    <w:rsid w:val="002748DB"/>
    <w:rsid w:val="00274991"/>
    <w:rsid w:val="002749CA"/>
    <w:rsid w:val="00274B62"/>
    <w:rsid w:val="00274C6D"/>
    <w:rsid w:val="00274FC8"/>
    <w:rsid w:val="00275261"/>
    <w:rsid w:val="002754F1"/>
    <w:rsid w:val="002759BF"/>
    <w:rsid w:val="00275F4C"/>
    <w:rsid w:val="00276310"/>
    <w:rsid w:val="00276436"/>
    <w:rsid w:val="002764A9"/>
    <w:rsid w:val="002764B5"/>
    <w:rsid w:val="00276684"/>
    <w:rsid w:val="00276983"/>
    <w:rsid w:val="0027704C"/>
    <w:rsid w:val="002770F1"/>
    <w:rsid w:val="00277600"/>
    <w:rsid w:val="002777ED"/>
    <w:rsid w:val="002779AE"/>
    <w:rsid w:val="00277FE6"/>
    <w:rsid w:val="002807A8"/>
    <w:rsid w:val="00280907"/>
    <w:rsid w:val="00280CCB"/>
    <w:rsid w:val="00280DB6"/>
    <w:rsid w:val="00280E15"/>
    <w:rsid w:val="0028157A"/>
    <w:rsid w:val="002819AC"/>
    <w:rsid w:val="00282666"/>
    <w:rsid w:val="002826AF"/>
    <w:rsid w:val="002828DF"/>
    <w:rsid w:val="00282AF4"/>
    <w:rsid w:val="00282C33"/>
    <w:rsid w:val="00282FF3"/>
    <w:rsid w:val="00283858"/>
    <w:rsid w:val="0028394B"/>
    <w:rsid w:val="0028410F"/>
    <w:rsid w:val="002841C3"/>
    <w:rsid w:val="002843ED"/>
    <w:rsid w:val="002845EE"/>
    <w:rsid w:val="00284AE4"/>
    <w:rsid w:val="00284B91"/>
    <w:rsid w:val="00284D03"/>
    <w:rsid w:val="002855A9"/>
    <w:rsid w:val="0028574C"/>
    <w:rsid w:val="00287639"/>
    <w:rsid w:val="0029002C"/>
    <w:rsid w:val="0029058A"/>
    <w:rsid w:val="0029090C"/>
    <w:rsid w:val="00290A9A"/>
    <w:rsid w:val="00290BBA"/>
    <w:rsid w:val="00290CF7"/>
    <w:rsid w:val="00291123"/>
    <w:rsid w:val="0029138F"/>
    <w:rsid w:val="00291448"/>
    <w:rsid w:val="002918EA"/>
    <w:rsid w:val="002918FB"/>
    <w:rsid w:val="00291B8D"/>
    <w:rsid w:val="00291E5E"/>
    <w:rsid w:val="00292853"/>
    <w:rsid w:val="00292D28"/>
    <w:rsid w:val="00292D2E"/>
    <w:rsid w:val="0029339F"/>
    <w:rsid w:val="002933B3"/>
    <w:rsid w:val="00293800"/>
    <w:rsid w:val="002938A7"/>
    <w:rsid w:val="00293CF4"/>
    <w:rsid w:val="002941CC"/>
    <w:rsid w:val="002941EE"/>
    <w:rsid w:val="0029443A"/>
    <w:rsid w:val="00294627"/>
    <w:rsid w:val="002948DD"/>
    <w:rsid w:val="00294A9C"/>
    <w:rsid w:val="00294B68"/>
    <w:rsid w:val="00294C39"/>
    <w:rsid w:val="002952C1"/>
    <w:rsid w:val="00295734"/>
    <w:rsid w:val="00295E4F"/>
    <w:rsid w:val="00296485"/>
    <w:rsid w:val="002964B2"/>
    <w:rsid w:val="00296A8A"/>
    <w:rsid w:val="00296B0A"/>
    <w:rsid w:val="00296C3B"/>
    <w:rsid w:val="00297887"/>
    <w:rsid w:val="002978B2"/>
    <w:rsid w:val="00297A80"/>
    <w:rsid w:val="002A0D69"/>
    <w:rsid w:val="002A0DFB"/>
    <w:rsid w:val="002A0E0B"/>
    <w:rsid w:val="002A106A"/>
    <w:rsid w:val="002A1335"/>
    <w:rsid w:val="002A1476"/>
    <w:rsid w:val="002A18D2"/>
    <w:rsid w:val="002A19AF"/>
    <w:rsid w:val="002A1A8B"/>
    <w:rsid w:val="002A1BD9"/>
    <w:rsid w:val="002A37EE"/>
    <w:rsid w:val="002A383B"/>
    <w:rsid w:val="002A38A3"/>
    <w:rsid w:val="002A3C5C"/>
    <w:rsid w:val="002A3CB2"/>
    <w:rsid w:val="002A41BE"/>
    <w:rsid w:val="002A4666"/>
    <w:rsid w:val="002A495B"/>
    <w:rsid w:val="002A4C64"/>
    <w:rsid w:val="002A4CC7"/>
    <w:rsid w:val="002A4E08"/>
    <w:rsid w:val="002A4E5E"/>
    <w:rsid w:val="002A52CB"/>
    <w:rsid w:val="002A54B7"/>
    <w:rsid w:val="002A57CA"/>
    <w:rsid w:val="002A5CCF"/>
    <w:rsid w:val="002A5FD4"/>
    <w:rsid w:val="002A6091"/>
    <w:rsid w:val="002A6420"/>
    <w:rsid w:val="002A6812"/>
    <w:rsid w:val="002A6837"/>
    <w:rsid w:val="002A694F"/>
    <w:rsid w:val="002A6E1D"/>
    <w:rsid w:val="002A70A7"/>
    <w:rsid w:val="002A784C"/>
    <w:rsid w:val="002A7912"/>
    <w:rsid w:val="002A7B05"/>
    <w:rsid w:val="002B04AE"/>
    <w:rsid w:val="002B08A1"/>
    <w:rsid w:val="002B0E06"/>
    <w:rsid w:val="002B0F09"/>
    <w:rsid w:val="002B0F1F"/>
    <w:rsid w:val="002B107D"/>
    <w:rsid w:val="002B1093"/>
    <w:rsid w:val="002B13A5"/>
    <w:rsid w:val="002B13CA"/>
    <w:rsid w:val="002B1E1B"/>
    <w:rsid w:val="002B254B"/>
    <w:rsid w:val="002B276C"/>
    <w:rsid w:val="002B2A87"/>
    <w:rsid w:val="002B2D3A"/>
    <w:rsid w:val="002B2D60"/>
    <w:rsid w:val="002B2E56"/>
    <w:rsid w:val="002B2F56"/>
    <w:rsid w:val="002B3081"/>
    <w:rsid w:val="002B3142"/>
    <w:rsid w:val="002B31A2"/>
    <w:rsid w:val="002B34C4"/>
    <w:rsid w:val="002B34E8"/>
    <w:rsid w:val="002B385C"/>
    <w:rsid w:val="002B3B0B"/>
    <w:rsid w:val="002B3BE5"/>
    <w:rsid w:val="002B4011"/>
    <w:rsid w:val="002B404C"/>
    <w:rsid w:val="002B40C5"/>
    <w:rsid w:val="002B4191"/>
    <w:rsid w:val="002B45C0"/>
    <w:rsid w:val="002B4665"/>
    <w:rsid w:val="002B4996"/>
    <w:rsid w:val="002B4C4E"/>
    <w:rsid w:val="002B50BA"/>
    <w:rsid w:val="002B5507"/>
    <w:rsid w:val="002B566C"/>
    <w:rsid w:val="002B5720"/>
    <w:rsid w:val="002B5B0F"/>
    <w:rsid w:val="002B5B4C"/>
    <w:rsid w:val="002B5E39"/>
    <w:rsid w:val="002B5F1A"/>
    <w:rsid w:val="002B60FD"/>
    <w:rsid w:val="002B6A5D"/>
    <w:rsid w:val="002B6C75"/>
    <w:rsid w:val="002B70D1"/>
    <w:rsid w:val="002B729E"/>
    <w:rsid w:val="002B74FE"/>
    <w:rsid w:val="002B79FB"/>
    <w:rsid w:val="002B7C3A"/>
    <w:rsid w:val="002B7FAD"/>
    <w:rsid w:val="002C026C"/>
    <w:rsid w:val="002C08D1"/>
    <w:rsid w:val="002C08DC"/>
    <w:rsid w:val="002C0921"/>
    <w:rsid w:val="002C0A57"/>
    <w:rsid w:val="002C0C53"/>
    <w:rsid w:val="002C0DF2"/>
    <w:rsid w:val="002C1147"/>
    <w:rsid w:val="002C14FD"/>
    <w:rsid w:val="002C1D3B"/>
    <w:rsid w:val="002C1E7B"/>
    <w:rsid w:val="002C1F0C"/>
    <w:rsid w:val="002C2857"/>
    <w:rsid w:val="002C2C39"/>
    <w:rsid w:val="002C39CA"/>
    <w:rsid w:val="002C3B6E"/>
    <w:rsid w:val="002C3D22"/>
    <w:rsid w:val="002C3E98"/>
    <w:rsid w:val="002C43B4"/>
    <w:rsid w:val="002C4457"/>
    <w:rsid w:val="002C453C"/>
    <w:rsid w:val="002C59B3"/>
    <w:rsid w:val="002C5F90"/>
    <w:rsid w:val="002C6403"/>
    <w:rsid w:val="002C68D0"/>
    <w:rsid w:val="002C6BD5"/>
    <w:rsid w:val="002C6DE7"/>
    <w:rsid w:val="002C6F33"/>
    <w:rsid w:val="002C742D"/>
    <w:rsid w:val="002C773C"/>
    <w:rsid w:val="002C7D7A"/>
    <w:rsid w:val="002C7FCE"/>
    <w:rsid w:val="002D0051"/>
    <w:rsid w:val="002D0130"/>
    <w:rsid w:val="002D0161"/>
    <w:rsid w:val="002D068C"/>
    <w:rsid w:val="002D08E1"/>
    <w:rsid w:val="002D0BED"/>
    <w:rsid w:val="002D0F65"/>
    <w:rsid w:val="002D1016"/>
    <w:rsid w:val="002D1328"/>
    <w:rsid w:val="002D179C"/>
    <w:rsid w:val="002D18F8"/>
    <w:rsid w:val="002D195C"/>
    <w:rsid w:val="002D1F6A"/>
    <w:rsid w:val="002D223D"/>
    <w:rsid w:val="002D2250"/>
    <w:rsid w:val="002D266D"/>
    <w:rsid w:val="002D2A22"/>
    <w:rsid w:val="002D2D78"/>
    <w:rsid w:val="002D2F56"/>
    <w:rsid w:val="002D3044"/>
    <w:rsid w:val="002D3092"/>
    <w:rsid w:val="002D35C9"/>
    <w:rsid w:val="002D36C7"/>
    <w:rsid w:val="002D3791"/>
    <w:rsid w:val="002D38A1"/>
    <w:rsid w:val="002D401D"/>
    <w:rsid w:val="002D4206"/>
    <w:rsid w:val="002D447C"/>
    <w:rsid w:val="002D4972"/>
    <w:rsid w:val="002D4F90"/>
    <w:rsid w:val="002D512A"/>
    <w:rsid w:val="002D5319"/>
    <w:rsid w:val="002D53A8"/>
    <w:rsid w:val="002D5A7C"/>
    <w:rsid w:val="002D5B84"/>
    <w:rsid w:val="002D65AC"/>
    <w:rsid w:val="002D668F"/>
    <w:rsid w:val="002D6753"/>
    <w:rsid w:val="002D69D8"/>
    <w:rsid w:val="002D6CA9"/>
    <w:rsid w:val="002D74E0"/>
    <w:rsid w:val="002D754A"/>
    <w:rsid w:val="002D7593"/>
    <w:rsid w:val="002D762C"/>
    <w:rsid w:val="002D76CD"/>
    <w:rsid w:val="002D7807"/>
    <w:rsid w:val="002D7906"/>
    <w:rsid w:val="002D7966"/>
    <w:rsid w:val="002D7E26"/>
    <w:rsid w:val="002D7E3D"/>
    <w:rsid w:val="002E0116"/>
    <w:rsid w:val="002E09F4"/>
    <w:rsid w:val="002E0B1A"/>
    <w:rsid w:val="002E119E"/>
    <w:rsid w:val="002E1429"/>
    <w:rsid w:val="002E14FF"/>
    <w:rsid w:val="002E1562"/>
    <w:rsid w:val="002E1A1B"/>
    <w:rsid w:val="002E1ADA"/>
    <w:rsid w:val="002E22C7"/>
    <w:rsid w:val="002E235F"/>
    <w:rsid w:val="002E2AED"/>
    <w:rsid w:val="002E2CE1"/>
    <w:rsid w:val="002E2D10"/>
    <w:rsid w:val="002E3051"/>
    <w:rsid w:val="002E3080"/>
    <w:rsid w:val="002E317B"/>
    <w:rsid w:val="002E320D"/>
    <w:rsid w:val="002E333C"/>
    <w:rsid w:val="002E4480"/>
    <w:rsid w:val="002E47E0"/>
    <w:rsid w:val="002E4C8C"/>
    <w:rsid w:val="002E4F63"/>
    <w:rsid w:val="002E5166"/>
    <w:rsid w:val="002E569E"/>
    <w:rsid w:val="002E5B65"/>
    <w:rsid w:val="002E631A"/>
    <w:rsid w:val="002E6985"/>
    <w:rsid w:val="002E6A44"/>
    <w:rsid w:val="002E6C08"/>
    <w:rsid w:val="002E6C12"/>
    <w:rsid w:val="002E6C53"/>
    <w:rsid w:val="002E718A"/>
    <w:rsid w:val="002E7477"/>
    <w:rsid w:val="002E788B"/>
    <w:rsid w:val="002E78D5"/>
    <w:rsid w:val="002F07E7"/>
    <w:rsid w:val="002F0E0E"/>
    <w:rsid w:val="002F1117"/>
    <w:rsid w:val="002F112D"/>
    <w:rsid w:val="002F12CC"/>
    <w:rsid w:val="002F142E"/>
    <w:rsid w:val="002F17EE"/>
    <w:rsid w:val="002F1843"/>
    <w:rsid w:val="002F19C6"/>
    <w:rsid w:val="002F1BBE"/>
    <w:rsid w:val="002F1CB0"/>
    <w:rsid w:val="002F2B0F"/>
    <w:rsid w:val="002F2D7D"/>
    <w:rsid w:val="002F3663"/>
    <w:rsid w:val="002F3CB2"/>
    <w:rsid w:val="002F3E86"/>
    <w:rsid w:val="002F3ED9"/>
    <w:rsid w:val="002F3FB4"/>
    <w:rsid w:val="002F4419"/>
    <w:rsid w:val="002F46B6"/>
    <w:rsid w:val="002F4822"/>
    <w:rsid w:val="002F496B"/>
    <w:rsid w:val="002F4CF3"/>
    <w:rsid w:val="002F4DC3"/>
    <w:rsid w:val="002F4F80"/>
    <w:rsid w:val="002F55C1"/>
    <w:rsid w:val="002F566A"/>
    <w:rsid w:val="002F5915"/>
    <w:rsid w:val="002F613F"/>
    <w:rsid w:val="002F62C2"/>
    <w:rsid w:val="002F63A0"/>
    <w:rsid w:val="002F6515"/>
    <w:rsid w:val="002F673C"/>
    <w:rsid w:val="002F67AA"/>
    <w:rsid w:val="002F688D"/>
    <w:rsid w:val="002F6A6A"/>
    <w:rsid w:val="002F764E"/>
    <w:rsid w:val="0030015B"/>
    <w:rsid w:val="0030020D"/>
    <w:rsid w:val="003003CF"/>
    <w:rsid w:val="0030044C"/>
    <w:rsid w:val="00300875"/>
    <w:rsid w:val="0030097A"/>
    <w:rsid w:val="00300AD5"/>
    <w:rsid w:val="00300E91"/>
    <w:rsid w:val="003012F6"/>
    <w:rsid w:val="00301399"/>
    <w:rsid w:val="00301713"/>
    <w:rsid w:val="00301CC1"/>
    <w:rsid w:val="00301D73"/>
    <w:rsid w:val="00301D81"/>
    <w:rsid w:val="00301DCB"/>
    <w:rsid w:val="00301E09"/>
    <w:rsid w:val="00301F0D"/>
    <w:rsid w:val="0030214C"/>
    <w:rsid w:val="00302763"/>
    <w:rsid w:val="00302DC2"/>
    <w:rsid w:val="0030318F"/>
    <w:rsid w:val="003031F1"/>
    <w:rsid w:val="0030334A"/>
    <w:rsid w:val="00303815"/>
    <w:rsid w:val="00304283"/>
    <w:rsid w:val="00304EA3"/>
    <w:rsid w:val="0030591D"/>
    <w:rsid w:val="00305A2E"/>
    <w:rsid w:val="00305A62"/>
    <w:rsid w:val="00305F5E"/>
    <w:rsid w:val="00306353"/>
    <w:rsid w:val="00306559"/>
    <w:rsid w:val="003066FF"/>
    <w:rsid w:val="00306817"/>
    <w:rsid w:val="00306ED1"/>
    <w:rsid w:val="00307367"/>
    <w:rsid w:val="003077E6"/>
    <w:rsid w:val="003078AE"/>
    <w:rsid w:val="0030792B"/>
    <w:rsid w:val="00307BD5"/>
    <w:rsid w:val="00310031"/>
    <w:rsid w:val="00310231"/>
    <w:rsid w:val="00310625"/>
    <w:rsid w:val="0031067A"/>
    <w:rsid w:val="0031075E"/>
    <w:rsid w:val="00310C13"/>
    <w:rsid w:val="003111B0"/>
    <w:rsid w:val="00311655"/>
    <w:rsid w:val="00311822"/>
    <w:rsid w:val="00311A1C"/>
    <w:rsid w:val="00311A4D"/>
    <w:rsid w:val="003120EC"/>
    <w:rsid w:val="0031250D"/>
    <w:rsid w:val="003128AA"/>
    <w:rsid w:val="00312C5E"/>
    <w:rsid w:val="00313054"/>
    <w:rsid w:val="0031351A"/>
    <w:rsid w:val="00313A14"/>
    <w:rsid w:val="00313A2F"/>
    <w:rsid w:val="00313BF5"/>
    <w:rsid w:val="00313CA3"/>
    <w:rsid w:val="00314281"/>
    <w:rsid w:val="0031489C"/>
    <w:rsid w:val="00314B06"/>
    <w:rsid w:val="00314C62"/>
    <w:rsid w:val="00314F0D"/>
    <w:rsid w:val="00315196"/>
    <w:rsid w:val="003152AB"/>
    <w:rsid w:val="003157EE"/>
    <w:rsid w:val="003158FB"/>
    <w:rsid w:val="00315A5A"/>
    <w:rsid w:val="00315E71"/>
    <w:rsid w:val="00315FB1"/>
    <w:rsid w:val="0031641C"/>
    <w:rsid w:val="00316447"/>
    <w:rsid w:val="00316A0F"/>
    <w:rsid w:val="00316C34"/>
    <w:rsid w:val="00316FAA"/>
    <w:rsid w:val="00317055"/>
    <w:rsid w:val="00317201"/>
    <w:rsid w:val="00317DF9"/>
    <w:rsid w:val="003200E2"/>
    <w:rsid w:val="00320266"/>
    <w:rsid w:val="003209DB"/>
    <w:rsid w:val="00320F55"/>
    <w:rsid w:val="00320FE6"/>
    <w:rsid w:val="00321C06"/>
    <w:rsid w:val="00321C6D"/>
    <w:rsid w:val="00322367"/>
    <w:rsid w:val="003228CC"/>
    <w:rsid w:val="00322AB2"/>
    <w:rsid w:val="00322BB9"/>
    <w:rsid w:val="00322CCB"/>
    <w:rsid w:val="003230EE"/>
    <w:rsid w:val="0032363A"/>
    <w:rsid w:val="003238ED"/>
    <w:rsid w:val="00323DB6"/>
    <w:rsid w:val="00323F9B"/>
    <w:rsid w:val="00324732"/>
    <w:rsid w:val="003248C2"/>
    <w:rsid w:val="00325090"/>
    <w:rsid w:val="0032554E"/>
    <w:rsid w:val="00325622"/>
    <w:rsid w:val="00325DE2"/>
    <w:rsid w:val="003261F3"/>
    <w:rsid w:val="00326494"/>
    <w:rsid w:val="003265B4"/>
    <w:rsid w:val="00326753"/>
    <w:rsid w:val="00326B3C"/>
    <w:rsid w:val="00326C58"/>
    <w:rsid w:val="00326E41"/>
    <w:rsid w:val="00326E5E"/>
    <w:rsid w:val="00327146"/>
    <w:rsid w:val="00327423"/>
    <w:rsid w:val="00327782"/>
    <w:rsid w:val="00327798"/>
    <w:rsid w:val="0032790E"/>
    <w:rsid w:val="00327A7C"/>
    <w:rsid w:val="00330141"/>
    <w:rsid w:val="003305BF"/>
    <w:rsid w:val="003306EE"/>
    <w:rsid w:val="003308B0"/>
    <w:rsid w:val="003309B1"/>
    <w:rsid w:val="00330BF5"/>
    <w:rsid w:val="00330FED"/>
    <w:rsid w:val="00331063"/>
    <w:rsid w:val="00331361"/>
    <w:rsid w:val="003313E6"/>
    <w:rsid w:val="00331444"/>
    <w:rsid w:val="00331657"/>
    <w:rsid w:val="00331908"/>
    <w:rsid w:val="00331A43"/>
    <w:rsid w:val="00331BA8"/>
    <w:rsid w:val="00331BE3"/>
    <w:rsid w:val="0033261E"/>
    <w:rsid w:val="003326B7"/>
    <w:rsid w:val="0033289E"/>
    <w:rsid w:val="00332CD0"/>
    <w:rsid w:val="00332D4B"/>
    <w:rsid w:val="00332E7B"/>
    <w:rsid w:val="0033312A"/>
    <w:rsid w:val="00333425"/>
    <w:rsid w:val="003334D7"/>
    <w:rsid w:val="00333D79"/>
    <w:rsid w:val="00333FCB"/>
    <w:rsid w:val="0033454A"/>
    <w:rsid w:val="00334A2D"/>
    <w:rsid w:val="00334E12"/>
    <w:rsid w:val="00334E89"/>
    <w:rsid w:val="00335104"/>
    <w:rsid w:val="00335E6A"/>
    <w:rsid w:val="003362B2"/>
    <w:rsid w:val="0033692C"/>
    <w:rsid w:val="00336A0D"/>
    <w:rsid w:val="00336D17"/>
    <w:rsid w:val="00337862"/>
    <w:rsid w:val="00337863"/>
    <w:rsid w:val="00337E22"/>
    <w:rsid w:val="003401AA"/>
    <w:rsid w:val="0034027E"/>
    <w:rsid w:val="0034067C"/>
    <w:rsid w:val="00340BCB"/>
    <w:rsid w:val="00340BD6"/>
    <w:rsid w:val="003410E1"/>
    <w:rsid w:val="003415A7"/>
    <w:rsid w:val="003415C3"/>
    <w:rsid w:val="003417AF"/>
    <w:rsid w:val="00341D8A"/>
    <w:rsid w:val="00341DB2"/>
    <w:rsid w:val="00341F93"/>
    <w:rsid w:val="00342200"/>
    <w:rsid w:val="00342988"/>
    <w:rsid w:val="00342A0C"/>
    <w:rsid w:val="00342EB6"/>
    <w:rsid w:val="00342FAC"/>
    <w:rsid w:val="00343A8A"/>
    <w:rsid w:val="00343C74"/>
    <w:rsid w:val="00343DB4"/>
    <w:rsid w:val="003443A9"/>
    <w:rsid w:val="003445D1"/>
    <w:rsid w:val="003450AF"/>
    <w:rsid w:val="00345160"/>
    <w:rsid w:val="0034585F"/>
    <w:rsid w:val="0034594B"/>
    <w:rsid w:val="00345984"/>
    <w:rsid w:val="00346139"/>
    <w:rsid w:val="00346256"/>
    <w:rsid w:val="003472FE"/>
    <w:rsid w:val="00347383"/>
    <w:rsid w:val="003473B8"/>
    <w:rsid w:val="0034798B"/>
    <w:rsid w:val="00347CE7"/>
    <w:rsid w:val="00347FF9"/>
    <w:rsid w:val="0035008E"/>
    <w:rsid w:val="003507E0"/>
    <w:rsid w:val="00350A96"/>
    <w:rsid w:val="00350D44"/>
    <w:rsid w:val="00351062"/>
    <w:rsid w:val="00351129"/>
    <w:rsid w:val="00351AE9"/>
    <w:rsid w:val="00351CF8"/>
    <w:rsid w:val="00352224"/>
    <w:rsid w:val="003526D9"/>
    <w:rsid w:val="0035281C"/>
    <w:rsid w:val="00352B5B"/>
    <w:rsid w:val="00352CD3"/>
    <w:rsid w:val="0035338D"/>
    <w:rsid w:val="0035378C"/>
    <w:rsid w:val="0035382A"/>
    <w:rsid w:val="0035396F"/>
    <w:rsid w:val="00353E82"/>
    <w:rsid w:val="003543CE"/>
    <w:rsid w:val="00354584"/>
    <w:rsid w:val="0035460A"/>
    <w:rsid w:val="00354F2D"/>
    <w:rsid w:val="00354FBD"/>
    <w:rsid w:val="00355129"/>
    <w:rsid w:val="00355327"/>
    <w:rsid w:val="0035532F"/>
    <w:rsid w:val="0035544D"/>
    <w:rsid w:val="003555A5"/>
    <w:rsid w:val="00355777"/>
    <w:rsid w:val="00355952"/>
    <w:rsid w:val="0035658E"/>
    <w:rsid w:val="003569A6"/>
    <w:rsid w:val="00356B72"/>
    <w:rsid w:val="003572D5"/>
    <w:rsid w:val="00357943"/>
    <w:rsid w:val="00357AFD"/>
    <w:rsid w:val="00357D3B"/>
    <w:rsid w:val="00357F04"/>
    <w:rsid w:val="003603C5"/>
    <w:rsid w:val="00360479"/>
    <w:rsid w:val="00360626"/>
    <w:rsid w:val="003607B1"/>
    <w:rsid w:val="003608C0"/>
    <w:rsid w:val="00360B78"/>
    <w:rsid w:val="00360D85"/>
    <w:rsid w:val="0036102E"/>
    <w:rsid w:val="00361331"/>
    <w:rsid w:val="003616F2"/>
    <w:rsid w:val="003617F2"/>
    <w:rsid w:val="00361B63"/>
    <w:rsid w:val="00362072"/>
    <w:rsid w:val="003626D1"/>
    <w:rsid w:val="00362848"/>
    <w:rsid w:val="00362F1B"/>
    <w:rsid w:val="003635B9"/>
    <w:rsid w:val="00363AAE"/>
    <w:rsid w:val="00364053"/>
    <w:rsid w:val="003641B2"/>
    <w:rsid w:val="003642CC"/>
    <w:rsid w:val="00364D0D"/>
    <w:rsid w:val="00364D1B"/>
    <w:rsid w:val="00364E37"/>
    <w:rsid w:val="0036505B"/>
    <w:rsid w:val="003651B9"/>
    <w:rsid w:val="00365265"/>
    <w:rsid w:val="00365742"/>
    <w:rsid w:val="00365751"/>
    <w:rsid w:val="003659FC"/>
    <w:rsid w:val="00365A57"/>
    <w:rsid w:val="00365E53"/>
    <w:rsid w:val="00366329"/>
    <w:rsid w:val="003663F0"/>
    <w:rsid w:val="0036661B"/>
    <w:rsid w:val="00366A36"/>
    <w:rsid w:val="003672BF"/>
    <w:rsid w:val="00367432"/>
    <w:rsid w:val="0036765C"/>
    <w:rsid w:val="00367865"/>
    <w:rsid w:val="00367E66"/>
    <w:rsid w:val="0037035C"/>
    <w:rsid w:val="00370876"/>
    <w:rsid w:val="00370A9A"/>
    <w:rsid w:val="0037121F"/>
    <w:rsid w:val="0037195E"/>
    <w:rsid w:val="00371A5B"/>
    <w:rsid w:val="00371D11"/>
    <w:rsid w:val="00371F90"/>
    <w:rsid w:val="00372359"/>
    <w:rsid w:val="003723CD"/>
    <w:rsid w:val="003723F0"/>
    <w:rsid w:val="003725E2"/>
    <w:rsid w:val="003727A2"/>
    <w:rsid w:val="00372906"/>
    <w:rsid w:val="00372920"/>
    <w:rsid w:val="00372AAF"/>
    <w:rsid w:val="00372E9A"/>
    <w:rsid w:val="003730E2"/>
    <w:rsid w:val="003730F3"/>
    <w:rsid w:val="0037330B"/>
    <w:rsid w:val="0037330D"/>
    <w:rsid w:val="003737C8"/>
    <w:rsid w:val="00373D72"/>
    <w:rsid w:val="00373D76"/>
    <w:rsid w:val="00373E6F"/>
    <w:rsid w:val="0037400E"/>
    <w:rsid w:val="003742A7"/>
    <w:rsid w:val="003742FD"/>
    <w:rsid w:val="0037466F"/>
    <w:rsid w:val="00374EEE"/>
    <w:rsid w:val="00375657"/>
    <w:rsid w:val="00375737"/>
    <w:rsid w:val="00375763"/>
    <w:rsid w:val="00375812"/>
    <w:rsid w:val="00375D61"/>
    <w:rsid w:val="003766F7"/>
    <w:rsid w:val="00376981"/>
    <w:rsid w:val="00376B16"/>
    <w:rsid w:val="00376C2D"/>
    <w:rsid w:val="00376DCF"/>
    <w:rsid w:val="00376E45"/>
    <w:rsid w:val="00376EE5"/>
    <w:rsid w:val="00376FD9"/>
    <w:rsid w:val="00377168"/>
    <w:rsid w:val="003777D9"/>
    <w:rsid w:val="003779AE"/>
    <w:rsid w:val="00377A16"/>
    <w:rsid w:val="00377C37"/>
    <w:rsid w:val="00377C53"/>
    <w:rsid w:val="00377C56"/>
    <w:rsid w:val="003802F8"/>
    <w:rsid w:val="003803DB"/>
    <w:rsid w:val="0038051D"/>
    <w:rsid w:val="0038055A"/>
    <w:rsid w:val="00380656"/>
    <w:rsid w:val="00380C9A"/>
    <w:rsid w:val="00380D41"/>
    <w:rsid w:val="00380F02"/>
    <w:rsid w:val="0038115F"/>
    <w:rsid w:val="003811ED"/>
    <w:rsid w:val="0038122A"/>
    <w:rsid w:val="003816E5"/>
    <w:rsid w:val="0038191F"/>
    <w:rsid w:val="0038195C"/>
    <w:rsid w:val="00381DBE"/>
    <w:rsid w:val="00381E52"/>
    <w:rsid w:val="003820A1"/>
    <w:rsid w:val="00382133"/>
    <w:rsid w:val="003828A5"/>
    <w:rsid w:val="00382E80"/>
    <w:rsid w:val="003833C4"/>
    <w:rsid w:val="00383AB0"/>
    <w:rsid w:val="00383BEC"/>
    <w:rsid w:val="0038411E"/>
    <w:rsid w:val="003841AE"/>
    <w:rsid w:val="00384239"/>
    <w:rsid w:val="00384C35"/>
    <w:rsid w:val="00384D8D"/>
    <w:rsid w:val="003859FA"/>
    <w:rsid w:val="00385BC2"/>
    <w:rsid w:val="0038620E"/>
    <w:rsid w:val="00386349"/>
    <w:rsid w:val="00386688"/>
    <w:rsid w:val="00386981"/>
    <w:rsid w:val="00386A94"/>
    <w:rsid w:val="00386E39"/>
    <w:rsid w:val="00386E80"/>
    <w:rsid w:val="003870F2"/>
    <w:rsid w:val="00387715"/>
    <w:rsid w:val="00387AD5"/>
    <w:rsid w:val="00387B63"/>
    <w:rsid w:val="00387EFF"/>
    <w:rsid w:val="00387F64"/>
    <w:rsid w:val="00390100"/>
    <w:rsid w:val="003904EB"/>
    <w:rsid w:val="003914F9"/>
    <w:rsid w:val="003915AF"/>
    <w:rsid w:val="003915CA"/>
    <w:rsid w:val="00391781"/>
    <w:rsid w:val="003917E8"/>
    <w:rsid w:val="00391ABA"/>
    <w:rsid w:val="00391C95"/>
    <w:rsid w:val="00391CCE"/>
    <w:rsid w:val="00392351"/>
    <w:rsid w:val="003926CA"/>
    <w:rsid w:val="00392AB7"/>
    <w:rsid w:val="00392AE5"/>
    <w:rsid w:val="00392C97"/>
    <w:rsid w:val="00393089"/>
    <w:rsid w:val="00393398"/>
    <w:rsid w:val="00393506"/>
    <w:rsid w:val="003936AF"/>
    <w:rsid w:val="00393C2C"/>
    <w:rsid w:val="00393D55"/>
    <w:rsid w:val="003940E1"/>
    <w:rsid w:val="00394384"/>
    <w:rsid w:val="0039445C"/>
    <w:rsid w:val="00394A28"/>
    <w:rsid w:val="00394AB0"/>
    <w:rsid w:val="00394D3A"/>
    <w:rsid w:val="00394F83"/>
    <w:rsid w:val="0039510D"/>
    <w:rsid w:val="003954A9"/>
    <w:rsid w:val="003956A7"/>
    <w:rsid w:val="00395759"/>
    <w:rsid w:val="0039585B"/>
    <w:rsid w:val="00395A1C"/>
    <w:rsid w:val="003960BD"/>
    <w:rsid w:val="00396114"/>
    <w:rsid w:val="00396366"/>
    <w:rsid w:val="00396825"/>
    <w:rsid w:val="0039697F"/>
    <w:rsid w:val="00396991"/>
    <w:rsid w:val="003971DA"/>
    <w:rsid w:val="00397531"/>
    <w:rsid w:val="00397712"/>
    <w:rsid w:val="00397A9D"/>
    <w:rsid w:val="00397EF5"/>
    <w:rsid w:val="003A01CC"/>
    <w:rsid w:val="003A03C4"/>
    <w:rsid w:val="003A05C9"/>
    <w:rsid w:val="003A07B1"/>
    <w:rsid w:val="003A0923"/>
    <w:rsid w:val="003A0A6D"/>
    <w:rsid w:val="003A0A79"/>
    <w:rsid w:val="003A0ABE"/>
    <w:rsid w:val="003A0CB2"/>
    <w:rsid w:val="003A0D66"/>
    <w:rsid w:val="003A1880"/>
    <w:rsid w:val="003A1DD2"/>
    <w:rsid w:val="003A1EBE"/>
    <w:rsid w:val="003A23B5"/>
    <w:rsid w:val="003A24F5"/>
    <w:rsid w:val="003A26FB"/>
    <w:rsid w:val="003A2B54"/>
    <w:rsid w:val="003A2C53"/>
    <w:rsid w:val="003A2E35"/>
    <w:rsid w:val="003A3385"/>
    <w:rsid w:val="003A33AA"/>
    <w:rsid w:val="003A37C2"/>
    <w:rsid w:val="003A37CB"/>
    <w:rsid w:val="003A3E18"/>
    <w:rsid w:val="003A41DA"/>
    <w:rsid w:val="003A4231"/>
    <w:rsid w:val="003A4238"/>
    <w:rsid w:val="003A42BD"/>
    <w:rsid w:val="003A43CB"/>
    <w:rsid w:val="003A493D"/>
    <w:rsid w:val="003A49D6"/>
    <w:rsid w:val="003A4B57"/>
    <w:rsid w:val="003A4B58"/>
    <w:rsid w:val="003A4D4F"/>
    <w:rsid w:val="003A4DEF"/>
    <w:rsid w:val="003A5167"/>
    <w:rsid w:val="003A61E7"/>
    <w:rsid w:val="003A6616"/>
    <w:rsid w:val="003A6784"/>
    <w:rsid w:val="003A69E2"/>
    <w:rsid w:val="003A7033"/>
    <w:rsid w:val="003A7364"/>
    <w:rsid w:val="003A7B17"/>
    <w:rsid w:val="003A7C44"/>
    <w:rsid w:val="003A7F4B"/>
    <w:rsid w:val="003B00E7"/>
    <w:rsid w:val="003B0308"/>
    <w:rsid w:val="003B0740"/>
    <w:rsid w:val="003B0917"/>
    <w:rsid w:val="003B0FF7"/>
    <w:rsid w:val="003B1585"/>
    <w:rsid w:val="003B165A"/>
    <w:rsid w:val="003B19A0"/>
    <w:rsid w:val="003B1A09"/>
    <w:rsid w:val="003B1B4D"/>
    <w:rsid w:val="003B1DAB"/>
    <w:rsid w:val="003B2CFF"/>
    <w:rsid w:val="003B2D3A"/>
    <w:rsid w:val="003B2F22"/>
    <w:rsid w:val="003B2FF1"/>
    <w:rsid w:val="003B30E9"/>
    <w:rsid w:val="003B312C"/>
    <w:rsid w:val="003B315A"/>
    <w:rsid w:val="003B35D5"/>
    <w:rsid w:val="003B365F"/>
    <w:rsid w:val="003B3DC3"/>
    <w:rsid w:val="003B3EC1"/>
    <w:rsid w:val="003B4A10"/>
    <w:rsid w:val="003B4A13"/>
    <w:rsid w:val="003B4BA5"/>
    <w:rsid w:val="003B4D2B"/>
    <w:rsid w:val="003B4E56"/>
    <w:rsid w:val="003B4E66"/>
    <w:rsid w:val="003B4E78"/>
    <w:rsid w:val="003B4EB7"/>
    <w:rsid w:val="003B4F16"/>
    <w:rsid w:val="003B50EC"/>
    <w:rsid w:val="003B51BF"/>
    <w:rsid w:val="003B529D"/>
    <w:rsid w:val="003B56DF"/>
    <w:rsid w:val="003B5863"/>
    <w:rsid w:val="003B5AB8"/>
    <w:rsid w:val="003B67B9"/>
    <w:rsid w:val="003B67F2"/>
    <w:rsid w:val="003B6822"/>
    <w:rsid w:val="003B6E90"/>
    <w:rsid w:val="003B6F14"/>
    <w:rsid w:val="003B7158"/>
    <w:rsid w:val="003B71F1"/>
    <w:rsid w:val="003B7242"/>
    <w:rsid w:val="003B755C"/>
    <w:rsid w:val="003B75E2"/>
    <w:rsid w:val="003B7804"/>
    <w:rsid w:val="003B7829"/>
    <w:rsid w:val="003B7FA7"/>
    <w:rsid w:val="003C041B"/>
    <w:rsid w:val="003C0520"/>
    <w:rsid w:val="003C0685"/>
    <w:rsid w:val="003C06B3"/>
    <w:rsid w:val="003C09A0"/>
    <w:rsid w:val="003C0A18"/>
    <w:rsid w:val="003C0E05"/>
    <w:rsid w:val="003C0EF8"/>
    <w:rsid w:val="003C1189"/>
    <w:rsid w:val="003C184F"/>
    <w:rsid w:val="003C1E37"/>
    <w:rsid w:val="003C21EE"/>
    <w:rsid w:val="003C2853"/>
    <w:rsid w:val="003C2920"/>
    <w:rsid w:val="003C2964"/>
    <w:rsid w:val="003C2A56"/>
    <w:rsid w:val="003C2F84"/>
    <w:rsid w:val="003C313A"/>
    <w:rsid w:val="003C3648"/>
    <w:rsid w:val="003C3A1F"/>
    <w:rsid w:val="003C3F3D"/>
    <w:rsid w:val="003C44BD"/>
    <w:rsid w:val="003C4778"/>
    <w:rsid w:val="003C4B11"/>
    <w:rsid w:val="003C4EF6"/>
    <w:rsid w:val="003C53CA"/>
    <w:rsid w:val="003C54D9"/>
    <w:rsid w:val="003C56BB"/>
    <w:rsid w:val="003C583E"/>
    <w:rsid w:val="003C5935"/>
    <w:rsid w:val="003C5BB2"/>
    <w:rsid w:val="003C6291"/>
    <w:rsid w:val="003C6A1B"/>
    <w:rsid w:val="003C6BC6"/>
    <w:rsid w:val="003C74F0"/>
    <w:rsid w:val="003C7867"/>
    <w:rsid w:val="003C7971"/>
    <w:rsid w:val="003D013F"/>
    <w:rsid w:val="003D02E0"/>
    <w:rsid w:val="003D0F73"/>
    <w:rsid w:val="003D119B"/>
    <w:rsid w:val="003D13C7"/>
    <w:rsid w:val="003D1426"/>
    <w:rsid w:val="003D16AA"/>
    <w:rsid w:val="003D1737"/>
    <w:rsid w:val="003D1957"/>
    <w:rsid w:val="003D1B82"/>
    <w:rsid w:val="003D1F97"/>
    <w:rsid w:val="003D2A62"/>
    <w:rsid w:val="003D2DB3"/>
    <w:rsid w:val="003D2FD0"/>
    <w:rsid w:val="003D333A"/>
    <w:rsid w:val="003D33AB"/>
    <w:rsid w:val="003D3595"/>
    <w:rsid w:val="003D3E1E"/>
    <w:rsid w:val="003D3EED"/>
    <w:rsid w:val="003D40A9"/>
    <w:rsid w:val="003D433E"/>
    <w:rsid w:val="003D45AC"/>
    <w:rsid w:val="003D49CC"/>
    <w:rsid w:val="003D4BBD"/>
    <w:rsid w:val="003D4DD5"/>
    <w:rsid w:val="003D532B"/>
    <w:rsid w:val="003D575E"/>
    <w:rsid w:val="003D584A"/>
    <w:rsid w:val="003D585B"/>
    <w:rsid w:val="003D587C"/>
    <w:rsid w:val="003D5F8C"/>
    <w:rsid w:val="003D6136"/>
    <w:rsid w:val="003D6936"/>
    <w:rsid w:val="003D6F73"/>
    <w:rsid w:val="003D7516"/>
    <w:rsid w:val="003D7941"/>
    <w:rsid w:val="003D7A29"/>
    <w:rsid w:val="003E0274"/>
    <w:rsid w:val="003E0C8B"/>
    <w:rsid w:val="003E0D0D"/>
    <w:rsid w:val="003E0DC9"/>
    <w:rsid w:val="003E0DFB"/>
    <w:rsid w:val="003E0E50"/>
    <w:rsid w:val="003E11E8"/>
    <w:rsid w:val="003E128B"/>
    <w:rsid w:val="003E13D6"/>
    <w:rsid w:val="003E14E0"/>
    <w:rsid w:val="003E1768"/>
    <w:rsid w:val="003E1AB1"/>
    <w:rsid w:val="003E1E38"/>
    <w:rsid w:val="003E1ECF"/>
    <w:rsid w:val="003E1F02"/>
    <w:rsid w:val="003E25A4"/>
    <w:rsid w:val="003E288A"/>
    <w:rsid w:val="003E2C99"/>
    <w:rsid w:val="003E346E"/>
    <w:rsid w:val="003E3513"/>
    <w:rsid w:val="003E3789"/>
    <w:rsid w:val="003E37AF"/>
    <w:rsid w:val="003E3941"/>
    <w:rsid w:val="003E3B6E"/>
    <w:rsid w:val="003E3F09"/>
    <w:rsid w:val="003E3F9F"/>
    <w:rsid w:val="003E43DE"/>
    <w:rsid w:val="003E4447"/>
    <w:rsid w:val="003E4587"/>
    <w:rsid w:val="003E463A"/>
    <w:rsid w:val="003E47C2"/>
    <w:rsid w:val="003E48C0"/>
    <w:rsid w:val="003E4940"/>
    <w:rsid w:val="003E4B22"/>
    <w:rsid w:val="003E4B50"/>
    <w:rsid w:val="003E4CE1"/>
    <w:rsid w:val="003E4EB8"/>
    <w:rsid w:val="003E53D5"/>
    <w:rsid w:val="003E540B"/>
    <w:rsid w:val="003E54C9"/>
    <w:rsid w:val="003E571D"/>
    <w:rsid w:val="003E59CB"/>
    <w:rsid w:val="003E5D20"/>
    <w:rsid w:val="003E5D87"/>
    <w:rsid w:val="003E5F65"/>
    <w:rsid w:val="003E681D"/>
    <w:rsid w:val="003E6A16"/>
    <w:rsid w:val="003E6B0A"/>
    <w:rsid w:val="003E7452"/>
    <w:rsid w:val="003E7852"/>
    <w:rsid w:val="003E7930"/>
    <w:rsid w:val="003E793C"/>
    <w:rsid w:val="003E7AC8"/>
    <w:rsid w:val="003E7C91"/>
    <w:rsid w:val="003F0482"/>
    <w:rsid w:val="003F0539"/>
    <w:rsid w:val="003F05A8"/>
    <w:rsid w:val="003F0B38"/>
    <w:rsid w:val="003F13AE"/>
    <w:rsid w:val="003F171F"/>
    <w:rsid w:val="003F1960"/>
    <w:rsid w:val="003F1A89"/>
    <w:rsid w:val="003F1E87"/>
    <w:rsid w:val="003F2310"/>
    <w:rsid w:val="003F2494"/>
    <w:rsid w:val="003F30BD"/>
    <w:rsid w:val="003F33B7"/>
    <w:rsid w:val="003F34A4"/>
    <w:rsid w:val="003F3731"/>
    <w:rsid w:val="003F3958"/>
    <w:rsid w:val="003F3C7B"/>
    <w:rsid w:val="003F3CF3"/>
    <w:rsid w:val="003F4060"/>
    <w:rsid w:val="003F43C5"/>
    <w:rsid w:val="003F45C9"/>
    <w:rsid w:val="003F499D"/>
    <w:rsid w:val="003F4D9E"/>
    <w:rsid w:val="003F512A"/>
    <w:rsid w:val="003F5768"/>
    <w:rsid w:val="003F59D2"/>
    <w:rsid w:val="003F5C4F"/>
    <w:rsid w:val="003F62DB"/>
    <w:rsid w:val="003F66BD"/>
    <w:rsid w:val="003F673E"/>
    <w:rsid w:val="003F6B4C"/>
    <w:rsid w:val="003F6D10"/>
    <w:rsid w:val="003F7189"/>
    <w:rsid w:val="003F7279"/>
    <w:rsid w:val="003F75CB"/>
    <w:rsid w:val="003F7AA8"/>
    <w:rsid w:val="003F7AFF"/>
    <w:rsid w:val="003F7FB3"/>
    <w:rsid w:val="00400041"/>
    <w:rsid w:val="00400531"/>
    <w:rsid w:val="00400647"/>
    <w:rsid w:val="00400659"/>
    <w:rsid w:val="004007B3"/>
    <w:rsid w:val="00400B7A"/>
    <w:rsid w:val="0040193D"/>
    <w:rsid w:val="00401B75"/>
    <w:rsid w:val="00401EFC"/>
    <w:rsid w:val="00401F13"/>
    <w:rsid w:val="004025A1"/>
    <w:rsid w:val="0040291E"/>
    <w:rsid w:val="004029CB"/>
    <w:rsid w:val="00402B3B"/>
    <w:rsid w:val="00402CBD"/>
    <w:rsid w:val="00402FCC"/>
    <w:rsid w:val="004038F0"/>
    <w:rsid w:val="00403E1D"/>
    <w:rsid w:val="00403E47"/>
    <w:rsid w:val="0040418A"/>
    <w:rsid w:val="0040424B"/>
    <w:rsid w:val="004044FE"/>
    <w:rsid w:val="0040474A"/>
    <w:rsid w:val="00404910"/>
    <w:rsid w:val="00404A54"/>
    <w:rsid w:val="00404B9E"/>
    <w:rsid w:val="004052F9"/>
    <w:rsid w:val="004054CA"/>
    <w:rsid w:val="00405AA8"/>
    <w:rsid w:val="00405ABF"/>
    <w:rsid w:val="00405DD8"/>
    <w:rsid w:val="00405EA7"/>
    <w:rsid w:val="00405FD1"/>
    <w:rsid w:val="00406052"/>
    <w:rsid w:val="004064A1"/>
    <w:rsid w:val="00406503"/>
    <w:rsid w:val="00406597"/>
    <w:rsid w:val="004067B7"/>
    <w:rsid w:val="004068C5"/>
    <w:rsid w:val="00406945"/>
    <w:rsid w:val="00406DC0"/>
    <w:rsid w:val="0040708B"/>
    <w:rsid w:val="004076CE"/>
    <w:rsid w:val="004078A0"/>
    <w:rsid w:val="00407979"/>
    <w:rsid w:val="00407D3D"/>
    <w:rsid w:val="00407D55"/>
    <w:rsid w:val="00407DF9"/>
    <w:rsid w:val="00407E8D"/>
    <w:rsid w:val="00407FAF"/>
    <w:rsid w:val="00410478"/>
    <w:rsid w:val="00410561"/>
    <w:rsid w:val="004108B2"/>
    <w:rsid w:val="00410A1D"/>
    <w:rsid w:val="004112D0"/>
    <w:rsid w:val="004114E0"/>
    <w:rsid w:val="004116C8"/>
    <w:rsid w:val="00411C6B"/>
    <w:rsid w:val="00411C73"/>
    <w:rsid w:val="00411D1D"/>
    <w:rsid w:val="00411DB0"/>
    <w:rsid w:val="004129E7"/>
    <w:rsid w:val="00412B3B"/>
    <w:rsid w:val="00412BAA"/>
    <w:rsid w:val="00412D5C"/>
    <w:rsid w:val="0041302F"/>
    <w:rsid w:val="00413249"/>
    <w:rsid w:val="00413529"/>
    <w:rsid w:val="00413DDD"/>
    <w:rsid w:val="00413DE3"/>
    <w:rsid w:val="0041427B"/>
    <w:rsid w:val="0041470B"/>
    <w:rsid w:val="00414B00"/>
    <w:rsid w:val="00414C12"/>
    <w:rsid w:val="00415166"/>
    <w:rsid w:val="004152E7"/>
    <w:rsid w:val="00415602"/>
    <w:rsid w:val="00415613"/>
    <w:rsid w:val="00415B2C"/>
    <w:rsid w:val="00416066"/>
    <w:rsid w:val="0041610D"/>
    <w:rsid w:val="0041669C"/>
    <w:rsid w:val="004166B8"/>
    <w:rsid w:val="00416777"/>
    <w:rsid w:val="00416885"/>
    <w:rsid w:val="004175C4"/>
    <w:rsid w:val="00417630"/>
    <w:rsid w:val="00417668"/>
    <w:rsid w:val="00417870"/>
    <w:rsid w:val="00417C47"/>
    <w:rsid w:val="00417D4E"/>
    <w:rsid w:val="00417E9D"/>
    <w:rsid w:val="004202B5"/>
    <w:rsid w:val="004208E4"/>
    <w:rsid w:val="00420975"/>
    <w:rsid w:val="00420B8A"/>
    <w:rsid w:val="00420C87"/>
    <w:rsid w:val="00420D97"/>
    <w:rsid w:val="00420DF1"/>
    <w:rsid w:val="00420E54"/>
    <w:rsid w:val="00420F48"/>
    <w:rsid w:val="00421367"/>
    <w:rsid w:val="0042187D"/>
    <w:rsid w:val="00421A50"/>
    <w:rsid w:val="00421B91"/>
    <w:rsid w:val="0042225A"/>
    <w:rsid w:val="00422518"/>
    <w:rsid w:val="00422C80"/>
    <w:rsid w:val="00423164"/>
    <w:rsid w:val="0042338D"/>
    <w:rsid w:val="0042371E"/>
    <w:rsid w:val="00423759"/>
    <w:rsid w:val="004237FF"/>
    <w:rsid w:val="004238C4"/>
    <w:rsid w:val="00423B57"/>
    <w:rsid w:val="00424406"/>
    <w:rsid w:val="00424535"/>
    <w:rsid w:val="004245C9"/>
    <w:rsid w:val="004246B4"/>
    <w:rsid w:val="0042494A"/>
    <w:rsid w:val="00424B22"/>
    <w:rsid w:val="00424D19"/>
    <w:rsid w:val="00425853"/>
    <w:rsid w:val="00425B15"/>
    <w:rsid w:val="00425EF8"/>
    <w:rsid w:val="00425F91"/>
    <w:rsid w:val="004260BF"/>
    <w:rsid w:val="004266FC"/>
    <w:rsid w:val="004267FD"/>
    <w:rsid w:val="004268CD"/>
    <w:rsid w:val="00426B60"/>
    <w:rsid w:val="00426BEB"/>
    <w:rsid w:val="00427015"/>
    <w:rsid w:val="00427297"/>
    <w:rsid w:val="004272CE"/>
    <w:rsid w:val="004300B7"/>
    <w:rsid w:val="004303A9"/>
    <w:rsid w:val="00430905"/>
    <w:rsid w:val="00430970"/>
    <w:rsid w:val="00430DCF"/>
    <w:rsid w:val="00431B4F"/>
    <w:rsid w:val="00431C43"/>
    <w:rsid w:val="00431DCB"/>
    <w:rsid w:val="0043200D"/>
    <w:rsid w:val="004324C3"/>
    <w:rsid w:val="004324EA"/>
    <w:rsid w:val="004328B9"/>
    <w:rsid w:val="00432C0C"/>
    <w:rsid w:val="00432D27"/>
    <w:rsid w:val="00432D9E"/>
    <w:rsid w:val="00432E02"/>
    <w:rsid w:val="0043309C"/>
    <w:rsid w:val="0043317D"/>
    <w:rsid w:val="00433266"/>
    <w:rsid w:val="00433766"/>
    <w:rsid w:val="004337DF"/>
    <w:rsid w:val="00433CD1"/>
    <w:rsid w:val="00433DF9"/>
    <w:rsid w:val="004346FD"/>
    <w:rsid w:val="00434756"/>
    <w:rsid w:val="0043485C"/>
    <w:rsid w:val="00434885"/>
    <w:rsid w:val="00434E14"/>
    <w:rsid w:val="0043512B"/>
    <w:rsid w:val="00435293"/>
    <w:rsid w:val="004353B5"/>
    <w:rsid w:val="004354FC"/>
    <w:rsid w:val="00435AC3"/>
    <w:rsid w:val="0043626D"/>
    <w:rsid w:val="00436442"/>
    <w:rsid w:val="004364B2"/>
    <w:rsid w:val="004374E3"/>
    <w:rsid w:val="00437AE6"/>
    <w:rsid w:val="00437BB4"/>
    <w:rsid w:val="00437E0E"/>
    <w:rsid w:val="00440470"/>
    <w:rsid w:val="0044092D"/>
    <w:rsid w:val="00441399"/>
    <w:rsid w:val="00441652"/>
    <w:rsid w:val="00441A6C"/>
    <w:rsid w:val="00441C0F"/>
    <w:rsid w:val="004420C5"/>
    <w:rsid w:val="00442390"/>
    <w:rsid w:val="0044282B"/>
    <w:rsid w:val="00442B36"/>
    <w:rsid w:val="00442C2B"/>
    <w:rsid w:val="00442C9D"/>
    <w:rsid w:val="00442D4E"/>
    <w:rsid w:val="004430A0"/>
    <w:rsid w:val="004431CA"/>
    <w:rsid w:val="004433EE"/>
    <w:rsid w:val="00443B6B"/>
    <w:rsid w:val="00443E7E"/>
    <w:rsid w:val="00444182"/>
    <w:rsid w:val="00444410"/>
    <w:rsid w:val="00444421"/>
    <w:rsid w:val="004446B1"/>
    <w:rsid w:val="004448D3"/>
    <w:rsid w:val="00444B9D"/>
    <w:rsid w:val="00444E1D"/>
    <w:rsid w:val="00444E82"/>
    <w:rsid w:val="00444FCB"/>
    <w:rsid w:val="004450A1"/>
    <w:rsid w:val="004450A6"/>
    <w:rsid w:val="004450BB"/>
    <w:rsid w:val="00445C24"/>
    <w:rsid w:val="00446045"/>
    <w:rsid w:val="00446297"/>
    <w:rsid w:val="0044636D"/>
    <w:rsid w:val="00446759"/>
    <w:rsid w:val="004467BF"/>
    <w:rsid w:val="00446A7E"/>
    <w:rsid w:val="00446B7C"/>
    <w:rsid w:val="00446C05"/>
    <w:rsid w:val="00446EDB"/>
    <w:rsid w:val="0044722B"/>
    <w:rsid w:val="00447655"/>
    <w:rsid w:val="0044790A"/>
    <w:rsid w:val="00447E79"/>
    <w:rsid w:val="0045046E"/>
    <w:rsid w:val="00450518"/>
    <w:rsid w:val="00450A8E"/>
    <w:rsid w:val="00451542"/>
    <w:rsid w:val="00451664"/>
    <w:rsid w:val="004516B4"/>
    <w:rsid w:val="00451E19"/>
    <w:rsid w:val="00452151"/>
    <w:rsid w:val="004521BE"/>
    <w:rsid w:val="00452642"/>
    <w:rsid w:val="00452CFE"/>
    <w:rsid w:val="00452D7F"/>
    <w:rsid w:val="004531DD"/>
    <w:rsid w:val="00453362"/>
    <w:rsid w:val="004534FA"/>
    <w:rsid w:val="00453ACF"/>
    <w:rsid w:val="00453ADF"/>
    <w:rsid w:val="00454001"/>
    <w:rsid w:val="004540F2"/>
    <w:rsid w:val="0045422A"/>
    <w:rsid w:val="004543BA"/>
    <w:rsid w:val="004545E1"/>
    <w:rsid w:val="00454604"/>
    <w:rsid w:val="0045474F"/>
    <w:rsid w:val="004548F2"/>
    <w:rsid w:val="00454A6B"/>
    <w:rsid w:val="00454A72"/>
    <w:rsid w:val="00454FF9"/>
    <w:rsid w:val="0045510E"/>
    <w:rsid w:val="0045539E"/>
    <w:rsid w:val="0045546B"/>
    <w:rsid w:val="0045563E"/>
    <w:rsid w:val="00455A5F"/>
    <w:rsid w:val="00455E7A"/>
    <w:rsid w:val="00456652"/>
    <w:rsid w:val="004570E5"/>
    <w:rsid w:val="00457509"/>
    <w:rsid w:val="00457641"/>
    <w:rsid w:val="00457923"/>
    <w:rsid w:val="00457B67"/>
    <w:rsid w:val="00457C16"/>
    <w:rsid w:val="0046010B"/>
    <w:rsid w:val="0046022E"/>
    <w:rsid w:val="004602C8"/>
    <w:rsid w:val="0046041D"/>
    <w:rsid w:val="0046077A"/>
    <w:rsid w:val="004608EF"/>
    <w:rsid w:val="00460BAA"/>
    <w:rsid w:val="004610A1"/>
    <w:rsid w:val="0046122C"/>
    <w:rsid w:val="0046187B"/>
    <w:rsid w:val="004619D9"/>
    <w:rsid w:val="00461E53"/>
    <w:rsid w:val="00462071"/>
    <w:rsid w:val="00462421"/>
    <w:rsid w:val="00462456"/>
    <w:rsid w:val="0046273C"/>
    <w:rsid w:val="00462776"/>
    <w:rsid w:val="00462805"/>
    <w:rsid w:val="0046284E"/>
    <w:rsid w:val="00462A94"/>
    <w:rsid w:val="00463339"/>
    <w:rsid w:val="00463668"/>
    <w:rsid w:val="00463829"/>
    <w:rsid w:val="00464062"/>
    <w:rsid w:val="0046445E"/>
    <w:rsid w:val="00464500"/>
    <w:rsid w:val="00464663"/>
    <w:rsid w:val="0046467B"/>
    <w:rsid w:val="00465185"/>
    <w:rsid w:val="00465325"/>
    <w:rsid w:val="00465685"/>
    <w:rsid w:val="004658D4"/>
    <w:rsid w:val="00465C4D"/>
    <w:rsid w:val="00465F6A"/>
    <w:rsid w:val="00466033"/>
    <w:rsid w:val="0046635A"/>
    <w:rsid w:val="00466843"/>
    <w:rsid w:val="00466BC7"/>
    <w:rsid w:val="00466C40"/>
    <w:rsid w:val="00466CCD"/>
    <w:rsid w:val="00466FB3"/>
    <w:rsid w:val="004675DB"/>
    <w:rsid w:val="004677F7"/>
    <w:rsid w:val="004679F6"/>
    <w:rsid w:val="00467CBB"/>
    <w:rsid w:val="00467FCB"/>
    <w:rsid w:val="004701F1"/>
    <w:rsid w:val="004704B3"/>
    <w:rsid w:val="0047061E"/>
    <w:rsid w:val="0047079B"/>
    <w:rsid w:val="004707A0"/>
    <w:rsid w:val="00470879"/>
    <w:rsid w:val="0047091E"/>
    <w:rsid w:val="00470974"/>
    <w:rsid w:val="00470C30"/>
    <w:rsid w:val="00470D0E"/>
    <w:rsid w:val="00470DFC"/>
    <w:rsid w:val="00470F4E"/>
    <w:rsid w:val="00470F93"/>
    <w:rsid w:val="004710E5"/>
    <w:rsid w:val="00471988"/>
    <w:rsid w:val="0047199A"/>
    <w:rsid w:val="004720DC"/>
    <w:rsid w:val="004723FD"/>
    <w:rsid w:val="004728FD"/>
    <w:rsid w:val="00472BDE"/>
    <w:rsid w:val="00472D2F"/>
    <w:rsid w:val="00473334"/>
    <w:rsid w:val="00473386"/>
    <w:rsid w:val="00473557"/>
    <w:rsid w:val="004735E0"/>
    <w:rsid w:val="004737C6"/>
    <w:rsid w:val="00473894"/>
    <w:rsid w:val="00473940"/>
    <w:rsid w:val="0047395D"/>
    <w:rsid w:val="00473D84"/>
    <w:rsid w:val="00473F10"/>
    <w:rsid w:val="0047407B"/>
    <w:rsid w:val="004740F7"/>
    <w:rsid w:val="00474249"/>
    <w:rsid w:val="00474486"/>
    <w:rsid w:val="004744F5"/>
    <w:rsid w:val="004745DD"/>
    <w:rsid w:val="00474AF2"/>
    <w:rsid w:val="00475043"/>
    <w:rsid w:val="00475079"/>
    <w:rsid w:val="004757B3"/>
    <w:rsid w:val="00475B36"/>
    <w:rsid w:val="00475C34"/>
    <w:rsid w:val="00475CB1"/>
    <w:rsid w:val="00476068"/>
    <w:rsid w:val="00476203"/>
    <w:rsid w:val="004767E3"/>
    <w:rsid w:val="00476C73"/>
    <w:rsid w:val="00477396"/>
    <w:rsid w:val="0047788A"/>
    <w:rsid w:val="004778C9"/>
    <w:rsid w:val="00477B39"/>
    <w:rsid w:val="00480223"/>
    <w:rsid w:val="0048030F"/>
    <w:rsid w:val="00480FA0"/>
    <w:rsid w:val="004819B3"/>
    <w:rsid w:val="00481F00"/>
    <w:rsid w:val="00481FE9"/>
    <w:rsid w:val="004820D3"/>
    <w:rsid w:val="004822E2"/>
    <w:rsid w:val="004824F4"/>
    <w:rsid w:val="00482ADE"/>
    <w:rsid w:val="00482DE2"/>
    <w:rsid w:val="00482F11"/>
    <w:rsid w:val="0048312F"/>
    <w:rsid w:val="0048337E"/>
    <w:rsid w:val="00483554"/>
    <w:rsid w:val="004836A7"/>
    <w:rsid w:val="00483772"/>
    <w:rsid w:val="00483C70"/>
    <w:rsid w:val="00483F8C"/>
    <w:rsid w:val="00484664"/>
    <w:rsid w:val="00484A68"/>
    <w:rsid w:val="00484AB6"/>
    <w:rsid w:val="00484AC6"/>
    <w:rsid w:val="00484C89"/>
    <w:rsid w:val="00484C8F"/>
    <w:rsid w:val="004850D7"/>
    <w:rsid w:val="0048518C"/>
    <w:rsid w:val="004851B6"/>
    <w:rsid w:val="00485676"/>
    <w:rsid w:val="00485730"/>
    <w:rsid w:val="00485ACE"/>
    <w:rsid w:val="00485CBA"/>
    <w:rsid w:val="00485E24"/>
    <w:rsid w:val="0048627C"/>
    <w:rsid w:val="0048636F"/>
    <w:rsid w:val="00486844"/>
    <w:rsid w:val="00486907"/>
    <w:rsid w:val="00486B9A"/>
    <w:rsid w:val="00486F74"/>
    <w:rsid w:val="0048700E"/>
    <w:rsid w:val="00487504"/>
    <w:rsid w:val="0048755C"/>
    <w:rsid w:val="0048764B"/>
    <w:rsid w:val="00487AD1"/>
    <w:rsid w:val="00490111"/>
    <w:rsid w:val="004904D5"/>
    <w:rsid w:val="0049065A"/>
    <w:rsid w:val="0049069E"/>
    <w:rsid w:val="00490CF5"/>
    <w:rsid w:val="00490E01"/>
    <w:rsid w:val="00491081"/>
    <w:rsid w:val="004912F1"/>
    <w:rsid w:val="00491575"/>
    <w:rsid w:val="00491A0E"/>
    <w:rsid w:val="00491ABD"/>
    <w:rsid w:val="00491CF4"/>
    <w:rsid w:val="00492196"/>
    <w:rsid w:val="004922EC"/>
    <w:rsid w:val="004924F8"/>
    <w:rsid w:val="004928BA"/>
    <w:rsid w:val="00492A09"/>
    <w:rsid w:val="00492B63"/>
    <w:rsid w:val="00492CB1"/>
    <w:rsid w:val="00492E18"/>
    <w:rsid w:val="00492F4E"/>
    <w:rsid w:val="00493152"/>
    <w:rsid w:val="00493418"/>
    <w:rsid w:val="00493726"/>
    <w:rsid w:val="00493B21"/>
    <w:rsid w:val="00493BFD"/>
    <w:rsid w:val="00493D72"/>
    <w:rsid w:val="00494046"/>
    <w:rsid w:val="004946C1"/>
    <w:rsid w:val="00494AA5"/>
    <w:rsid w:val="00494B05"/>
    <w:rsid w:val="00494F58"/>
    <w:rsid w:val="004954C1"/>
    <w:rsid w:val="00495745"/>
    <w:rsid w:val="00495B4A"/>
    <w:rsid w:val="00495BB6"/>
    <w:rsid w:val="00495EA9"/>
    <w:rsid w:val="00496C24"/>
    <w:rsid w:val="00496D0D"/>
    <w:rsid w:val="00496FDB"/>
    <w:rsid w:val="004971EC"/>
    <w:rsid w:val="00497942"/>
    <w:rsid w:val="00497A38"/>
    <w:rsid w:val="00497EA4"/>
    <w:rsid w:val="004A02B5"/>
    <w:rsid w:val="004A05C6"/>
    <w:rsid w:val="004A0E84"/>
    <w:rsid w:val="004A1026"/>
    <w:rsid w:val="004A1610"/>
    <w:rsid w:val="004A1662"/>
    <w:rsid w:val="004A193B"/>
    <w:rsid w:val="004A1BA8"/>
    <w:rsid w:val="004A1CA6"/>
    <w:rsid w:val="004A1D7A"/>
    <w:rsid w:val="004A1E64"/>
    <w:rsid w:val="004A202E"/>
    <w:rsid w:val="004A26DC"/>
    <w:rsid w:val="004A2880"/>
    <w:rsid w:val="004A2936"/>
    <w:rsid w:val="004A29DF"/>
    <w:rsid w:val="004A2A8E"/>
    <w:rsid w:val="004A2F13"/>
    <w:rsid w:val="004A309F"/>
    <w:rsid w:val="004A3C64"/>
    <w:rsid w:val="004A3C7F"/>
    <w:rsid w:val="004A4084"/>
    <w:rsid w:val="004A428E"/>
    <w:rsid w:val="004A4408"/>
    <w:rsid w:val="004A49BC"/>
    <w:rsid w:val="004A4A0F"/>
    <w:rsid w:val="004A4E45"/>
    <w:rsid w:val="004A4EAF"/>
    <w:rsid w:val="004A4EF7"/>
    <w:rsid w:val="004A5209"/>
    <w:rsid w:val="004A52B3"/>
    <w:rsid w:val="004A55AD"/>
    <w:rsid w:val="004A5E10"/>
    <w:rsid w:val="004A62B1"/>
    <w:rsid w:val="004A6826"/>
    <w:rsid w:val="004A682D"/>
    <w:rsid w:val="004A7397"/>
    <w:rsid w:val="004A73FF"/>
    <w:rsid w:val="004A769C"/>
    <w:rsid w:val="004A7938"/>
    <w:rsid w:val="004A7B5A"/>
    <w:rsid w:val="004A7B83"/>
    <w:rsid w:val="004A7DA3"/>
    <w:rsid w:val="004A7F68"/>
    <w:rsid w:val="004B00C8"/>
    <w:rsid w:val="004B0167"/>
    <w:rsid w:val="004B03A1"/>
    <w:rsid w:val="004B052B"/>
    <w:rsid w:val="004B0541"/>
    <w:rsid w:val="004B0762"/>
    <w:rsid w:val="004B0C77"/>
    <w:rsid w:val="004B1498"/>
    <w:rsid w:val="004B1691"/>
    <w:rsid w:val="004B1790"/>
    <w:rsid w:val="004B1B1C"/>
    <w:rsid w:val="004B1DCB"/>
    <w:rsid w:val="004B20AB"/>
    <w:rsid w:val="004B2194"/>
    <w:rsid w:val="004B2678"/>
    <w:rsid w:val="004B2AC8"/>
    <w:rsid w:val="004B2D4D"/>
    <w:rsid w:val="004B2F41"/>
    <w:rsid w:val="004B3040"/>
    <w:rsid w:val="004B333A"/>
    <w:rsid w:val="004B3DA6"/>
    <w:rsid w:val="004B4166"/>
    <w:rsid w:val="004B44F7"/>
    <w:rsid w:val="004B4810"/>
    <w:rsid w:val="004B4AD4"/>
    <w:rsid w:val="004B533C"/>
    <w:rsid w:val="004B5505"/>
    <w:rsid w:val="004B56A6"/>
    <w:rsid w:val="004B574A"/>
    <w:rsid w:val="004B5824"/>
    <w:rsid w:val="004B590D"/>
    <w:rsid w:val="004B5B69"/>
    <w:rsid w:val="004B5DC0"/>
    <w:rsid w:val="004B5EC7"/>
    <w:rsid w:val="004B6150"/>
    <w:rsid w:val="004B6552"/>
    <w:rsid w:val="004B6A89"/>
    <w:rsid w:val="004B6A94"/>
    <w:rsid w:val="004B6B5E"/>
    <w:rsid w:val="004B6E1D"/>
    <w:rsid w:val="004B6EB5"/>
    <w:rsid w:val="004B767D"/>
    <w:rsid w:val="004B79AE"/>
    <w:rsid w:val="004B7E0A"/>
    <w:rsid w:val="004C0115"/>
    <w:rsid w:val="004C129E"/>
    <w:rsid w:val="004C13B3"/>
    <w:rsid w:val="004C24C8"/>
    <w:rsid w:val="004C261E"/>
    <w:rsid w:val="004C2784"/>
    <w:rsid w:val="004C2C5D"/>
    <w:rsid w:val="004C2D60"/>
    <w:rsid w:val="004C2E4A"/>
    <w:rsid w:val="004C3090"/>
    <w:rsid w:val="004C3345"/>
    <w:rsid w:val="004C349C"/>
    <w:rsid w:val="004C3976"/>
    <w:rsid w:val="004C3AB5"/>
    <w:rsid w:val="004C3CFE"/>
    <w:rsid w:val="004C3E4F"/>
    <w:rsid w:val="004C3FAB"/>
    <w:rsid w:val="004C4ACC"/>
    <w:rsid w:val="004C4B64"/>
    <w:rsid w:val="004C4B81"/>
    <w:rsid w:val="004C4B85"/>
    <w:rsid w:val="004C52F7"/>
    <w:rsid w:val="004C5E02"/>
    <w:rsid w:val="004C61C2"/>
    <w:rsid w:val="004C699F"/>
    <w:rsid w:val="004C6CEC"/>
    <w:rsid w:val="004C71D8"/>
    <w:rsid w:val="004C747A"/>
    <w:rsid w:val="004C75A6"/>
    <w:rsid w:val="004C776C"/>
    <w:rsid w:val="004C77BF"/>
    <w:rsid w:val="004C7DF9"/>
    <w:rsid w:val="004D05AA"/>
    <w:rsid w:val="004D0885"/>
    <w:rsid w:val="004D089B"/>
    <w:rsid w:val="004D0B91"/>
    <w:rsid w:val="004D0BB5"/>
    <w:rsid w:val="004D0C30"/>
    <w:rsid w:val="004D0DAE"/>
    <w:rsid w:val="004D11B9"/>
    <w:rsid w:val="004D1315"/>
    <w:rsid w:val="004D1591"/>
    <w:rsid w:val="004D1C77"/>
    <w:rsid w:val="004D1D85"/>
    <w:rsid w:val="004D214A"/>
    <w:rsid w:val="004D217E"/>
    <w:rsid w:val="004D225B"/>
    <w:rsid w:val="004D26D8"/>
    <w:rsid w:val="004D2D80"/>
    <w:rsid w:val="004D2FCE"/>
    <w:rsid w:val="004D3265"/>
    <w:rsid w:val="004D343E"/>
    <w:rsid w:val="004D3590"/>
    <w:rsid w:val="004D3B15"/>
    <w:rsid w:val="004D3B9B"/>
    <w:rsid w:val="004D3F88"/>
    <w:rsid w:val="004D4057"/>
    <w:rsid w:val="004D4334"/>
    <w:rsid w:val="004D4446"/>
    <w:rsid w:val="004D4597"/>
    <w:rsid w:val="004D45B4"/>
    <w:rsid w:val="004D4C7C"/>
    <w:rsid w:val="004D4C9D"/>
    <w:rsid w:val="004D4D58"/>
    <w:rsid w:val="004D4D64"/>
    <w:rsid w:val="004D4DE4"/>
    <w:rsid w:val="004D4FB3"/>
    <w:rsid w:val="004D5723"/>
    <w:rsid w:val="004D59D3"/>
    <w:rsid w:val="004D5C85"/>
    <w:rsid w:val="004D67A1"/>
    <w:rsid w:val="004D68F0"/>
    <w:rsid w:val="004D697F"/>
    <w:rsid w:val="004D7068"/>
    <w:rsid w:val="004D7184"/>
    <w:rsid w:val="004D71BB"/>
    <w:rsid w:val="004D7681"/>
    <w:rsid w:val="004D7754"/>
    <w:rsid w:val="004D777D"/>
    <w:rsid w:val="004D7B9A"/>
    <w:rsid w:val="004D7F44"/>
    <w:rsid w:val="004E03F2"/>
    <w:rsid w:val="004E0A6A"/>
    <w:rsid w:val="004E0CCA"/>
    <w:rsid w:val="004E0CDD"/>
    <w:rsid w:val="004E0D27"/>
    <w:rsid w:val="004E0E2A"/>
    <w:rsid w:val="004E104B"/>
    <w:rsid w:val="004E1271"/>
    <w:rsid w:val="004E174D"/>
    <w:rsid w:val="004E17BB"/>
    <w:rsid w:val="004E1C9A"/>
    <w:rsid w:val="004E1D53"/>
    <w:rsid w:val="004E2253"/>
    <w:rsid w:val="004E2474"/>
    <w:rsid w:val="004E3578"/>
    <w:rsid w:val="004E35A1"/>
    <w:rsid w:val="004E35CE"/>
    <w:rsid w:val="004E36B8"/>
    <w:rsid w:val="004E399C"/>
    <w:rsid w:val="004E3D12"/>
    <w:rsid w:val="004E431F"/>
    <w:rsid w:val="004E4608"/>
    <w:rsid w:val="004E4615"/>
    <w:rsid w:val="004E4948"/>
    <w:rsid w:val="004E4B79"/>
    <w:rsid w:val="004E4BF0"/>
    <w:rsid w:val="004E4F89"/>
    <w:rsid w:val="004E523B"/>
    <w:rsid w:val="004E535D"/>
    <w:rsid w:val="004E56AD"/>
    <w:rsid w:val="004E5A5D"/>
    <w:rsid w:val="004E60F4"/>
    <w:rsid w:val="004E61A9"/>
    <w:rsid w:val="004E647E"/>
    <w:rsid w:val="004E65FA"/>
    <w:rsid w:val="004E694F"/>
    <w:rsid w:val="004E69EF"/>
    <w:rsid w:val="004E6DD2"/>
    <w:rsid w:val="004E6F36"/>
    <w:rsid w:val="004E705E"/>
    <w:rsid w:val="004E7314"/>
    <w:rsid w:val="004E74E3"/>
    <w:rsid w:val="004E7A7C"/>
    <w:rsid w:val="004E7EA2"/>
    <w:rsid w:val="004E7EA7"/>
    <w:rsid w:val="004E7FB2"/>
    <w:rsid w:val="004F003B"/>
    <w:rsid w:val="004F01A4"/>
    <w:rsid w:val="004F03A3"/>
    <w:rsid w:val="004F07CF"/>
    <w:rsid w:val="004F0929"/>
    <w:rsid w:val="004F11FA"/>
    <w:rsid w:val="004F157A"/>
    <w:rsid w:val="004F180A"/>
    <w:rsid w:val="004F1A7F"/>
    <w:rsid w:val="004F1D4C"/>
    <w:rsid w:val="004F1E8A"/>
    <w:rsid w:val="004F23B8"/>
    <w:rsid w:val="004F285E"/>
    <w:rsid w:val="004F2860"/>
    <w:rsid w:val="004F2970"/>
    <w:rsid w:val="004F2B03"/>
    <w:rsid w:val="004F2EC7"/>
    <w:rsid w:val="004F338D"/>
    <w:rsid w:val="004F364D"/>
    <w:rsid w:val="004F3698"/>
    <w:rsid w:val="004F43B3"/>
    <w:rsid w:val="004F4A90"/>
    <w:rsid w:val="004F4E5B"/>
    <w:rsid w:val="004F4ECC"/>
    <w:rsid w:val="004F4F01"/>
    <w:rsid w:val="004F5468"/>
    <w:rsid w:val="004F5541"/>
    <w:rsid w:val="004F5620"/>
    <w:rsid w:val="004F5696"/>
    <w:rsid w:val="004F5929"/>
    <w:rsid w:val="004F5B49"/>
    <w:rsid w:val="004F5BFC"/>
    <w:rsid w:val="004F5CD5"/>
    <w:rsid w:val="004F5CE1"/>
    <w:rsid w:val="004F617A"/>
    <w:rsid w:val="004F64C8"/>
    <w:rsid w:val="004F64FF"/>
    <w:rsid w:val="004F65D0"/>
    <w:rsid w:val="004F66E3"/>
    <w:rsid w:val="004F69A2"/>
    <w:rsid w:val="004F6A7E"/>
    <w:rsid w:val="004F6B00"/>
    <w:rsid w:val="004F6EB5"/>
    <w:rsid w:val="004F72A6"/>
    <w:rsid w:val="004F74FB"/>
    <w:rsid w:val="004F767F"/>
    <w:rsid w:val="004F77F1"/>
    <w:rsid w:val="004F79CE"/>
    <w:rsid w:val="004F7E3A"/>
    <w:rsid w:val="004F7FEC"/>
    <w:rsid w:val="005000CF"/>
    <w:rsid w:val="005000F1"/>
    <w:rsid w:val="005001EE"/>
    <w:rsid w:val="00500525"/>
    <w:rsid w:val="00500691"/>
    <w:rsid w:val="0050082E"/>
    <w:rsid w:val="005009C1"/>
    <w:rsid w:val="0050177C"/>
    <w:rsid w:val="00501D95"/>
    <w:rsid w:val="00501E7B"/>
    <w:rsid w:val="00501FA3"/>
    <w:rsid w:val="00502358"/>
    <w:rsid w:val="00502F88"/>
    <w:rsid w:val="00503305"/>
    <w:rsid w:val="0050356A"/>
    <w:rsid w:val="00503D47"/>
    <w:rsid w:val="00503EE5"/>
    <w:rsid w:val="00503F53"/>
    <w:rsid w:val="0050438D"/>
    <w:rsid w:val="00504635"/>
    <w:rsid w:val="0050483A"/>
    <w:rsid w:val="005049B7"/>
    <w:rsid w:val="00504B52"/>
    <w:rsid w:val="0050512A"/>
    <w:rsid w:val="00505151"/>
    <w:rsid w:val="0050519F"/>
    <w:rsid w:val="005053B6"/>
    <w:rsid w:val="00505426"/>
    <w:rsid w:val="00505866"/>
    <w:rsid w:val="005059CA"/>
    <w:rsid w:val="00505BE0"/>
    <w:rsid w:val="00506154"/>
    <w:rsid w:val="00506877"/>
    <w:rsid w:val="00506B12"/>
    <w:rsid w:val="00506D2B"/>
    <w:rsid w:val="00506D8F"/>
    <w:rsid w:val="00506F77"/>
    <w:rsid w:val="0050718B"/>
    <w:rsid w:val="005071AB"/>
    <w:rsid w:val="005076A2"/>
    <w:rsid w:val="00507B31"/>
    <w:rsid w:val="00507F38"/>
    <w:rsid w:val="00507FC9"/>
    <w:rsid w:val="00510682"/>
    <w:rsid w:val="005108EA"/>
    <w:rsid w:val="00510A5D"/>
    <w:rsid w:val="00510B8D"/>
    <w:rsid w:val="00510BEC"/>
    <w:rsid w:val="005111E3"/>
    <w:rsid w:val="005111F9"/>
    <w:rsid w:val="00511610"/>
    <w:rsid w:val="00511DD6"/>
    <w:rsid w:val="00511ED9"/>
    <w:rsid w:val="00511EF1"/>
    <w:rsid w:val="005123A9"/>
    <w:rsid w:val="005125EA"/>
    <w:rsid w:val="00512E7C"/>
    <w:rsid w:val="00513033"/>
    <w:rsid w:val="00513349"/>
    <w:rsid w:val="005133A4"/>
    <w:rsid w:val="0051355B"/>
    <w:rsid w:val="00513700"/>
    <w:rsid w:val="00513778"/>
    <w:rsid w:val="0051394C"/>
    <w:rsid w:val="005140CD"/>
    <w:rsid w:val="00514591"/>
    <w:rsid w:val="005146D1"/>
    <w:rsid w:val="00514B36"/>
    <w:rsid w:val="00514E8A"/>
    <w:rsid w:val="00515520"/>
    <w:rsid w:val="0051561B"/>
    <w:rsid w:val="0051577A"/>
    <w:rsid w:val="0051580C"/>
    <w:rsid w:val="00515BD2"/>
    <w:rsid w:val="00515F24"/>
    <w:rsid w:val="005160F4"/>
    <w:rsid w:val="005163D3"/>
    <w:rsid w:val="00516521"/>
    <w:rsid w:val="00516549"/>
    <w:rsid w:val="0051674A"/>
    <w:rsid w:val="00516761"/>
    <w:rsid w:val="005167D3"/>
    <w:rsid w:val="00516EB0"/>
    <w:rsid w:val="00516EF0"/>
    <w:rsid w:val="0051717D"/>
    <w:rsid w:val="005172BA"/>
    <w:rsid w:val="005175BE"/>
    <w:rsid w:val="00517C0F"/>
    <w:rsid w:val="00517D7A"/>
    <w:rsid w:val="005200CA"/>
    <w:rsid w:val="00520188"/>
    <w:rsid w:val="0052043D"/>
    <w:rsid w:val="0052081C"/>
    <w:rsid w:val="00520BF1"/>
    <w:rsid w:val="00520D8A"/>
    <w:rsid w:val="00520F7B"/>
    <w:rsid w:val="00520FA8"/>
    <w:rsid w:val="0052119A"/>
    <w:rsid w:val="0052124F"/>
    <w:rsid w:val="0052126C"/>
    <w:rsid w:val="00521B7B"/>
    <w:rsid w:val="00521C3B"/>
    <w:rsid w:val="00522022"/>
    <w:rsid w:val="0052209F"/>
    <w:rsid w:val="00522177"/>
    <w:rsid w:val="005221A1"/>
    <w:rsid w:val="00522238"/>
    <w:rsid w:val="00522521"/>
    <w:rsid w:val="00522623"/>
    <w:rsid w:val="00522903"/>
    <w:rsid w:val="00522A7E"/>
    <w:rsid w:val="00522A86"/>
    <w:rsid w:val="00522C61"/>
    <w:rsid w:val="00522E07"/>
    <w:rsid w:val="005230DA"/>
    <w:rsid w:val="005232BA"/>
    <w:rsid w:val="005233FA"/>
    <w:rsid w:val="00523544"/>
    <w:rsid w:val="005238FC"/>
    <w:rsid w:val="00523919"/>
    <w:rsid w:val="0052409B"/>
    <w:rsid w:val="005243AB"/>
    <w:rsid w:val="005251DD"/>
    <w:rsid w:val="005254D6"/>
    <w:rsid w:val="00525914"/>
    <w:rsid w:val="00525D5A"/>
    <w:rsid w:val="00525D8E"/>
    <w:rsid w:val="00525F33"/>
    <w:rsid w:val="00526343"/>
    <w:rsid w:val="0052640D"/>
    <w:rsid w:val="00526F35"/>
    <w:rsid w:val="005270BD"/>
    <w:rsid w:val="0052745D"/>
    <w:rsid w:val="00527879"/>
    <w:rsid w:val="00527968"/>
    <w:rsid w:val="00527A3D"/>
    <w:rsid w:val="00527B06"/>
    <w:rsid w:val="00527D10"/>
    <w:rsid w:val="00530786"/>
    <w:rsid w:val="00530B7B"/>
    <w:rsid w:val="00531918"/>
    <w:rsid w:val="00531C06"/>
    <w:rsid w:val="00531C7F"/>
    <w:rsid w:val="00531F19"/>
    <w:rsid w:val="00531F61"/>
    <w:rsid w:val="00532094"/>
    <w:rsid w:val="005323F1"/>
    <w:rsid w:val="005325F8"/>
    <w:rsid w:val="0053272F"/>
    <w:rsid w:val="00532F6D"/>
    <w:rsid w:val="00534095"/>
    <w:rsid w:val="0053464F"/>
    <w:rsid w:val="00534657"/>
    <w:rsid w:val="005347C5"/>
    <w:rsid w:val="00534F44"/>
    <w:rsid w:val="0053510A"/>
    <w:rsid w:val="00535173"/>
    <w:rsid w:val="00535459"/>
    <w:rsid w:val="005355D2"/>
    <w:rsid w:val="005356D9"/>
    <w:rsid w:val="00535EAC"/>
    <w:rsid w:val="00536096"/>
    <w:rsid w:val="00536657"/>
    <w:rsid w:val="00536808"/>
    <w:rsid w:val="00536810"/>
    <w:rsid w:val="00536B3F"/>
    <w:rsid w:val="0053706F"/>
    <w:rsid w:val="00537489"/>
    <w:rsid w:val="0053777F"/>
    <w:rsid w:val="00537A70"/>
    <w:rsid w:val="0054009D"/>
    <w:rsid w:val="005401D0"/>
    <w:rsid w:val="00540CC0"/>
    <w:rsid w:val="005411E7"/>
    <w:rsid w:val="00541560"/>
    <w:rsid w:val="00541AB2"/>
    <w:rsid w:val="00541CAF"/>
    <w:rsid w:val="005423B3"/>
    <w:rsid w:val="005425F6"/>
    <w:rsid w:val="0054369E"/>
    <w:rsid w:val="00543E67"/>
    <w:rsid w:val="0054415F"/>
    <w:rsid w:val="005441B2"/>
    <w:rsid w:val="005446A6"/>
    <w:rsid w:val="00544C59"/>
    <w:rsid w:val="00544D0A"/>
    <w:rsid w:val="00544DBE"/>
    <w:rsid w:val="00544F0C"/>
    <w:rsid w:val="0054562A"/>
    <w:rsid w:val="00545912"/>
    <w:rsid w:val="00545A5E"/>
    <w:rsid w:val="00545DFA"/>
    <w:rsid w:val="00545F72"/>
    <w:rsid w:val="005464F6"/>
    <w:rsid w:val="00546778"/>
    <w:rsid w:val="00546945"/>
    <w:rsid w:val="00546F6E"/>
    <w:rsid w:val="005470A0"/>
    <w:rsid w:val="00547642"/>
    <w:rsid w:val="005477CA"/>
    <w:rsid w:val="00547961"/>
    <w:rsid w:val="00547B78"/>
    <w:rsid w:val="00547C25"/>
    <w:rsid w:val="00550320"/>
    <w:rsid w:val="0055034A"/>
    <w:rsid w:val="00550637"/>
    <w:rsid w:val="00550791"/>
    <w:rsid w:val="00550E9C"/>
    <w:rsid w:val="00550FBC"/>
    <w:rsid w:val="0055117C"/>
    <w:rsid w:val="005513E3"/>
    <w:rsid w:val="0055140C"/>
    <w:rsid w:val="005518EA"/>
    <w:rsid w:val="00551BCE"/>
    <w:rsid w:val="00552103"/>
    <w:rsid w:val="005522AF"/>
    <w:rsid w:val="00552451"/>
    <w:rsid w:val="00552FC2"/>
    <w:rsid w:val="005530BE"/>
    <w:rsid w:val="00553105"/>
    <w:rsid w:val="0055318E"/>
    <w:rsid w:val="005539E2"/>
    <w:rsid w:val="00553A99"/>
    <w:rsid w:val="00554585"/>
    <w:rsid w:val="005548E3"/>
    <w:rsid w:val="00554B3B"/>
    <w:rsid w:val="00554B62"/>
    <w:rsid w:val="00554B74"/>
    <w:rsid w:val="00554CD1"/>
    <w:rsid w:val="00554DC4"/>
    <w:rsid w:val="00554F24"/>
    <w:rsid w:val="00554F7A"/>
    <w:rsid w:val="0055555A"/>
    <w:rsid w:val="005556D3"/>
    <w:rsid w:val="0055576D"/>
    <w:rsid w:val="00555B1A"/>
    <w:rsid w:val="00555BD9"/>
    <w:rsid w:val="00555C03"/>
    <w:rsid w:val="00555D41"/>
    <w:rsid w:val="00555DD2"/>
    <w:rsid w:val="0055610A"/>
    <w:rsid w:val="00556182"/>
    <w:rsid w:val="00556224"/>
    <w:rsid w:val="00556A24"/>
    <w:rsid w:val="00556AA3"/>
    <w:rsid w:val="00557769"/>
    <w:rsid w:val="0055794A"/>
    <w:rsid w:val="00557A8D"/>
    <w:rsid w:val="00557ACB"/>
    <w:rsid w:val="00557C43"/>
    <w:rsid w:val="0056012A"/>
    <w:rsid w:val="005602B3"/>
    <w:rsid w:val="00560823"/>
    <w:rsid w:val="00560B03"/>
    <w:rsid w:val="00560B7B"/>
    <w:rsid w:val="00560CB3"/>
    <w:rsid w:val="00560D7A"/>
    <w:rsid w:val="00560F7E"/>
    <w:rsid w:val="00561815"/>
    <w:rsid w:val="00561B99"/>
    <w:rsid w:val="00561FA2"/>
    <w:rsid w:val="00561FE8"/>
    <w:rsid w:val="005628EA"/>
    <w:rsid w:val="00562B0B"/>
    <w:rsid w:val="00563334"/>
    <w:rsid w:val="005634AD"/>
    <w:rsid w:val="00563B24"/>
    <w:rsid w:val="00563D03"/>
    <w:rsid w:val="00563D6D"/>
    <w:rsid w:val="005646C6"/>
    <w:rsid w:val="005648B8"/>
    <w:rsid w:val="00564B52"/>
    <w:rsid w:val="00565005"/>
    <w:rsid w:val="005651A4"/>
    <w:rsid w:val="005651F6"/>
    <w:rsid w:val="00565369"/>
    <w:rsid w:val="005654F0"/>
    <w:rsid w:val="00565541"/>
    <w:rsid w:val="0056568E"/>
    <w:rsid w:val="0056590A"/>
    <w:rsid w:val="00565B3D"/>
    <w:rsid w:val="00565D64"/>
    <w:rsid w:val="00565E3D"/>
    <w:rsid w:val="00565E68"/>
    <w:rsid w:val="005663DD"/>
    <w:rsid w:val="00566490"/>
    <w:rsid w:val="005669C7"/>
    <w:rsid w:val="00566F83"/>
    <w:rsid w:val="005671EB"/>
    <w:rsid w:val="00567323"/>
    <w:rsid w:val="005673F2"/>
    <w:rsid w:val="00567519"/>
    <w:rsid w:val="00567948"/>
    <w:rsid w:val="00567B05"/>
    <w:rsid w:val="005703F5"/>
    <w:rsid w:val="00570A5E"/>
    <w:rsid w:val="00570E8F"/>
    <w:rsid w:val="005718DC"/>
    <w:rsid w:val="00571972"/>
    <w:rsid w:val="00571AE2"/>
    <w:rsid w:val="00571BE6"/>
    <w:rsid w:val="00571CE1"/>
    <w:rsid w:val="00571DE0"/>
    <w:rsid w:val="0057204F"/>
    <w:rsid w:val="0057289F"/>
    <w:rsid w:val="0057332A"/>
    <w:rsid w:val="00573990"/>
    <w:rsid w:val="00573E6A"/>
    <w:rsid w:val="00574084"/>
    <w:rsid w:val="00574216"/>
    <w:rsid w:val="005742C8"/>
    <w:rsid w:val="005747AE"/>
    <w:rsid w:val="00574AE8"/>
    <w:rsid w:val="00574E22"/>
    <w:rsid w:val="00575184"/>
    <w:rsid w:val="005751D2"/>
    <w:rsid w:val="00575957"/>
    <w:rsid w:val="0057595E"/>
    <w:rsid w:val="00575C2C"/>
    <w:rsid w:val="00575CD3"/>
    <w:rsid w:val="00575F6F"/>
    <w:rsid w:val="00576042"/>
    <w:rsid w:val="00576221"/>
    <w:rsid w:val="0057683B"/>
    <w:rsid w:val="00576FBC"/>
    <w:rsid w:val="00576FCB"/>
    <w:rsid w:val="00580401"/>
    <w:rsid w:val="0058047B"/>
    <w:rsid w:val="005807E1"/>
    <w:rsid w:val="005808E2"/>
    <w:rsid w:val="00580CB9"/>
    <w:rsid w:val="005811C8"/>
    <w:rsid w:val="005817D0"/>
    <w:rsid w:val="005818D2"/>
    <w:rsid w:val="005819EB"/>
    <w:rsid w:val="00582067"/>
    <w:rsid w:val="005820EA"/>
    <w:rsid w:val="00582189"/>
    <w:rsid w:val="0058291E"/>
    <w:rsid w:val="00582D08"/>
    <w:rsid w:val="005830AE"/>
    <w:rsid w:val="005838DC"/>
    <w:rsid w:val="00583933"/>
    <w:rsid w:val="00583FC5"/>
    <w:rsid w:val="00584208"/>
    <w:rsid w:val="0058479B"/>
    <w:rsid w:val="00584B21"/>
    <w:rsid w:val="00584B75"/>
    <w:rsid w:val="00584BEF"/>
    <w:rsid w:val="00584DC3"/>
    <w:rsid w:val="00584DFC"/>
    <w:rsid w:val="00584F08"/>
    <w:rsid w:val="005857D4"/>
    <w:rsid w:val="00585AAD"/>
    <w:rsid w:val="00585C2D"/>
    <w:rsid w:val="00585E32"/>
    <w:rsid w:val="00586412"/>
    <w:rsid w:val="00586598"/>
    <w:rsid w:val="005868A1"/>
    <w:rsid w:val="00586BAC"/>
    <w:rsid w:val="00586BC5"/>
    <w:rsid w:val="00586E09"/>
    <w:rsid w:val="005873A7"/>
    <w:rsid w:val="005878FE"/>
    <w:rsid w:val="00587C18"/>
    <w:rsid w:val="00587EAE"/>
    <w:rsid w:val="005901E7"/>
    <w:rsid w:val="00590227"/>
    <w:rsid w:val="005907FB"/>
    <w:rsid w:val="00590BEC"/>
    <w:rsid w:val="00590CD6"/>
    <w:rsid w:val="00590D66"/>
    <w:rsid w:val="0059108D"/>
    <w:rsid w:val="005910AE"/>
    <w:rsid w:val="005913B3"/>
    <w:rsid w:val="005914BF"/>
    <w:rsid w:val="005914F6"/>
    <w:rsid w:val="0059154C"/>
    <w:rsid w:val="005916FE"/>
    <w:rsid w:val="0059196A"/>
    <w:rsid w:val="00592289"/>
    <w:rsid w:val="005926D7"/>
    <w:rsid w:val="00592B4B"/>
    <w:rsid w:val="0059358B"/>
    <w:rsid w:val="00593C6A"/>
    <w:rsid w:val="00593CEF"/>
    <w:rsid w:val="00593E08"/>
    <w:rsid w:val="00593EB6"/>
    <w:rsid w:val="0059410E"/>
    <w:rsid w:val="005948B3"/>
    <w:rsid w:val="005948F4"/>
    <w:rsid w:val="005949C3"/>
    <w:rsid w:val="00595A9D"/>
    <w:rsid w:val="00595C82"/>
    <w:rsid w:val="00596898"/>
    <w:rsid w:val="00596C03"/>
    <w:rsid w:val="00596C5A"/>
    <w:rsid w:val="00596C75"/>
    <w:rsid w:val="00596D8C"/>
    <w:rsid w:val="005974BE"/>
    <w:rsid w:val="005975CF"/>
    <w:rsid w:val="005977EC"/>
    <w:rsid w:val="005A00EF"/>
    <w:rsid w:val="005A03EB"/>
    <w:rsid w:val="005A0A5A"/>
    <w:rsid w:val="005A16F2"/>
    <w:rsid w:val="005A1999"/>
    <w:rsid w:val="005A1FC5"/>
    <w:rsid w:val="005A2304"/>
    <w:rsid w:val="005A2665"/>
    <w:rsid w:val="005A27A3"/>
    <w:rsid w:val="005A27BC"/>
    <w:rsid w:val="005A282D"/>
    <w:rsid w:val="005A2867"/>
    <w:rsid w:val="005A2969"/>
    <w:rsid w:val="005A29F4"/>
    <w:rsid w:val="005A2A71"/>
    <w:rsid w:val="005A3140"/>
    <w:rsid w:val="005A315A"/>
    <w:rsid w:val="005A31DA"/>
    <w:rsid w:val="005A377E"/>
    <w:rsid w:val="005A3E0E"/>
    <w:rsid w:val="005A3FCB"/>
    <w:rsid w:val="005A4026"/>
    <w:rsid w:val="005A416B"/>
    <w:rsid w:val="005A41B7"/>
    <w:rsid w:val="005A4251"/>
    <w:rsid w:val="005A42FD"/>
    <w:rsid w:val="005A445E"/>
    <w:rsid w:val="005A4612"/>
    <w:rsid w:val="005A55BC"/>
    <w:rsid w:val="005A5A0C"/>
    <w:rsid w:val="005A5A18"/>
    <w:rsid w:val="005A5EF4"/>
    <w:rsid w:val="005A5F86"/>
    <w:rsid w:val="005A630E"/>
    <w:rsid w:val="005A69D9"/>
    <w:rsid w:val="005A6C98"/>
    <w:rsid w:val="005A6D89"/>
    <w:rsid w:val="005A6D9A"/>
    <w:rsid w:val="005A6E6D"/>
    <w:rsid w:val="005A6EFB"/>
    <w:rsid w:val="005A745E"/>
    <w:rsid w:val="005A74CF"/>
    <w:rsid w:val="005A7BD7"/>
    <w:rsid w:val="005A7F43"/>
    <w:rsid w:val="005B07F4"/>
    <w:rsid w:val="005B07F8"/>
    <w:rsid w:val="005B08D1"/>
    <w:rsid w:val="005B0911"/>
    <w:rsid w:val="005B0A18"/>
    <w:rsid w:val="005B0FF0"/>
    <w:rsid w:val="005B13E6"/>
    <w:rsid w:val="005B14EB"/>
    <w:rsid w:val="005B1919"/>
    <w:rsid w:val="005B1BA3"/>
    <w:rsid w:val="005B1E77"/>
    <w:rsid w:val="005B1EFD"/>
    <w:rsid w:val="005B2085"/>
    <w:rsid w:val="005B210C"/>
    <w:rsid w:val="005B2C04"/>
    <w:rsid w:val="005B31BD"/>
    <w:rsid w:val="005B34D6"/>
    <w:rsid w:val="005B381F"/>
    <w:rsid w:val="005B3942"/>
    <w:rsid w:val="005B3A65"/>
    <w:rsid w:val="005B3D62"/>
    <w:rsid w:val="005B4427"/>
    <w:rsid w:val="005B4532"/>
    <w:rsid w:val="005B47C0"/>
    <w:rsid w:val="005B49ED"/>
    <w:rsid w:val="005B4EBF"/>
    <w:rsid w:val="005B508A"/>
    <w:rsid w:val="005B5194"/>
    <w:rsid w:val="005B552D"/>
    <w:rsid w:val="005B5A65"/>
    <w:rsid w:val="005B5B41"/>
    <w:rsid w:val="005B5EB2"/>
    <w:rsid w:val="005B6187"/>
    <w:rsid w:val="005B658C"/>
    <w:rsid w:val="005B6699"/>
    <w:rsid w:val="005B6774"/>
    <w:rsid w:val="005B67E0"/>
    <w:rsid w:val="005B69C5"/>
    <w:rsid w:val="005B69F9"/>
    <w:rsid w:val="005B6A66"/>
    <w:rsid w:val="005B6B79"/>
    <w:rsid w:val="005B7118"/>
    <w:rsid w:val="005B715A"/>
    <w:rsid w:val="005B76D1"/>
    <w:rsid w:val="005B778F"/>
    <w:rsid w:val="005B7980"/>
    <w:rsid w:val="005B7BE9"/>
    <w:rsid w:val="005B7C51"/>
    <w:rsid w:val="005B7D38"/>
    <w:rsid w:val="005C0D44"/>
    <w:rsid w:val="005C10B9"/>
    <w:rsid w:val="005C1248"/>
    <w:rsid w:val="005C12D2"/>
    <w:rsid w:val="005C13F0"/>
    <w:rsid w:val="005C175F"/>
    <w:rsid w:val="005C1796"/>
    <w:rsid w:val="005C1A28"/>
    <w:rsid w:val="005C1B38"/>
    <w:rsid w:val="005C1EBF"/>
    <w:rsid w:val="005C22B5"/>
    <w:rsid w:val="005C24DC"/>
    <w:rsid w:val="005C2A4F"/>
    <w:rsid w:val="005C2AFB"/>
    <w:rsid w:val="005C2EE0"/>
    <w:rsid w:val="005C308C"/>
    <w:rsid w:val="005C3443"/>
    <w:rsid w:val="005C34AD"/>
    <w:rsid w:val="005C36C6"/>
    <w:rsid w:val="005C393B"/>
    <w:rsid w:val="005C3AA3"/>
    <w:rsid w:val="005C3D66"/>
    <w:rsid w:val="005C3F35"/>
    <w:rsid w:val="005C3F65"/>
    <w:rsid w:val="005C4100"/>
    <w:rsid w:val="005C41BF"/>
    <w:rsid w:val="005C477F"/>
    <w:rsid w:val="005C551E"/>
    <w:rsid w:val="005C55C9"/>
    <w:rsid w:val="005C5B61"/>
    <w:rsid w:val="005C6071"/>
    <w:rsid w:val="005C6221"/>
    <w:rsid w:val="005C673F"/>
    <w:rsid w:val="005C697F"/>
    <w:rsid w:val="005C6F41"/>
    <w:rsid w:val="005C6F7D"/>
    <w:rsid w:val="005C707A"/>
    <w:rsid w:val="005C7230"/>
    <w:rsid w:val="005C790E"/>
    <w:rsid w:val="005D0579"/>
    <w:rsid w:val="005D12B5"/>
    <w:rsid w:val="005D15C8"/>
    <w:rsid w:val="005D173B"/>
    <w:rsid w:val="005D1B02"/>
    <w:rsid w:val="005D203A"/>
    <w:rsid w:val="005D2222"/>
    <w:rsid w:val="005D2328"/>
    <w:rsid w:val="005D2417"/>
    <w:rsid w:val="005D28A1"/>
    <w:rsid w:val="005D2A90"/>
    <w:rsid w:val="005D2E5C"/>
    <w:rsid w:val="005D2EF0"/>
    <w:rsid w:val="005D35FF"/>
    <w:rsid w:val="005D3E36"/>
    <w:rsid w:val="005D4272"/>
    <w:rsid w:val="005D433A"/>
    <w:rsid w:val="005D436B"/>
    <w:rsid w:val="005D46E7"/>
    <w:rsid w:val="005D48A4"/>
    <w:rsid w:val="005D4C15"/>
    <w:rsid w:val="005D4E53"/>
    <w:rsid w:val="005D5006"/>
    <w:rsid w:val="005D5EED"/>
    <w:rsid w:val="005D6345"/>
    <w:rsid w:val="005D6693"/>
    <w:rsid w:val="005D69D6"/>
    <w:rsid w:val="005D6BD0"/>
    <w:rsid w:val="005D6FC6"/>
    <w:rsid w:val="005D7039"/>
    <w:rsid w:val="005D7154"/>
    <w:rsid w:val="005D71F7"/>
    <w:rsid w:val="005D73DE"/>
    <w:rsid w:val="005D77FF"/>
    <w:rsid w:val="005D79C9"/>
    <w:rsid w:val="005E03F4"/>
    <w:rsid w:val="005E04A9"/>
    <w:rsid w:val="005E09E6"/>
    <w:rsid w:val="005E0FE3"/>
    <w:rsid w:val="005E1289"/>
    <w:rsid w:val="005E174A"/>
    <w:rsid w:val="005E1825"/>
    <w:rsid w:val="005E1832"/>
    <w:rsid w:val="005E1837"/>
    <w:rsid w:val="005E1B4C"/>
    <w:rsid w:val="005E1FC7"/>
    <w:rsid w:val="005E2066"/>
    <w:rsid w:val="005E20AA"/>
    <w:rsid w:val="005E231A"/>
    <w:rsid w:val="005E2363"/>
    <w:rsid w:val="005E2372"/>
    <w:rsid w:val="005E2B27"/>
    <w:rsid w:val="005E31E3"/>
    <w:rsid w:val="005E31E8"/>
    <w:rsid w:val="005E32CF"/>
    <w:rsid w:val="005E390F"/>
    <w:rsid w:val="005E3BEB"/>
    <w:rsid w:val="005E3C15"/>
    <w:rsid w:val="005E3D7C"/>
    <w:rsid w:val="005E41F8"/>
    <w:rsid w:val="005E45B9"/>
    <w:rsid w:val="005E4F96"/>
    <w:rsid w:val="005E50B8"/>
    <w:rsid w:val="005E51AF"/>
    <w:rsid w:val="005E540C"/>
    <w:rsid w:val="005E575F"/>
    <w:rsid w:val="005E585B"/>
    <w:rsid w:val="005E593C"/>
    <w:rsid w:val="005E5946"/>
    <w:rsid w:val="005E5A97"/>
    <w:rsid w:val="005E5E24"/>
    <w:rsid w:val="005E5F55"/>
    <w:rsid w:val="005E6158"/>
    <w:rsid w:val="005E6392"/>
    <w:rsid w:val="005E63B3"/>
    <w:rsid w:val="005E69C4"/>
    <w:rsid w:val="005E6B8B"/>
    <w:rsid w:val="005E6CFF"/>
    <w:rsid w:val="005E7025"/>
    <w:rsid w:val="005E7196"/>
    <w:rsid w:val="005E7EE0"/>
    <w:rsid w:val="005E7F1A"/>
    <w:rsid w:val="005F0744"/>
    <w:rsid w:val="005F0792"/>
    <w:rsid w:val="005F0855"/>
    <w:rsid w:val="005F0B1C"/>
    <w:rsid w:val="005F0D47"/>
    <w:rsid w:val="005F0DAC"/>
    <w:rsid w:val="005F10E4"/>
    <w:rsid w:val="005F1519"/>
    <w:rsid w:val="005F18AD"/>
    <w:rsid w:val="005F19F7"/>
    <w:rsid w:val="005F1D90"/>
    <w:rsid w:val="005F1E83"/>
    <w:rsid w:val="005F2116"/>
    <w:rsid w:val="005F23EC"/>
    <w:rsid w:val="005F2CF3"/>
    <w:rsid w:val="005F33C9"/>
    <w:rsid w:val="005F34D7"/>
    <w:rsid w:val="005F39DF"/>
    <w:rsid w:val="005F4614"/>
    <w:rsid w:val="005F4630"/>
    <w:rsid w:val="005F4777"/>
    <w:rsid w:val="005F498D"/>
    <w:rsid w:val="005F4B69"/>
    <w:rsid w:val="005F5293"/>
    <w:rsid w:val="005F54CE"/>
    <w:rsid w:val="005F5992"/>
    <w:rsid w:val="005F60BF"/>
    <w:rsid w:val="005F619D"/>
    <w:rsid w:val="005F64FF"/>
    <w:rsid w:val="005F692F"/>
    <w:rsid w:val="005F6A3C"/>
    <w:rsid w:val="005F6C9D"/>
    <w:rsid w:val="005F6DCA"/>
    <w:rsid w:val="005F6F6E"/>
    <w:rsid w:val="005F6F9C"/>
    <w:rsid w:val="005F70AD"/>
    <w:rsid w:val="005F77BA"/>
    <w:rsid w:val="005F7D14"/>
    <w:rsid w:val="005F7E20"/>
    <w:rsid w:val="0060026C"/>
    <w:rsid w:val="00600517"/>
    <w:rsid w:val="00600574"/>
    <w:rsid w:val="006005D5"/>
    <w:rsid w:val="00600A79"/>
    <w:rsid w:val="00600BEA"/>
    <w:rsid w:val="00600FCE"/>
    <w:rsid w:val="00601532"/>
    <w:rsid w:val="00601CC4"/>
    <w:rsid w:val="006022D0"/>
    <w:rsid w:val="00602571"/>
    <w:rsid w:val="00602755"/>
    <w:rsid w:val="00602A24"/>
    <w:rsid w:val="00602B06"/>
    <w:rsid w:val="00602FE2"/>
    <w:rsid w:val="00603035"/>
    <w:rsid w:val="0060394B"/>
    <w:rsid w:val="00603991"/>
    <w:rsid w:val="00603A9A"/>
    <w:rsid w:val="00603D8E"/>
    <w:rsid w:val="00604544"/>
    <w:rsid w:val="0060467C"/>
    <w:rsid w:val="006048B1"/>
    <w:rsid w:val="006048FF"/>
    <w:rsid w:val="00604A1B"/>
    <w:rsid w:val="00604A33"/>
    <w:rsid w:val="00604CA8"/>
    <w:rsid w:val="00604CEA"/>
    <w:rsid w:val="00604EFA"/>
    <w:rsid w:val="006051AC"/>
    <w:rsid w:val="0060528F"/>
    <w:rsid w:val="0060536E"/>
    <w:rsid w:val="00605401"/>
    <w:rsid w:val="00605468"/>
    <w:rsid w:val="00605511"/>
    <w:rsid w:val="006055F9"/>
    <w:rsid w:val="0060574B"/>
    <w:rsid w:val="00605E27"/>
    <w:rsid w:val="00606184"/>
    <w:rsid w:val="0060625E"/>
    <w:rsid w:val="0060638B"/>
    <w:rsid w:val="00606602"/>
    <w:rsid w:val="00606DA5"/>
    <w:rsid w:val="00606FAD"/>
    <w:rsid w:val="006103AA"/>
    <w:rsid w:val="006107D4"/>
    <w:rsid w:val="00610CBB"/>
    <w:rsid w:val="00610F34"/>
    <w:rsid w:val="0061145D"/>
    <w:rsid w:val="00612712"/>
    <w:rsid w:val="00612887"/>
    <w:rsid w:val="00612C2D"/>
    <w:rsid w:val="00612F4A"/>
    <w:rsid w:val="0061318E"/>
    <w:rsid w:val="00613247"/>
    <w:rsid w:val="0061328D"/>
    <w:rsid w:val="0061339F"/>
    <w:rsid w:val="00613635"/>
    <w:rsid w:val="0061365E"/>
    <w:rsid w:val="00613686"/>
    <w:rsid w:val="00613B0E"/>
    <w:rsid w:val="00613C7D"/>
    <w:rsid w:val="00613E5C"/>
    <w:rsid w:val="00613EE1"/>
    <w:rsid w:val="00614250"/>
    <w:rsid w:val="00614665"/>
    <w:rsid w:val="00614AE0"/>
    <w:rsid w:val="00614B18"/>
    <w:rsid w:val="00614B63"/>
    <w:rsid w:val="006155A6"/>
    <w:rsid w:val="0061597E"/>
    <w:rsid w:val="00615A4F"/>
    <w:rsid w:val="00615BAD"/>
    <w:rsid w:val="006162E1"/>
    <w:rsid w:val="006163BA"/>
    <w:rsid w:val="00616907"/>
    <w:rsid w:val="00616D20"/>
    <w:rsid w:val="0061762B"/>
    <w:rsid w:val="00617727"/>
    <w:rsid w:val="006177D8"/>
    <w:rsid w:val="00617808"/>
    <w:rsid w:val="00617E29"/>
    <w:rsid w:val="00617E96"/>
    <w:rsid w:val="006202E3"/>
    <w:rsid w:val="00620847"/>
    <w:rsid w:val="00620AFA"/>
    <w:rsid w:val="00621086"/>
    <w:rsid w:val="00621E16"/>
    <w:rsid w:val="00621F67"/>
    <w:rsid w:val="006223EF"/>
    <w:rsid w:val="0062249F"/>
    <w:rsid w:val="00622599"/>
    <w:rsid w:val="006225B2"/>
    <w:rsid w:val="006226C7"/>
    <w:rsid w:val="00622A5D"/>
    <w:rsid w:val="00622B8E"/>
    <w:rsid w:val="00622E44"/>
    <w:rsid w:val="00622FAA"/>
    <w:rsid w:val="006232CA"/>
    <w:rsid w:val="006234B3"/>
    <w:rsid w:val="0062353B"/>
    <w:rsid w:val="00623D46"/>
    <w:rsid w:val="00623EC5"/>
    <w:rsid w:val="0062414B"/>
    <w:rsid w:val="00624409"/>
    <w:rsid w:val="00624941"/>
    <w:rsid w:val="00624B83"/>
    <w:rsid w:val="00624DF0"/>
    <w:rsid w:val="00624EA2"/>
    <w:rsid w:val="00625067"/>
    <w:rsid w:val="006254A0"/>
    <w:rsid w:val="006256A9"/>
    <w:rsid w:val="00625E15"/>
    <w:rsid w:val="00625F6A"/>
    <w:rsid w:val="00626166"/>
    <w:rsid w:val="0062621F"/>
    <w:rsid w:val="0062642B"/>
    <w:rsid w:val="00626472"/>
    <w:rsid w:val="006265B8"/>
    <w:rsid w:val="00626F97"/>
    <w:rsid w:val="00627A1E"/>
    <w:rsid w:val="00627F47"/>
    <w:rsid w:val="00630111"/>
    <w:rsid w:val="00630983"/>
    <w:rsid w:val="00630A13"/>
    <w:rsid w:val="00631081"/>
    <w:rsid w:val="00631412"/>
    <w:rsid w:val="00631A14"/>
    <w:rsid w:val="00631CB3"/>
    <w:rsid w:val="00632564"/>
    <w:rsid w:val="00632A50"/>
    <w:rsid w:val="006336C5"/>
    <w:rsid w:val="0063386D"/>
    <w:rsid w:val="00633B1E"/>
    <w:rsid w:val="00633D5E"/>
    <w:rsid w:val="00633FE8"/>
    <w:rsid w:val="006340B2"/>
    <w:rsid w:val="00634147"/>
    <w:rsid w:val="0063422F"/>
    <w:rsid w:val="00634540"/>
    <w:rsid w:val="00634E42"/>
    <w:rsid w:val="00635034"/>
    <w:rsid w:val="0063528B"/>
    <w:rsid w:val="006354DA"/>
    <w:rsid w:val="0063579F"/>
    <w:rsid w:val="006357A8"/>
    <w:rsid w:val="0063591C"/>
    <w:rsid w:val="00635B41"/>
    <w:rsid w:val="006361B5"/>
    <w:rsid w:val="00636230"/>
    <w:rsid w:val="00636348"/>
    <w:rsid w:val="006364DA"/>
    <w:rsid w:val="00636723"/>
    <w:rsid w:val="0063697D"/>
    <w:rsid w:val="00636AF7"/>
    <w:rsid w:val="00636F1C"/>
    <w:rsid w:val="006374A2"/>
    <w:rsid w:val="00637B7D"/>
    <w:rsid w:val="00637E82"/>
    <w:rsid w:val="0064041C"/>
    <w:rsid w:val="00640707"/>
    <w:rsid w:val="00640888"/>
    <w:rsid w:val="006409DF"/>
    <w:rsid w:val="00640B36"/>
    <w:rsid w:val="006415F4"/>
    <w:rsid w:val="00641B27"/>
    <w:rsid w:val="00642252"/>
    <w:rsid w:val="0064256C"/>
    <w:rsid w:val="00642E54"/>
    <w:rsid w:val="00642F04"/>
    <w:rsid w:val="006432A1"/>
    <w:rsid w:val="0064339D"/>
    <w:rsid w:val="00643B06"/>
    <w:rsid w:val="00643E46"/>
    <w:rsid w:val="00643EBA"/>
    <w:rsid w:val="00644689"/>
    <w:rsid w:val="006448E2"/>
    <w:rsid w:val="00644D07"/>
    <w:rsid w:val="00645214"/>
    <w:rsid w:val="00645637"/>
    <w:rsid w:val="00645903"/>
    <w:rsid w:val="00645A0B"/>
    <w:rsid w:val="00645A2A"/>
    <w:rsid w:val="00645FD4"/>
    <w:rsid w:val="00646333"/>
    <w:rsid w:val="0064656A"/>
    <w:rsid w:val="006465E4"/>
    <w:rsid w:val="00646626"/>
    <w:rsid w:val="0064685D"/>
    <w:rsid w:val="00646BD0"/>
    <w:rsid w:val="00646DA4"/>
    <w:rsid w:val="00647D0F"/>
    <w:rsid w:val="00647D3B"/>
    <w:rsid w:val="00647DA5"/>
    <w:rsid w:val="00650391"/>
    <w:rsid w:val="0065088B"/>
    <w:rsid w:val="00650F5C"/>
    <w:rsid w:val="00650FF3"/>
    <w:rsid w:val="00651604"/>
    <w:rsid w:val="006516C5"/>
    <w:rsid w:val="00651B32"/>
    <w:rsid w:val="00652050"/>
    <w:rsid w:val="0065216A"/>
    <w:rsid w:val="006522E7"/>
    <w:rsid w:val="0065248A"/>
    <w:rsid w:val="0065284A"/>
    <w:rsid w:val="00652948"/>
    <w:rsid w:val="00652A15"/>
    <w:rsid w:val="00652A31"/>
    <w:rsid w:val="00652B84"/>
    <w:rsid w:val="00652DD0"/>
    <w:rsid w:val="00652EE2"/>
    <w:rsid w:val="00653270"/>
    <w:rsid w:val="006533C8"/>
    <w:rsid w:val="00653498"/>
    <w:rsid w:val="0065376B"/>
    <w:rsid w:val="0065391C"/>
    <w:rsid w:val="00653F2D"/>
    <w:rsid w:val="006540EB"/>
    <w:rsid w:val="0065428A"/>
    <w:rsid w:val="00654358"/>
    <w:rsid w:val="0065455E"/>
    <w:rsid w:val="00654C99"/>
    <w:rsid w:val="00654DDC"/>
    <w:rsid w:val="0065519D"/>
    <w:rsid w:val="006551D9"/>
    <w:rsid w:val="0065520F"/>
    <w:rsid w:val="0065534F"/>
    <w:rsid w:val="0065561A"/>
    <w:rsid w:val="0065564B"/>
    <w:rsid w:val="00655660"/>
    <w:rsid w:val="00655A11"/>
    <w:rsid w:val="00655C50"/>
    <w:rsid w:val="00655E02"/>
    <w:rsid w:val="006567C2"/>
    <w:rsid w:val="006567DD"/>
    <w:rsid w:val="00656B8E"/>
    <w:rsid w:val="0065745D"/>
    <w:rsid w:val="006576EC"/>
    <w:rsid w:val="00657776"/>
    <w:rsid w:val="00657854"/>
    <w:rsid w:val="00657AD5"/>
    <w:rsid w:val="00657F17"/>
    <w:rsid w:val="00660389"/>
    <w:rsid w:val="006607DA"/>
    <w:rsid w:val="00660CFE"/>
    <w:rsid w:val="006610F8"/>
    <w:rsid w:val="00661B85"/>
    <w:rsid w:val="00661F02"/>
    <w:rsid w:val="00662723"/>
    <w:rsid w:val="00662836"/>
    <w:rsid w:val="00662AA8"/>
    <w:rsid w:val="00662CFB"/>
    <w:rsid w:val="00662D2C"/>
    <w:rsid w:val="00662FA9"/>
    <w:rsid w:val="006630D0"/>
    <w:rsid w:val="006638DE"/>
    <w:rsid w:val="00663ADE"/>
    <w:rsid w:val="00663B5A"/>
    <w:rsid w:val="00663FAB"/>
    <w:rsid w:val="00664694"/>
    <w:rsid w:val="006648DB"/>
    <w:rsid w:val="00664A4A"/>
    <w:rsid w:val="00664C9D"/>
    <w:rsid w:val="00665059"/>
    <w:rsid w:val="00665659"/>
    <w:rsid w:val="00665D99"/>
    <w:rsid w:val="00666030"/>
    <w:rsid w:val="00666040"/>
    <w:rsid w:val="006661CF"/>
    <w:rsid w:val="006664F0"/>
    <w:rsid w:val="006668B9"/>
    <w:rsid w:val="00666913"/>
    <w:rsid w:val="00666D31"/>
    <w:rsid w:val="00666DE2"/>
    <w:rsid w:val="006670AD"/>
    <w:rsid w:val="00667524"/>
    <w:rsid w:val="00667856"/>
    <w:rsid w:val="006679F1"/>
    <w:rsid w:val="00667B34"/>
    <w:rsid w:val="00667D5B"/>
    <w:rsid w:val="00670349"/>
    <w:rsid w:val="0067042B"/>
    <w:rsid w:val="00670D16"/>
    <w:rsid w:val="00670F2C"/>
    <w:rsid w:val="00671B1F"/>
    <w:rsid w:val="00671D6B"/>
    <w:rsid w:val="00671E93"/>
    <w:rsid w:val="006721AB"/>
    <w:rsid w:val="00672233"/>
    <w:rsid w:val="0067228F"/>
    <w:rsid w:val="006722B2"/>
    <w:rsid w:val="006722EB"/>
    <w:rsid w:val="006724DA"/>
    <w:rsid w:val="006725BC"/>
    <w:rsid w:val="00672992"/>
    <w:rsid w:val="00672A27"/>
    <w:rsid w:val="00672B1C"/>
    <w:rsid w:val="00672F57"/>
    <w:rsid w:val="00673297"/>
    <w:rsid w:val="0067340B"/>
    <w:rsid w:val="006735F8"/>
    <w:rsid w:val="00673ABA"/>
    <w:rsid w:val="00673DE7"/>
    <w:rsid w:val="0067400F"/>
    <w:rsid w:val="00674521"/>
    <w:rsid w:val="0067460E"/>
    <w:rsid w:val="006746CD"/>
    <w:rsid w:val="006748FB"/>
    <w:rsid w:val="00674CE1"/>
    <w:rsid w:val="006751FB"/>
    <w:rsid w:val="006752D2"/>
    <w:rsid w:val="00675A50"/>
    <w:rsid w:val="00675AC0"/>
    <w:rsid w:val="00675D94"/>
    <w:rsid w:val="00675FF7"/>
    <w:rsid w:val="0067618A"/>
    <w:rsid w:val="00676344"/>
    <w:rsid w:val="00676441"/>
    <w:rsid w:val="006765AF"/>
    <w:rsid w:val="00676723"/>
    <w:rsid w:val="00676944"/>
    <w:rsid w:val="00677335"/>
    <w:rsid w:val="006774F0"/>
    <w:rsid w:val="00677712"/>
    <w:rsid w:val="00677750"/>
    <w:rsid w:val="0067794E"/>
    <w:rsid w:val="00677E55"/>
    <w:rsid w:val="0068002E"/>
    <w:rsid w:val="006803D4"/>
    <w:rsid w:val="00680462"/>
    <w:rsid w:val="00680580"/>
    <w:rsid w:val="00680820"/>
    <w:rsid w:val="00680B2E"/>
    <w:rsid w:val="00680B81"/>
    <w:rsid w:val="00680F42"/>
    <w:rsid w:val="006815A3"/>
    <w:rsid w:val="006815EA"/>
    <w:rsid w:val="00681693"/>
    <w:rsid w:val="00681BEA"/>
    <w:rsid w:val="00681DD7"/>
    <w:rsid w:val="00681F79"/>
    <w:rsid w:val="00682068"/>
    <w:rsid w:val="00682110"/>
    <w:rsid w:val="0068215B"/>
    <w:rsid w:val="0068216A"/>
    <w:rsid w:val="0068289A"/>
    <w:rsid w:val="00682BBC"/>
    <w:rsid w:val="00682D72"/>
    <w:rsid w:val="00682E90"/>
    <w:rsid w:val="00683149"/>
    <w:rsid w:val="00683205"/>
    <w:rsid w:val="00683263"/>
    <w:rsid w:val="00683452"/>
    <w:rsid w:val="00683A6D"/>
    <w:rsid w:val="00683BAC"/>
    <w:rsid w:val="00683C76"/>
    <w:rsid w:val="006840B6"/>
    <w:rsid w:val="00684144"/>
    <w:rsid w:val="00684312"/>
    <w:rsid w:val="00684327"/>
    <w:rsid w:val="006847D1"/>
    <w:rsid w:val="00684862"/>
    <w:rsid w:val="00684878"/>
    <w:rsid w:val="00684927"/>
    <w:rsid w:val="00684CA2"/>
    <w:rsid w:val="00684E8B"/>
    <w:rsid w:val="00684F62"/>
    <w:rsid w:val="00685C18"/>
    <w:rsid w:val="0068642D"/>
    <w:rsid w:val="006868FA"/>
    <w:rsid w:val="00686B96"/>
    <w:rsid w:val="00686D83"/>
    <w:rsid w:val="00686E74"/>
    <w:rsid w:val="00686EA5"/>
    <w:rsid w:val="00686F02"/>
    <w:rsid w:val="006870F4"/>
    <w:rsid w:val="00687177"/>
    <w:rsid w:val="006871D4"/>
    <w:rsid w:val="00687430"/>
    <w:rsid w:val="00687519"/>
    <w:rsid w:val="006875AD"/>
    <w:rsid w:val="006875E6"/>
    <w:rsid w:val="0068791A"/>
    <w:rsid w:val="00687BA1"/>
    <w:rsid w:val="0069028F"/>
    <w:rsid w:val="00690300"/>
    <w:rsid w:val="00690566"/>
    <w:rsid w:val="00690749"/>
    <w:rsid w:val="00691349"/>
    <w:rsid w:val="00691362"/>
    <w:rsid w:val="0069142D"/>
    <w:rsid w:val="006914CC"/>
    <w:rsid w:val="0069153A"/>
    <w:rsid w:val="0069168D"/>
    <w:rsid w:val="00691698"/>
    <w:rsid w:val="00691743"/>
    <w:rsid w:val="00691BBA"/>
    <w:rsid w:val="006920B1"/>
    <w:rsid w:val="0069217A"/>
    <w:rsid w:val="006926AE"/>
    <w:rsid w:val="006927E0"/>
    <w:rsid w:val="00692B0A"/>
    <w:rsid w:val="00692D98"/>
    <w:rsid w:val="00692EEF"/>
    <w:rsid w:val="00693499"/>
    <w:rsid w:val="006936DB"/>
    <w:rsid w:val="00693A32"/>
    <w:rsid w:val="006940AF"/>
    <w:rsid w:val="00694749"/>
    <w:rsid w:val="00694812"/>
    <w:rsid w:val="00694CFA"/>
    <w:rsid w:val="00694E51"/>
    <w:rsid w:val="006951F3"/>
    <w:rsid w:val="0069527F"/>
    <w:rsid w:val="00695363"/>
    <w:rsid w:val="006954A9"/>
    <w:rsid w:val="006954AE"/>
    <w:rsid w:val="0069565D"/>
    <w:rsid w:val="00695B1C"/>
    <w:rsid w:val="00695C88"/>
    <w:rsid w:val="00695DD3"/>
    <w:rsid w:val="00695E9E"/>
    <w:rsid w:val="00696389"/>
    <w:rsid w:val="00696812"/>
    <w:rsid w:val="00696888"/>
    <w:rsid w:val="00697257"/>
    <w:rsid w:val="00697350"/>
    <w:rsid w:val="0069736E"/>
    <w:rsid w:val="006975BA"/>
    <w:rsid w:val="006976B7"/>
    <w:rsid w:val="006976DB"/>
    <w:rsid w:val="006977DF"/>
    <w:rsid w:val="00697B00"/>
    <w:rsid w:val="00697CDE"/>
    <w:rsid w:val="00697D66"/>
    <w:rsid w:val="00697D9F"/>
    <w:rsid w:val="00697F4B"/>
    <w:rsid w:val="006A0151"/>
    <w:rsid w:val="006A042E"/>
    <w:rsid w:val="006A07C0"/>
    <w:rsid w:val="006A1052"/>
    <w:rsid w:val="006A140D"/>
    <w:rsid w:val="006A145F"/>
    <w:rsid w:val="006A2197"/>
    <w:rsid w:val="006A21C9"/>
    <w:rsid w:val="006A2241"/>
    <w:rsid w:val="006A2FAA"/>
    <w:rsid w:val="006A3486"/>
    <w:rsid w:val="006A3543"/>
    <w:rsid w:val="006A35AE"/>
    <w:rsid w:val="006A3BF7"/>
    <w:rsid w:val="006A4008"/>
    <w:rsid w:val="006A41F1"/>
    <w:rsid w:val="006A44D5"/>
    <w:rsid w:val="006A499E"/>
    <w:rsid w:val="006A4B75"/>
    <w:rsid w:val="006A4F1B"/>
    <w:rsid w:val="006A5200"/>
    <w:rsid w:val="006A520D"/>
    <w:rsid w:val="006A56EC"/>
    <w:rsid w:val="006A58A9"/>
    <w:rsid w:val="006A5E58"/>
    <w:rsid w:val="006A5F15"/>
    <w:rsid w:val="006A62BF"/>
    <w:rsid w:val="006A660F"/>
    <w:rsid w:val="006A6AA5"/>
    <w:rsid w:val="006A6B3D"/>
    <w:rsid w:val="006A6C20"/>
    <w:rsid w:val="006A6CBA"/>
    <w:rsid w:val="006A731E"/>
    <w:rsid w:val="006A739D"/>
    <w:rsid w:val="006A74C4"/>
    <w:rsid w:val="006A75F9"/>
    <w:rsid w:val="006A7727"/>
    <w:rsid w:val="006A777F"/>
    <w:rsid w:val="006A7949"/>
    <w:rsid w:val="006B0595"/>
    <w:rsid w:val="006B0A0B"/>
    <w:rsid w:val="006B1C21"/>
    <w:rsid w:val="006B1F15"/>
    <w:rsid w:val="006B21E7"/>
    <w:rsid w:val="006B2521"/>
    <w:rsid w:val="006B26BB"/>
    <w:rsid w:val="006B32D0"/>
    <w:rsid w:val="006B353D"/>
    <w:rsid w:val="006B375E"/>
    <w:rsid w:val="006B3882"/>
    <w:rsid w:val="006B38AF"/>
    <w:rsid w:val="006B399C"/>
    <w:rsid w:val="006B3E1F"/>
    <w:rsid w:val="006B4496"/>
    <w:rsid w:val="006B44F9"/>
    <w:rsid w:val="006B4826"/>
    <w:rsid w:val="006B4B02"/>
    <w:rsid w:val="006B536C"/>
    <w:rsid w:val="006B54A2"/>
    <w:rsid w:val="006B5840"/>
    <w:rsid w:val="006B5E81"/>
    <w:rsid w:val="006B6030"/>
    <w:rsid w:val="006B65BB"/>
    <w:rsid w:val="006B6619"/>
    <w:rsid w:val="006B6A2B"/>
    <w:rsid w:val="006B6E46"/>
    <w:rsid w:val="006B6E51"/>
    <w:rsid w:val="006B6F4C"/>
    <w:rsid w:val="006B79DF"/>
    <w:rsid w:val="006B7CCE"/>
    <w:rsid w:val="006B7E67"/>
    <w:rsid w:val="006B7FA4"/>
    <w:rsid w:val="006C0036"/>
    <w:rsid w:val="006C065D"/>
    <w:rsid w:val="006C0BD3"/>
    <w:rsid w:val="006C1187"/>
    <w:rsid w:val="006C1520"/>
    <w:rsid w:val="006C1666"/>
    <w:rsid w:val="006C18DD"/>
    <w:rsid w:val="006C18ED"/>
    <w:rsid w:val="006C195E"/>
    <w:rsid w:val="006C1BB3"/>
    <w:rsid w:val="006C1D65"/>
    <w:rsid w:val="006C1ECF"/>
    <w:rsid w:val="006C1FE8"/>
    <w:rsid w:val="006C224A"/>
    <w:rsid w:val="006C22BF"/>
    <w:rsid w:val="006C24C1"/>
    <w:rsid w:val="006C2622"/>
    <w:rsid w:val="006C27F1"/>
    <w:rsid w:val="006C28A6"/>
    <w:rsid w:val="006C29DD"/>
    <w:rsid w:val="006C2EE7"/>
    <w:rsid w:val="006C32DE"/>
    <w:rsid w:val="006C3359"/>
    <w:rsid w:val="006C417B"/>
    <w:rsid w:val="006C446A"/>
    <w:rsid w:val="006C456E"/>
    <w:rsid w:val="006C4971"/>
    <w:rsid w:val="006C4BD3"/>
    <w:rsid w:val="006C4C41"/>
    <w:rsid w:val="006C4E1C"/>
    <w:rsid w:val="006C5138"/>
    <w:rsid w:val="006C5283"/>
    <w:rsid w:val="006C54BA"/>
    <w:rsid w:val="006C551D"/>
    <w:rsid w:val="006C565E"/>
    <w:rsid w:val="006C59C4"/>
    <w:rsid w:val="006C6577"/>
    <w:rsid w:val="006C65D3"/>
    <w:rsid w:val="006C6892"/>
    <w:rsid w:val="006C6923"/>
    <w:rsid w:val="006C696C"/>
    <w:rsid w:val="006C697D"/>
    <w:rsid w:val="006C6EE3"/>
    <w:rsid w:val="006C716D"/>
    <w:rsid w:val="006C7383"/>
    <w:rsid w:val="006C7C48"/>
    <w:rsid w:val="006C7C93"/>
    <w:rsid w:val="006D095D"/>
    <w:rsid w:val="006D14FB"/>
    <w:rsid w:val="006D16F3"/>
    <w:rsid w:val="006D17A7"/>
    <w:rsid w:val="006D19D8"/>
    <w:rsid w:val="006D1EB6"/>
    <w:rsid w:val="006D207E"/>
    <w:rsid w:val="006D2085"/>
    <w:rsid w:val="006D2145"/>
    <w:rsid w:val="006D23C7"/>
    <w:rsid w:val="006D2450"/>
    <w:rsid w:val="006D29DF"/>
    <w:rsid w:val="006D2B1D"/>
    <w:rsid w:val="006D2FFC"/>
    <w:rsid w:val="006D30A9"/>
    <w:rsid w:val="006D37A6"/>
    <w:rsid w:val="006D37DC"/>
    <w:rsid w:val="006D38CC"/>
    <w:rsid w:val="006D38DC"/>
    <w:rsid w:val="006D3A7F"/>
    <w:rsid w:val="006D3ABB"/>
    <w:rsid w:val="006D3F07"/>
    <w:rsid w:val="006D3FE7"/>
    <w:rsid w:val="006D4192"/>
    <w:rsid w:val="006D484A"/>
    <w:rsid w:val="006D49D8"/>
    <w:rsid w:val="006D4D6D"/>
    <w:rsid w:val="006D4E21"/>
    <w:rsid w:val="006D4F6E"/>
    <w:rsid w:val="006D5178"/>
    <w:rsid w:val="006D5757"/>
    <w:rsid w:val="006D5B29"/>
    <w:rsid w:val="006D5C54"/>
    <w:rsid w:val="006D63E2"/>
    <w:rsid w:val="006D6B88"/>
    <w:rsid w:val="006D6DA3"/>
    <w:rsid w:val="006D7011"/>
    <w:rsid w:val="006D70D7"/>
    <w:rsid w:val="006D7223"/>
    <w:rsid w:val="006D756A"/>
    <w:rsid w:val="006D7808"/>
    <w:rsid w:val="006D79AB"/>
    <w:rsid w:val="006D7D2E"/>
    <w:rsid w:val="006D7D2F"/>
    <w:rsid w:val="006D7FE8"/>
    <w:rsid w:val="006E02BE"/>
    <w:rsid w:val="006E03FC"/>
    <w:rsid w:val="006E0462"/>
    <w:rsid w:val="006E068B"/>
    <w:rsid w:val="006E089E"/>
    <w:rsid w:val="006E0A31"/>
    <w:rsid w:val="006E0AFF"/>
    <w:rsid w:val="006E0B02"/>
    <w:rsid w:val="006E0CE6"/>
    <w:rsid w:val="006E0E29"/>
    <w:rsid w:val="006E1AFE"/>
    <w:rsid w:val="006E1B9D"/>
    <w:rsid w:val="006E204F"/>
    <w:rsid w:val="006E21B9"/>
    <w:rsid w:val="006E25D9"/>
    <w:rsid w:val="006E25DD"/>
    <w:rsid w:val="006E270A"/>
    <w:rsid w:val="006E2751"/>
    <w:rsid w:val="006E2938"/>
    <w:rsid w:val="006E2F64"/>
    <w:rsid w:val="006E3038"/>
    <w:rsid w:val="006E326C"/>
    <w:rsid w:val="006E3381"/>
    <w:rsid w:val="006E3425"/>
    <w:rsid w:val="006E3768"/>
    <w:rsid w:val="006E3793"/>
    <w:rsid w:val="006E37F9"/>
    <w:rsid w:val="006E3D85"/>
    <w:rsid w:val="006E3E18"/>
    <w:rsid w:val="006E478E"/>
    <w:rsid w:val="006E4813"/>
    <w:rsid w:val="006E502B"/>
    <w:rsid w:val="006E5685"/>
    <w:rsid w:val="006E5802"/>
    <w:rsid w:val="006E60D8"/>
    <w:rsid w:val="006E62F7"/>
    <w:rsid w:val="006E6321"/>
    <w:rsid w:val="006E64DB"/>
    <w:rsid w:val="006E6A6F"/>
    <w:rsid w:val="006E6D09"/>
    <w:rsid w:val="006E6D29"/>
    <w:rsid w:val="006E6E61"/>
    <w:rsid w:val="006E7154"/>
    <w:rsid w:val="006E734A"/>
    <w:rsid w:val="006E76FD"/>
    <w:rsid w:val="006E7D8B"/>
    <w:rsid w:val="006E7E67"/>
    <w:rsid w:val="006F03B6"/>
    <w:rsid w:val="006F09B5"/>
    <w:rsid w:val="006F1027"/>
    <w:rsid w:val="006F1269"/>
    <w:rsid w:val="006F1969"/>
    <w:rsid w:val="006F215C"/>
    <w:rsid w:val="006F2182"/>
    <w:rsid w:val="006F2CC7"/>
    <w:rsid w:val="006F2E11"/>
    <w:rsid w:val="006F3240"/>
    <w:rsid w:val="006F334F"/>
    <w:rsid w:val="006F3739"/>
    <w:rsid w:val="006F37E5"/>
    <w:rsid w:val="006F392B"/>
    <w:rsid w:val="006F3943"/>
    <w:rsid w:val="006F3A8F"/>
    <w:rsid w:val="006F3B04"/>
    <w:rsid w:val="006F3C03"/>
    <w:rsid w:val="006F3C0F"/>
    <w:rsid w:val="006F3DAC"/>
    <w:rsid w:val="006F3F7D"/>
    <w:rsid w:val="006F4294"/>
    <w:rsid w:val="006F43FC"/>
    <w:rsid w:val="006F4757"/>
    <w:rsid w:val="006F4CF5"/>
    <w:rsid w:val="006F4D27"/>
    <w:rsid w:val="006F4E81"/>
    <w:rsid w:val="006F5552"/>
    <w:rsid w:val="006F5625"/>
    <w:rsid w:val="006F56E3"/>
    <w:rsid w:val="006F56ED"/>
    <w:rsid w:val="006F5968"/>
    <w:rsid w:val="006F5A57"/>
    <w:rsid w:val="006F5D60"/>
    <w:rsid w:val="006F5DA6"/>
    <w:rsid w:val="006F644D"/>
    <w:rsid w:val="006F6A8D"/>
    <w:rsid w:val="006F6C02"/>
    <w:rsid w:val="006F6E62"/>
    <w:rsid w:val="006F7217"/>
    <w:rsid w:val="006F740F"/>
    <w:rsid w:val="006F7AE4"/>
    <w:rsid w:val="006F7B5F"/>
    <w:rsid w:val="006F7F4F"/>
    <w:rsid w:val="007002C3"/>
    <w:rsid w:val="007004E4"/>
    <w:rsid w:val="007005F7"/>
    <w:rsid w:val="00700747"/>
    <w:rsid w:val="007008C1"/>
    <w:rsid w:val="00700AA2"/>
    <w:rsid w:val="00700F2C"/>
    <w:rsid w:val="00701077"/>
    <w:rsid w:val="0070128A"/>
    <w:rsid w:val="007016FF"/>
    <w:rsid w:val="007019B3"/>
    <w:rsid w:val="00701E2D"/>
    <w:rsid w:val="007021DC"/>
    <w:rsid w:val="0070255D"/>
    <w:rsid w:val="00702C6E"/>
    <w:rsid w:val="00702F40"/>
    <w:rsid w:val="0070337B"/>
    <w:rsid w:val="007033CE"/>
    <w:rsid w:val="0070361D"/>
    <w:rsid w:val="00703C35"/>
    <w:rsid w:val="00703C7D"/>
    <w:rsid w:val="00703DCE"/>
    <w:rsid w:val="00704285"/>
    <w:rsid w:val="007048BD"/>
    <w:rsid w:val="007049E2"/>
    <w:rsid w:val="00704A2C"/>
    <w:rsid w:val="00704C85"/>
    <w:rsid w:val="00704E96"/>
    <w:rsid w:val="00704EEA"/>
    <w:rsid w:val="00704F6A"/>
    <w:rsid w:val="0070565B"/>
    <w:rsid w:val="00705B89"/>
    <w:rsid w:val="00705FB9"/>
    <w:rsid w:val="00706031"/>
    <w:rsid w:val="00706AA2"/>
    <w:rsid w:val="00706BE8"/>
    <w:rsid w:val="00706DDE"/>
    <w:rsid w:val="00706F74"/>
    <w:rsid w:val="00706F94"/>
    <w:rsid w:val="00707047"/>
    <w:rsid w:val="00707199"/>
    <w:rsid w:val="00707532"/>
    <w:rsid w:val="0070767C"/>
    <w:rsid w:val="00707809"/>
    <w:rsid w:val="00707B9A"/>
    <w:rsid w:val="00707CD7"/>
    <w:rsid w:val="007103DA"/>
    <w:rsid w:val="00710410"/>
    <w:rsid w:val="00710421"/>
    <w:rsid w:val="0071049A"/>
    <w:rsid w:val="007104E5"/>
    <w:rsid w:val="00710D36"/>
    <w:rsid w:val="007112DC"/>
    <w:rsid w:val="007116E9"/>
    <w:rsid w:val="00711BAB"/>
    <w:rsid w:val="00711FAF"/>
    <w:rsid w:val="007121A8"/>
    <w:rsid w:val="007121D5"/>
    <w:rsid w:val="007122B8"/>
    <w:rsid w:val="00712341"/>
    <w:rsid w:val="00712550"/>
    <w:rsid w:val="0071279D"/>
    <w:rsid w:val="007129AB"/>
    <w:rsid w:val="00712A88"/>
    <w:rsid w:val="00712AE0"/>
    <w:rsid w:val="0071313F"/>
    <w:rsid w:val="00713683"/>
    <w:rsid w:val="0071390C"/>
    <w:rsid w:val="00713E46"/>
    <w:rsid w:val="0071418E"/>
    <w:rsid w:val="00714311"/>
    <w:rsid w:val="007145CC"/>
    <w:rsid w:val="00714B65"/>
    <w:rsid w:val="00714F6C"/>
    <w:rsid w:val="0071513C"/>
    <w:rsid w:val="0071544F"/>
    <w:rsid w:val="007160E8"/>
    <w:rsid w:val="00716278"/>
    <w:rsid w:val="007163C3"/>
    <w:rsid w:val="007163ED"/>
    <w:rsid w:val="007165D3"/>
    <w:rsid w:val="0071662B"/>
    <w:rsid w:val="00716E1B"/>
    <w:rsid w:val="00716F19"/>
    <w:rsid w:val="00716FC6"/>
    <w:rsid w:val="007173B7"/>
    <w:rsid w:val="00717643"/>
    <w:rsid w:val="00717AF3"/>
    <w:rsid w:val="00717EC5"/>
    <w:rsid w:val="007203E9"/>
    <w:rsid w:val="00720545"/>
    <w:rsid w:val="00720754"/>
    <w:rsid w:val="00720893"/>
    <w:rsid w:val="007208F8"/>
    <w:rsid w:val="00720CBF"/>
    <w:rsid w:val="00720E6D"/>
    <w:rsid w:val="00721611"/>
    <w:rsid w:val="0072191D"/>
    <w:rsid w:val="00721968"/>
    <w:rsid w:val="00721A4E"/>
    <w:rsid w:val="00721ADE"/>
    <w:rsid w:val="00721D31"/>
    <w:rsid w:val="00721DA5"/>
    <w:rsid w:val="007225BB"/>
    <w:rsid w:val="0072267F"/>
    <w:rsid w:val="007227EF"/>
    <w:rsid w:val="00723353"/>
    <w:rsid w:val="007236EC"/>
    <w:rsid w:val="0072419C"/>
    <w:rsid w:val="00724438"/>
    <w:rsid w:val="007244A1"/>
    <w:rsid w:val="0072458A"/>
    <w:rsid w:val="007245D1"/>
    <w:rsid w:val="00725C97"/>
    <w:rsid w:val="00725CEE"/>
    <w:rsid w:val="00725CFD"/>
    <w:rsid w:val="00725E3A"/>
    <w:rsid w:val="00726571"/>
    <w:rsid w:val="007266A8"/>
    <w:rsid w:val="0072681A"/>
    <w:rsid w:val="00726A1D"/>
    <w:rsid w:val="0072706C"/>
    <w:rsid w:val="00727656"/>
    <w:rsid w:val="00727B2A"/>
    <w:rsid w:val="00727D5F"/>
    <w:rsid w:val="00727DE9"/>
    <w:rsid w:val="00730009"/>
    <w:rsid w:val="00730236"/>
    <w:rsid w:val="00730748"/>
    <w:rsid w:val="00730829"/>
    <w:rsid w:val="00730934"/>
    <w:rsid w:val="00730B60"/>
    <w:rsid w:val="00730CE5"/>
    <w:rsid w:val="0073142B"/>
    <w:rsid w:val="007316E5"/>
    <w:rsid w:val="00731739"/>
    <w:rsid w:val="00731A12"/>
    <w:rsid w:val="00731B2C"/>
    <w:rsid w:val="00732006"/>
    <w:rsid w:val="00732208"/>
    <w:rsid w:val="007322BE"/>
    <w:rsid w:val="007324A9"/>
    <w:rsid w:val="007327D5"/>
    <w:rsid w:val="00732E14"/>
    <w:rsid w:val="00732E5D"/>
    <w:rsid w:val="00733044"/>
    <w:rsid w:val="0073307B"/>
    <w:rsid w:val="007332A8"/>
    <w:rsid w:val="007336D1"/>
    <w:rsid w:val="00733967"/>
    <w:rsid w:val="00733A58"/>
    <w:rsid w:val="00733B16"/>
    <w:rsid w:val="00733C0C"/>
    <w:rsid w:val="00734027"/>
    <w:rsid w:val="0073408E"/>
    <w:rsid w:val="007341E9"/>
    <w:rsid w:val="00734C61"/>
    <w:rsid w:val="0073563A"/>
    <w:rsid w:val="007359C9"/>
    <w:rsid w:val="007359DA"/>
    <w:rsid w:val="00735D59"/>
    <w:rsid w:val="007360D1"/>
    <w:rsid w:val="00736149"/>
    <w:rsid w:val="00736773"/>
    <w:rsid w:val="00736871"/>
    <w:rsid w:val="00736B30"/>
    <w:rsid w:val="00736BF4"/>
    <w:rsid w:val="00736CBE"/>
    <w:rsid w:val="00736CF1"/>
    <w:rsid w:val="00736DC9"/>
    <w:rsid w:val="00737172"/>
    <w:rsid w:val="0073725B"/>
    <w:rsid w:val="00737439"/>
    <w:rsid w:val="00737591"/>
    <w:rsid w:val="00737902"/>
    <w:rsid w:val="0073799B"/>
    <w:rsid w:val="00737F09"/>
    <w:rsid w:val="0074002C"/>
    <w:rsid w:val="0074070F"/>
    <w:rsid w:val="00740D94"/>
    <w:rsid w:val="00740DE9"/>
    <w:rsid w:val="00740E86"/>
    <w:rsid w:val="00740FF7"/>
    <w:rsid w:val="007414E4"/>
    <w:rsid w:val="00741988"/>
    <w:rsid w:val="00741A5E"/>
    <w:rsid w:val="00741A8A"/>
    <w:rsid w:val="00741B3D"/>
    <w:rsid w:val="00741B4F"/>
    <w:rsid w:val="00741B82"/>
    <w:rsid w:val="00741B99"/>
    <w:rsid w:val="00741F77"/>
    <w:rsid w:val="00741F8C"/>
    <w:rsid w:val="00742126"/>
    <w:rsid w:val="0074223E"/>
    <w:rsid w:val="00742288"/>
    <w:rsid w:val="007423FB"/>
    <w:rsid w:val="007427B6"/>
    <w:rsid w:val="00742BA9"/>
    <w:rsid w:val="00742C13"/>
    <w:rsid w:val="00742DAE"/>
    <w:rsid w:val="00743039"/>
    <w:rsid w:val="007438BB"/>
    <w:rsid w:val="007442BF"/>
    <w:rsid w:val="00744546"/>
    <w:rsid w:val="00744C9F"/>
    <w:rsid w:val="0074573F"/>
    <w:rsid w:val="00745A24"/>
    <w:rsid w:val="00745D3F"/>
    <w:rsid w:val="00746681"/>
    <w:rsid w:val="00746AA3"/>
    <w:rsid w:val="00746B20"/>
    <w:rsid w:val="00746D8E"/>
    <w:rsid w:val="0074732C"/>
    <w:rsid w:val="00747B87"/>
    <w:rsid w:val="00747F14"/>
    <w:rsid w:val="00747F67"/>
    <w:rsid w:val="00747FE2"/>
    <w:rsid w:val="0075000E"/>
    <w:rsid w:val="00750038"/>
    <w:rsid w:val="0075007A"/>
    <w:rsid w:val="00750492"/>
    <w:rsid w:val="00750903"/>
    <w:rsid w:val="00750965"/>
    <w:rsid w:val="00750D9C"/>
    <w:rsid w:val="007512EE"/>
    <w:rsid w:val="00751584"/>
    <w:rsid w:val="0075187D"/>
    <w:rsid w:val="00751912"/>
    <w:rsid w:val="00751D7C"/>
    <w:rsid w:val="00752388"/>
    <w:rsid w:val="00752408"/>
    <w:rsid w:val="00752743"/>
    <w:rsid w:val="00752828"/>
    <w:rsid w:val="00752AD0"/>
    <w:rsid w:val="00752C6F"/>
    <w:rsid w:val="00752E1C"/>
    <w:rsid w:val="00753249"/>
    <w:rsid w:val="00753254"/>
    <w:rsid w:val="00753593"/>
    <w:rsid w:val="00753618"/>
    <w:rsid w:val="00753630"/>
    <w:rsid w:val="00753827"/>
    <w:rsid w:val="00753B0E"/>
    <w:rsid w:val="00753D12"/>
    <w:rsid w:val="00753FB6"/>
    <w:rsid w:val="007541A3"/>
    <w:rsid w:val="0075449E"/>
    <w:rsid w:val="00754666"/>
    <w:rsid w:val="007547C4"/>
    <w:rsid w:val="00755374"/>
    <w:rsid w:val="00755C14"/>
    <w:rsid w:val="00755E8E"/>
    <w:rsid w:val="00756078"/>
    <w:rsid w:val="007564B2"/>
    <w:rsid w:val="0075653F"/>
    <w:rsid w:val="007567BD"/>
    <w:rsid w:val="00756B8A"/>
    <w:rsid w:val="00756DF3"/>
    <w:rsid w:val="00757298"/>
    <w:rsid w:val="007576B8"/>
    <w:rsid w:val="00757E7B"/>
    <w:rsid w:val="00757EB1"/>
    <w:rsid w:val="007602FC"/>
    <w:rsid w:val="007603C2"/>
    <w:rsid w:val="0076069D"/>
    <w:rsid w:val="007606FE"/>
    <w:rsid w:val="0076076E"/>
    <w:rsid w:val="00760AEE"/>
    <w:rsid w:val="00760D47"/>
    <w:rsid w:val="007614DD"/>
    <w:rsid w:val="00761523"/>
    <w:rsid w:val="00761735"/>
    <w:rsid w:val="00761811"/>
    <w:rsid w:val="00761F73"/>
    <w:rsid w:val="00762080"/>
    <w:rsid w:val="00762136"/>
    <w:rsid w:val="007621EB"/>
    <w:rsid w:val="00762427"/>
    <w:rsid w:val="00762739"/>
    <w:rsid w:val="00762797"/>
    <w:rsid w:val="00762857"/>
    <w:rsid w:val="007630AF"/>
    <w:rsid w:val="0076338A"/>
    <w:rsid w:val="00763504"/>
    <w:rsid w:val="007635E5"/>
    <w:rsid w:val="0076388C"/>
    <w:rsid w:val="00763DA2"/>
    <w:rsid w:val="00764006"/>
    <w:rsid w:val="00764C48"/>
    <w:rsid w:val="00764F6F"/>
    <w:rsid w:val="00764FCA"/>
    <w:rsid w:val="007651E3"/>
    <w:rsid w:val="007654A4"/>
    <w:rsid w:val="00765595"/>
    <w:rsid w:val="007655A2"/>
    <w:rsid w:val="0076575F"/>
    <w:rsid w:val="00765AE7"/>
    <w:rsid w:val="00765B30"/>
    <w:rsid w:val="00765B6A"/>
    <w:rsid w:val="00765CCE"/>
    <w:rsid w:val="00766463"/>
    <w:rsid w:val="0076678D"/>
    <w:rsid w:val="007669FF"/>
    <w:rsid w:val="00766C78"/>
    <w:rsid w:val="00766CDF"/>
    <w:rsid w:val="00766D3C"/>
    <w:rsid w:val="00766FB2"/>
    <w:rsid w:val="00766FBA"/>
    <w:rsid w:val="007678EE"/>
    <w:rsid w:val="00767A98"/>
    <w:rsid w:val="00767F19"/>
    <w:rsid w:val="0077093A"/>
    <w:rsid w:val="00770ADD"/>
    <w:rsid w:val="00770F16"/>
    <w:rsid w:val="00770F3F"/>
    <w:rsid w:val="007712F3"/>
    <w:rsid w:val="007714FD"/>
    <w:rsid w:val="007718A0"/>
    <w:rsid w:val="0077195B"/>
    <w:rsid w:val="00771F8B"/>
    <w:rsid w:val="00772050"/>
    <w:rsid w:val="00772717"/>
    <w:rsid w:val="0077280A"/>
    <w:rsid w:val="00772885"/>
    <w:rsid w:val="00772A46"/>
    <w:rsid w:val="00772C73"/>
    <w:rsid w:val="00772F5F"/>
    <w:rsid w:val="00772F8F"/>
    <w:rsid w:val="00772FF8"/>
    <w:rsid w:val="00773520"/>
    <w:rsid w:val="00773782"/>
    <w:rsid w:val="00773A23"/>
    <w:rsid w:val="00773BB6"/>
    <w:rsid w:val="0077412D"/>
    <w:rsid w:val="00774184"/>
    <w:rsid w:val="00774385"/>
    <w:rsid w:val="00774390"/>
    <w:rsid w:val="00774826"/>
    <w:rsid w:val="00774B1C"/>
    <w:rsid w:val="00775170"/>
    <w:rsid w:val="0077551F"/>
    <w:rsid w:val="00775666"/>
    <w:rsid w:val="0077579E"/>
    <w:rsid w:val="007759E1"/>
    <w:rsid w:val="00775B56"/>
    <w:rsid w:val="00775D34"/>
    <w:rsid w:val="00776464"/>
    <w:rsid w:val="007765DB"/>
    <w:rsid w:val="0077676D"/>
    <w:rsid w:val="00776967"/>
    <w:rsid w:val="00776AEC"/>
    <w:rsid w:val="00776BEB"/>
    <w:rsid w:val="007771C6"/>
    <w:rsid w:val="00777213"/>
    <w:rsid w:val="00777712"/>
    <w:rsid w:val="00777C3D"/>
    <w:rsid w:val="00777CB0"/>
    <w:rsid w:val="00777D26"/>
    <w:rsid w:val="00777F3F"/>
    <w:rsid w:val="007800EB"/>
    <w:rsid w:val="007808D3"/>
    <w:rsid w:val="00781A6C"/>
    <w:rsid w:val="00781C5D"/>
    <w:rsid w:val="00781E00"/>
    <w:rsid w:val="0078205D"/>
    <w:rsid w:val="007820A8"/>
    <w:rsid w:val="007820EB"/>
    <w:rsid w:val="00782116"/>
    <w:rsid w:val="0078254F"/>
    <w:rsid w:val="007829E3"/>
    <w:rsid w:val="00782CA3"/>
    <w:rsid w:val="007832C0"/>
    <w:rsid w:val="007833BF"/>
    <w:rsid w:val="00783511"/>
    <w:rsid w:val="0078359F"/>
    <w:rsid w:val="00783896"/>
    <w:rsid w:val="00783B4E"/>
    <w:rsid w:val="00783C9F"/>
    <w:rsid w:val="007840B8"/>
    <w:rsid w:val="007849FF"/>
    <w:rsid w:val="00784C40"/>
    <w:rsid w:val="00784CA4"/>
    <w:rsid w:val="0078505D"/>
    <w:rsid w:val="007850FA"/>
    <w:rsid w:val="00785CD2"/>
    <w:rsid w:val="0078606C"/>
    <w:rsid w:val="007865F5"/>
    <w:rsid w:val="0078694E"/>
    <w:rsid w:val="00786ADF"/>
    <w:rsid w:val="00786F09"/>
    <w:rsid w:val="00786F90"/>
    <w:rsid w:val="00786FC3"/>
    <w:rsid w:val="007871F0"/>
    <w:rsid w:val="00787573"/>
    <w:rsid w:val="0078795B"/>
    <w:rsid w:val="00787D11"/>
    <w:rsid w:val="00787EA5"/>
    <w:rsid w:val="00787F15"/>
    <w:rsid w:val="00790183"/>
    <w:rsid w:val="00790261"/>
    <w:rsid w:val="00790262"/>
    <w:rsid w:val="00790C70"/>
    <w:rsid w:val="00790D84"/>
    <w:rsid w:val="007918CB"/>
    <w:rsid w:val="0079194A"/>
    <w:rsid w:val="007919B5"/>
    <w:rsid w:val="00791C63"/>
    <w:rsid w:val="0079238C"/>
    <w:rsid w:val="0079271B"/>
    <w:rsid w:val="00792A41"/>
    <w:rsid w:val="00792F11"/>
    <w:rsid w:val="007934B0"/>
    <w:rsid w:val="007934C1"/>
    <w:rsid w:val="00793784"/>
    <w:rsid w:val="007937EF"/>
    <w:rsid w:val="007938EB"/>
    <w:rsid w:val="007938F0"/>
    <w:rsid w:val="00793B10"/>
    <w:rsid w:val="00793BC8"/>
    <w:rsid w:val="007940DB"/>
    <w:rsid w:val="00794192"/>
    <w:rsid w:val="007942BE"/>
    <w:rsid w:val="00794775"/>
    <w:rsid w:val="00794B0D"/>
    <w:rsid w:val="00794BFE"/>
    <w:rsid w:val="00794C2A"/>
    <w:rsid w:val="00794C45"/>
    <w:rsid w:val="00795916"/>
    <w:rsid w:val="007959B3"/>
    <w:rsid w:val="00795AC3"/>
    <w:rsid w:val="00795D0C"/>
    <w:rsid w:val="00795F21"/>
    <w:rsid w:val="00796112"/>
    <w:rsid w:val="0079698B"/>
    <w:rsid w:val="00796E76"/>
    <w:rsid w:val="00797019"/>
    <w:rsid w:val="00797046"/>
    <w:rsid w:val="0079784E"/>
    <w:rsid w:val="00797AD6"/>
    <w:rsid w:val="007A008F"/>
    <w:rsid w:val="007A033E"/>
    <w:rsid w:val="007A03AB"/>
    <w:rsid w:val="007A06EF"/>
    <w:rsid w:val="007A081C"/>
    <w:rsid w:val="007A0D0C"/>
    <w:rsid w:val="007A0D70"/>
    <w:rsid w:val="007A1091"/>
    <w:rsid w:val="007A12F8"/>
    <w:rsid w:val="007A16E9"/>
    <w:rsid w:val="007A171D"/>
    <w:rsid w:val="007A17A1"/>
    <w:rsid w:val="007A1CC3"/>
    <w:rsid w:val="007A1DD7"/>
    <w:rsid w:val="007A1E48"/>
    <w:rsid w:val="007A1EB3"/>
    <w:rsid w:val="007A1F26"/>
    <w:rsid w:val="007A2879"/>
    <w:rsid w:val="007A2997"/>
    <w:rsid w:val="007A2B36"/>
    <w:rsid w:val="007A2FF1"/>
    <w:rsid w:val="007A3038"/>
    <w:rsid w:val="007A30CF"/>
    <w:rsid w:val="007A3D4E"/>
    <w:rsid w:val="007A3E69"/>
    <w:rsid w:val="007A408E"/>
    <w:rsid w:val="007A42DF"/>
    <w:rsid w:val="007A49A0"/>
    <w:rsid w:val="007A4FB6"/>
    <w:rsid w:val="007A624E"/>
    <w:rsid w:val="007A63EE"/>
    <w:rsid w:val="007A65E8"/>
    <w:rsid w:val="007A66B1"/>
    <w:rsid w:val="007A6D1D"/>
    <w:rsid w:val="007A73F2"/>
    <w:rsid w:val="007A788D"/>
    <w:rsid w:val="007A79D2"/>
    <w:rsid w:val="007A7CC0"/>
    <w:rsid w:val="007A7CF2"/>
    <w:rsid w:val="007B0D1D"/>
    <w:rsid w:val="007B0DAD"/>
    <w:rsid w:val="007B1280"/>
    <w:rsid w:val="007B1912"/>
    <w:rsid w:val="007B1A34"/>
    <w:rsid w:val="007B1ABC"/>
    <w:rsid w:val="007B1B36"/>
    <w:rsid w:val="007B1F70"/>
    <w:rsid w:val="007B23ED"/>
    <w:rsid w:val="007B24E1"/>
    <w:rsid w:val="007B2525"/>
    <w:rsid w:val="007B27B7"/>
    <w:rsid w:val="007B2851"/>
    <w:rsid w:val="007B2CF3"/>
    <w:rsid w:val="007B2E22"/>
    <w:rsid w:val="007B3201"/>
    <w:rsid w:val="007B327E"/>
    <w:rsid w:val="007B366B"/>
    <w:rsid w:val="007B3675"/>
    <w:rsid w:val="007B3821"/>
    <w:rsid w:val="007B3897"/>
    <w:rsid w:val="007B38A7"/>
    <w:rsid w:val="007B3E25"/>
    <w:rsid w:val="007B40D6"/>
    <w:rsid w:val="007B44CC"/>
    <w:rsid w:val="007B4C09"/>
    <w:rsid w:val="007B4DCE"/>
    <w:rsid w:val="007B4F17"/>
    <w:rsid w:val="007B50D2"/>
    <w:rsid w:val="007B5171"/>
    <w:rsid w:val="007B5210"/>
    <w:rsid w:val="007B53D1"/>
    <w:rsid w:val="007B5A3D"/>
    <w:rsid w:val="007B5A41"/>
    <w:rsid w:val="007B5E2D"/>
    <w:rsid w:val="007B5E9A"/>
    <w:rsid w:val="007B6732"/>
    <w:rsid w:val="007B6875"/>
    <w:rsid w:val="007B6B17"/>
    <w:rsid w:val="007B73B4"/>
    <w:rsid w:val="007B74D1"/>
    <w:rsid w:val="007B763E"/>
    <w:rsid w:val="007B7F5E"/>
    <w:rsid w:val="007B7FB0"/>
    <w:rsid w:val="007C016D"/>
    <w:rsid w:val="007C017B"/>
    <w:rsid w:val="007C05B0"/>
    <w:rsid w:val="007C08C4"/>
    <w:rsid w:val="007C0936"/>
    <w:rsid w:val="007C0EC0"/>
    <w:rsid w:val="007C0FBB"/>
    <w:rsid w:val="007C115E"/>
    <w:rsid w:val="007C1220"/>
    <w:rsid w:val="007C197E"/>
    <w:rsid w:val="007C1D87"/>
    <w:rsid w:val="007C1FD8"/>
    <w:rsid w:val="007C21A5"/>
    <w:rsid w:val="007C2534"/>
    <w:rsid w:val="007C25AB"/>
    <w:rsid w:val="007C2700"/>
    <w:rsid w:val="007C2B83"/>
    <w:rsid w:val="007C2BAB"/>
    <w:rsid w:val="007C2D1D"/>
    <w:rsid w:val="007C2D34"/>
    <w:rsid w:val="007C375E"/>
    <w:rsid w:val="007C39CD"/>
    <w:rsid w:val="007C3E3E"/>
    <w:rsid w:val="007C3E8D"/>
    <w:rsid w:val="007C41F4"/>
    <w:rsid w:val="007C423E"/>
    <w:rsid w:val="007C4CEB"/>
    <w:rsid w:val="007C4F54"/>
    <w:rsid w:val="007C4FD0"/>
    <w:rsid w:val="007C538F"/>
    <w:rsid w:val="007C539A"/>
    <w:rsid w:val="007C586F"/>
    <w:rsid w:val="007C596A"/>
    <w:rsid w:val="007C5F3E"/>
    <w:rsid w:val="007C627C"/>
    <w:rsid w:val="007C63E3"/>
    <w:rsid w:val="007C64FB"/>
    <w:rsid w:val="007C69AF"/>
    <w:rsid w:val="007C72B4"/>
    <w:rsid w:val="007C72EC"/>
    <w:rsid w:val="007C7344"/>
    <w:rsid w:val="007C7595"/>
    <w:rsid w:val="007C76A5"/>
    <w:rsid w:val="007C7D0B"/>
    <w:rsid w:val="007C7ED5"/>
    <w:rsid w:val="007C7F72"/>
    <w:rsid w:val="007D0067"/>
    <w:rsid w:val="007D030F"/>
    <w:rsid w:val="007D0722"/>
    <w:rsid w:val="007D08E9"/>
    <w:rsid w:val="007D12DA"/>
    <w:rsid w:val="007D16FC"/>
    <w:rsid w:val="007D19D2"/>
    <w:rsid w:val="007D1A7C"/>
    <w:rsid w:val="007D1D5E"/>
    <w:rsid w:val="007D20B2"/>
    <w:rsid w:val="007D2111"/>
    <w:rsid w:val="007D2268"/>
    <w:rsid w:val="007D2E96"/>
    <w:rsid w:val="007D3266"/>
    <w:rsid w:val="007D3898"/>
    <w:rsid w:val="007D39D3"/>
    <w:rsid w:val="007D39EA"/>
    <w:rsid w:val="007D3D03"/>
    <w:rsid w:val="007D4286"/>
    <w:rsid w:val="007D488B"/>
    <w:rsid w:val="007D4B11"/>
    <w:rsid w:val="007D56DC"/>
    <w:rsid w:val="007D5733"/>
    <w:rsid w:val="007D58C2"/>
    <w:rsid w:val="007D5943"/>
    <w:rsid w:val="007D595C"/>
    <w:rsid w:val="007D5CAD"/>
    <w:rsid w:val="007D5DF1"/>
    <w:rsid w:val="007D5DF7"/>
    <w:rsid w:val="007D68BE"/>
    <w:rsid w:val="007D6DEF"/>
    <w:rsid w:val="007D7736"/>
    <w:rsid w:val="007D77C6"/>
    <w:rsid w:val="007D789C"/>
    <w:rsid w:val="007D79EC"/>
    <w:rsid w:val="007E0009"/>
    <w:rsid w:val="007E028B"/>
    <w:rsid w:val="007E0400"/>
    <w:rsid w:val="007E0913"/>
    <w:rsid w:val="007E0D72"/>
    <w:rsid w:val="007E0F67"/>
    <w:rsid w:val="007E120D"/>
    <w:rsid w:val="007E123B"/>
    <w:rsid w:val="007E13F9"/>
    <w:rsid w:val="007E1526"/>
    <w:rsid w:val="007E1586"/>
    <w:rsid w:val="007E1862"/>
    <w:rsid w:val="007E1DD6"/>
    <w:rsid w:val="007E1DE5"/>
    <w:rsid w:val="007E2170"/>
    <w:rsid w:val="007E22B7"/>
    <w:rsid w:val="007E25D5"/>
    <w:rsid w:val="007E2C72"/>
    <w:rsid w:val="007E2EEE"/>
    <w:rsid w:val="007E2FAB"/>
    <w:rsid w:val="007E34EC"/>
    <w:rsid w:val="007E396F"/>
    <w:rsid w:val="007E3D2B"/>
    <w:rsid w:val="007E3E81"/>
    <w:rsid w:val="007E439C"/>
    <w:rsid w:val="007E46D8"/>
    <w:rsid w:val="007E4ADA"/>
    <w:rsid w:val="007E5602"/>
    <w:rsid w:val="007E5820"/>
    <w:rsid w:val="007E5B01"/>
    <w:rsid w:val="007E5BB5"/>
    <w:rsid w:val="007E5C71"/>
    <w:rsid w:val="007E5D0B"/>
    <w:rsid w:val="007E5D62"/>
    <w:rsid w:val="007E5E3A"/>
    <w:rsid w:val="007E5F51"/>
    <w:rsid w:val="007E6388"/>
    <w:rsid w:val="007E64B1"/>
    <w:rsid w:val="007E6F01"/>
    <w:rsid w:val="007E7AB0"/>
    <w:rsid w:val="007E7C9B"/>
    <w:rsid w:val="007E7ECC"/>
    <w:rsid w:val="007F012D"/>
    <w:rsid w:val="007F06FF"/>
    <w:rsid w:val="007F0732"/>
    <w:rsid w:val="007F098E"/>
    <w:rsid w:val="007F0C05"/>
    <w:rsid w:val="007F103A"/>
    <w:rsid w:val="007F111F"/>
    <w:rsid w:val="007F14A0"/>
    <w:rsid w:val="007F1696"/>
    <w:rsid w:val="007F1720"/>
    <w:rsid w:val="007F18C2"/>
    <w:rsid w:val="007F1CA7"/>
    <w:rsid w:val="007F1DC2"/>
    <w:rsid w:val="007F1DD5"/>
    <w:rsid w:val="007F2044"/>
    <w:rsid w:val="007F2313"/>
    <w:rsid w:val="007F24A3"/>
    <w:rsid w:val="007F25E7"/>
    <w:rsid w:val="007F2602"/>
    <w:rsid w:val="007F2984"/>
    <w:rsid w:val="007F2B2B"/>
    <w:rsid w:val="007F2ED9"/>
    <w:rsid w:val="007F31BA"/>
    <w:rsid w:val="007F3259"/>
    <w:rsid w:val="007F32E7"/>
    <w:rsid w:val="007F3374"/>
    <w:rsid w:val="007F33A9"/>
    <w:rsid w:val="007F34E2"/>
    <w:rsid w:val="007F3849"/>
    <w:rsid w:val="007F3A4B"/>
    <w:rsid w:val="007F3C97"/>
    <w:rsid w:val="007F3F59"/>
    <w:rsid w:val="007F4792"/>
    <w:rsid w:val="007F495A"/>
    <w:rsid w:val="007F4964"/>
    <w:rsid w:val="007F4A37"/>
    <w:rsid w:val="007F4ED9"/>
    <w:rsid w:val="007F4FA3"/>
    <w:rsid w:val="007F5214"/>
    <w:rsid w:val="007F5325"/>
    <w:rsid w:val="007F5DDA"/>
    <w:rsid w:val="007F648D"/>
    <w:rsid w:val="007F653B"/>
    <w:rsid w:val="007F6611"/>
    <w:rsid w:val="007F698B"/>
    <w:rsid w:val="007F6B4B"/>
    <w:rsid w:val="007F6B67"/>
    <w:rsid w:val="007F70CA"/>
    <w:rsid w:val="007F7222"/>
    <w:rsid w:val="007F7E0F"/>
    <w:rsid w:val="00800345"/>
    <w:rsid w:val="008003AC"/>
    <w:rsid w:val="008004C6"/>
    <w:rsid w:val="00800580"/>
    <w:rsid w:val="008006DB"/>
    <w:rsid w:val="00800998"/>
    <w:rsid w:val="008009B7"/>
    <w:rsid w:val="00800A00"/>
    <w:rsid w:val="00801034"/>
    <w:rsid w:val="00801374"/>
    <w:rsid w:val="00801391"/>
    <w:rsid w:val="00801405"/>
    <w:rsid w:val="00801720"/>
    <w:rsid w:val="00801775"/>
    <w:rsid w:val="008017AF"/>
    <w:rsid w:val="008017F3"/>
    <w:rsid w:val="00801852"/>
    <w:rsid w:val="00801B41"/>
    <w:rsid w:val="00801CBF"/>
    <w:rsid w:val="00801DDE"/>
    <w:rsid w:val="00801E4A"/>
    <w:rsid w:val="00802173"/>
    <w:rsid w:val="00802830"/>
    <w:rsid w:val="00802E01"/>
    <w:rsid w:val="00802FD1"/>
    <w:rsid w:val="00803139"/>
    <w:rsid w:val="008032CE"/>
    <w:rsid w:val="00803352"/>
    <w:rsid w:val="00803538"/>
    <w:rsid w:val="00803F11"/>
    <w:rsid w:val="008042D6"/>
    <w:rsid w:val="00804CF2"/>
    <w:rsid w:val="00804F73"/>
    <w:rsid w:val="00804FDD"/>
    <w:rsid w:val="00805045"/>
    <w:rsid w:val="0080538B"/>
    <w:rsid w:val="00805DFA"/>
    <w:rsid w:val="00805F1B"/>
    <w:rsid w:val="00806016"/>
    <w:rsid w:val="008062B3"/>
    <w:rsid w:val="0080633F"/>
    <w:rsid w:val="00806599"/>
    <w:rsid w:val="008066EF"/>
    <w:rsid w:val="00806998"/>
    <w:rsid w:val="00807182"/>
    <w:rsid w:val="0080721C"/>
    <w:rsid w:val="00807272"/>
    <w:rsid w:val="00807915"/>
    <w:rsid w:val="008079DA"/>
    <w:rsid w:val="008101A2"/>
    <w:rsid w:val="00810BBC"/>
    <w:rsid w:val="008116E9"/>
    <w:rsid w:val="008119A9"/>
    <w:rsid w:val="0081206A"/>
    <w:rsid w:val="00812140"/>
    <w:rsid w:val="0081217A"/>
    <w:rsid w:val="00812254"/>
    <w:rsid w:val="0081247C"/>
    <w:rsid w:val="008125A3"/>
    <w:rsid w:val="0081281C"/>
    <w:rsid w:val="00812956"/>
    <w:rsid w:val="00812A50"/>
    <w:rsid w:val="00812EEB"/>
    <w:rsid w:val="00812FA5"/>
    <w:rsid w:val="0081340A"/>
    <w:rsid w:val="00813599"/>
    <w:rsid w:val="00813A0C"/>
    <w:rsid w:val="00813C44"/>
    <w:rsid w:val="00813CBC"/>
    <w:rsid w:val="00813F65"/>
    <w:rsid w:val="00814139"/>
    <w:rsid w:val="00814150"/>
    <w:rsid w:val="008142FE"/>
    <w:rsid w:val="00814383"/>
    <w:rsid w:val="00814489"/>
    <w:rsid w:val="008144D5"/>
    <w:rsid w:val="00814502"/>
    <w:rsid w:val="0081477E"/>
    <w:rsid w:val="00814E5A"/>
    <w:rsid w:val="008150EC"/>
    <w:rsid w:val="00815489"/>
    <w:rsid w:val="008156A4"/>
    <w:rsid w:val="00815E68"/>
    <w:rsid w:val="00816034"/>
    <w:rsid w:val="0081603F"/>
    <w:rsid w:val="00816146"/>
    <w:rsid w:val="0081616F"/>
    <w:rsid w:val="008166E3"/>
    <w:rsid w:val="00816841"/>
    <w:rsid w:val="00816948"/>
    <w:rsid w:val="00816990"/>
    <w:rsid w:val="00816A64"/>
    <w:rsid w:val="00816CE9"/>
    <w:rsid w:val="00816D01"/>
    <w:rsid w:val="00816D51"/>
    <w:rsid w:val="00816D56"/>
    <w:rsid w:val="00817074"/>
    <w:rsid w:val="00817111"/>
    <w:rsid w:val="00817290"/>
    <w:rsid w:val="00817432"/>
    <w:rsid w:val="0081761D"/>
    <w:rsid w:val="0081765A"/>
    <w:rsid w:val="00817792"/>
    <w:rsid w:val="0081787A"/>
    <w:rsid w:val="00817A9A"/>
    <w:rsid w:val="00817D7A"/>
    <w:rsid w:val="00817E75"/>
    <w:rsid w:val="008209FE"/>
    <w:rsid w:val="00820DA4"/>
    <w:rsid w:val="00820E79"/>
    <w:rsid w:val="00820ED5"/>
    <w:rsid w:val="008210D3"/>
    <w:rsid w:val="00821310"/>
    <w:rsid w:val="0082168F"/>
    <w:rsid w:val="00821D57"/>
    <w:rsid w:val="00822431"/>
    <w:rsid w:val="00822944"/>
    <w:rsid w:val="00822CA9"/>
    <w:rsid w:val="00822E68"/>
    <w:rsid w:val="00823097"/>
    <w:rsid w:val="00823167"/>
    <w:rsid w:val="008231D6"/>
    <w:rsid w:val="00823259"/>
    <w:rsid w:val="0082341C"/>
    <w:rsid w:val="00823714"/>
    <w:rsid w:val="00823AAD"/>
    <w:rsid w:val="00823AC0"/>
    <w:rsid w:val="00823C0C"/>
    <w:rsid w:val="0082458D"/>
    <w:rsid w:val="00824705"/>
    <w:rsid w:val="00824718"/>
    <w:rsid w:val="00824836"/>
    <w:rsid w:val="00824E32"/>
    <w:rsid w:val="0082526A"/>
    <w:rsid w:val="00825339"/>
    <w:rsid w:val="00825BA4"/>
    <w:rsid w:val="008260DD"/>
    <w:rsid w:val="00826141"/>
    <w:rsid w:val="0082658C"/>
    <w:rsid w:val="00826606"/>
    <w:rsid w:val="008268BE"/>
    <w:rsid w:val="00826A52"/>
    <w:rsid w:val="00826B3D"/>
    <w:rsid w:val="00827D6E"/>
    <w:rsid w:val="00827F32"/>
    <w:rsid w:val="00827F65"/>
    <w:rsid w:val="00830258"/>
    <w:rsid w:val="00830524"/>
    <w:rsid w:val="00830EED"/>
    <w:rsid w:val="00830F37"/>
    <w:rsid w:val="00831008"/>
    <w:rsid w:val="0083165F"/>
    <w:rsid w:val="00831723"/>
    <w:rsid w:val="00831BEF"/>
    <w:rsid w:val="008320D1"/>
    <w:rsid w:val="008321E6"/>
    <w:rsid w:val="00832517"/>
    <w:rsid w:val="00832D19"/>
    <w:rsid w:val="00832DCE"/>
    <w:rsid w:val="00832E3E"/>
    <w:rsid w:val="00832FF5"/>
    <w:rsid w:val="0083318D"/>
    <w:rsid w:val="0083334A"/>
    <w:rsid w:val="00833844"/>
    <w:rsid w:val="00833910"/>
    <w:rsid w:val="00833B22"/>
    <w:rsid w:val="00833E1E"/>
    <w:rsid w:val="00834803"/>
    <w:rsid w:val="00834A30"/>
    <w:rsid w:val="00834CDB"/>
    <w:rsid w:val="008351E2"/>
    <w:rsid w:val="008353AD"/>
    <w:rsid w:val="008354C9"/>
    <w:rsid w:val="00835A12"/>
    <w:rsid w:val="00835AE6"/>
    <w:rsid w:val="00835EE7"/>
    <w:rsid w:val="00835F7B"/>
    <w:rsid w:val="00836512"/>
    <w:rsid w:val="00836585"/>
    <w:rsid w:val="00836814"/>
    <w:rsid w:val="00836E6F"/>
    <w:rsid w:val="00836F32"/>
    <w:rsid w:val="00837551"/>
    <w:rsid w:val="00837624"/>
    <w:rsid w:val="00837819"/>
    <w:rsid w:val="00837948"/>
    <w:rsid w:val="00837F67"/>
    <w:rsid w:val="00840089"/>
    <w:rsid w:val="0084029C"/>
    <w:rsid w:val="008406B6"/>
    <w:rsid w:val="00840CA6"/>
    <w:rsid w:val="008410B6"/>
    <w:rsid w:val="0084120F"/>
    <w:rsid w:val="00841458"/>
    <w:rsid w:val="0084169D"/>
    <w:rsid w:val="008416DF"/>
    <w:rsid w:val="008419BB"/>
    <w:rsid w:val="00841AA1"/>
    <w:rsid w:val="00841DFD"/>
    <w:rsid w:val="008421E5"/>
    <w:rsid w:val="008424B4"/>
    <w:rsid w:val="00842693"/>
    <w:rsid w:val="00842955"/>
    <w:rsid w:val="00842C84"/>
    <w:rsid w:val="00843128"/>
    <w:rsid w:val="008436AD"/>
    <w:rsid w:val="0084382D"/>
    <w:rsid w:val="00843892"/>
    <w:rsid w:val="00843B8F"/>
    <w:rsid w:val="0084427F"/>
    <w:rsid w:val="00844733"/>
    <w:rsid w:val="00844AE4"/>
    <w:rsid w:val="00844D28"/>
    <w:rsid w:val="00844F00"/>
    <w:rsid w:val="008452D3"/>
    <w:rsid w:val="00845346"/>
    <w:rsid w:val="00845631"/>
    <w:rsid w:val="008457D0"/>
    <w:rsid w:val="00845E71"/>
    <w:rsid w:val="008460E3"/>
    <w:rsid w:val="008462DA"/>
    <w:rsid w:val="00846512"/>
    <w:rsid w:val="00846544"/>
    <w:rsid w:val="00846D79"/>
    <w:rsid w:val="00846DBA"/>
    <w:rsid w:val="00847082"/>
    <w:rsid w:val="008471E4"/>
    <w:rsid w:val="00847498"/>
    <w:rsid w:val="008501C8"/>
    <w:rsid w:val="008504A1"/>
    <w:rsid w:val="008504CC"/>
    <w:rsid w:val="008508BD"/>
    <w:rsid w:val="00850C31"/>
    <w:rsid w:val="00850C87"/>
    <w:rsid w:val="00850DCF"/>
    <w:rsid w:val="00850EA4"/>
    <w:rsid w:val="00851280"/>
    <w:rsid w:val="008518B1"/>
    <w:rsid w:val="008518D5"/>
    <w:rsid w:val="00851DA0"/>
    <w:rsid w:val="00851DA7"/>
    <w:rsid w:val="00851DB6"/>
    <w:rsid w:val="0085219D"/>
    <w:rsid w:val="0085255C"/>
    <w:rsid w:val="008529CE"/>
    <w:rsid w:val="00852EE6"/>
    <w:rsid w:val="0085310E"/>
    <w:rsid w:val="008531DD"/>
    <w:rsid w:val="008539BB"/>
    <w:rsid w:val="00853D5A"/>
    <w:rsid w:val="00853F84"/>
    <w:rsid w:val="008541AD"/>
    <w:rsid w:val="008541FA"/>
    <w:rsid w:val="0085466D"/>
    <w:rsid w:val="008547B4"/>
    <w:rsid w:val="008547B9"/>
    <w:rsid w:val="0085483A"/>
    <w:rsid w:val="008549A0"/>
    <w:rsid w:val="008549C3"/>
    <w:rsid w:val="00855B55"/>
    <w:rsid w:val="00855CE0"/>
    <w:rsid w:val="00855D70"/>
    <w:rsid w:val="0085621C"/>
    <w:rsid w:val="008564AA"/>
    <w:rsid w:val="0085694B"/>
    <w:rsid w:val="00856C24"/>
    <w:rsid w:val="00856E8B"/>
    <w:rsid w:val="00857298"/>
    <w:rsid w:val="008573CE"/>
    <w:rsid w:val="00857754"/>
    <w:rsid w:val="0085797B"/>
    <w:rsid w:val="00857B53"/>
    <w:rsid w:val="00857B7C"/>
    <w:rsid w:val="00857D01"/>
    <w:rsid w:val="00857E99"/>
    <w:rsid w:val="00860373"/>
    <w:rsid w:val="0086061F"/>
    <w:rsid w:val="0086063D"/>
    <w:rsid w:val="00860A43"/>
    <w:rsid w:val="00860E44"/>
    <w:rsid w:val="00860F39"/>
    <w:rsid w:val="00861183"/>
    <w:rsid w:val="00861210"/>
    <w:rsid w:val="008614B6"/>
    <w:rsid w:val="00861744"/>
    <w:rsid w:val="008617E3"/>
    <w:rsid w:val="00861C68"/>
    <w:rsid w:val="00862509"/>
    <w:rsid w:val="00862643"/>
    <w:rsid w:val="0086274D"/>
    <w:rsid w:val="0086281B"/>
    <w:rsid w:val="00862AC4"/>
    <w:rsid w:val="00862B81"/>
    <w:rsid w:val="008633A1"/>
    <w:rsid w:val="008634BB"/>
    <w:rsid w:val="0086365B"/>
    <w:rsid w:val="0086375B"/>
    <w:rsid w:val="00863BA0"/>
    <w:rsid w:val="008647DF"/>
    <w:rsid w:val="00864BCD"/>
    <w:rsid w:val="00864E72"/>
    <w:rsid w:val="00864FAB"/>
    <w:rsid w:val="0086514B"/>
    <w:rsid w:val="00865247"/>
    <w:rsid w:val="00865369"/>
    <w:rsid w:val="0086559C"/>
    <w:rsid w:val="00865629"/>
    <w:rsid w:val="00865894"/>
    <w:rsid w:val="00865A9B"/>
    <w:rsid w:val="00865BF3"/>
    <w:rsid w:val="00865C41"/>
    <w:rsid w:val="008660A3"/>
    <w:rsid w:val="0086623A"/>
    <w:rsid w:val="00866251"/>
    <w:rsid w:val="008663F0"/>
    <w:rsid w:val="008666D9"/>
    <w:rsid w:val="008667B7"/>
    <w:rsid w:val="008679D8"/>
    <w:rsid w:val="00867D60"/>
    <w:rsid w:val="0087009C"/>
    <w:rsid w:val="00870479"/>
    <w:rsid w:val="00870546"/>
    <w:rsid w:val="008706AD"/>
    <w:rsid w:val="0087082A"/>
    <w:rsid w:val="00870A99"/>
    <w:rsid w:val="008712B8"/>
    <w:rsid w:val="008714AA"/>
    <w:rsid w:val="008715A1"/>
    <w:rsid w:val="008715BD"/>
    <w:rsid w:val="0087193D"/>
    <w:rsid w:val="00871B3E"/>
    <w:rsid w:val="00871D41"/>
    <w:rsid w:val="00871E40"/>
    <w:rsid w:val="00871F67"/>
    <w:rsid w:val="0087260A"/>
    <w:rsid w:val="008726AA"/>
    <w:rsid w:val="00872A4C"/>
    <w:rsid w:val="00872BDD"/>
    <w:rsid w:val="00872C3B"/>
    <w:rsid w:val="00872D64"/>
    <w:rsid w:val="00872EB7"/>
    <w:rsid w:val="0087373B"/>
    <w:rsid w:val="00873824"/>
    <w:rsid w:val="008739E4"/>
    <w:rsid w:val="00873B8D"/>
    <w:rsid w:val="00873DA8"/>
    <w:rsid w:val="0087428F"/>
    <w:rsid w:val="008744B8"/>
    <w:rsid w:val="00874684"/>
    <w:rsid w:val="00874DEA"/>
    <w:rsid w:val="00874E5D"/>
    <w:rsid w:val="0087513D"/>
    <w:rsid w:val="00875670"/>
    <w:rsid w:val="008757C3"/>
    <w:rsid w:val="008759D0"/>
    <w:rsid w:val="00875A0F"/>
    <w:rsid w:val="00875C60"/>
    <w:rsid w:val="00875EAE"/>
    <w:rsid w:val="00875F87"/>
    <w:rsid w:val="00876230"/>
    <w:rsid w:val="0087651F"/>
    <w:rsid w:val="0087685C"/>
    <w:rsid w:val="00876930"/>
    <w:rsid w:val="00877333"/>
    <w:rsid w:val="00877562"/>
    <w:rsid w:val="008777CB"/>
    <w:rsid w:val="00880024"/>
    <w:rsid w:val="0088010A"/>
    <w:rsid w:val="00880447"/>
    <w:rsid w:val="00880BDF"/>
    <w:rsid w:val="00880F81"/>
    <w:rsid w:val="00881200"/>
    <w:rsid w:val="008812E0"/>
    <w:rsid w:val="00881666"/>
    <w:rsid w:val="00881C08"/>
    <w:rsid w:val="00881DFD"/>
    <w:rsid w:val="008824E4"/>
    <w:rsid w:val="00882BB5"/>
    <w:rsid w:val="00882E7A"/>
    <w:rsid w:val="00882EA7"/>
    <w:rsid w:val="00882F27"/>
    <w:rsid w:val="00883235"/>
    <w:rsid w:val="00883547"/>
    <w:rsid w:val="0088399D"/>
    <w:rsid w:val="008839FA"/>
    <w:rsid w:val="00883B76"/>
    <w:rsid w:val="00883FBF"/>
    <w:rsid w:val="00884173"/>
    <w:rsid w:val="0088434B"/>
    <w:rsid w:val="008844B6"/>
    <w:rsid w:val="00884AA6"/>
    <w:rsid w:val="00884BB1"/>
    <w:rsid w:val="00884D07"/>
    <w:rsid w:val="00884D20"/>
    <w:rsid w:val="00885005"/>
    <w:rsid w:val="008851A9"/>
    <w:rsid w:val="008851E0"/>
    <w:rsid w:val="00885C82"/>
    <w:rsid w:val="00885D97"/>
    <w:rsid w:val="00885F3C"/>
    <w:rsid w:val="00886592"/>
    <w:rsid w:val="00886B77"/>
    <w:rsid w:val="008870D6"/>
    <w:rsid w:val="00887233"/>
    <w:rsid w:val="00887755"/>
    <w:rsid w:val="008901BA"/>
    <w:rsid w:val="008907F8"/>
    <w:rsid w:val="00890885"/>
    <w:rsid w:val="0089099B"/>
    <w:rsid w:val="00891123"/>
    <w:rsid w:val="00891851"/>
    <w:rsid w:val="00891913"/>
    <w:rsid w:val="00892080"/>
    <w:rsid w:val="008928B8"/>
    <w:rsid w:val="008928C2"/>
    <w:rsid w:val="00892B20"/>
    <w:rsid w:val="00892F66"/>
    <w:rsid w:val="00892FAC"/>
    <w:rsid w:val="008938A7"/>
    <w:rsid w:val="008939A5"/>
    <w:rsid w:val="00893B2A"/>
    <w:rsid w:val="00893E8A"/>
    <w:rsid w:val="00893F88"/>
    <w:rsid w:val="00894286"/>
    <w:rsid w:val="008942B1"/>
    <w:rsid w:val="0089444C"/>
    <w:rsid w:val="008946FF"/>
    <w:rsid w:val="008949A2"/>
    <w:rsid w:val="00894C34"/>
    <w:rsid w:val="00895052"/>
    <w:rsid w:val="008951A8"/>
    <w:rsid w:val="00895709"/>
    <w:rsid w:val="0089603D"/>
    <w:rsid w:val="00896050"/>
    <w:rsid w:val="00896167"/>
    <w:rsid w:val="0089659C"/>
    <w:rsid w:val="008967B1"/>
    <w:rsid w:val="00896CBF"/>
    <w:rsid w:val="0089746E"/>
    <w:rsid w:val="008975D6"/>
    <w:rsid w:val="0089760B"/>
    <w:rsid w:val="00897692"/>
    <w:rsid w:val="00897C68"/>
    <w:rsid w:val="00897DFB"/>
    <w:rsid w:val="008A0201"/>
    <w:rsid w:val="008A04F2"/>
    <w:rsid w:val="008A07C6"/>
    <w:rsid w:val="008A0BD3"/>
    <w:rsid w:val="008A0FBB"/>
    <w:rsid w:val="008A0FC9"/>
    <w:rsid w:val="008A1400"/>
    <w:rsid w:val="008A16B9"/>
    <w:rsid w:val="008A1C95"/>
    <w:rsid w:val="008A1CC6"/>
    <w:rsid w:val="008A2573"/>
    <w:rsid w:val="008A2B0E"/>
    <w:rsid w:val="008A2B96"/>
    <w:rsid w:val="008A2D12"/>
    <w:rsid w:val="008A2F9C"/>
    <w:rsid w:val="008A32EE"/>
    <w:rsid w:val="008A377D"/>
    <w:rsid w:val="008A38A8"/>
    <w:rsid w:val="008A39A9"/>
    <w:rsid w:val="008A3BD7"/>
    <w:rsid w:val="008A3C74"/>
    <w:rsid w:val="008A3F37"/>
    <w:rsid w:val="008A4068"/>
    <w:rsid w:val="008A4B54"/>
    <w:rsid w:val="008A4DEB"/>
    <w:rsid w:val="008A4EAB"/>
    <w:rsid w:val="008A4F8C"/>
    <w:rsid w:val="008A5853"/>
    <w:rsid w:val="008A5875"/>
    <w:rsid w:val="008A5C77"/>
    <w:rsid w:val="008A634B"/>
    <w:rsid w:val="008A65C8"/>
    <w:rsid w:val="008A65EA"/>
    <w:rsid w:val="008A66C6"/>
    <w:rsid w:val="008A69C3"/>
    <w:rsid w:val="008A6C83"/>
    <w:rsid w:val="008A6D87"/>
    <w:rsid w:val="008A7852"/>
    <w:rsid w:val="008A7B8E"/>
    <w:rsid w:val="008A7DDA"/>
    <w:rsid w:val="008A7F4B"/>
    <w:rsid w:val="008B013C"/>
    <w:rsid w:val="008B054B"/>
    <w:rsid w:val="008B0F08"/>
    <w:rsid w:val="008B10B8"/>
    <w:rsid w:val="008B1103"/>
    <w:rsid w:val="008B12CE"/>
    <w:rsid w:val="008B158F"/>
    <w:rsid w:val="008B17C5"/>
    <w:rsid w:val="008B1858"/>
    <w:rsid w:val="008B1DFA"/>
    <w:rsid w:val="008B21A6"/>
    <w:rsid w:val="008B2218"/>
    <w:rsid w:val="008B22B2"/>
    <w:rsid w:val="008B22E5"/>
    <w:rsid w:val="008B2FBE"/>
    <w:rsid w:val="008B39D5"/>
    <w:rsid w:val="008B3BF1"/>
    <w:rsid w:val="008B3F5E"/>
    <w:rsid w:val="008B3F60"/>
    <w:rsid w:val="008B4275"/>
    <w:rsid w:val="008B45D0"/>
    <w:rsid w:val="008B4821"/>
    <w:rsid w:val="008B4A78"/>
    <w:rsid w:val="008B4D4E"/>
    <w:rsid w:val="008B4EFE"/>
    <w:rsid w:val="008B51EA"/>
    <w:rsid w:val="008B54E8"/>
    <w:rsid w:val="008B58EB"/>
    <w:rsid w:val="008B5E8E"/>
    <w:rsid w:val="008B6004"/>
    <w:rsid w:val="008B6014"/>
    <w:rsid w:val="008B62D7"/>
    <w:rsid w:val="008B64E4"/>
    <w:rsid w:val="008B6C4A"/>
    <w:rsid w:val="008B6CE5"/>
    <w:rsid w:val="008B6EE8"/>
    <w:rsid w:val="008B7347"/>
    <w:rsid w:val="008B73B0"/>
    <w:rsid w:val="008B74C8"/>
    <w:rsid w:val="008B7503"/>
    <w:rsid w:val="008B7956"/>
    <w:rsid w:val="008B798A"/>
    <w:rsid w:val="008B79CE"/>
    <w:rsid w:val="008C0000"/>
    <w:rsid w:val="008C034D"/>
    <w:rsid w:val="008C0393"/>
    <w:rsid w:val="008C050E"/>
    <w:rsid w:val="008C0831"/>
    <w:rsid w:val="008C087A"/>
    <w:rsid w:val="008C0D46"/>
    <w:rsid w:val="008C0E5F"/>
    <w:rsid w:val="008C116F"/>
    <w:rsid w:val="008C14C8"/>
    <w:rsid w:val="008C157D"/>
    <w:rsid w:val="008C17AD"/>
    <w:rsid w:val="008C1C9C"/>
    <w:rsid w:val="008C1F28"/>
    <w:rsid w:val="008C2508"/>
    <w:rsid w:val="008C25D5"/>
    <w:rsid w:val="008C2B73"/>
    <w:rsid w:val="008C2BCD"/>
    <w:rsid w:val="008C2C2B"/>
    <w:rsid w:val="008C2CC7"/>
    <w:rsid w:val="008C2FE4"/>
    <w:rsid w:val="008C30F3"/>
    <w:rsid w:val="008C31EC"/>
    <w:rsid w:val="008C3454"/>
    <w:rsid w:val="008C4096"/>
    <w:rsid w:val="008C40BC"/>
    <w:rsid w:val="008C41D2"/>
    <w:rsid w:val="008C445E"/>
    <w:rsid w:val="008C495E"/>
    <w:rsid w:val="008C4C73"/>
    <w:rsid w:val="008C5086"/>
    <w:rsid w:val="008C5169"/>
    <w:rsid w:val="008C5352"/>
    <w:rsid w:val="008C5803"/>
    <w:rsid w:val="008C585A"/>
    <w:rsid w:val="008C5E91"/>
    <w:rsid w:val="008C654C"/>
    <w:rsid w:val="008C67DA"/>
    <w:rsid w:val="008C6902"/>
    <w:rsid w:val="008C69B2"/>
    <w:rsid w:val="008C738E"/>
    <w:rsid w:val="008C7593"/>
    <w:rsid w:val="008C7638"/>
    <w:rsid w:val="008C763C"/>
    <w:rsid w:val="008C76DD"/>
    <w:rsid w:val="008C78CE"/>
    <w:rsid w:val="008C7D50"/>
    <w:rsid w:val="008D006A"/>
    <w:rsid w:val="008D0219"/>
    <w:rsid w:val="008D04DD"/>
    <w:rsid w:val="008D0649"/>
    <w:rsid w:val="008D10FB"/>
    <w:rsid w:val="008D1255"/>
    <w:rsid w:val="008D135B"/>
    <w:rsid w:val="008D1408"/>
    <w:rsid w:val="008D1B6D"/>
    <w:rsid w:val="008D1C31"/>
    <w:rsid w:val="008D203F"/>
    <w:rsid w:val="008D2546"/>
    <w:rsid w:val="008D255E"/>
    <w:rsid w:val="008D298C"/>
    <w:rsid w:val="008D2B72"/>
    <w:rsid w:val="008D2BA7"/>
    <w:rsid w:val="008D2D3E"/>
    <w:rsid w:val="008D2E8D"/>
    <w:rsid w:val="008D370B"/>
    <w:rsid w:val="008D3BAC"/>
    <w:rsid w:val="008D3BE1"/>
    <w:rsid w:val="008D3E64"/>
    <w:rsid w:val="008D4111"/>
    <w:rsid w:val="008D4631"/>
    <w:rsid w:val="008D4727"/>
    <w:rsid w:val="008D4879"/>
    <w:rsid w:val="008D4BE5"/>
    <w:rsid w:val="008D539F"/>
    <w:rsid w:val="008D5941"/>
    <w:rsid w:val="008D5AAD"/>
    <w:rsid w:val="008D62B4"/>
    <w:rsid w:val="008D6B99"/>
    <w:rsid w:val="008D727F"/>
    <w:rsid w:val="008D7379"/>
    <w:rsid w:val="008D73FA"/>
    <w:rsid w:val="008D7B4A"/>
    <w:rsid w:val="008D7B6C"/>
    <w:rsid w:val="008D7E33"/>
    <w:rsid w:val="008E04CB"/>
    <w:rsid w:val="008E0E64"/>
    <w:rsid w:val="008E1065"/>
    <w:rsid w:val="008E1221"/>
    <w:rsid w:val="008E179F"/>
    <w:rsid w:val="008E17E3"/>
    <w:rsid w:val="008E237B"/>
    <w:rsid w:val="008E282A"/>
    <w:rsid w:val="008E2E52"/>
    <w:rsid w:val="008E2FFF"/>
    <w:rsid w:val="008E32DC"/>
    <w:rsid w:val="008E3601"/>
    <w:rsid w:val="008E3752"/>
    <w:rsid w:val="008E37B7"/>
    <w:rsid w:val="008E3A63"/>
    <w:rsid w:val="008E3B05"/>
    <w:rsid w:val="008E4474"/>
    <w:rsid w:val="008E4DBA"/>
    <w:rsid w:val="008E4E97"/>
    <w:rsid w:val="008E4FE0"/>
    <w:rsid w:val="008E50FD"/>
    <w:rsid w:val="008E5B37"/>
    <w:rsid w:val="008E5D2D"/>
    <w:rsid w:val="008E5D90"/>
    <w:rsid w:val="008E61AF"/>
    <w:rsid w:val="008E6411"/>
    <w:rsid w:val="008E64A9"/>
    <w:rsid w:val="008E6568"/>
    <w:rsid w:val="008E65DB"/>
    <w:rsid w:val="008E66E4"/>
    <w:rsid w:val="008E680C"/>
    <w:rsid w:val="008E68FC"/>
    <w:rsid w:val="008E69D2"/>
    <w:rsid w:val="008E6BAF"/>
    <w:rsid w:val="008E6D1A"/>
    <w:rsid w:val="008E70A8"/>
    <w:rsid w:val="008E7205"/>
    <w:rsid w:val="008E7444"/>
    <w:rsid w:val="008E788D"/>
    <w:rsid w:val="008E791A"/>
    <w:rsid w:val="008E79B8"/>
    <w:rsid w:val="008E7A6D"/>
    <w:rsid w:val="008E7C01"/>
    <w:rsid w:val="008E7CE1"/>
    <w:rsid w:val="008F05A6"/>
    <w:rsid w:val="008F0A7D"/>
    <w:rsid w:val="008F0E7E"/>
    <w:rsid w:val="008F0F90"/>
    <w:rsid w:val="008F10C0"/>
    <w:rsid w:val="008F14C7"/>
    <w:rsid w:val="008F198A"/>
    <w:rsid w:val="008F1DBD"/>
    <w:rsid w:val="008F2530"/>
    <w:rsid w:val="008F2694"/>
    <w:rsid w:val="008F2933"/>
    <w:rsid w:val="008F2991"/>
    <w:rsid w:val="008F2EA0"/>
    <w:rsid w:val="008F3647"/>
    <w:rsid w:val="008F3F51"/>
    <w:rsid w:val="008F48BE"/>
    <w:rsid w:val="008F48F4"/>
    <w:rsid w:val="008F4C0F"/>
    <w:rsid w:val="008F4D0A"/>
    <w:rsid w:val="008F525C"/>
    <w:rsid w:val="008F5285"/>
    <w:rsid w:val="008F531C"/>
    <w:rsid w:val="008F5429"/>
    <w:rsid w:val="008F5477"/>
    <w:rsid w:val="008F5DE5"/>
    <w:rsid w:val="008F6363"/>
    <w:rsid w:val="008F6534"/>
    <w:rsid w:val="008F67EF"/>
    <w:rsid w:val="008F68BD"/>
    <w:rsid w:val="008F6B37"/>
    <w:rsid w:val="008F6BF6"/>
    <w:rsid w:val="008F7037"/>
    <w:rsid w:val="008F7CBD"/>
    <w:rsid w:val="008F7E47"/>
    <w:rsid w:val="0090018F"/>
    <w:rsid w:val="009002BB"/>
    <w:rsid w:val="0090045C"/>
    <w:rsid w:val="0090075C"/>
    <w:rsid w:val="009009C1"/>
    <w:rsid w:val="00900ADE"/>
    <w:rsid w:val="00900D6D"/>
    <w:rsid w:val="00901CF7"/>
    <w:rsid w:val="00901EB2"/>
    <w:rsid w:val="009024AF"/>
    <w:rsid w:val="009024EB"/>
    <w:rsid w:val="0090251A"/>
    <w:rsid w:val="00902719"/>
    <w:rsid w:val="009027FC"/>
    <w:rsid w:val="009029E3"/>
    <w:rsid w:val="00902AB8"/>
    <w:rsid w:val="00902D2E"/>
    <w:rsid w:val="00902EC2"/>
    <w:rsid w:val="00903908"/>
    <w:rsid w:val="00903A2D"/>
    <w:rsid w:val="009041A5"/>
    <w:rsid w:val="00904697"/>
    <w:rsid w:val="00904AB3"/>
    <w:rsid w:val="00904DC4"/>
    <w:rsid w:val="00904EB9"/>
    <w:rsid w:val="0090525E"/>
    <w:rsid w:val="00905B50"/>
    <w:rsid w:val="00905BF2"/>
    <w:rsid w:val="00905FE7"/>
    <w:rsid w:val="00905FED"/>
    <w:rsid w:val="009060F0"/>
    <w:rsid w:val="009063A5"/>
    <w:rsid w:val="00906B16"/>
    <w:rsid w:val="00907019"/>
    <w:rsid w:val="0090720E"/>
    <w:rsid w:val="009076A6"/>
    <w:rsid w:val="00907AE3"/>
    <w:rsid w:val="00907C48"/>
    <w:rsid w:val="00907C8E"/>
    <w:rsid w:val="00907D6F"/>
    <w:rsid w:val="0091003E"/>
    <w:rsid w:val="0091005A"/>
    <w:rsid w:val="00910270"/>
    <w:rsid w:val="00910769"/>
    <w:rsid w:val="009107FE"/>
    <w:rsid w:val="00910AB0"/>
    <w:rsid w:val="00910D34"/>
    <w:rsid w:val="00910F84"/>
    <w:rsid w:val="009110C9"/>
    <w:rsid w:val="0091152B"/>
    <w:rsid w:val="00911972"/>
    <w:rsid w:val="00911A0C"/>
    <w:rsid w:val="00911B68"/>
    <w:rsid w:val="009122A0"/>
    <w:rsid w:val="00912371"/>
    <w:rsid w:val="00912A2A"/>
    <w:rsid w:val="00912BCF"/>
    <w:rsid w:val="00912C42"/>
    <w:rsid w:val="00912CAC"/>
    <w:rsid w:val="00912DCF"/>
    <w:rsid w:val="009136DA"/>
    <w:rsid w:val="009137FC"/>
    <w:rsid w:val="00913AF2"/>
    <w:rsid w:val="00913B25"/>
    <w:rsid w:val="00914165"/>
    <w:rsid w:val="009143A8"/>
    <w:rsid w:val="00914621"/>
    <w:rsid w:val="00914B27"/>
    <w:rsid w:val="009151A7"/>
    <w:rsid w:val="009157C4"/>
    <w:rsid w:val="009158E8"/>
    <w:rsid w:val="009169D8"/>
    <w:rsid w:val="009170F0"/>
    <w:rsid w:val="009171EB"/>
    <w:rsid w:val="009172F9"/>
    <w:rsid w:val="00917666"/>
    <w:rsid w:val="00917D20"/>
    <w:rsid w:val="00917F32"/>
    <w:rsid w:val="0092014E"/>
    <w:rsid w:val="009203CF"/>
    <w:rsid w:val="00920519"/>
    <w:rsid w:val="00920604"/>
    <w:rsid w:val="0092062D"/>
    <w:rsid w:val="00920F29"/>
    <w:rsid w:val="009211FD"/>
    <w:rsid w:val="009212B2"/>
    <w:rsid w:val="009213FD"/>
    <w:rsid w:val="0092157A"/>
    <w:rsid w:val="00921B19"/>
    <w:rsid w:val="00922309"/>
    <w:rsid w:val="00922548"/>
    <w:rsid w:val="009226CB"/>
    <w:rsid w:val="009229AC"/>
    <w:rsid w:val="009229D1"/>
    <w:rsid w:val="00922A28"/>
    <w:rsid w:val="00922AA8"/>
    <w:rsid w:val="00922C11"/>
    <w:rsid w:val="00922D2D"/>
    <w:rsid w:val="00923202"/>
    <w:rsid w:val="00923369"/>
    <w:rsid w:val="0092339C"/>
    <w:rsid w:val="009233FA"/>
    <w:rsid w:val="00923564"/>
    <w:rsid w:val="00923A6B"/>
    <w:rsid w:val="00923B3C"/>
    <w:rsid w:val="00923F24"/>
    <w:rsid w:val="009249C4"/>
    <w:rsid w:val="00924D2E"/>
    <w:rsid w:val="00924DBB"/>
    <w:rsid w:val="00925234"/>
    <w:rsid w:val="00926AAA"/>
    <w:rsid w:val="00926B0A"/>
    <w:rsid w:val="00926C33"/>
    <w:rsid w:val="00926CFA"/>
    <w:rsid w:val="00926F00"/>
    <w:rsid w:val="00926F96"/>
    <w:rsid w:val="00927182"/>
    <w:rsid w:val="009271FA"/>
    <w:rsid w:val="00927873"/>
    <w:rsid w:val="009278DE"/>
    <w:rsid w:val="0092793C"/>
    <w:rsid w:val="00927E92"/>
    <w:rsid w:val="00927ED5"/>
    <w:rsid w:val="00930A02"/>
    <w:rsid w:val="00930CB2"/>
    <w:rsid w:val="00930FE6"/>
    <w:rsid w:val="00931224"/>
    <w:rsid w:val="0093141D"/>
    <w:rsid w:val="0093151C"/>
    <w:rsid w:val="00931C7E"/>
    <w:rsid w:val="00931E28"/>
    <w:rsid w:val="00931EC9"/>
    <w:rsid w:val="00932000"/>
    <w:rsid w:val="009322C2"/>
    <w:rsid w:val="009325DA"/>
    <w:rsid w:val="0093280D"/>
    <w:rsid w:val="00932832"/>
    <w:rsid w:val="0093296A"/>
    <w:rsid w:val="00932B67"/>
    <w:rsid w:val="00932F4C"/>
    <w:rsid w:val="00932F87"/>
    <w:rsid w:val="00933036"/>
    <w:rsid w:val="00933082"/>
    <w:rsid w:val="00933155"/>
    <w:rsid w:val="00933483"/>
    <w:rsid w:val="009334B3"/>
    <w:rsid w:val="0093355A"/>
    <w:rsid w:val="00933570"/>
    <w:rsid w:val="0093365C"/>
    <w:rsid w:val="00933E28"/>
    <w:rsid w:val="00934068"/>
    <w:rsid w:val="0093438B"/>
    <w:rsid w:val="00934540"/>
    <w:rsid w:val="009347AC"/>
    <w:rsid w:val="00934819"/>
    <w:rsid w:val="0093527A"/>
    <w:rsid w:val="0093530C"/>
    <w:rsid w:val="0093541D"/>
    <w:rsid w:val="009357F7"/>
    <w:rsid w:val="009358CD"/>
    <w:rsid w:val="00935947"/>
    <w:rsid w:val="00935BDB"/>
    <w:rsid w:val="00935D67"/>
    <w:rsid w:val="0093600E"/>
    <w:rsid w:val="0093615A"/>
    <w:rsid w:val="00936473"/>
    <w:rsid w:val="009366F6"/>
    <w:rsid w:val="00936804"/>
    <w:rsid w:val="00936978"/>
    <w:rsid w:val="00936B62"/>
    <w:rsid w:val="00936D83"/>
    <w:rsid w:val="00936F6F"/>
    <w:rsid w:val="00937AD1"/>
    <w:rsid w:val="00937C29"/>
    <w:rsid w:val="00937C44"/>
    <w:rsid w:val="00940120"/>
    <w:rsid w:val="00940588"/>
    <w:rsid w:val="009407AE"/>
    <w:rsid w:val="00940C4B"/>
    <w:rsid w:val="00941190"/>
    <w:rsid w:val="009416F1"/>
    <w:rsid w:val="00941717"/>
    <w:rsid w:val="00941788"/>
    <w:rsid w:val="009419F5"/>
    <w:rsid w:val="00941AFE"/>
    <w:rsid w:val="00941FC8"/>
    <w:rsid w:val="00942193"/>
    <w:rsid w:val="009422E9"/>
    <w:rsid w:val="00942406"/>
    <w:rsid w:val="00942676"/>
    <w:rsid w:val="0094271F"/>
    <w:rsid w:val="00942BF5"/>
    <w:rsid w:val="00942F64"/>
    <w:rsid w:val="00942F73"/>
    <w:rsid w:val="00942FA5"/>
    <w:rsid w:val="0094308F"/>
    <w:rsid w:val="009431E3"/>
    <w:rsid w:val="00943332"/>
    <w:rsid w:val="00943352"/>
    <w:rsid w:val="0094379F"/>
    <w:rsid w:val="00943A33"/>
    <w:rsid w:val="00943B82"/>
    <w:rsid w:val="00943BBF"/>
    <w:rsid w:val="00943E73"/>
    <w:rsid w:val="009450F4"/>
    <w:rsid w:val="00945119"/>
    <w:rsid w:val="009452F4"/>
    <w:rsid w:val="0094567F"/>
    <w:rsid w:val="009456D3"/>
    <w:rsid w:val="00945A75"/>
    <w:rsid w:val="00945B19"/>
    <w:rsid w:val="00945BA6"/>
    <w:rsid w:val="00945BED"/>
    <w:rsid w:val="00946530"/>
    <w:rsid w:val="0094675A"/>
    <w:rsid w:val="00946948"/>
    <w:rsid w:val="0094698D"/>
    <w:rsid w:val="00947171"/>
    <w:rsid w:val="009475DC"/>
    <w:rsid w:val="009476E5"/>
    <w:rsid w:val="00947784"/>
    <w:rsid w:val="009479DB"/>
    <w:rsid w:val="00947EC2"/>
    <w:rsid w:val="00950457"/>
    <w:rsid w:val="00950833"/>
    <w:rsid w:val="00950E64"/>
    <w:rsid w:val="00950ED9"/>
    <w:rsid w:val="00950EF0"/>
    <w:rsid w:val="009511CF"/>
    <w:rsid w:val="0095133C"/>
    <w:rsid w:val="0095159F"/>
    <w:rsid w:val="00951BC6"/>
    <w:rsid w:val="00951C01"/>
    <w:rsid w:val="00951C57"/>
    <w:rsid w:val="009520D0"/>
    <w:rsid w:val="0095251C"/>
    <w:rsid w:val="00952959"/>
    <w:rsid w:val="00952B56"/>
    <w:rsid w:val="00952C95"/>
    <w:rsid w:val="00952F8F"/>
    <w:rsid w:val="0095351B"/>
    <w:rsid w:val="00953869"/>
    <w:rsid w:val="009539D8"/>
    <w:rsid w:val="009539F9"/>
    <w:rsid w:val="00953A23"/>
    <w:rsid w:val="00953F20"/>
    <w:rsid w:val="009546CC"/>
    <w:rsid w:val="0095488B"/>
    <w:rsid w:val="00954C5D"/>
    <w:rsid w:val="00954CFD"/>
    <w:rsid w:val="00954E31"/>
    <w:rsid w:val="00954F4B"/>
    <w:rsid w:val="00955421"/>
    <w:rsid w:val="00955F09"/>
    <w:rsid w:val="009560E3"/>
    <w:rsid w:val="0095627C"/>
    <w:rsid w:val="0095636D"/>
    <w:rsid w:val="009568EC"/>
    <w:rsid w:val="009575A6"/>
    <w:rsid w:val="00957745"/>
    <w:rsid w:val="0096135F"/>
    <w:rsid w:val="0096161D"/>
    <w:rsid w:val="009616B1"/>
    <w:rsid w:val="00961D86"/>
    <w:rsid w:val="009626CC"/>
    <w:rsid w:val="00963668"/>
    <w:rsid w:val="009639BE"/>
    <w:rsid w:val="00964490"/>
    <w:rsid w:val="009649B9"/>
    <w:rsid w:val="009652AE"/>
    <w:rsid w:val="00965820"/>
    <w:rsid w:val="00965A2C"/>
    <w:rsid w:val="00965AB5"/>
    <w:rsid w:val="00965EC8"/>
    <w:rsid w:val="009661A8"/>
    <w:rsid w:val="00966382"/>
    <w:rsid w:val="00966524"/>
    <w:rsid w:val="00966878"/>
    <w:rsid w:val="009670F0"/>
    <w:rsid w:val="0096717F"/>
    <w:rsid w:val="0096755F"/>
    <w:rsid w:val="009678BD"/>
    <w:rsid w:val="00967C79"/>
    <w:rsid w:val="00967DBD"/>
    <w:rsid w:val="00970002"/>
    <w:rsid w:val="00970023"/>
    <w:rsid w:val="009701EE"/>
    <w:rsid w:val="009703A6"/>
    <w:rsid w:val="0097077C"/>
    <w:rsid w:val="00971506"/>
    <w:rsid w:val="00971952"/>
    <w:rsid w:val="00971C42"/>
    <w:rsid w:val="00972CE4"/>
    <w:rsid w:val="00972FB8"/>
    <w:rsid w:val="0097302F"/>
    <w:rsid w:val="009731BF"/>
    <w:rsid w:val="0097347D"/>
    <w:rsid w:val="00973A6A"/>
    <w:rsid w:val="00973BC9"/>
    <w:rsid w:val="00973C2E"/>
    <w:rsid w:val="00973DE3"/>
    <w:rsid w:val="00974233"/>
    <w:rsid w:val="00974791"/>
    <w:rsid w:val="009748B5"/>
    <w:rsid w:val="00974ABA"/>
    <w:rsid w:val="00974BA7"/>
    <w:rsid w:val="00974F67"/>
    <w:rsid w:val="0097530A"/>
    <w:rsid w:val="00975D71"/>
    <w:rsid w:val="00975DB5"/>
    <w:rsid w:val="00975DC2"/>
    <w:rsid w:val="009766A3"/>
    <w:rsid w:val="00976D30"/>
    <w:rsid w:val="00976FF9"/>
    <w:rsid w:val="00977498"/>
    <w:rsid w:val="00977573"/>
    <w:rsid w:val="00977594"/>
    <w:rsid w:val="00977962"/>
    <w:rsid w:val="00977F14"/>
    <w:rsid w:val="0098049D"/>
    <w:rsid w:val="009806B9"/>
    <w:rsid w:val="009808D8"/>
    <w:rsid w:val="00980BAE"/>
    <w:rsid w:val="00980F22"/>
    <w:rsid w:val="009811E5"/>
    <w:rsid w:val="009811E6"/>
    <w:rsid w:val="009811E8"/>
    <w:rsid w:val="009812C1"/>
    <w:rsid w:val="0098164B"/>
    <w:rsid w:val="00981750"/>
    <w:rsid w:val="00981AED"/>
    <w:rsid w:val="00981B4A"/>
    <w:rsid w:val="00981C74"/>
    <w:rsid w:val="00981F04"/>
    <w:rsid w:val="00981F4A"/>
    <w:rsid w:val="00982055"/>
    <w:rsid w:val="00982061"/>
    <w:rsid w:val="009820FA"/>
    <w:rsid w:val="0098242D"/>
    <w:rsid w:val="00982540"/>
    <w:rsid w:val="00982DD0"/>
    <w:rsid w:val="00982FA6"/>
    <w:rsid w:val="009836DB"/>
    <w:rsid w:val="00983CB7"/>
    <w:rsid w:val="00983CE1"/>
    <w:rsid w:val="00983DC6"/>
    <w:rsid w:val="00983F6B"/>
    <w:rsid w:val="00983FCF"/>
    <w:rsid w:val="0098420A"/>
    <w:rsid w:val="00984C6B"/>
    <w:rsid w:val="00984DBA"/>
    <w:rsid w:val="00985410"/>
    <w:rsid w:val="0098559B"/>
    <w:rsid w:val="00985655"/>
    <w:rsid w:val="0098571A"/>
    <w:rsid w:val="00985AF0"/>
    <w:rsid w:val="00985DA6"/>
    <w:rsid w:val="00985DA7"/>
    <w:rsid w:val="009860E3"/>
    <w:rsid w:val="009862A1"/>
    <w:rsid w:val="00986530"/>
    <w:rsid w:val="00986547"/>
    <w:rsid w:val="00986773"/>
    <w:rsid w:val="0098684F"/>
    <w:rsid w:val="00986E05"/>
    <w:rsid w:val="00986F9B"/>
    <w:rsid w:val="00987211"/>
    <w:rsid w:val="009873D1"/>
    <w:rsid w:val="009879C4"/>
    <w:rsid w:val="00987CC1"/>
    <w:rsid w:val="00987D75"/>
    <w:rsid w:val="0099004C"/>
    <w:rsid w:val="00990176"/>
    <w:rsid w:val="00990278"/>
    <w:rsid w:val="00990868"/>
    <w:rsid w:val="00990F09"/>
    <w:rsid w:val="00991359"/>
    <w:rsid w:val="009916EF"/>
    <w:rsid w:val="0099176A"/>
    <w:rsid w:val="00991960"/>
    <w:rsid w:val="00991C54"/>
    <w:rsid w:val="00991DC7"/>
    <w:rsid w:val="009922B6"/>
    <w:rsid w:val="0099242F"/>
    <w:rsid w:val="0099265F"/>
    <w:rsid w:val="00992A16"/>
    <w:rsid w:val="00992AC4"/>
    <w:rsid w:val="00992AF3"/>
    <w:rsid w:val="00993093"/>
    <w:rsid w:val="009936E4"/>
    <w:rsid w:val="009937F9"/>
    <w:rsid w:val="00993853"/>
    <w:rsid w:val="00993862"/>
    <w:rsid w:val="00993902"/>
    <w:rsid w:val="00993C0E"/>
    <w:rsid w:val="00993EBD"/>
    <w:rsid w:val="00994010"/>
    <w:rsid w:val="0099422D"/>
    <w:rsid w:val="00994641"/>
    <w:rsid w:val="0099471E"/>
    <w:rsid w:val="00994721"/>
    <w:rsid w:val="009947A8"/>
    <w:rsid w:val="00994832"/>
    <w:rsid w:val="009948EA"/>
    <w:rsid w:val="00994F99"/>
    <w:rsid w:val="0099541C"/>
    <w:rsid w:val="0099555E"/>
    <w:rsid w:val="00995D67"/>
    <w:rsid w:val="00996047"/>
    <w:rsid w:val="00996052"/>
    <w:rsid w:val="0099620E"/>
    <w:rsid w:val="0099623A"/>
    <w:rsid w:val="009963A4"/>
    <w:rsid w:val="00996664"/>
    <w:rsid w:val="0099677E"/>
    <w:rsid w:val="00996B9A"/>
    <w:rsid w:val="00996D95"/>
    <w:rsid w:val="009972DB"/>
    <w:rsid w:val="00997415"/>
    <w:rsid w:val="00997624"/>
    <w:rsid w:val="009977EF"/>
    <w:rsid w:val="00997E96"/>
    <w:rsid w:val="00997FC6"/>
    <w:rsid w:val="009A0087"/>
    <w:rsid w:val="009A01EB"/>
    <w:rsid w:val="009A0219"/>
    <w:rsid w:val="009A0693"/>
    <w:rsid w:val="009A0788"/>
    <w:rsid w:val="009A09D0"/>
    <w:rsid w:val="009A09E0"/>
    <w:rsid w:val="009A0B24"/>
    <w:rsid w:val="009A0E1F"/>
    <w:rsid w:val="009A0EAB"/>
    <w:rsid w:val="009A16F4"/>
    <w:rsid w:val="009A1851"/>
    <w:rsid w:val="009A1C73"/>
    <w:rsid w:val="009A1D68"/>
    <w:rsid w:val="009A1FEC"/>
    <w:rsid w:val="009A26B2"/>
    <w:rsid w:val="009A2C59"/>
    <w:rsid w:val="009A3217"/>
    <w:rsid w:val="009A32E6"/>
    <w:rsid w:val="009A3549"/>
    <w:rsid w:val="009A41C0"/>
    <w:rsid w:val="009A4325"/>
    <w:rsid w:val="009A45EA"/>
    <w:rsid w:val="009A46A1"/>
    <w:rsid w:val="009A4B1F"/>
    <w:rsid w:val="009A526D"/>
    <w:rsid w:val="009A5279"/>
    <w:rsid w:val="009A52BE"/>
    <w:rsid w:val="009A52D0"/>
    <w:rsid w:val="009A5401"/>
    <w:rsid w:val="009A5846"/>
    <w:rsid w:val="009A5D01"/>
    <w:rsid w:val="009A5F98"/>
    <w:rsid w:val="009A61DA"/>
    <w:rsid w:val="009A6629"/>
    <w:rsid w:val="009A6736"/>
    <w:rsid w:val="009A6C91"/>
    <w:rsid w:val="009A6EC6"/>
    <w:rsid w:val="009A7224"/>
    <w:rsid w:val="009A7599"/>
    <w:rsid w:val="009A78A8"/>
    <w:rsid w:val="009A78F1"/>
    <w:rsid w:val="009A7B05"/>
    <w:rsid w:val="009A7F46"/>
    <w:rsid w:val="009B002F"/>
    <w:rsid w:val="009B01F0"/>
    <w:rsid w:val="009B03EF"/>
    <w:rsid w:val="009B0479"/>
    <w:rsid w:val="009B0A04"/>
    <w:rsid w:val="009B1017"/>
    <w:rsid w:val="009B1682"/>
    <w:rsid w:val="009B1AD9"/>
    <w:rsid w:val="009B1D1E"/>
    <w:rsid w:val="009B1D2B"/>
    <w:rsid w:val="009B211E"/>
    <w:rsid w:val="009B230C"/>
    <w:rsid w:val="009B23BA"/>
    <w:rsid w:val="009B252F"/>
    <w:rsid w:val="009B2801"/>
    <w:rsid w:val="009B3136"/>
    <w:rsid w:val="009B35D5"/>
    <w:rsid w:val="009B3A14"/>
    <w:rsid w:val="009B3C4B"/>
    <w:rsid w:val="009B3D37"/>
    <w:rsid w:val="009B402C"/>
    <w:rsid w:val="009B437E"/>
    <w:rsid w:val="009B49C9"/>
    <w:rsid w:val="009B4BE4"/>
    <w:rsid w:val="009B5057"/>
    <w:rsid w:val="009B506F"/>
    <w:rsid w:val="009B52E5"/>
    <w:rsid w:val="009B55AC"/>
    <w:rsid w:val="009B5A17"/>
    <w:rsid w:val="009B5AF0"/>
    <w:rsid w:val="009B61AA"/>
    <w:rsid w:val="009B6316"/>
    <w:rsid w:val="009B63CF"/>
    <w:rsid w:val="009B6569"/>
    <w:rsid w:val="009B6809"/>
    <w:rsid w:val="009B70E1"/>
    <w:rsid w:val="009B7232"/>
    <w:rsid w:val="009B7304"/>
    <w:rsid w:val="009B77B8"/>
    <w:rsid w:val="009B7AC7"/>
    <w:rsid w:val="009B7DEC"/>
    <w:rsid w:val="009C002E"/>
    <w:rsid w:val="009C0103"/>
    <w:rsid w:val="009C0500"/>
    <w:rsid w:val="009C069C"/>
    <w:rsid w:val="009C0846"/>
    <w:rsid w:val="009C0D2A"/>
    <w:rsid w:val="009C1317"/>
    <w:rsid w:val="009C13FA"/>
    <w:rsid w:val="009C1504"/>
    <w:rsid w:val="009C1812"/>
    <w:rsid w:val="009C1903"/>
    <w:rsid w:val="009C1943"/>
    <w:rsid w:val="009C1A37"/>
    <w:rsid w:val="009C1E95"/>
    <w:rsid w:val="009C1F77"/>
    <w:rsid w:val="009C2119"/>
    <w:rsid w:val="009C27AA"/>
    <w:rsid w:val="009C285C"/>
    <w:rsid w:val="009C2FF0"/>
    <w:rsid w:val="009C31B8"/>
    <w:rsid w:val="009C3282"/>
    <w:rsid w:val="009C33D4"/>
    <w:rsid w:val="009C3521"/>
    <w:rsid w:val="009C3993"/>
    <w:rsid w:val="009C3A02"/>
    <w:rsid w:val="009C3AFB"/>
    <w:rsid w:val="009C3DAB"/>
    <w:rsid w:val="009C41C2"/>
    <w:rsid w:val="009C449E"/>
    <w:rsid w:val="009C4AFD"/>
    <w:rsid w:val="009C4C14"/>
    <w:rsid w:val="009C4FB9"/>
    <w:rsid w:val="009C5300"/>
    <w:rsid w:val="009C5B13"/>
    <w:rsid w:val="009C5C6F"/>
    <w:rsid w:val="009C5D4A"/>
    <w:rsid w:val="009C5E5B"/>
    <w:rsid w:val="009C654C"/>
    <w:rsid w:val="009C6590"/>
    <w:rsid w:val="009C65D3"/>
    <w:rsid w:val="009C69B1"/>
    <w:rsid w:val="009C6FF8"/>
    <w:rsid w:val="009C7679"/>
    <w:rsid w:val="009C77F2"/>
    <w:rsid w:val="009D0083"/>
    <w:rsid w:val="009D03DF"/>
    <w:rsid w:val="009D05A7"/>
    <w:rsid w:val="009D0666"/>
    <w:rsid w:val="009D07D8"/>
    <w:rsid w:val="009D0967"/>
    <w:rsid w:val="009D0C61"/>
    <w:rsid w:val="009D0DCA"/>
    <w:rsid w:val="009D0DED"/>
    <w:rsid w:val="009D110B"/>
    <w:rsid w:val="009D12B8"/>
    <w:rsid w:val="009D1320"/>
    <w:rsid w:val="009D1C6C"/>
    <w:rsid w:val="009D1D6E"/>
    <w:rsid w:val="009D229A"/>
    <w:rsid w:val="009D22FE"/>
    <w:rsid w:val="009D25D0"/>
    <w:rsid w:val="009D2E0E"/>
    <w:rsid w:val="009D2EFA"/>
    <w:rsid w:val="009D35B5"/>
    <w:rsid w:val="009D3B06"/>
    <w:rsid w:val="009D3FB3"/>
    <w:rsid w:val="009D3FBD"/>
    <w:rsid w:val="009D42B4"/>
    <w:rsid w:val="009D44DF"/>
    <w:rsid w:val="009D4BE4"/>
    <w:rsid w:val="009D50AA"/>
    <w:rsid w:val="009D51B1"/>
    <w:rsid w:val="009D51FA"/>
    <w:rsid w:val="009D5414"/>
    <w:rsid w:val="009D5658"/>
    <w:rsid w:val="009D56BF"/>
    <w:rsid w:val="009D5AFF"/>
    <w:rsid w:val="009D5B0C"/>
    <w:rsid w:val="009D5DF8"/>
    <w:rsid w:val="009D6075"/>
    <w:rsid w:val="009D623B"/>
    <w:rsid w:val="009D7254"/>
    <w:rsid w:val="009D7734"/>
    <w:rsid w:val="009E0055"/>
    <w:rsid w:val="009E0241"/>
    <w:rsid w:val="009E06B9"/>
    <w:rsid w:val="009E08F0"/>
    <w:rsid w:val="009E09BE"/>
    <w:rsid w:val="009E0EB7"/>
    <w:rsid w:val="009E12FA"/>
    <w:rsid w:val="009E1329"/>
    <w:rsid w:val="009E1588"/>
    <w:rsid w:val="009E16B1"/>
    <w:rsid w:val="009E1925"/>
    <w:rsid w:val="009E1D1B"/>
    <w:rsid w:val="009E2129"/>
    <w:rsid w:val="009E2252"/>
    <w:rsid w:val="009E2263"/>
    <w:rsid w:val="009E22DE"/>
    <w:rsid w:val="009E268F"/>
    <w:rsid w:val="009E2837"/>
    <w:rsid w:val="009E2994"/>
    <w:rsid w:val="009E2D0F"/>
    <w:rsid w:val="009E2DDD"/>
    <w:rsid w:val="009E2EEB"/>
    <w:rsid w:val="009E31E5"/>
    <w:rsid w:val="009E3555"/>
    <w:rsid w:val="009E3763"/>
    <w:rsid w:val="009E395A"/>
    <w:rsid w:val="009E3DEC"/>
    <w:rsid w:val="009E3E4C"/>
    <w:rsid w:val="009E4258"/>
    <w:rsid w:val="009E4311"/>
    <w:rsid w:val="009E4865"/>
    <w:rsid w:val="009E4C2F"/>
    <w:rsid w:val="009E4D4C"/>
    <w:rsid w:val="009E4E01"/>
    <w:rsid w:val="009E50E7"/>
    <w:rsid w:val="009E5402"/>
    <w:rsid w:val="009E57CC"/>
    <w:rsid w:val="009E58D5"/>
    <w:rsid w:val="009E5A66"/>
    <w:rsid w:val="009E5AB1"/>
    <w:rsid w:val="009E62BB"/>
    <w:rsid w:val="009E65AE"/>
    <w:rsid w:val="009E6691"/>
    <w:rsid w:val="009E6714"/>
    <w:rsid w:val="009E708A"/>
    <w:rsid w:val="009E73CB"/>
    <w:rsid w:val="009E748C"/>
    <w:rsid w:val="009E7C8F"/>
    <w:rsid w:val="009E7DA0"/>
    <w:rsid w:val="009E7EBB"/>
    <w:rsid w:val="009F0211"/>
    <w:rsid w:val="009F08D8"/>
    <w:rsid w:val="009F0A19"/>
    <w:rsid w:val="009F0D5F"/>
    <w:rsid w:val="009F128D"/>
    <w:rsid w:val="009F13AC"/>
    <w:rsid w:val="009F1D3D"/>
    <w:rsid w:val="009F1F14"/>
    <w:rsid w:val="009F217B"/>
    <w:rsid w:val="009F23F3"/>
    <w:rsid w:val="009F2A24"/>
    <w:rsid w:val="009F2F69"/>
    <w:rsid w:val="009F32DC"/>
    <w:rsid w:val="009F3D20"/>
    <w:rsid w:val="009F3EDF"/>
    <w:rsid w:val="009F4245"/>
    <w:rsid w:val="009F43C2"/>
    <w:rsid w:val="009F47AE"/>
    <w:rsid w:val="009F4B1E"/>
    <w:rsid w:val="009F4DA8"/>
    <w:rsid w:val="009F4DF5"/>
    <w:rsid w:val="009F5085"/>
    <w:rsid w:val="009F51F0"/>
    <w:rsid w:val="009F5406"/>
    <w:rsid w:val="009F550E"/>
    <w:rsid w:val="009F56E0"/>
    <w:rsid w:val="009F57C1"/>
    <w:rsid w:val="009F5F63"/>
    <w:rsid w:val="009F6790"/>
    <w:rsid w:val="009F73D5"/>
    <w:rsid w:val="009F7474"/>
    <w:rsid w:val="009F7809"/>
    <w:rsid w:val="009F7D56"/>
    <w:rsid w:val="00A003E0"/>
    <w:rsid w:val="00A00453"/>
    <w:rsid w:val="00A009DF"/>
    <w:rsid w:val="00A00FCE"/>
    <w:rsid w:val="00A010E4"/>
    <w:rsid w:val="00A0138C"/>
    <w:rsid w:val="00A014B1"/>
    <w:rsid w:val="00A015C0"/>
    <w:rsid w:val="00A015D3"/>
    <w:rsid w:val="00A01807"/>
    <w:rsid w:val="00A019AB"/>
    <w:rsid w:val="00A01ED6"/>
    <w:rsid w:val="00A0211B"/>
    <w:rsid w:val="00A0239F"/>
    <w:rsid w:val="00A023E0"/>
    <w:rsid w:val="00A0261D"/>
    <w:rsid w:val="00A02BA0"/>
    <w:rsid w:val="00A03249"/>
    <w:rsid w:val="00A032EE"/>
    <w:rsid w:val="00A03461"/>
    <w:rsid w:val="00A034A1"/>
    <w:rsid w:val="00A037BC"/>
    <w:rsid w:val="00A037EC"/>
    <w:rsid w:val="00A03B6F"/>
    <w:rsid w:val="00A0411E"/>
    <w:rsid w:val="00A04180"/>
    <w:rsid w:val="00A051A4"/>
    <w:rsid w:val="00A0593C"/>
    <w:rsid w:val="00A05958"/>
    <w:rsid w:val="00A05AA9"/>
    <w:rsid w:val="00A06333"/>
    <w:rsid w:val="00A064E2"/>
    <w:rsid w:val="00A066F1"/>
    <w:rsid w:val="00A06CD2"/>
    <w:rsid w:val="00A071D7"/>
    <w:rsid w:val="00A076AD"/>
    <w:rsid w:val="00A076C2"/>
    <w:rsid w:val="00A07F82"/>
    <w:rsid w:val="00A10468"/>
    <w:rsid w:val="00A10471"/>
    <w:rsid w:val="00A104AF"/>
    <w:rsid w:val="00A10753"/>
    <w:rsid w:val="00A10A3A"/>
    <w:rsid w:val="00A110D0"/>
    <w:rsid w:val="00A1165B"/>
    <w:rsid w:val="00A118F3"/>
    <w:rsid w:val="00A11AD3"/>
    <w:rsid w:val="00A11B63"/>
    <w:rsid w:val="00A11FF8"/>
    <w:rsid w:val="00A121BD"/>
    <w:rsid w:val="00A124D2"/>
    <w:rsid w:val="00A1259C"/>
    <w:rsid w:val="00A13067"/>
    <w:rsid w:val="00A1356B"/>
    <w:rsid w:val="00A13710"/>
    <w:rsid w:val="00A13712"/>
    <w:rsid w:val="00A13739"/>
    <w:rsid w:val="00A13DC1"/>
    <w:rsid w:val="00A13FFB"/>
    <w:rsid w:val="00A14117"/>
    <w:rsid w:val="00A1424C"/>
    <w:rsid w:val="00A14459"/>
    <w:rsid w:val="00A147E2"/>
    <w:rsid w:val="00A14998"/>
    <w:rsid w:val="00A14BDB"/>
    <w:rsid w:val="00A14E32"/>
    <w:rsid w:val="00A155FB"/>
    <w:rsid w:val="00A158C1"/>
    <w:rsid w:val="00A15A00"/>
    <w:rsid w:val="00A15DA8"/>
    <w:rsid w:val="00A15F14"/>
    <w:rsid w:val="00A16558"/>
    <w:rsid w:val="00A16746"/>
    <w:rsid w:val="00A1680F"/>
    <w:rsid w:val="00A16933"/>
    <w:rsid w:val="00A16CA2"/>
    <w:rsid w:val="00A17219"/>
    <w:rsid w:val="00A17296"/>
    <w:rsid w:val="00A176BA"/>
    <w:rsid w:val="00A178C7"/>
    <w:rsid w:val="00A17F77"/>
    <w:rsid w:val="00A20172"/>
    <w:rsid w:val="00A201D3"/>
    <w:rsid w:val="00A20291"/>
    <w:rsid w:val="00A20568"/>
    <w:rsid w:val="00A20B73"/>
    <w:rsid w:val="00A20F06"/>
    <w:rsid w:val="00A21339"/>
    <w:rsid w:val="00A21C3F"/>
    <w:rsid w:val="00A21C65"/>
    <w:rsid w:val="00A21CA5"/>
    <w:rsid w:val="00A223CA"/>
    <w:rsid w:val="00A223D1"/>
    <w:rsid w:val="00A22B59"/>
    <w:rsid w:val="00A22B61"/>
    <w:rsid w:val="00A22F92"/>
    <w:rsid w:val="00A2334C"/>
    <w:rsid w:val="00A237BB"/>
    <w:rsid w:val="00A23814"/>
    <w:rsid w:val="00A238F6"/>
    <w:rsid w:val="00A23C07"/>
    <w:rsid w:val="00A24298"/>
    <w:rsid w:val="00A242CA"/>
    <w:rsid w:val="00A2432C"/>
    <w:rsid w:val="00A2459A"/>
    <w:rsid w:val="00A24788"/>
    <w:rsid w:val="00A247FF"/>
    <w:rsid w:val="00A24AD7"/>
    <w:rsid w:val="00A24B44"/>
    <w:rsid w:val="00A25216"/>
    <w:rsid w:val="00A252D0"/>
    <w:rsid w:val="00A25456"/>
    <w:rsid w:val="00A256E2"/>
    <w:rsid w:val="00A2576A"/>
    <w:rsid w:val="00A2595C"/>
    <w:rsid w:val="00A25A47"/>
    <w:rsid w:val="00A25A6F"/>
    <w:rsid w:val="00A25D20"/>
    <w:rsid w:val="00A25F1B"/>
    <w:rsid w:val="00A2659B"/>
    <w:rsid w:val="00A2666E"/>
    <w:rsid w:val="00A268DA"/>
    <w:rsid w:val="00A26F52"/>
    <w:rsid w:val="00A2704A"/>
    <w:rsid w:val="00A27CB2"/>
    <w:rsid w:val="00A27FF2"/>
    <w:rsid w:val="00A3029D"/>
    <w:rsid w:val="00A3036C"/>
    <w:rsid w:val="00A3042E"/>
    <w:rsid w:val="00A304BE"/>
    <w:rsid w:val="00A30536"/>
    <w:rsid w:val="00A30D02"/>
    <w:rsid w:val="00A30D59"/>
    <w:rsid w:val="00A31424"/>
    <w:rsid w:val="00A3146B"/>
    <w:rsid w:val="00A317AA"/>
    <w:rsid w:val="00A31B12"/>
    <w:rsid w:val="00A31CD7"/>
    <w:rsid w:val="00A31F7A"/>
    <w:rsid w:val="00A3208D"/>
    <w:rsid w:val="00A32225"/>
    <w:rsid w:val="00A32231"/>
    <w:rsid w:val="00A3226E"/>
    <w:rsid w:val="00A323A9"/>
    <w:rsid w:val="00A32677"/>
    <w:rsid w:val="00A326DC"/>
    <w:rsid w:val="00A3282D"/>
    <w:rsid w:val="00A32AE6"/>
    <w:rsid w:val="00A32BD5"/>
    <w:rsid w:val="00A330D0"/>
    <w:rsid w:val="00A333E9"/>
    <w:rsid w:val="00A33437"/>
    <w:rsid w:val="00A3367B"/>
    <w:rsid w:val="00A33882"/>
    <w:rsid w:val="00A3394B"/>
    <w:rsid w:val="00A33BE2"/>
    <w:rsid w:val="00A33D88"/>
    <w:rsid w:val="00A33F04"/>
    <w:rsid w:val="00A343C1"/>
    <w:rsid w:val="00A345E1"/>
    <w:rsid w:val="00A346B8"/>
    <w:rsid w:val="00A350B2"/>
    <w:rsid w:val="00A35233"/>
    <w:rsid w:val="00A358C5"/>
    <w:rsid w:val="00A35CD4"/>
    <w:rsid w:val="00A35E86"/>
    <w:rsid w:val="00A364CC"/>
    <w:rsid w:val="00A366B4"/>
    <w:rsid w:val="00A36940"/>
    <w:rsid w:val="00A36B9D"/>
    <w:rsid w:val="00A36BE7"/>
    <w:rsid w:val="00A36C8D"/>
    <w:rsid w:val="00A37288"/>
    <w:rsid w:val="00A3736D"/>
    <w:rsid w:val="00A375CD"/>
    <w:rsid w:val="00A37669"/>
    <w:rsid w:val="00A378F6"/>
    <w:rsid w:val="00A37BB2"/>
    <w:rsid w:val="00A37E0B"/>
    <w:rsid w:val="00A37E45"/>
    <w:rsid w:val="00A37EA1"/>
    <w:rsid w:val="00A407CA"/>
    <w:rsid w:val="00A40A8A"/>
    <w:rsid w:val="00A40D71"/>
    <w:rsid w:val="00A40DCA"/>
    <w:rsid w:val="00A41551"/>
    <w:rsid w:val="00A4183B"/>
    <w:rsid w:val="00A419D1"/>
    <w:rsid w:val="00A41C49"/>
    <w:rsid w:val="00A4200D"/>
    <w:rsid w:val="00A42262"/>
    <w:rsid w:val="00A42398"/>
    <w:rsid w:val="00A42855"/>
    <w:rsid w:val="00A4295A"/>
    <w:rsid w:val="00A42A64"/>
    <w:rsid w:val="00A42BE1"/>
    <w:rsid w:val="00A43184"/>
    <w:rsid w:val="00A433FC"/>
    <w:rsid w:val="00A43915"/>
    <w:rsid w:val="00A439EF"/>
    <w:rsid w:val="00A43D87"/>
    <w:rsid w:val="00A44098"/>
    <w:rsid w:val="00A4467B"/>
    <w:rsid w:val="00A44CB1"/>
    <w:rsid w:val="00A44CB5"/>
    <w:rsid w:val="00A44EA3"/>
    <w:rsid w:val="00A44FE1"/>
    <w:rsid w:val="00A458A8"/>
    <w:rsid w:val="00A458E5"/>
    <w:rsid w:val="00A45913"/>
    <w:rsid w:val="00A45C4A"/>
    <w:rsid w:val="00A4600E"/>
    <w:rsid w:val="00A460C6"/>
    <w:rsid w:val="00A4663A"/>
    <w:rsid w:val="00A467DE"/>
    <w:rsid w:val="00A46BD7"/>
    <w:rsid w:val="00A47162"/>
    <w:rsid w:val="00A4724C"/>
    <w:rsid w:val="00A475A0"/>
    <w:rsid w:val="00A47602"/>
    <w:rsid w:val="00A47677"/>
    <w:rsid w:val="00A4785C"/>
    <w:rsid w:val="00A47A78"/>
    <w:rsid w:val="00A47C23"/>
    <w:rsid w:val="00A5053A"/>
    <w:rsid w:val="00A50AE9"/>
    <w:rsid w:val="00A50B75"/>
    <w:rsid w:val="00A50ED0"/>
    <w:rsid w:val="00A51277"/>
    <w:rsid w:val="00A512E0"/>
    <w:rsid w:val="00A513BE"/>
    <w:rsid w:val="00A51451"/>
    <w:rsid w:val="00A51534"/>
    <w:rsid w:val="00A51979"/>
    <w:rsid w:val="00A51C6C"/>
    <w:rsid w:val="00A51D64"/>
    <w:rsid w:val="00A5212A"/>
    <w:rsid w:val="00A5224E"/>
    <w:rsid w:val="00A52563"/>
    <w:rsid w:val="00A52722"/>
    <w:rsid w:val="00A527E6"/>
    <w:rsid w:val="00A528DE"/>
    <w:rsid w:val="00A52D2B"/>
    <w:rsid w:val="00A52DA1"/>
    <w:rsid w:val="00A53053"/>
    <w:rsid w:val="00A53863"/>
    <w:rsid w:val="00A53AF9"/>
    <w:rsid w:val="00A54172"/>
    <w:rsid w:val="00A54837"/>
    <w:rsid w:val="00A54B54"/>
    <w:rsid w:val="00A54F63"/>
    <w:rsid w:val="00A54F66"/>
    <w:rsid w:val="00A5543A"/>
    <w:rsid w:val="00A5544B"/>
    <w:rsid w:val="00A55565"/>
    <w:rsid w:val="00A555B0"/>
    <w:rsid w:val="00A5568A"/>
    <w:rsid w:val="00A560DB"/>
    <w:rsid w:val="00A562B7"/>
    <w:rsid w:val="00A5633E"/>
    <w:rsid w:val="00A56588"/>
    <w:rsid w:val="00A565FA"/>
    <w:rsid w:val="00A565FE"/>
    <w:rsid w:val="00A569A6"/>
    <w:rsid w:val="00A56CAB"/>
    <w:rsid w:val="00A56DA9"/>
    <w:rsid w:val="00A570D9"/>
    <w:rsid w:val="00A57211"/>
    <w:rsid w:val="00A57315"/>
    <w:rsid w:val="00A573F1"/>
    <w:rsid w:val="00A578DE"/>
    <w:rsid w:val="00A57922"/>
    <w:rsid w:val="00A57B38"/>
    <w:rsid w:val="00A57B46"/>
    <w:rsid w:val="00A57D75"/>
    <w:rsid w:val="00A60043"/>
    <w:rsid w:val="00A60199"/>
    <w:rsid w:val="00A602BB"/>
    <w:rsid w:val="00A60442"/>
    <w:rsid w:val="00A604F6"/>
    <w:rsid w:val="00A60745"/>
    <w:rsid w:val="00A60781"/>
    <w:rsid w:val="00A61201"/>
    <w:rsid w:val="00A614E8"/>
    <w:rsid w:val="00A615DD"/>
    <w:rsid w:val="00A6180A"/>
    <w:rsid w:val="00A6195C"/>
    <w:rsid w:val="00A61992"/>
    <w:rsid w:val="00A61DB1"/>
    <w:rsid w:val="00A6220F"/>
    <w:rsid w:val="00A62642"/>
    <w:rsid w:val="00A626C6"/>
    <w:rsid w:val="00A628CF"/>
    <w:rsid w:val="00A62971"/>
    <w:rsid w:val="00A62D95"/>
    <w:rsid w:val="00A62FD6"/>
    <w:rsid w:val="00A630FA"/>
    <w:rsid w:val="00A63AEE"/>
    <w:rsid w:val="00A63F1D"/>
    <w:rsid w:val="00A640C9"/>
    <w:rsid w:val="00A64103"/>
    <w:rsid w:val="00A64337"/>
    <w:rsid w:val="00A64498"/>
    <w:rsid w:val="00A644EA"/>
    <w:rsid w:val="00A647C2"/>
    <w:rsid w:val="00A647C4"/>
    <w:rsid w:val="00A64923"/>
    <w:rsid w:val="00A64F5F"/>
    <w:rsid w:val="00A650A0"/>
    <w:rsid w:val="00A656DD"/>
    <w:rsid w:val="00A65D2C"/>
    <w:rsid w:val="00A65E84"/>
    <w:rsid w:val="00A65F2C"/>
    <w:rsid w:val="00A66994"/>
    <w:rsid w:val="00A669E8"/>
    <w:rsid w:val="00A66B02"/>
    <w:rsid w:val="00A67682"/>
    <w:rsid w:val="00A70510"/>
    <w:rsid w:val="00A709E6"/>
    <w:rsid w:val="00A70A36"/>
    <w:rsid w:val="00A70B12"/>
    <w:rsid w:val="00A70EBB"/>
    <w:rsid w:val="00A71527"/>
    <w:rsid w:val="00A71B82"/>
    <w:rsid w:val="00A71C5D"/>
    <w:rsid w:val="00A724B4"/>
    <w:rsid w:val="00A72559"/>
    <w:rsid w:val="00A72D37"/>
    <w:rsid w:val="00A72E06"/>
    <w:rsid w:val="00A736AC"/>
    <w:rsid w:val="00A73B18"/>
    <w:rsid w:val="00A73CE1"/>
    <w:rsid w:val="00A74004"/>
    <w:rsid w:val="00A74952"/>
    <w:rsid w:val="00A74E86"/>
    <w:rsid w:val="00A751D0"/>
    <w:rsid w:val="00A756B1"/>
    <w:rsid w:val="00A75C52"/>
    <w:rsid w:val="00A75E4B"/>
    <w:rsid w:val="00A7604C"/>
    <w:rsid w:val="00A76215"/>
    <w:rsid w:val="00A766F2"/>
    <w:rsid w:val="00A76DF9"/>
    <w:rsid w:val="00A77633"/>
    <w:rsid w:val="00A77D63"/>
    <w:rsid w:val="00A77F40"/>
    <w:rsid w:val="00A80018"/>
    <w:rsid w:val="00A80868"/>
    <w:rsid w:val="00A808CF"/>
    <w:rsid w:val="00A80DD7"/>
    <w:rsid w:val="00A80FB0"/>
    <w:rsid w:val="00A81B66"/>
    <w:rsid w:val="00A81C73"/>
    <w:rsid w:val="00A81DF2"/>
    <w:rsid w:val="00A82155"/>
    <w:rsid w:val="00A82177"/>
    <w:rsid w:val="00A8229F"/>
    <w:rsid w:val="00A82968"/>
    <w:rsid w:val="00A82991"/>
    <w:rsid w:val="00A832D1"/>
    <w:rsid w:val="00A8332C"/>
    <w:rsid w:val="00A834BC"/>
    <w:rsid w:val="00A834FC"/>
    <w:rsid w:val="00A83888"/>
    <w:rsid w:val="00A83B5D"/>
    <w:rsid w:val="00A83B79"/>
    <w:rsid w:val="00A845D3"/>
    <w:rsid w:val="00A84685"/>
    <w:rsid w:val="00A84725"/>
    <w:rsid w:val="00A84807"/>
    <w:rsid w:val="00A84AAB"/>
    <w:rsid w:val="00A84D85"/>
    <w:rsid w:val="00A84E40"/>
    <w:rsid w:val="00A84EB2"/>
    <w:rsid w:val="00A85221"/>
    <w:rsid w:val="00A854D4"/>
    <w:rsid w:val="00A85609"/>
    <w:rsid w:val="00A859B7"/>
    <w:rsid w:val="00A85A76"/>
    <w:rsid w:val="00A85C4A"/>
    <w:rsid w:val="00A86319"/>
    <w:rsid w:val="00A86497"/>
    <w:rsid w:val="00A865A3"/>
    <w:rsid w:val="00A86652"/>
    <w:rsid w:val="00A86759"/>
    <w:rsid w:val="00A867E8"/>
    <w:rsid w:val="00A86A00"/>
    <w:rsid w:val="00A86AE1"/>
    <w:rsid w:val="00A87053"/>
    <w:rsid w:val="00A87092"/>
    <w:rsid w:val="00A87100"/>
    <w:rsid w:val="00A8760A"/>
    <w:rsid w:val="00A87654"/>
    <w:rsid w:val="00A878AD"/>
    <w:rsid w:val="00A878B5"/>
    <w:rsid w:val="00A87ED2"/>
    <w:rsid w:val="00A87F9B"/>
    <w:rsid w:val="00A908D9"/>
    <w:rsid w:val="00A908F3"/>
    <w:rsid w:val="00A909CE"/>
    <w:rsid w:val="00A90A2F"/>
    <w:rsid w:val="00A90B37"/>
    <w:rsid w:val="00A912AF"/>
    <w:rsid w:val="00A91E83"/>
    <w:rsid w:val="00A91FEE"/>
    <w:rsid w:val="00A923A9"/>
    <w:rsid w:val="00A924B5"/>
    <w:rsid w:val="00A931EB"/>
    <w:rsid w:val="00A9333B"/>
    <w:rsid w:val="00A934E3"/>
    <w:rsid w:val="00A93791"/>
    <w:rsid w:val="00A937B7"/>
    <w:rsid w:val="00A93EA4"/>
    <w:rsid w:val="00A94028"/>
    <w:rsid w:val="00A946AC"/>
    <w:rsid w:val="00A946B9"/>
    <w:rsid w:val="00A948FB"/>
    <w:rsid w:val="00A95D81"/>
    <w:rsid w:val="00A95E1C"/>
    <w:rsid w:val="00A9635A"/>
    <w:rsid w:val="00A96369"/>
    <w:rsid w:val="00A96373"/>
    <w:rsid w:val="00A963CE"/>
    <w:rsid w:val="00A968B2"/>
    <w:rsid w:val="00A9690C"/>
    <w:rsid w:val="00A96979"/>
    <w:rsid w:val="00A96C8B"/>
    <w:rsid w:val="00A96D12"/>
    <w:rsid w:val="00A96D9B"/>
    <w:rsid w:val="00A96FEE"/>
    <w:rsid w:val="00A9775B"/>
    <w:rsid w:val="00A9777A"/>
    <w:rsid w:val="00A97B7C"/>
    <w:rsid w:val="00AA03F5"/>
    <w:rsid w:val="00AA04D9"/>
    <w:rsid w:val="00AA04DB"/>
    <w:rsid w:val="00AA226A"/>
    <w:rsid w:val="00AA2880"/>
    <w:rsid w:val="00AA2E2D"/>
    <w:rsid w:val="00AA36E9"/>
    <w:rsid w:val="00AA3C49"/>
    <w:rsid w:val="00AA3E59"/>
    <w:rsid w:val="00AA4347"/>
    <w:rsid w:val="00AA43DF"/>
    <w:rsid w:val="00AA4737"/>
    <w:rsid w:val="00AA4929"/>
    <w:rsid w:val="00AA496C"/>
    <w:rsid w:val="00AA4F39"/>
    <w:rsid w:val="00AA52E6"/>
    <w:rsid w:val="00AA53CD"/>
    <w:rsid w:val="00AA5536"/>
    <w:rsid w:val="00AA593D"/>
    <w:rsid w:val="00AA5D7B"/>
    <w:rsid w:val="00AA5F4D"/>
    <w:rsid w:val="00AA634E"/>
    <w:rsid w:val="00AA636B"/>
    <w:rsid w:val="00AA6370"/>
    <w:rsid w:val="00AA687D"/>
    <w:rsid w:val="00AA7192"/>
    <w:rsid w:val="00AA71B4"/>
    <w:rsid w:val="00AA72EE"/>
    <w:rsid w:val="00AA7409"/>
    <w:rsid w:val="00AB00E4"/>
    <w:rsid w:val="00AB0139"/>
    <w:rsid w:val="00AB078B"/>
    <w:rsid w:val="00AB086C"/>
    <w:rsid w:val="00AB096C"/>
    <w:rsid w:val="00AB0982"/>
    <w:rsid w:val="00AB0A91"/>
    <w:rsid w:val="00AB0AB3"/>
    <w:rsid w:val="00AB1058"/>
    <w:rsid w:val="00AB1200"/>
    <w:rsid w:val="00AB1619"/>
    <w:rsid w:val="00AB1C4E"/>
    <w:rsid w:val="00AB2EFD"/>
    <w:rsid w:val="00AB319B"/>
    <w:rsid w:val="00AB33A6"/>
    <w:rsid w:val="00AB3864"/>
    <w:rsid w:val="00AB3A41"/>
    <w:rsid w:val="00AB402B"/>
    <w:rsid w:val="00AB4E8C"/>
    <w:rsid w:val="00AB4EEC"/>
    <w:rsid w:val="00AB504C"/>
    <w:rsid w:val="00AB5328"/>
    <w:rsid w:val="00AB53A9"/>
    <w:rsid w:val="00AB5848"/>
    <w:rsid w:val="00AB5875"/>
    <w:rsid w:val="00AB5918"/>
    <w:rsid w:val="00AB5D8B"/>
    <w:rsid w:val="00AB6118"/>
    <w:rsid w:val="00AB61E0"/>
    <w:rsid w:val="00AB65B3"/>
    <w:rsid w:val="00AB691A"/>
    <w:rsid w:val="00AB6F77"/>
    <w:rsid w:val="00AB6FB2"/>
    <w:rsid w:val="00AB710C"/>
    <w:rsid w:val="00AB7516"/>
    <w:rsid w:val="00AB7833"/>
    <w:rsid w:val="00AB7925"/>
    <w:rsid w:val="00AB7C53"/>
    <w:rsid w:val="00AB7DF9"/>
    <w:rsid w:val="00AB7F5F"/>
    <w:rsid w:val="00AC00F2"/>
    <w:rsid w:val="00AC010A"/>
    <w:rsid w:val="00AC01C0"/>
    <w:rsid w:val="00AC058C"/>
    <w:rsid w:val="00AC06AE"/>
    <w:rsid w:val="00AC0AAB"/>
    <w:rsid w:val="00AC1943"/>
    <w:rsid w:val="00AC1A95"/>
    <w:rsid w:val="00AC2119"/>
    <w:rsid w:val="00AC27AE"/>
    <w:rsid w:val="00AC2F6A"/>
    <w:rsid w:val="00AC35F2"/>
    <w:rsid w:val="00AC3A5C"/>
    <w:rsid w:val="00AC3B8D"/>
    <w:rsid w:val="00AC3FB8"/>
    <w:rsid w:val="00AC411D"/>
    <w:rsid w:val="00AC43B2"/>
    <w:rsid w:val="00AC5119"/>
    <w:rsid w:val="00AC554E"/>
    <w:rsid w:val="00AC57FD"/>
    <w:rsid w:val="00AC5AEC"/>
    <w:rsid w:val="00AC5F36"/>
    <w:rsid w:val="00AC637B"/>
    <w:rsid w:val="00AC63AB"/>
    <w:rsid w:val="00AC65FE"/>
    <w:rsid w:val="00AC6905"/>
    <w:rsid w:val="00AC6957"/>
    <w:rsid w:val="00AC6D96"/>
    <w:rsid w:val="00AC6F95"/>
    <w:rsid w:val="00AC70E6"/>
    <w:rsid w:val="00AC7690"/>
    <w:rsid w:val="00AC79B8"/>
    <w:rsid w:val="00AC7BB9"/>
    <w:rsid w:val="00AC7EF7"/>
    <w:rsid w:val="00AD035B"/>
    <w:rsid w:val="00AD06BA"/>
    <w:rsid w:val="00AD0977"/>
    <w:rsid w:val="00AD0B86"/>
    <w:rsid w:val="00AD1100"/>
    <w:rsid w:val="00AD158F"/>
    <w:rsid w:val="00AD1A45"/>
    <w:rsid w:val="00AD241A"/>
    <w:rsid w:val="00AD2692"/>
    <w:rsid w:val="00AD2A83"/>
    <w:rsid w:val="00AD2CAA"/>
    <w:rsid w:val="00AD2DB2"/>
    <w:rsid w:val="00AD2DCD"/>
    <w:rsid w:val="00AD2EED"/>
    <w:rsid w:val="00AD3072"/>
    <w:rsid w:val="00AD31C9"/>
    <w:rsid w:val="00AD32B5"/>
    <w:rsid w:val="00AD3FCF"/>
    <w:rsid w:val="00AD3FDC"/>
    <w:rsid w:val="00AD448F"/>
    <w:rsid w:val="00AD46C8"/>
    <w:rsid w:val="00AD4A76"/>
    <w:rsid w:val="00AD4DE6"/>
    <w:rsid w:val="00AD5067"/>
    <w:rsid w:val="00AD53AD"/>
    <w:rsid w:val="00AD557B"/>
    <w:rsid w:val="00AD5B94"/>
    <w:rsid w:val="00AD5C86"/>
    <w:rsid w:val="00AD6081"/>
    <w:rsid w:val="00AD6639"/>
    <w:rsid w:val="00AD6685"/>
    <w:rsid w:val="00AD673F"/>
    <w:rsid w:val="00AD6C0A"/>
    <w:rsid w:val="00AD7A8C"/>
    <w:rsid w:val="00AD7DE2"/>
    <w:rsid w:val="00AD7E17"/>
    <w:rsid w:val="00AE02E8"/>
    <w:rsid w:val="00AE0574"/>
    <w:rsid w:val="00AE0621"/>
    <w:rsid w:val="00AE0B6A"/>
    <w:rsid w:val="00AE0C9A"/>
    <w:rsid w:val="00AE0D1F"/>
    <w:rsid w:val="00AE0D7B"/>
    <w:rsid w:val="00AE13E5"/>
    <w:rsid w:val="00AE15D5"/>
    <w:rsid w:val="00AE1743"/>
    <w:rsid w:val="00AE1B20"/>
    <w:rsid w:val="00AE26BB"/>
    <w:rsid w:val="00AE27AD"/>
    <w:rsid w:val="00AE2BB6"/>
    <w:rsid w:val="00AE2C54"/>
    <w:rsid w:val="00AE2CD8"/>
    <w:rsid w:val="00AE2E26"/>
    <w:rsid w:val="00AE2E83"/>
    <w:rsid w:val="00AE3207"/>
    <w:rsid w:val="00AE3755"/>
    <w:rsid w:val="00AE3DA0"/>
    <w:rsid w:val="00AE465C"/>
    <w:rsid w:val="00AE4AC6"/>
    <w:rsid w:val="00AE4DCF"/>
    <w:rsid w:val="00AE4E42"/>
    <w:rsid w:val="00AE5607"/>
    <w:rsid w:val="00AE567D"/>
    <w:rsid w:val="00AE58C2"/>
    <w:rsid w:val="00AE5DC9"/>
    <w:rsid w:val="00AE60CB"/>
    <w:rsid w:val="00AE63AF"/>
    <w:rsid w:val="00AE64D2"/>
    <w:rsid w:val="00AE663D"/>
    <w:rsid w:val="00AE669C"/>
    <w:rsid w:val="00AE6A2C"/>
    <w:rsid w:val="00AE6ACF"/>
    <w:rsid w:val="00AE6CEE"/>
    <w:rsid w:val="00AE71B8"/>
    <w:rsid w:val="00AE7654"/>
    <w:rsid w:val="00AE76AD"/>
    <w:rsid w:val="00AE79B7"/>
    <w:rsid w:val="00AE79CF"/>
    <w:rsid w:val="00AE7A33"/>
    <w:rsid w:val="00AE7EDF"/>
    <w:rsid w:val="00AF0107"/>
    <w:rsid w:val="00AF09CF"/>
    <w:rsid w:val="00AF09FF"/>
    <w:rsid w:val="00AF0A07"/>
    <w:rsid w:val="00AF0B43"/>
    <w:rsid w:val="00AF0B5E"/>
    <w:rsid w:val="00AF0D9B"/>
    <w:rsid w:val="00AF1196"/>
    <w:rsid w:val="00AF1247"/>
    <w:rsid w:val="00AF151F"/>
    <w:rsid w:val="00AF19E3"/>
    <w:rsid w:val="00AF1A11"/>
    <w:rsid w:val="00AF1A63"/>
    <w:rsid w:val="00AF1CCE"/>
    <w:rsid w:val="00AF1E6F"/>
    <w:rsid w:val="00AF1F61"/>
    <w:rsid w:val="00AF21FD"/>
    <w:rsid w:val="00AF239D"/>
    <w:rsid w:val="00AF2525"/>
    <w:rsid w:val="00AF2784"/>
    <w:rsid w:val="00AF3036"/>
    <w:rsid w:val="00AF309D"/>
    <w:rsid w:val="00AF31A8"/>
    <w:rsid w:val="00AF31EB"/>
    <w:rsid w:val="00AF334E"/>
    <w:rsid w:val="00AF34A5"/>
    <w:rsid w:val="00AF3526"/>
    <w:rsid w:val="00AF38F2"/>
    <w:rsid w:val="00AF3F30"/>
    <w:rsid w:val="00AF4126"/>
    <w:rsid w:val="00AF419E"/>
    <w:rsid w:val="00AF41D7"/>
    <w:rsid w:val="00AF43E3"/>
    <w:rsid w:val="00AF4431"/>
    <w:rsid w:val="00AF4713"/>
    <w:rsid w:val="00AF4823"/>
    <w:rsid w:val="00AF48EF"/>
    <w:rsid w:val="00AF4C20"/>
    <w:rsid w:val="00AF4F00"/>
    <w:rsid w:val="00AF5054"/>
    <w:rsid w:val="00AF5083"/>
    <w:rsid w:val="00AF5088"/>
    <w:rsid w:val="00AF5176"/>
    <w:rsid w:val="00AF519D"/>
    <w:rsid w:val="00AF52A3"/>
    <w:rsid w:val="00AF542B"/>
    <w:rsid w:val="00AF54A4"/>
    <w:rsid w:val="00AF5AFA"/>
    <w:rsid w:val="00AF63E5"/>
    <w:rsid w:val="00AF6A97"/>
    <w:rsid w:val="00AF6B6A"/>
    <w:rsid w:val="00AF6D09"/>
    <w:rsid w:val="00AF7089"/>
    <w:rsid w:val="00AF70A8"/>
    <w:rsid w:val="00AF757C"/>
    <w:rsid w:val="00AF7C04"/>
    <w:rsid w:val="00AF7CE9"/>
    <w:rsid w:val="00B000C8"/>
    <w:rsid w:val="00B00746"/>
    <w:rsid w:val="00B00C1C"/>
    <w:rsid w:val="00B00EA4"/>
    <w:rsid w:val="00B00EEF"/>
    <w:rsid w:val="00B0105F"/>
    <w:rsid w:val="00B016DE"/>
    <w:rsid w:val="00B01AD0"/>
    <w:rsid w:val="00B01DEA"/>
    <w:rsid w:val="00B01FF1"/>
    <w:rsid w:val="00B0210A"/>
    <w:rsid w:val="00B025F9"/>
    <w:rsid w:val="00B02C78"/>
    <w:rsid w:val="00B0334E"/>
    <w:rsid w:val="00B03D8D"/>
    <w:rsid w:val="00B042DF"/>
    <w:rsid w:val="00B04397"/>
    <w:rsid w:val="00B04555"/>
    <w:rsid w:val="00B04767"/>
    <w:rsid w:val="00B047E8"/>
    <w:rsid w:val="00B04917"/>
    <w:rsid w:val="00B0496B"/>
    <w:rsid w:val="00B050B1"/>
    <w:rsid w:val="00B052EE"/>
    <w:rsid w:val="00B05D61"/>
    <w:rsid w:val="00B05EA6"/>
    <w:rsid w:val="00B06032"/>
    <w:rsid w:val="00B0605C"/>
    <w:rsid w:val="00B0627B"/>
    <w:rsid w:val="00B06373"/>
    <w:rsid w:val="00B065FE"/>
    <w:rsid w:val="00B06BA9"/>
    <w:rsid w:val="00B06BBC"/>
    <w:rsid w:val="00B074CB"/>
    <w:rsid w:val="00B07595"/>
    <w:rsid w:val="00B075E6"/>
    <w:rsid w:val="00B10213"/>
    <w:rsid w:val="00B10305"/>
    <w:rsid w:val="00B103DC"/>
    <w:rsid w:val="00B106FC"/>
    <w:rsid w:val="00B10A53"/>
    <w:rsid w:val="00B10BB1"/>
    <w:rsid w:val="00B10E38"/>
    <w:rsid w:val="00B10F7A"/>
    <w:rsid w:val="00B11223"/>
    <w:rsid w:val="00B11315"/>
    <w:rsid w:val="00B11B68"/>
    <w:rsid w:val="00B11EB4"/>
    <w:rsid w:val="00B12266"/>
    <w:rsid w:val="00B12E09"/>
    <w:rsid w:val="00B13031"/>
    <w:rsid w:val="00B130CE"/>
    <w:rsid w:val="00B131A9"/>
    <w:rsid w:val="00B131FF"/>
    <w:rsid w:val="00B1341E"/>
    <w:rsid w:val="00B134F3"/>
    <w:rsid w:val="00B1354A"/>
    <w:rsid w:val="00B13C90"/>
    <w:rsid w:val="00B13E25"/>
    <w:rsid w:val="00B140FD"/>
    <w:rsid w:val="00B14394"/>
    <w:rsid w:val="00B143B9"/>
    <w:rsid w:val="00B1441B"/>
    <w:rsid w:val="00B14845"/>
    <w:rsid w:val="00B1493A"/>
    <w:rsid w:val="00B149B0"/>
    <w:rsid w:val="00B149FA"/>
    <w:rsid w:val="00B14D66"/>
    <w:rsid w:val="00B14E98"/>
    <w:rsid w:val="00B1516E"/>
    <w:rsid w:val="00B15262"/>
    <w:rsid w:val="00B1530C"/>
    <w:rsid w:val="00B15894"/>
    <w:rsid w:val="00B15908"/>
    <w:rsid w:val="00B15C7C"/>
    <w:rsid w:val="00B15D71"/>
    <w:rsid w:val="00B15DEA"/>
    <w:rsid w:val="00B162A3"/>
    <w:rsid w:val="00B16480"/>
    <w:rsid w:val="00B166A3"/>
    <w:rsid w:val="00B16FAD"/>
    <w:rsid w:val="00B170F7"/>
    <w:rsid w:val="00B1734F"/>
    <w:rsid w:val="00B1784A"/>
    <w:rsid w:val="00B17981"/>
    <w:rsid w:val="00B1798E"/>
    <w:rsid w:val="00B17BDA"/>
    <w:rsid w:val="00B20268"/>
    <w:rsid w:val="00B20A71"/>
    <w:rsid w:val="00B212D0"/>
    <w:rsid w:val="00B214C1"/>
    <w:rsid w:val="00B216F7"/>
    <w:rsid w:val="00B21DD4"/>
    <w:rsid w:val="00B21F0B"/>
    <w:rsid w:val="00B22421"/>
    <w:rsid w:val="00B236F0"/>
    <w:rsid w:val="00B23A53"/>
    <w:rsid w:val="00B23AF4"/>
    <w:rsid w:val="00B23F13"/>
    <w:rsid w:val="00B23F6C"/>
    <w:rsid w:val="00B24243"/>
    <w:rsid w:val="00B24468"/>
    <w:rsid w:val="00B24497"/>
    <w:rsid w:val="00B2468E"/>
    <w:rsid w:val="00B246F6"/>
    <w:rsid w:val="00B24A70"/>
    <w:rsid w:val="00B24B81"/>
    <w:rsid w:val="00B253AE"/>
    <w:rsid w:val="00B2547F"/>
    <w:rsid w:val="00B25758"/>
    <w:rsid w:val="00B25A83"/>
    <w:rsid w:val="00B25BB4"/>
    <w:rsid w:val="00B2639C"/>
    <w:rsid w:val="00B26F6D"/>
    <w:rsid w:val="00B26FC6"/>
    <w:rsid w:val="00B274EC"/>
    <w:rsid w:val="00B27998"/>
    <w:rsid w:val="00B279E7"/>
    <w:rsid w:val="00B27E99"/>
    <w:rsid w:val="00B30135"/>
    <w:rsid w:val="00B302D1"/>
    <w:rsid w:val="00B3046A"/>
    <w:rsid w:val="00B307C3"/>
    <w:rsid w:val="00B30826"/>
    <w:rsid w:val="00B30921"/>
    <w:rsid w:val="00B3092B"/>
    <w:rsid w:val="00B30AE6"/>
    <w:rsid w:val="00B30B67"/>
    <w:rsid w:val="00B30B93"/>
    <w:rsid w:val="00B30FA0"/>
    <w:rsid w:val="00B3127F"/>
    <w:rsid w:val="00B313DA"/>
    <w:rsid w:val="00B3147F"/>
    <w:rsid w:val="00B31A9B"/>
    <w:rsid w:val="00B31DBE"/>
    <w:rsid w:val="00B31F3C"/>
    <w:rsid w:val="00B32125"/>
    <w:rsid w:val="00B32130"/>
    <w:rsid w:val="00B323B7"/>
    <w:rsid w:val="00B32513"/>
    <w:rsid w:val="00B32524"/>
    <w:rsid w:val="00B32584"/>
    <w:rsid w:val="00B325CE"/>
    <w:rsid w:val="00B32655"/>
    <w:rsid w:val="00B327E2"/>
    <w:rsid w:val="00B33095"/>
    <w:rsid w:val="00B3332C"/>
    <w:rsid w:val="00B3388C"/>
    <w:rsid w:val="00B33D54"/>
    <w:rsid w:val="00B33E25"/>
    <w:rsid w:val="00B33F35"/>
    <w:rsid w:val="00B33F9C"/>
    <w:rsid w:val="00B33FAF"/>
    <w:rsid w:val="00B3402B"/>
    <w:rsid w:val="00B34DE0"/>
    <w:rsid w:val="00B34E9C"/>
    <w:rsid w:val="00B34EC8"/>
    <w:rsid w:val="00B35282"/>
    <w:rsid w:val="00B353F3"/>
    <w:rsid w:val="00B36138"/>
    <w:rsid w:val="00B36548"/>
    <w:rsid w:val="00B366D6"/>
    <w:rsid w:val="00B36779"/>
    <w:rsid w:val="00B36BEA"/>
    <w:rsid w:val="00B3774B"/>
    <w:rsid w:val="00B37CB4"/>
    <w:rsid w:val="00B4031D"/>
    <w:rsid w:val="00B40329"/>
    <w:rsid w:val="00B405A4"/>
    <w:rsid w:val="00B40798"/>
    <w:rsid w:val="00B4080D"/>
    <w:rsid w:val="00B4090D"/>
    <w:rsid w:val="00B40D98"/>
    <w:rsid w:val="00B41358"/>
    <w:rsid w:val="00B41586"/>
    <w:rsid w:val="00B4172F"/>
    <w:rsid w:val="00B4196D"/>
    <w:rsid w:val="00B42021"/>
    <w:rsid w:val="00B4211F"/>
    <w:rsid w:val="00B42707"/>
    <w:rsid w:val="00B43137"/>
    <w:rsid w:val="00B43145"/>
    <w:rsid w:val="00B432A2"/>
    <w:rsid w:val="00B439AA"/>
    <w:rsid w:val="00B441FD"/>
    <w:rsid w:val="00B44998"/>
    <w:rsid w:val="00B449E9"/>
    <w:rsid w:val="00B44C09"/>
    <w:rsid w:val="00B458B1"/>
    <w:rsid w:val="00B45C4B"/>
    <w:rsid w:val="00B45C88"/>
    <w:rsid w:val="00B45F7C"/>
    <w:rsid w:val="00B4611F"/>
    <w:rsid w:val="00B46152"/>
    <w:rsid w:val="00B461CD"/>
    <w:rsid w:val="00B46B30"/>
    <w:rsid w:val="00B46BA1"/>
    <w:rsid w:val="00B46C76"/>
    <w:rsid w:val="00B46D99"/>
    <w:rsid w:val="00B46DB0"/>
    <w:rsid w:val="00B470D1"/>
    <w:rsid w:val="00B471E7"/>
    <w:rsid w:val="00B47612"/>
    <w:rsid w:val="00B47633"/>
    <w:rsid w:val="00B47704"/>
    <w:rsid w:val="00B47741"/>
    <w:rsid w:val="00B4782A"/>
    <w:rsid w:val="00B47879"/>
    <w:rsid w:val="00B47881"/>
    <w:rsid w:val="00B47B22"/>
    <w:rsid w:val="00B47C6F"/>
    <w:rsid w:val="00B47FB5"/>
    <w:rsid w:val="00B501CC"/>
    <w:rsid w:val="00B50309"/>
    <w:rsid w:val="00B505DD"/>
    <w:rsid w:val="00B50763"/>
    <w:rsid w:val="00B509D8"/>
    <w:rsid w:val="00B51077"/>
    <w:rsid w:val="00B510F6"/>
    <w:rsid w:val="00B5121B"/>
    <w:rsid w:val="00B512BF"/>
    <w:rsid w:val="00B513BD"/>
    <w:rsid w:val="00B51840"/>
    <w:rsid w:val="00B51874"/>
    <w:rsid w:val="00B52632"/>
    <w:rsid w:val="00B52828"/>
    <w:rsid w:val="00B52998"/>
    <w:rsid w:val="00B52C1B"/>
    <w:rsid w:val="00B52E93"/>
    <w:rsid w:val="00B5325D"/>
    <w:rsid w:val="00B532D4"/>
    <w:rsid w:val="00B533AF"/>
    <w:rsid w:val="00B53582"/>
    <w:rsid w:val="00B5373E"/>
    <w:rsid w:val="00B53C77"/>
    <w:rsid w:val="00B53D36"/>
    <w:rsid w:val="00B53F12"/>
    <w:rsid w:val="00B54B4E"/>
    <w:rsid w:val="00B54BEF"/>
    <w:rsid w:val="00B54EF0"/>
    <w:rsid w:val="00B55048"/>
    <w:rsid w:val="00B55112"/>
    <w:rsid w:val="00B555FC"/>
    <w:rsid w:val="00B55986"/>
    <w:rsid w:val="00B55B99"/>
    <w:rsid w:val="00B55F88"/>
    <w:rsid w:val="00B5601B"/>
    <w:rsid w:val="00B56342"/>
    <w:rsid w:val="00B56509"/>
    <w:rsid w:val="00B56C74"/>
    <w:rsid w:val="00B56D03"/>
    <w:rsid w:val="00B57323"/>
    <w:rsid w:val="00B57F27"/>
    <w:rsid w:val="00B60258"/>
    <w:rsid w:val="00B605E7"/>
    <w:rsid w:val="00B60843"/>
    <w:rsid w:val="00B60A57"/>
    <w:rsid w:val="00B60AE5"/>
    <w:rsid w:val="00B60E89"/>
    <w:rsid w:val="00B610A2"/>
    <w:rsid w:val="00B61440"/>
    <w:rsid w:val="00B61A2C"/>
    <w:rsid w:val="00B61C3E"/>
    <w:rsid w:val="00B62036"/>
    <w:rsid w:val="00B62068"/>
    <w:rsid w:val="00B621F0"/>
    <w:rsid w:val="00B623D4"/>
    <w:rsid w:val="00B628AF"/>
    <w:rsid w:val="00B62AAF"/>
    <w:rsid w:val="00B62DF6"/>
    <w:rsid w:val="00B63375"/>
    <w:rsid w:val="00B63A1C"/>
    <w:rsid w:val="00B63D62"/>
    <w:rsid w:val="00B63F06"/>
    <w:rsid w:val="00B64013"/>
    <w:rsid w:val="00B640B9"/>
    <w:rsid w:val="00B64489"/>
    <w:rsid w:val="00B64769"/>
    <w:rsid w:val="00B648C9"/>
    <w:rsid w:val="00B64A01"/>
    <w:rsid w:val="00B64A14"/>
    <w:rsid w:val="00B64A8F"/>
    <w:rsid w:val="00B64DC8"/>
    <w:rsid w:val="00B652FF"/>
    <w:rsid w:val="00B65B9F"/>
    <w:rsid w:val="00B65D38"/>
    <w:rsid w:val="00B66040"/>
    <w:rsid w:val="00B664A4"/>
    <w:rsid w:val="00B66653"/>
    <w:rsid w:val="00B66E35"/>
    <w:rsid w:val="00B671C1"/>
    <w:rsid w:val="00B678F9"/>
    <w:rsid w:val="00B67A7C"/>
    <w:rsid w:val="00B67AB1"/>
    <w:rsid w:val="00B67AC5"/>
    <w:rsid w:val="00B67BAB"/>
    <w:rsid w:val="00B67D97"/>
    <w:rsid w:val="00B70082"/>
    <w:rsid w:val="00B703B2"/>
    <w:rsid w:val="00B70736"/>
    <w:rsid w:val="00B70738"/>
    <w:rsid w:val="00B70B31"/>
    <w:rsid w:val="00B7104E"/>
    <w:rsid w:val="00B718C5"/>
    <w:rsid w:val="00B71BA8"/>
    <w:rsid w:val="00B71C30"/>
    <w:rsid w:val="00B723EA"/>
    <w:rsid w:val="00B72598"/>
    <w:rsid w:val="00B728BB"/>
    <w:rsid w:val="00B72C1E"/>
    <w:rsid w:val="00B730FE"/>
    <w:rsid w:val="00B73154"/>
    <w:rsid w:val="00B73271"/>
    <w:rsid w:val="00B73841"/>
    <w:rsid w:val="00B73AE1"/>
    <w:rsid w:val="00B73EA7"/>
    <w:rsid w:val="00B742CA"/>
    <w:rsid w:val="00B745E5"/>
    <w:rsid w:val="00B7535B"/>
    <w:rsid w:val="00B75486"/>
    <w:rsid w:val="00B75527"/>
    <w:rsid w:val="00B75978"/>
    <w:rsid w:val="00B76050"/>
    <w:rsid w:val="00B761E5"/>
    <w:rsid w:val="00B761F6"/>
    <w:rsid w:val="00B765EE"/>
    <w:rsid w:val="00B767BB"/>
    <w:rsid w:val="00B76952"/>
    <w:rsid w:val="00B77153"/>
    <w:rsid w:val="00B7752F"/>
    <w:rsid w:val="00B77B02"/>
    <w:rsid w:val="00B77CCC"/>
    <w:rsid w:val="00B77DA5"/>
    <w:rsid w:val="00B77EAF"/>
    <w:rsid w:val="00B77FBA"/>
    <w:rsid w:val="00B80077"/>
    <w:rsid w:val="00B802AA"/>
    <w:rsid w:val="00B8092B"/>
    <w:rsid w:val="00B80C33"/>
    <w:rsid w:val="00B80C9C"/>
    <w:rsid w:val="00B80CC8"/>
    <w:rsid w:val="00B80D60"/>
    <w:rsid w:val="00B80ED2"/>
    <w:rsid w:val="00B8107B"/>
    <w:rsid w:val="00B816B7"/>
    <w:rsid w:val="00B8195B"/>
    <w:rsid w:val="00B81B5D"/>
    <w:rsid w:val="00B81DF2"/>
    <w:rsid w:val="00B81FA3"/>
    <w:rsid w:val="00B826BB"/>
    <w:rsid w:val="00B826D0"/>
    <w:rsid w:val="00B82A26"/>
    <w:rsid w:val="00B83000"/>
    <w:rsid w:val="00B8337C"/>
    <w:rsid w:val="00B83671"/>
    <w:rsid w:val="00B837E5"/>
    <w:rsid w:val="00B8397E"/>
    <w:rsid w:val="00B83AB5"/>
    <w:rsid w:val="00B83B8D"/>
    <w:rsid w:val="00B83D61"/>
    <w:rsid w:val="00B84203"/>
    <w:rsid w:val="00B843F0"/>
    <w:rsid w:val="00B845D4"/>
    <w:rsid w:val="00B84721"/>
    <w:rsid w:val="00B849B5"/>
    <w:rsid w:val="00B84C05"/>
    <w:rsid w:val="00B84F0F"/>
    <w:rsid w:val="00B84F73"/>
    <w:rsid w:val="00B84FA1"/>
    <w:rsid w:val="00B852C7"/>
    <w:rsid w:val="00B852CF"/>
    <w:rsid w:val="00B85672"/>
    <w:rsid w:val="00B85851"/>
    <w:rsid w:val="00B85AA7"/>
    <w:rsid w:val="00B85AF9"/>
    <w:rsid w:val="00B862EF"/>
    <w:rsid w:val="00B8635F"/>
    <w:rsid w:val="00B8643D"/>
    <w:rsid w:val="00B86C88"/>
    <w:rsid w:val="00B86E78"/>
    <w:rsid w:val="00B87280"/>
    <w:rsid w:val="00B87285"/>
    <w:rsid w:val="00B8757C"/>
    <w:rsid w:val="00B87BF5"/>
    <w:rsid w:val="00B87C47"/>
    <w:rsid w:val="00B87CA6"/>
    <w:rsid w:val="00B87D70"/>
    <w:rsid w:val="00B87DDF"/>
    <w:rsid w:val="00B902A6"/>
    <w:rsid w:val="00B9058D"/>
    <w:rsid w:val="00B90E3A"/>
    <w:rsid w:val="00B91094"/>
    <w:rsid w:val="00B91110"/>
    <w:rsid w:val="00B91DC9"/>
    <w:rsid w:val="00B91EC8"/>
    <w:rsid w:val="00B92105"/>
    <w:rsid w:val="00B92597"/>
    <w:rsid w:val="00B92683"/>
    <w:rsid w:val="00B9298E"/>
    <w:rsid w:val="00B92BB4"/>
    <w:rsid w:val="00B92DC6"/>
    <w:rsid w:val="00B936CF"/>
    <w:rsid w:val="00B937FE"/>
    <w:rsid w:val="00B93B9D"/>
    <w:rsid w:val="00B93C2F"/>
    <w:rsid w:val="00B94120"/>
    <w:rsid w:val="00B94632"/>
    <w:rsid w:val="00B9486E"/>
    <w:rsid w:val="00B94A0B"/>
    <w:rsid w:val="00B94AA6"/>
    <w:rsid w:val="00B94BAB"/>
    <w:rsid w:val="00B950F5"/>
    <w:rsid w:val="00B95171"/>
    <w:rsid w:val="00B952C7"/>
    <w:rsid w:val="00B9541A"/>
    <w:rsid w:val="00B95775"/>
    <w:rsid w:val="00B95857"/>
    <w:rsid w:val="00B959FF"/>
    <w:rsid w:val="00B95ADD"/>
    <w:rsid w:val="00B95E64"/>
    <w:rsid w:val="00B96386"/>
    <w:rsid w:val="00B9671C"/>
    <w:rsid w:val="00B96AB3"/>
    <w:rsid w:val="00B96F2D"/>
    <w:rsid w:val="00B9752D"/>
    <w:rsid w:val="00B97ABF"/>
    <w:rsid w:val="00B97B41"/>
    <w:rsid w:val="00B97C53"/>
    <w:rsid w:val="00BA09D5"/>
    <w:rsid w:val="00BA0B3D"/>
    <w:rsid w:val="00BA0C4E"/>
    <w:rsid w:val="00BA0EC2"/>
    <w:rsid w:val="00BA0F21"/>
    <w:rsid w:val="00BA1114"/>
    <w:rsid w:val="00BA11AC"/>
    <w:rsid w:val="00BA12DA"/>
    <w:rsid w:val="00BA157A"/>
    <w:rsid w:val="00BA15A5"/>
    <w:rsid w:val="00BA17C2"/>
    <w:rsid w:val="00BA1A40"/>
    <w:rsid w:val="00BA1B02"/>
    <w:rsid w:val="00BA1E8F"/>
    <w:rsid w:val="00BA2129"/>
    <w:rsid w:val="00BA252A"/>
    <w:rsid w:val="00BA2587"/>
    <w:rsid w:val="00BA25C4"/>
    <w:rsid w:val="00BA265E"/>
    <w:rsid w:val="00BA2C87"/>
    <w:rsid w:val="00BA2CF3"/>
    <w:rsid w:val="00BA2E0F"/>
    <w:rsid w:val="00BA355F"/>
    <w:rsid w:val="00BA392D"/>
    <w:rsid w:val="00BA39D9"/>
    <w:rsid w:val="00BA39F9"/>
    <w:rsid w:val="00BA3D22"/>
    <w:rsid w:val="00BA4436"/>
    <w:rsid w:val="00BA498B"/>
    <w:rsid w:val="00BA4C4F"/>
    <w:rsid w:val="00BA5233"/>
    <w:rsid w:val="00BA52DC"/>
    <w:rsid w:val="00BA54E4"/>
    <w:rsid w:val="00BA5F1B"/>
    <w:rsid w:val="00BA5F82"/>
    <w:rsid w:val="00BA60B0"/>
    <w:rsid w:val="00BA613D"/>
    <w:rsid w:val="00BA643B"/>
    <w:rsid w:val="00BA6566"/>
    <w:rsid w:val="00BA65CC"/>
    <w:rsid w:val="00BA6788"/>
    <w:rsid w:val="00BA6803"/>
    <w:rsid w:val="00BA6814"/>
    <w:rsid w:val="00BA6821"/>
    <w:rsid w:val="00BA6968"/>
    <w:rsid w:val="00BA6BBE"/>
    <w:rsid w:val="00BA6BED"/>
    <w:rsid w:val="00BA6D63"/>
    <w:rsid w:val="00BA71BA"/>
    <w:rsid w:val="00BA753C"/>
    <w:rsid w:val="00BA7716"/>
    <w:rsid w:val="00BA77F8"/>
    <w:rsid w:val="00BA7EC6"/>
    <w:rsid w:val="00BB05C0"/>
    <w:rsid w:val="00BB0ABE"/>
    <w:rsid w:val="00BB0DE7"/>
    <w:rsid w:val="00BB1208"/>
    <w:rsid w:val="00BB177F"/>
    <w:rsid w:val="00BB1A37"/>
    <w:rsid w:val="00BB1E5D"/>
    <w:rsid w:val="00BB1EF6"/>
    <w:rsid w:val="00BB24DF"/>
    <w:rsid w:val="00BB2A48"/>
    <w:rsid w:val="00BB30B6"/>
    <w:rsid w:val="00BB317D"/>
    <w:rsid w:val="00BB3196"/>
    <w:rsid w:val="00BB3290"/>
    <w:rsid w:val="00BB32AF"/>
    <w:rsid w:val="00BB3385"/>
    <w:rsid w:val="00BB356C"/>
    <w:rsid w:val="00BB3636"/>
    <w:rsid w:val="00BB397D"/>
    <w:rsid w:val="00BB3AFA"/>
    <w:rsid w:val="00BB40BE"/>
    <w:rsid w:val="00BB4133"/>
    <w:rsid w:val="00BB42B2"/>
    <w:rsid w:val="00BB4451"/>
    <w:rsid w:val="00BB4E44"/>
    <w:rsid w:val="00BB4F3B"/>
    <w:rsid w:val="00BB511C"/>
    <w:rsid w:val="00BB5390"/>
    <w:rsid w:val="00BB55FA"/>
    <w:rsid w:val="00BB5840"/>
    <w:rsid w:val="00BB5A18"/>
    <w:rsid w:val="00BB6302"/>
    <w:rsid w:val="00BB65DD"/>
    <w:rsid w:val="00BB66DE"/>
    <w:rsid w:val="00BB684C"/>
    <w:rsid w:val="00BB69E9"/>
    <w:rsid w:val="00BB6C1D"/>
    <w:rsid w:val="00BB6DA8"/>
    <w:rsid w:val="00BB6E80"/>
    <w:rsid w:val="00BB6EA9"/>
    <w:rsid w:val="00BB6F3F"/>
    <w:rsid w:val="00BB75CA"/>
    <w:rsid w:val="00BB75D5"/>
    <w:rsid w:val="00BB7AEC"/>
    <w:rsid w:val="00BC02E4"/>
    <w:rsid w:val="00BC0309"/>
    <w:rsid w:val="00BC07D9"/>
    <w:rsid w:val="00BC1086"/>
    <w:rsid w:val="00BC12FA"/>
    <w:rsid w:val="00BC1EE6"/>
    <w:rsid w:val="00BC1F95"/>
    <w:rsid w:val="00BC2096"/>
    <w:rsid w:val="00BC232F"/>
    <w:rsid w:val="00BC26EC"/>
    <w:rsid w:val="00BC2799"/>
    <w:rsid w:val="00BC27EE"/>
    <w:rsid w:val="00BC2B12"/>
    <w:rsid w:val="00BC2CEE"/>
    <w:rsid w:val="00BC332F"/>
    <w:rsid w:val="00BC37D7"/>
    <w:rsid w:val="00BC3983"/>
    <w:rsid w:val="00BC3C39"/>
    <w:rsid w:val="00BC3FBA"/>
    <w:rsid w:val="00BC422F"/>
    <w:rsid w:val="00BC433F"/>
    <w:rsid w:val="00BC47C2"/>
    <w:rsid w:val="00BC5003"/>
    <w:rsid w:val="00BC5055"/>
    <w:rsid w:val="00BC54FE"/>
    <w:rsid w:val="00BC56E3"/>
    <w:rsid w:val="00BC5827"/>
    <w:rsid w:val="00BC5E2B"/>
    <w:rsid w:val="00BC5F98"/>
    <w:rsid w:val="00BC6469"/>
    <w:rsid w:val="00BC6C80"/>
    <w:rsid w:val="00BC6CD6"/>
    <w:rsid w:val="00BC7055"/>
    <w:rsid w:val="00BC70CF"/>
    <w:rsid w:val="00BC7561"/>
    <w:rsid w:val="00BC7AFE"/>
    <w:rsid w:val="00BC7CD5"/>
    <w:rsid w:val="00BC7D12"/>
    <w:rsid w:val="00BC7DD2"/>
    <w:rsid w:val="00BD0585"/>
    <w:rsid w:val="00BD0806"/>
    <w:rsid w:val="00BD08EA"/>
    <w:rsid w:val="00BD09E1"/>
    <w:rsid w:val="00BD0CC1"/>
    <w:rsid w:val="00BD0E34"/>
    <w:rsid w:val="00BD13D1"/>
    <w:rsid w:val="00BD17E0"/>
    <w:rsid w:val="00BD1AF1"/>
    <w:rsid w:val="00BD1C7F"/>
    <w:rsid w:val="00BD1D4C"/>
    <w:rsid w:val="00BD2267"/>
    <w:rsid w:val="00BD2331"/>
    <w:rsid w:val="00BD25C6"/>
    <w:rsid w:val="00BD2A1C"/>
    <w:rsid w:val="00BD2FA4"/>
    <w:rsid w:val="00BD31DF"/>
    <w:rsid w:val="00BD34A1"/>
    <w:rsid w:val="00BD36C1"/>
    <w:rsid w:val="00BD36E6"/>
    <w:rsid w:val="00BD39B3"/>
    <w:rsid w:val="00BD46CF"/>
    <w:rsid w:val="00BD4D50"/>
    <w:rsid w:val="00BD5818"/>
    <w:rsid w:val="00BD5B69"/>
    <w:rsid w:val="00BD5C45"/>
    <w:rsid w:val="00BD5EFF"/>
    <w:rsid w:val="00BD611E"/>
    <w:rsid w:val="00BD6408"/>
    <w:rsid w:val="00BD6739"/>
    <w:rsid w:val="00BD6BDC"/>
    <w:rsid w:val="00BD714B"/>
    <w:rsid w:val="00BD72CB"/>
    <w:rsid w:val="00BD7A7E"/>
    <w:rsid w:val="00BE024F"/>
    <w:rsid w:val="00BE0302"/>
    <w:rsid w:val="00BE05C5"/>
    <w:rsid w:val="00BE0A44"/>
    <w:rsid w:val="00BE0C65"/>
    <w:rsid w:val="00BE0E51"/>
    <w:rsid w:val="00BE118E"/>
    <w:rsid w:val="00BE150C"/>
    <w:rsid w:val="00BE15F2"/>
    <w:rsid w:val="00BE17D3"/>
    <w:rsid w:val="00BE23DC"/>
    <w:rsid w:val="00BE2B47"/>
    <w:rsid w:val="00BE2D33"/>
    <w:rsid w:val="00BE2F48"/>
    <w:rsid w:val="00BE2FAF"/>
    <w:rsid w:val="00BE2FF1"/>
    <w:rsid w:val="00BE335A"/>
    <w:rsid w:val="00BE34B7"/>
    <w:rsid w:val="00BE3531"/>
    <w:rsid w:val="00BE363E"/>
    <w:rsid w:val="00BE38F4"/>
    <w:rsid w:val="00BE3A02"/>
    <w:rsid w:val="00BE3AD9"/>
    <w:rsid w:val="00BE3B2F"/>
    <w:rsid w:val="00BE3EB4"/>
    <w:rsid w:val="00BE40B3"/>
    <w:rsid w:val="00BE4190"/>
    <w:rsid w:val="00BE41A0"/>
    <w:rsid w:val="00BE42E5"/>
    <w:rsid w:val="00BE4453"/>
    <w:rsid w:val="00BE4789"/>
    <w:rsid w:val="00BE4BD4"/>
    <w:rsid w:val="00BE52DA"/>
    <w:rsid w:val="00BE5698"/>
    <w:rsid w:val="00BE6308"/>
    <w:rsid w:val="00BE69E7"/>
    <w:rsid w:val="00BE6BB0"/>
    <w:rsid w:val="00BE6D82"/>
    <w:rsid w:val="00BE725F"/>
    <w:rsid w:val="00BE7561"/>
    <w:rsid w:val="00BE78C5"/>
    <w:rsid w:val="00BE78F4"/>
    <w:rsid w:val="00BE7B22"/>
    <w:rsid w:val="00BE7D9C"/>
    <w:rsid w:val="00BF0186"/>
    <w:rsid w:val="00BF0551"/>
    <w:rsid w:val="00BF0603"/>
    <w:rsid w:val="00BF08FE"/>
    <w:rsid w:val="00BF108E"/>
    <w:rsid w:val="00BF10C7"/>
    <w:rsid w:val="00BF139C"/>
    <w:rsid w:val="00BF2049"/>
    <w:rsid w:val="00BF2126"/>
    <w:rsid w:val="00BF217D"/>
    <w:rsid w:val="00BF29C1"/>
    <w:rsid w:val="00BF2B11"/>
    <w:rsid w:val="00BF2ECE"/>
    <w:rsid w:val="00BF2F04"/>
    <w:rsid w:val="00BF301A"/>
    <w:rsid w:val="00BF31A6"/>
    <w:rsid w:val="00BF3375"/>
    <w:rsid w:val="00BF3503"/>
    <w:rsid w:val="00BF352A"/>
    <w:rsid w:val="00BF3B2D"/>
    <w:rsid w:val="00BF3CBA"/>
    <w:rsid w:val="00BF3E1B"/>
    <w:rsid w:val="00BF4273"/>
    <w:rsid w:val="00BF4303"/>
    <w:rsid w:val="00BF4367"/>
    <w:rsid w:val="00BF4535"/>
    <w:rsid w:val="00BF465D"/>
    <w:rsid w:val="00BF46CB"/>
    <w:rsid w:val="00BF486B"/>
    <w:rsid w:val="00BF49F7"/>
    <w:rsid w:val="00BF5484"/>
    <w:rsid w:val="00BF58CE"/>
    <w:rsid w:val="00BF5AB6"/>
    <w:rsid w:val="00BF5D33"/>
    <w:rsid w:val="00BF643A"/>
    <w:rsid w:val="00BF6750"/>
    <w:rsid w:val="00BF6A19"/>
    <w:rsid w:val="00BF6B4F"/>
    <w:rsid w:val="00BF6F8C"/>
    <w:rsid w:val="00BF72E9"/>
    <w:rsid w:val="00BF7450"/>
    <w:rsid w:val="00BF7963"/>
    <w:rsid w:val="00BF79E2"/>
    <w:rsid w:val="00BF79F7"/>
    <w:rsid w:val="00BF7E29"/>
    <w:rsid w:val="00C00693"/>
    <w:rsid w:val="00C00700"/>
    <w:rsid w:val="00C00B70"/>
    <w:rsid w:val="00C00CD6"/>
    <w:rsid w:val="00C01032"/>
    <w:rsid w:val="00C01495"/>
    <w:rsid w:val="00C01B4A"/>
    <w:rsid w:val="00C01BAA"/>
    <w:rsid w:val="00C01F89"/>
    <w:rsid w:val="00C02068"/>
    <w:rsid w:val="00C02471"/>
    <w:rsid w:val="00C029B4"/>
    <w:rsid w:val="00C02D48"/>
    <w:rsid w:val="00C02D9A"/>
    <w:rsid w:val="00C02F6F"/>
    <w:rsid w:val="00C030D0"/>
    <w:rsid w:val="00C0320E"/>
    <w:rsid w:val="00C03776"/>
    <w:rsid w:val="00C039C6"/>
    <w:rsid w:val="00C03AE9"/>
    <w:rsid w:val="00C03D52"/>
    <w:rsid w:val="00C03D5C"/>
    <w:rsid w:val="00C03F84"/>
    <w:rsid w:val="00C042EF"/>
    <w:rsid w:val="00C045FA"/>
    <w:rsid w:val="00C047E0"/>
    <w:rsid w:val="00C04B3E"/>
    <w:rsid w:val="00C04BCB"/>
    <w:rsid w:val="00C04FDB"/>
    <w:rsid w:val="00C05328"/>
    <w:rsid w:val="00C0548B"/>
    <w:rsid w:val="00C0596E"/>
    <w:rsid w:val="00C05E30"/>
    <w:rsid w:val="00C06378"/>
    <w:rsid w:val="00C06728"/>
    <w:rsid w:val="00C06A44"/>
    <w:rsid w:val="00C06A54"/>
    <w:rsid w:val="00C06AE0"/>
    <w:rsid w:val="00C06CA2"/>
    <w:rsid w:val="00C06D4B"/>
    <w:rsid w:val="00C07094"/>
    <w:rsid w:val="00C070A7"/>
    <w:rsid w:val="00C072FE"/>
    <w:rsid w:val="00C073E6"/>
    <w:rsid w:val="00C07575"/>
    <w:rsid w:val="00C076AB"/>
    <w:rsid w:val="00C076D7"/>
    <w:rsid w:val="00C07817"/>
    <w:rsid w:val="00C10360"/>
    <w:rsid w:val="00C1060D"/>
    <w:rsid w:val="00C10A69"/>
    <w:rsid w:val="00C111B8"/>
    <w:rsid w:val="00C112BB"/>
    <w:rsid w:val="00C11471"/>
    <w:rsid w:val="00C1149E"/>
    <w:rsid w:val="00C116EF"/>
    <w:rsid w:val="00C11CB9"/>
    <w:rsid w:val="00C11E32"/>
    <w:rsid w:val="00C11FF9"/>
    <w:rsid w:val="00C12028"/>
    <w:rsid w:val="00C121AB"/>
    <w:rsid w:val="00C12A49"/>
    <w:rsid w:val="00C12A4E"/>
    <w:rsid w:val="00C12DA9"/>
    <w:rsid w:val="00C12F92"/>
    <w:rsid w:val="00C13339"/>
    <w:rsid w:val="00C13612"/>
    <w:rsid w:val="00C14110"/>
    <w:rsid w:val="00C14248"/>
    <w:rsid w:val="00C14C3D"/>
    <w:rsid w:val="00C14D59"/>
    <w:rsid w:val="00C14EF0"/>
    <w:rsid w:val="00C150FC"/>
    <w:rsid w:val="00C15449"/>
    <w:rsid w:val="00C155B1"/>
    <w:rsid w:val="00C157CD"/>
    <w:rsid w:val="00C159C0"/>
    <w:rsid w:val="00C16495"/>
    <w:rsid w:val="00C16594"/>
    <w:rsid w:val="00C166D6"/>
    <w:rsid w:val="00C16C76"/>
    <w:rsid w:val="00C177CB"/>
    <w:rsid w:val="00C1781E"/>
    <w:rsid w:val="00C2098A"/>
    <w:rsid w:val="00C20B33"/>
    <w:rsid w:val="00C20B91"/>
    <w:rsid w:val="00C2124A"/>
    <w:rsid w:val="00C21500"/>
    <w:rsid w:val="00C21762"/>
    <w:rsid w:val="00C21794"/>
    <w:rsid w:val="00C219FC"/>
    <w:rsid w:val="00C21F14"/>
    <w:rsid w:val="00C223C4"/>
    <w:rsid w:val="00C2283C"/>
    <w:rsid w:val="00C22F74"/>
    <w:rsid w:val="00C22FC7"/>
    <w:rsid w:val="00C23295"/>
    <w:rsid w:val="00C234D2"/>
    <w:rsid w:val="00C236B8"/>
    <w:rsid w:val="00C2372B"/>
    <w:rsid w:val="00C23C43"/>
    <w:rsid w:val="00C23F82"/>
    <w:rsid w:val="00C243DF"/>
    <w:rsid w:val="00C245B6"/>
    <w:rsid w:val="00C24801"/>
    <w:rsid w:val="00C24CC3"/>
    <w:rsid w:val="00C24D9F"/>
    <w:rsid w:val="00C24E12"/>
    <w:rsid w:val="00C250B2"/>
    <w:rsid w:val="00C25470"/>
    <w:rsid w:val="00C25502"/>
    <w:rsid w:val="00C258B1"/>
    <w:rsid w:val="00C25B7A"/>
    <w:rsid w:val="00C25ED0"/>
    <w:rsid w:val="00C2611E"/>
    <w:rsid w:val="00C261DC"/>
    <w:rsid w:val="00C26340"/>
    <w:rsid w:val="00C2642E"/>
    <w:rsid w:val="00C268A1"/>
    <w:rsid w:val="00C26C66"/>
    <w:rsid w:val="00C27369"/>
    <w:rsid w:val="00C2737F"/>
    <w:rsid w:val="00C27721"/>
    <w:rsid w:val="00C27E9F"/>
    <w:rsid w:val="00C30406"/>
    <w:rsid w:val="00C30669"/>
    <w:rsid w:val="00C306D2"/>
    <w:rsid w:val="00C30EE3"/>
    <w:rsid w:val="00C312F6"/>
    <w:rsid w:val="00C3134B"/>
    <w:rsid w:val="00C31711"/>
    <w:rsid w:val="00C31A4F"/>
    <w:rsid w:val="00C31AE4"/>
    <w:rsid w:val="00C3220D"/>
    <w:rsid w:val="00C32B0D"/>
    <w:rsid w:val="00C335C0"/>
    <w:rsid w:val="00C33609"/>
    <w:rsid w:val="00C33C00"/>
    <w:rsid w:val="00C33C4C"/>
    <w:rsid w:val="00C33F46"/>
    <w:rsid w:val="00C33FBE"/>
    <w:rsid w:val="00C340F6"/>
    <w:rsid w:val="00C344A9"/>
    <w:rsid w:val="00C3477D"/>
    <w:rsid w:val="00C348D7"/>
    <w:rsid w:val="00C34961"/>
    <w:rsid w:val="00C34D3F"/>
    <w:rsid w:val="00C34EDA"/>
    <w:rsid w:val="00C354E4"/>
    <w:rsid w:val="00C357CF"/>
    <w:rsid w:val="00C35A55"/>
    <w:rsid w:val="00C3617F"/>
    <w:rsid w:val="00C3659F"/>
    <w:rsid w:val="00C3670B"/>
    <w:rsid w:val="00C36882"/>
    <w:rsid w:val="00C3691D"/>
    <w:rsid w:val="00C36ED9"/>
    <w:rsid w:val="00C36FE8"/>
    <w:rsid w:val="00C37183"/>
    <w:rsid w:val="00C372B9"/>
    <w:rsid w:val="00C37422"/>
    <w:rsid w:val="00C37CEC"/>
    <w:rsid w:val="00C40158"/>
    <w:rsid w:val="00C40219"/>
    <w:rsid w:val="00C40268"/>
    <w:rsid w:val="00C4087A"/>
    <w:rsid w:val="00C40B02"/>
    <w:rsid w:val="00C40E46"/>
    <w:rsid w:val="00C40FCA"/>
    <w:rsid w:val="00C410AB"/>
    <w:rsid w:val="00C410C7"/>
    <w:rsid w:val="00C41467"/>
    <w:rsid w:val="00C414E2"/>
    <w:rsid w:val="00C421A8"/>
    <w:rsid w:val="00C4242F"/>
    <w:rsid w:val="00C42597"/>
    <w:rsid w:val="00C42D60"/>
    <w:rsid w:val="00C42E40"/>
    <w:rsid w:val="00C433E7"/>
    <w:rsid w:val="00C43491"/>
    <w:rsid w:val="00C43CBA"/>
    <w:rsid w:val="00C4400E"/>
    <w:rsid w:val="00C44154"/>
    <w:rsid w:val="00C4429C"/>
    <w:rsid w:val="00C443E4"/>
    <w:rsid w:val="00C445D8"/>
    <w:rsid w:val="00C446BF"/>
    <w:rsid w:val="00C447C4"/>
    <w:rsid w:val="00C449D1"/>
    <w:rsid w:val="00C45089"/>
    <w:rsid w:val="00C45662"/>
    <w:rsid w:val="00C45E33"/>
    <w:rsid w:val="00C462F3"/>
    <w:rsid w:val="00C4647F"/>
    <w:rsid w:val="00C468C0"/>
    <w:rsid w:val="00C46CDE"/>
    <w:rsid w:val="00C46EAA"/>
    <w:rsid w:val="00C47339"/>
    <w:rsid w:val="00C4772D"/>
    <w:rsid w:val="00C479A9"/>
    <w:rsid w:val="00C47D9A"/>
    <w:rsid w:val="00C47FC7"/>
    <w:rsid w:val="00C501CF"/>
    <w:rsid w:val="00C5032B"/>
    <w:rsid w:val="00C50507"/>
    <w:rsid w:val="00C5053D"/>
    <w:rsid w:val="00C508FE"/>
    <w:rsid w:val="00C5092F"/>
    <w:rsid w:val="00C50D20"/>
    <w:rsid w:val="00C50D50"/>
    <w:rsid w:val="00C50D9A"/>
    <w:rsid w:val="00C50F34"/>
    <w:rsid w:val="00C510F3"/>
    <w:rsid w:val="00C5129F"/>
    <w:rsid w:val="00C5139B"/>
    <w:rsid w:val="00C516D4"/>
    <w:rsid w:val="00C51D23"/>
    <w:rsid w:val="00C52083"/>
    <w:rsid w:val="00C52086"/>
    <w:rsid w:val="00C520CA"/>
    <w:rsid w:val="00C520EC"/>
    <w:rsid w:val="00C52218"/>
    <w:rsid w:val="00C528D0"/>
    <w:rsid w:val="00C52DB2"/>
    <w:rsid w:val="00C53424"/>
    <w:rsid w:val="00C534C3"/>
    <w:rsid w:val="00C534CB"/>
    <w:rsid w:val="00C53660"/>
    <w:rsid w:val="00C536F7"/>
    <w:rsid w:val="00C543B1"/>
    <w:rsid w:val="00C547B4"/>
    <w:rsid w:val="00C54EDA"/>
    <w:rsid w:val="00C54F6F"/>
    <w:rsid w:val="00C55B1D"/>
    <w:rsid w:val="00C55C4B"/>
    <w:rsid w:val="00C55D15"/>
    <w:rsid w:val="00C55DB9"/>
    <w:rsid w:val="00C55ECA"/>
    <w:rsid w:val="00C56143"/>
    <w:rsid w:val="00C562AC"/>
    <w:rsid w:val="00C56BAB"/>
    <w:rsid w:val="00C574C8"/>
    <w:rsid w:val="00C5756A"/>
    <w:rsid w:val="00C578B6"/>
    <w:rsid w:val="00C57EC2"/>
    <w:rsid w:val="00C60152"/>
    <w:rsid w:val="00C60A76"/>
    <w:rsid w:val="00C60C99"/>
    <w:rsid w:val="00C60E26"/>
    <w:rsid w:val="00C6181D"/>
    <w:rsid w:val="00C61F39"/>
    <w:rsid w:val="00C61FDB"/>
    <w:rsid w:val="00C622E2"/>
    <w:rsid w:val="00C6251A"/>
    <w:rsid w:val="00C6258F"/>
    <w:rsid w:val="00C62A4C"/>
    <w:rsid w:val="00C62AD1"/>
    <w:rsid w:val="00C62D00"/>
    <w:rsid w:val="00C62E8A"/>
    <w:rsid w:val="00C62EBC"/>
    <w:rsid w:val="00C638CC"/>
    <w:rsid w:val="00C64145"/>
    <w:rsid w:val="00C6429A"/>
    <w:rsid w:val="00C64869"/>
    <w:rsid w:val="00C64877"/>
    <w:rsid w:val="00C65209"/>
    <w:rsid w:val="00C65800"/>
    <w:rsid w:val="00C6583F"/>
    <w:rsid w:val="00C659BA"/>
    <w:rsid w:val="00C65E06"/>
    <w:rsid w:val="00C66024"/>
    <w:rsid w:val="00C665DC"/>
    <w:rsid w:val="00C66E85"/>
    <w:rsid w:val="00C66ED3"/>
    <w:rsid w:val="00C66FBC"/>
    <w:rsid w:val="00C6706C"/>
    <w:rsid w:val="00C672A2"/>
    <w:rsid w:val="00C67573"/>
    <w:rsid w:val="00C67E65"/>
    <w:rsid w:val="00C67EEA"/>
    <w:rsid w:val="00C67F3E"/>
    <w:rsid w:val="00C67FD0"/>
    <w:rsid w:val="00C7025A"/>
    <w:rsid w:val="00C708F3"/>
    <w:rsid w:val="00C70913"/>
    <w:rsid w:val="00C70928"/>
    <w:rsid w:val="00C70DF4"/>
    <w:rsid w:val="00C70E5F"/>
    <w:rsid w:val="00C7135D"/>
    <w:rsid w:val="00C714DE"/>
    <w:rsid w:val="00C71710"/>
    <w:rsid w:val="00C718E8"/>
    <w:rsid w:val="00C72B61"/>
    <w:rsid w:val="00C72CCB"/>
    <w:rsid w:val="00C72DA5"/>
    <w:rsid w:val="00C72EB2"/>
    <w:rsid w:val="00C7315D"/>
    <w:rsid w:val="00C73165"/>
    <w:rsid w:val="00C731CC"/>
    <w:rsid w:val="00C73282"/>
    <w:rsid w:val="00C736CB"/>
    <w:rsid w:val="00C73721"/>
    <w:rsid w:val="00C7376F"/>
    <w:rsid w:val="00C7395D"/>
    <w:rsid w:val="00C73D81"/>
    <w:rsid w:val="00C73F12"/>
    <w:rsid w:val="00C740BC"/>
    <w:rsid w:val="00C740DF"/>
    <w:rsid w:val="00C7427A"/>
    <w:rsid w:val="00C7490A"/>
    <w:rsid w:val="00C7494D"/>
    <w:rsid w:val="00C74A4B"/>
    <w:rsid w:val="00C74D1C"/>
    <w:rsid w:val="00C74E97"/>
    <w:rsid w:val="00C75691"/>
    <w:rsid w:val="00C756D3"/>
    <w:rsid w:val="00C75998"/>
    <w:rsid w:val="00C75CAB"/>
    <w:rsid w:val="00C76274"/>
    <w:rsid w:val="00C762C5"/>
    <w:rsid w:val="00C7634A"/>
    <w:rsid w:val="00C7658D"/>
    <w:rsid w:val="00C7693B"/>
    <w:rsid w:val="00C76AB5"/>
    <w:rsid w:val="00C76C62"/>
    <w:rsid w:val="00C76CF3"/>
    <w:rsid w:val="00C76E81"/>
    <w:rsid w:val="00C77069"/>
    <w:rsid w:val="00C77086"/>
    <w:rsid w:val="00C77187"/>
    <w:rsid w:val="00C7720D"/>
    <w:rsid w:val="00C77224"/>
    <w:rsid w:val="00C773F1"/>
    <w:rsid w:val="00C777A3"/>
    <w:rsid w:val="00C77D44"/>
    <w:rsid w:val="00C8001B"/>
    <w:rsid w:val="00C80233"/>
    <w:rsid w:val="00C8033A"/>
    <w:rsid w:val="00C805B5"/>
    <w:rsid w:val="00C808C8"/>
    <w:rsid w:val="00C80AE0"/>
    <w:rsid w:val="00C80BB1"/>
    <w:rsid w:val="00C813D7"/>
    <w:rsid w:val="00C81539"/>
    <w:rsid w:val="00C81676"/>
    <w:rsid w:val="00C817CD"/>
    <w:rsid w:val="00C8196E"/>
    <w:rsid w:val="00C8206B"/>
    <w:rsid w:val="00C82160"/>
    <w:rsid w:val="00C8228A"/>
    <w:rsid w:val="00C8276C"/>
    <w:rsid w:val="00C82780"/>
    <w:rsid w:val="00C82AAC"/>
    <w:rsid w:val="00C82AC7"/>
    <w:rsid w:val="00C82F29"/>
    <w:rsid w:val="00C82F89"/>
    <w:rsid w:val="00C833F2"/>
    <w:rsid w:val="00C839BB"/>
    <w:rsid w:val="00C83B5A"/>
    <w:rsid w:val="00C83CCD"/>
    <w:rsid w:val="00C83D56"/>
    <w:rsid w:val="00C83FA8"/>
    <w:rsid w:val="00C8456E"/>
    <w:rsid w:val="00C84AA2"/>
    <w:rsid w:val="00C84D2F"/>
    <w:rsid w:val="00C8517A"/>
    <w:rsid w:val="00C85332"/>
    <w:rsid w:val="00C8552B"/>
    <w:rsid w:val="00C8560F"/>
    <w:rsid w:val="00C85818"/>
    <w:rsid w:val="00C85C1B"/>
    <w:rsid w:val="00C85C3C"/>
    <w:rsid w:val="00C860BA"/>
    <w:rsid w:val="00C8617C"/>
    <w:rsid w:val="00C865BA"/>
    <w:rsid w:val="00C86B7B"/>
    <w:rsid w:val="00C86DCD"/>
    <w:rsid w:val="00C86E1C"/>
    <w:rsid w:val="00C86E81"/>
    <w:rsid w:val="00C872DF"/>
    <w:rsid w:val="00C87382"/>
    <w:rsid w:val="00C87B88"/>
    <w:rsid w:val="00C87BF4"/>
    <w:rsid w:val="00C87C65"/>
    <w:rsid w:val="00C87EEE"/>
    <w:rsid w:val="00C9022E"/>
    <w:rsid w:val="00C902F7"/>
    <w:rsid w:val="00C90421"/>
    <w:rsid w:val="00C90D9C"/>
    <w:rsid w:val="00C90E30"/>
    <w:rsid w:val="00C90F6E"/>
    <w:rsid w:val="00C91099"/>
    <w:rsid w:val="00C913EE"/>
    <w:rsid w:val="00C914A4"/>
    <w:rsid w:val="00C914D7"/>
    <w:rsid w:val="00C9163A"/>
    <w:rsid w:val="00C923ED"/>
    <w:rsid w:val="00C9271B"/>
    <w:rsid w:val="00C92ED4"/>
    <w:rsid w:val="00C92ED9"/>
    <w:rsid w:val="00C92F59"/>
    <w:rsid w:val="00C93019"/>
    <w:rsid w:val="00C930B3"/>
    <w:rsid w:val="00C93187"/>
    <w:rsid w:val="00C932E5"/>
    <w:rsid w:val="00C9387F"/>
    <w:rsid w:val="00C93E63"/>
    <w:rsid w:val="00C93FFD"/>
    <w:rsid w:val="00C94368"/>
    <w:rsid w:val="00C943A8"/>
    <w:rsid w:val="00C94766"/>
    <w:rsid w:val="00C94941"/>
    <w:rsid w:val="00C94D1F"/>
    <w:rsid w:val="00C9522F"/>
    <w:rsid w:val="00C95434"/>
    <w:rsid w:val="00C955EB"/>
    <w:rsid w:val="00C958FD"/>
    <w:rsid w:val="00C95C77"/>
    <w:rsid w:val="00C95D0B"/>
    <w:rsid w:val="00C95D13"/>
    <w:rsid w:val="00C9609C"/>
    <w:rsid w:val="00C968DE"/>
    <w:rsid w:val="00C97058"/>
    <w:rsid w:val="00C9762E"/>
    <w:rsid w:val="00C9781C"/>
    <w:rsid w:val="00C9794F"/>
    <w:rsid w:val="00C97A8F"/>
    <w:rsid w:val="00C97BC3"/>
    <w:rsid w:val="00C97C1C"/>
    <w:rsid w:val="00C97DB3"/>
    <w:rsid w:val="00CA003A"/>
    <w:rsid w:val="00CA0414"/>
    <w:rsid w:val="00CA0549"/>
    <w:rsid w:val="00CA054C"/>
    <w:rsid w:val="00CA0BB7"/>
    <w:rsid w:val="00CA0FB1"/>
    <w:rsid w:val="00CA112D"/>
    <w:rsid w:val="00CA15BC"/>
    <w:rsid w:val="00CA1D3B"/>
    <w:rsid w:val="00CA253B"/>
    <w:rsid w:val="00CA2A22"/>
    <w:rsid w:val="00CA2AFE"/>
    <w:rsid w:val="00CA2D57"/>
    <w:rsid w:val="00CA2D62"/>
    <w:rsid w:val="00CA3025"/>
    <w:rsid w:val="00CA3B6D"/>
    <w:rsid w:val="00CA3C55"/>
    <w:rsid w:val="00CA3DE1"/>
    <w:rsid w:val="00CA3F06"/>
    <w:rsid w:val="00CA4035"/>
    <w:rsid w:val="00CA40CB"/>
    <w:rsid w:val="00CA4210"/>
    <w:rsid w:val="00CA4367"/>
    <w:rsid w:val="00CA46F0"/>
    <w:rsid w:val="00CA48E0"/>
    <w:rsid w:val="00CA4C7C"/>
    <w:rsid w:val="00CA4CBD"/>
    <w:rsid w:val="00CA4EA0"/>
    <w:rsid w:val="00CA4FD3"/>
    <w:rsid w:val="00CA5444"/>
    <w:rsid w:val="00CA5608"/>
    <w:rsid w:val="00CA5C3D"/>
    <w:rsid w:val="00CA60AA"/>
    <w:rsid w:val="00CA63B2"/>
    <w:rsid w:val="00CA683D"/>
    <w:rsid w:val="00CA70D3"/>
    <w:rsid w:val="00CA72A5"/>
    <w:rsid w:val="00CA73F2"/>
    <w:rsid w:val="00CA751E"/>
    <w:rsid w:val="00CA76B8"/>
    <w:rsid w:val="00CA7A46"/>
    <w:rsid w:val="00CA7A59"/>
    <w:rsid w:val="00CA7AB9"/>
    <w:rsid w:val="00CB0081"/>
    <w:rsid w:val="00CB0123"/>
    <w:rsid w:val="00CB0609"/>
    <w:rsid w:val="00CB08D6"/>
    <w:rsid w:val="00CB0F73"/>
    <w:rsid w:val="00CB121D"/>
    <w:rsid w:val="00CB162A"/>
    <w:rsid w:val="00CB1961"/>
    <w:rsid w:val="00CB19B2"/>
    <w:rsid w:val="00CB1C5A"/>
    <w:rsid w:val="00CB1EBA"/>
    <w:rsid w:val="00CB1EDA"/>
    <w:rsid w:val="00CB21BE"/>
    <w:rsid w:val="00CB2260"/>
    <w:rsid w:val="00CB2D52"/>
    <w:rsid w:val="00CB2E73"/>
    <w:rsid w:val="00CB3035"/>
    <w:rsid w:val="00CB3351"/>
    <w:rsid w:val="00CB36EA"/>
    <w:rsid w:val="00CB415D"/>
    <w:rsid w:val="00CB4510"/>
    <w:rsid w:val="00CB45A4"/>
    <w:rsid w:val="00CB47C6"/>
    <w:rsid w:val="00CB48D4"/>
    <w:rsid w:val="00CB49C6"/>
    <w:rsid w:val="00CB4DFE"/>
    <w:rsid w:val="00CB5061"/>
    <w:rsid w:val="00CB5249"/>
    <w:rsid w:val="00CB5BC3"/>
    <w:rsid w:val="00CB6714"/>
    <w:rsid w:val="00CB7066"/>
    <w:rsid w:val="00CB7455"/>
    <w:rsid w:val="00CB76CE"/>
    <w:rsid w:val="00CB7BDB"/>
    <w:rsid w:val="00CB7EBE"/>
    <w:rsid w:val="00CC00BE"/>
    <w:rsid w:val="00CC025A"/>
    <w:rsid w:val="00CC107B"/>
    <w:rsid w:val="00CC12E1"/>
    <w:rsid w:val="00CC1686"/>
    <w:rsid w:val="00CC1D43"/>
    <w:rsid w:val="00CC1EF4"/>
    <w:rsid w:val="00CC28E0"/>
    <w:rsid w:val="00CC297B"/>
    <w:rsid w:val="00CC2E43"/>
    <w:rsid w:val="00CC2EB5"/>
    <w:rsid w:val="00CC30EC"/>
    <w:rsid w:val="00CC313B"/>
    <w:rsid w:val="00CC319D"/>
    <w:rsid w:val="00CC3291"/>
    <w:rsid w:val="00CC3CC0"/>
    <w:rsid w:val="00CC3EF9"/>
    <w:rsid w:val="00CC40A7"/>
    <w:rsid w:val="00CC415E"/>
    <w:rsid w:val="00CC429A"/>
    <w:rsid w:val="00CC42B8"/>
    <w:rsid w:val="00CC4553"/>
    <w:rsid w:val="00CC51B2"/>
    <w:rsid w:val="00CC530E"/>
    <w:rsid w:val="00CC5532"/>
    <w:rsid w:val="00CC5869"/>
    <w:rsid w:val="00CC5973"/>
    <w:rsid w:val="00CC5AA3"/>
    <w:rsid w:val="00CC5BB9"/>
    <w:rsid w:val="00CC5D47"/>
    <w:rsid w:val="00CC60DC"/>
    <w:rsid w:val="00CC63B4"/>
    <w:rsid w:val="00CC6799"/>
    <w:rsid w:val="00CC6A38"/>
    <w:rsid w:val="00CC6FFE"/>
    <w:rsid w:val="00CC7182"/>
    <w:rsid w:val="00CC72E6"/>
    <w:rsid w:val="00CC7A18"/>
    <w:rsid w:val="00CC7C75"/>
    <w:rsid w:val="00CC7D0A"/>
    <w:rsid w:val="00CD0417"/>
    <w:rsid w:val="00CD0464"/>
    <w:rsid w:val="00CD08F3"/>
    <w:rsid w:val="00CD12AE"/>
    <w:rsid w:val="00CD18FD"/>
    <w:rsid w:val="00CD1A2A"/>
    <w:rsid w:val="00CD2127"/>
    <w:rsid w:val="00CD2302"/>
    <w:rsid w:val="00CD25BC"/>
    <w:rsid w:val="00CD2692"/>
    <w:rsid w:val="00CD285F"/>
    <w:rsid w:val="00CD32E8"/>
    <w:rsid w:val="00CD3328"/>
    <w:rsid w:val="00CD3430"/>
    <w:rsid w:val="00CD34C2"/>
    <w:rsid w:val="00CD3912"/>
    <w:rsid w:val="00CD3A63"/>
    <w:rsid w:val="00CD48FB"/>
    <w:rsid w:val="00CD4B27"/>
    <w:rsid w:val="00CD4BFC"/>
    <w:rsid w:val="00CD4DD7"/>
    <w:rsid w:val="00CD4EC0"/>
    <w:rsid w:val="00CD5602"/>
    <w:rsid w:val="00CD568A"/>
    <w:rsid w:val="00CD57A9"/>
    <w:rsid w:val="00CD5A2D"/>
    <w:rsid w:val="00CD5C5E"/>
    <w:rsid w:val="00CD5F57"/>
    <w:rsid w:val="00CD616F"/>
    <w:rsid w:val="00CD6209"/>
    <w:rsid w:val="00CD628F"/>
    <w:rsid w:val="00CD65D4"/>
    <w:rsid w:val="00CD67F0"/>
    <w:rsid w:val="00CD6BC9"/>
    <w:rsid w:val="00CD71E5"/>
    <w:rsid w:val="00CD7212"/>
    <w:rsid w:val="00CD753D"/>
    <w:rsid w:val="00CD78A2"/>
    <w:rsid w:val="00CD7DC9"/>
    <w:rsid w:val="00CD7FBF"/>
    <w:rsid w:val="00CE0078"/>
    <w:rsid w:val="00CE0184"/>
    <w:rsid w:val="00CE0342"/>
    <w:rsid w:val="00CE0445"/>
    <w:rsid w:val="00CE0AE8"/>
    <w:rsid w:val="00CE0CB0"/>
    <w:rsid w:val="00CE0EE7"/>
    <w:rsid w:val="00CE10AA"/>
    <w:rsid w:val="00CE12EE"/>
    <w:rsid w:val="00CE1475"/>
    <w:rsid w:val="00CE147E"/>
    <w:rsid w:val="00CE1605"/>
    <w:rsid w:val="00CE1A90"/>
    <w:rsid w:val="00CE1EA0"/>
    <w:rsid w:val="00CE20F7"/>
    <w:rsid w:val="00CE2242"/>
    <w:rsid w:val="00CE25EC"/>
    <w:rsid w:val="00CE3038"/>
    <w:rsid w:val="00CE32BE"/>
    <w:rsid w:val="00CE3310"/>
    <w:rsid w:val="00CE3459"/>
    <w:rsid w:val="00CE34F6"/>
    <w:rsid w:val="00CE357D"/>
    <w:rsid w:val="00CE37B7"/>
    <w:rsid w:val="00CE3B50"/>
    <w:rsid w:val="00CE3E03"/>
    <w:rsid w:val="00CE3EF3"/>
    <w:rsid w:val="00CE4093"/>
    <w:rsid w:val="00CE40F9"/>
    <w:rsid w:val="00CE41FA"/>
    <w:rsid w:val="00CE4717"/>
    <w:rsid w:val="00CE474C"/>
    <w:rsid w:val="00CE4C21"/>
    <w:rsid w:val="00CE4C6F"/>
    <w:rsid w:val="00CE5007"/>
    <w:rsid w:val="00CE544D"/>
    <w:rsid w:val="00CE54DE"/>
    <w:rsid w:val="00CE5A2F"/>
    <w:rsid w:val="00CE68CD"/>
    <w:rsid w:val="00CE6C1F"/>
    <w:rsid w:val="00CE6DFD"/>
    <w:rsid w:val="00CE6E5D"/>
    <w:rsid w:val="00CE6F0B"/>
    <w:rsid w:val="00CE6F75"/>
    <w:rsid w:val="00CE7EE6"/>
    <w:rsid w:val="00CF01E1"/>
    <w:rsid w:val="00CF04A2"/>
    <w:rsid w:val="00CF0EF6"/>
    <w:rsid w:val="00CF0F0B"/>
    <w:rsid w:val="00CF0FE1"/>
    <w:rsid w:val="00CF121E"/>
    <w:rsid w:val="00CF1227"/>
    <w:rsid w:val="00CF130F"/>
    <w:rsid w:val="00CF1322"/>
    <w:rsid w:val="00CF1B13"/>
    <w:rsid w:val="00CF1C6A"/>
    <w:rsid w:val="00CF2242"/>
    <w:rsid w:val="00CF27DF"/>
    <w:rsid w:val="00CF2A46"/>
    <w:rsid w:val="00CF2B55"/>
    <w:rsid w:val="00CF2C10"/>
    <w:rsid w:val="00CF33D0"/>
    <w:rsid w:val="00CF34DD"/>
    <w:rsid w:val="00CF3519"/>
    <w:rsid w:val="00CF3851"/>
    <w:rsid w:val="00CF3CC2"/>
    <w:rsid w:val="00CF3D1F"/>
    <w:rsid w:val="00CF3EE3"/>
    <w:rsid w:val="00CF3F79"/>
    <w:rsid w:val="00CF4262"/>
    <w:rsid w:val="00CF433F"/>
    <w:rsid w:val="00CF4563"/>
    <w:rsid w:val="00CF49DF"/>
    <w:rsid w:val="00CF5388"/>
    <w:rsid w:val="00CF55F5"/>
    <w:rsid w:val="00CF671F"/>
    <w:rsid w:val="00CF67B8"/>
    <w:rsid w:val="00CF6918"/>
    <w:rsid w:val="00CF7438"/>
    <w:rsid w:val="00CF7486"/>
    <w:rsid w:val="00CF7637"/>
    <w:rsid w:val="00CF7842"/>
    <w:rsid w:val="00CF7B0C"/>
    <w:rsid w:val="00CF7C7F"/>
    <w:rsid w:val="00CF7D39"/>
    <w:rsid w:val="00CF7DAE"/>
    <w:rsid w:val="00CF7E0C"/>
    <w:rsid w:val="00CF7FE1"/>
    <w:rsid w:val="00D00272"/>
    <w:rsid w:val="00D002E5"/>
    <w:rsid w:val="00D005B5"/>
    <w:rsid w:val="00D006E2"/>
    <w:rsid w:val="00D00D79"/>
    <w:rsid w:val="00D01046"/>
    <w:rsid w:val="00D01118"/>
    <w:rsid w:val="00D017CF"/>
    <w:rsid w:val="00D0191A"/>
    <w:rsid w:val="00D02648"/>
    <w:rsid w:val="00D029DD"/>
    <w:rsid w:val="00D02CCF"/>
    <w:rsid w:val="00D02FE8"/>
    <w:rsid w:val="00D0321A"/>
    <w:rsid w:val="00D0327D"/>
    <w:rsid w:val="00D0345E"/>
    <w:rsid w:val="00D03461"/>
    <w:rsid w:val="00D036F8"/>
    <w:rsid w:val="00D03773"/>
    <w:rsid w:val="00D03FF8"/>
    <w:rsid w:val="00D048FB"/>
    <w:rsid w:val="00D049EA"/>
    <w:rsid w:val="00D04C32"/>
    <w:rsid w:val="00D0557B"/>
    <w:rsid w:val="00D059FF"/>
    <w:rsid w:val="00D05D91"/>
    <w:rsid w:val="00D05DB6"/>
    <w:rsid w:val="00D06371"/>
    <w:rsid w:val="00D0646C"/>
    <w:rsid w:val="00D0660B"/>
    <w:rsid w:val="00D06811"/>
    <w:rsid w:val="00D068D0"/>
    <w:rsid w:val="00D06D10"/>
    <w:rsid w:val="00D0707B"/>
    <w:rsid w:val="00D073ED"/>
    <w:rsid w:val="00D07651"/>
    <w:rsid w:val="00D07896"/>
    <w:rsid w:val="00D07AA3"/>
    <w:rsid w:val="00D07DA5"/>
    <w:rsid w:val="00D100F7"/>
    <w:rsid w:val="00D10452"/>
    <w:rsid w:val="00D10482"/>
    <w:rsid w:val="00D10757"/>
    <w:rsid w:val="00D10CA9"/>
    <w:rsid w:val="00D10EAA"/>
    <w:rsid w:val="00D116D6"/>
    <w:rsid w:val="00D11A9F"/>
    <w:rsid w:val="00D11E7D"/>
    <w:rsid w:val="00D11F20"/>
    <w:rsid w:val="00D120AD"/>
    <w:rsid w:val="00D12346"/>
    <w:rsid w:val="00D12363"/>
    <w:rsid w:val="00D1236A"/>
    <w:rsid w:val="00D12580"/>
    <w:rsid w:val="00D1273D"/>
    <w:rsid w:val="00D1296D"/>
    <w:rsid w:val="00D130D1"/>
    <w:rsid w:val="00D13576"/>
    <w:rsid w:val="00D137B4"/>
    <w:rsid w:val="00D13A54"/>
    <w:rsid w:val="00D13A75"/>
    <w:rsid w:val="00D13B14"/>
    <w:rsid w:val="00D13E44"/>
    <w:rsid w:val="00D13FAE"/>
    <w:rsid w:val="00D14050"/>
    <w:rsid w:val="00D14900"/>
    <w:rsid w:val="00D14FE5"/>
    <w:rsid w:val="00D15059"/>
    <w:rsid w:val="00D15095"/>
    <w:rsid w:val="00D15242"/>
    <w:rsid w:val="00D15B92"/>
    <w:rsid w:val="00D15C7F"/>
    <w:rsid w:val="00D15CEB"/>
    <w:rsid w:val="00D15DFF"/>
    <w:rsid w:val="00D16204"/>
    <w:rsid w:val="00D162BD"/>
    <w:rsid w:val="00D166E9"/>
    <w:rsid w:val="00D169A3"/>
    <w:rsid w:val="00D16E7E"/>
    <w:rsid w:val="00D170D0"/>
    <w:rsid w:val="00D175AE"/>
    <w:rsid w:val="00D206A1"/>
    <w:rsid w:val="00D209DF"/>
    <w:rsid w:val="00D20A01"/>
    <w:rsid w:val="00D20BD7"/>
    <w:rsid w:val="00D20EDD"/>
    <w:rsid w:val="00D21040"/>
    <w:rsid w:val="00D2120F"/>
    <w:rsid w:val="00D2137F"/>
    <w:rsid w:val="00D21475"/>
    <w:rsid w:val="00D21745"/>
    <w:rsid w:val="00D21788"/>
    <w:rsid w:val="00D21AB8"/>
    <w:rsid w:val="00D21E98"/>
    <w:rsid w:val="00D22463"/>
    <w:rsid w:val="00D22B92"/>
    <w:rsid w:val="00D2316C"/>
    <w:rsid w:val="00D231FF"/>
    <w:rsid w:val="00D2384F"/>
    <w:rsid w:val="00D23A1A"/>
    <w:rsid w:val="00D23C83"/>
    <w:rsid w:val="00D23CE6"/>
    <w:rsid w:val="00D23DAD"/>
    <w:rsid w:val="00D2425D"/>
    <w:rsid w:val="00D2435B"/>
    <w:rsid w:val="00D24563"/>
    <w:rsid w:val="00D2463F"/>
    <w:rsid w:val="00D2480B"/>
    <w:rsid w:val="00D2480C"/>
    <w:rsid w:val="00D248C4"/>
    <w:rsid w:val="00D24904"/>
    <w:rsid w:val="00D24A82"/>
    <w:rsid w:val="00D24B03"/>
    <w:rsid w:val="00D24D79"/>
    <w:rsid w:val="00D25005"/>
    <w:rsid w:val="00D251F6"/>
    <w:rsid w:val="00D25777"/>
    <w:rsid w:val="00D258BC"/>
    <w:rsid w:val="00D25E1F"/>
    <w:rsid w:val="00D26172"/>
    <w:rsid w:val="00D263AC"/>
    <w:rsid w:val="00D26900"/>
    <w:rsid w:val="00D26910"/>
    <w:rsid w:val="00D27057"/>
    <w:rsid w:val="00D2712A"/>
    <w:rsid w:val="00D275C4"/>
    <w:rsid w:val="00D2763C"/>
    <w:rsid w:val="00D277A5"/>
    <w:rsid w:val="00D27864"/>
    <w:rsid w:val="00D30035"/>
    <w:rsid w:val="00D3051D"/>
    <w:rsid w:val="00D30612"/>
    <w:rsid w:val="00D308BF"/>
    <w:rsid w:val="00D30A86"/>
    <w:rsid w:val="00D30FD9"/>
    <w:rsid w:val="00D31521"/>
    <w:rsid w:val="00D31606"/>
    <w:rsid w:val="00D32479"/>
    <w:rsid w:val="00D328C2"/>
    <w:rsid w:val="00D32B60"/>
    <w:rsid w:val="00D3397A"/>
    <w:rsid w:val="00D348C6"/>
    <w:rsid w:val="00D34B9A"/>
    <w:rsid w:val="00D34D37"/>
    <w:rsid w:val="00D34D3D"/>
    <w:rsid w:val="00D34E67"/>
    <w:rsid w:val="00D34F56"/>
    <w:rsid w:val="00D3535D"/>
    <w:rsid w:val="00D353D6"/>
    <w:rsid w:val="00D354D3"/>
    <w:rsid w:val="00D354E1"/>
    <w:rsid w:val="00D35BE4"/>
    <w:rsid w:val="00D36198"/>
    <w:rsid w:val="00D367EF"/>
    <w:rsid w:val="00D36805"/>
    <w:rsid w:val="00D37517"/>
    <w:rsid w:val="00D37668"/>
    <w:rsid w:val="00D377C7"/>
    <w:rsid w:val="00D378AF"/>
    <w:rsid w:val="00D37E44"/>
    <w:rsid w:val="00D37F4E"/>
    <w:rsid w:val="00D4015D"/>
    <w:rsid w:val="00D40328"/>
    <w:rsid w:val="00D4033F"/>
    <w:rsid w:val="00D4035F"/>
    <w:rsid w:val="00D404B7"/>
    <w:rsid w:val="00D404EE"/>
    <w:rsid w:val="00D40750"/>
    <w:rsid w:val="00D40980"/>
    <w:rsid w:val="00D40BA0"/>
    <w:rsid w:val="00D412CC"/>
    <w:rsid w:val="00D41729"/>
    <w:rsid w:val="00D41742"/>
    <w:rsid w:val="00D41A28"/>
    <w:rsid w:val="00D41A38"/>
    <w:rsid w:val="00D41D7E"/>
    <w:rsid w:val="00D41FE3"/>
    <w:rsid w:val="00D42170"/>
    <w:rsid w:val="00D42D93"/>
    <w:rsid w:val="00D42FD0"/>
    <w:rsid w:val="00D430BB"/>
    <w:rsid w:val="00D43929"/>
    <w:rsid w:val="00D44152"/>
    <w:rsid w:val="00D4490D"/>
    <w:rsid w:val="00D4490E"/>
    <w:rsid w:val="00D44F6C"/>
    <w:rsid w:val="00D45377"/>
    <w:rsid w:val="00D45679"/>
    <w:rsid w:val="00D45E72"/>
    <w:rsid w:val="00D45F1A"/>
    <w:rsid w:val="00D4643A"/>
    <w:rsid w:val="00D4679B"/>
    <w:rsid w:val="00D46974"/>
    <w:rsid w:val="00D46ADC"/>
    <w:rsid w:val="00D474F4"/>
    <w:rsid w:val="00D47874"/>
    <w:rsid w:val="00D47C7E"/>
    <w:rsid w:val="00D47D5F"/>
    <w:rsid w:val="00D47D8C"/>
    <w:rsid w:val="00D47E00"/>
    <w:rsid w:val="00D47FF9"/>
    <w:rsid w:val="00D5038D"/>
    <w:rsid w:val="00D50418"/>
    <w:rsid w:val="00D50C74"/>
    <w:rsid w:val="00D50EF4"/>
    <w:rsid w:val="00D5169A"/>
    <w:rsid w:val="00D517B7"/>
    <w:rsid w:val="00D51888"/>
    <w:rsid w:val="00D520F8"/>
    <w:rsid w:val="00D52106"/>
    <w:rsid w:val="00D52912"/>
    <w:rsid w:val="00D52BBF"/>
    <w:rsid w:val="00D52F57"/>
    <w:rsid w:val="00D52F72"/>
    <w:rsid w:val="00D532C1"/>
    <w:rsid w:val="00D5353C"/>
    <w:rsid w:val="00D538AF"/>
    <w:rsid w:val="00D53B91"/>
    <w:rsid w:val="00D53D52"/>
    <w:rsid w:val="00D53D92"/>
    <w:rsid w:val="00D54089"/>
    <w:rsid w:val="00D54F6E"/>
    <w:rsid w:val="00D55267"/>
    <w:rsid w:val="00D55402"/>
    <w:rsid w:val="00D55449"/>
    <w:rsid w:val="00D55477"/>
    <w:rsid w:val="00D559DE"/>
    <w:rsid w:val="00D563AA"/>
    <w:rsid w:val="00D563EF"/>
    <w:rsid w:val="00D564AF"/>
    <w:rsid w:val="00D564C7"/>
    <w:rsid w:val="00D565F0"/>
    <w:rsid w:val="00D56660"/>
    <w:rsid w:val="00D567F3"/>
    <w:rsid w:val="00D56D15"/>
    <w:rsid w:val="00D571E2"/>
    <w:rsid w:val="00D5734C"/>
    <w:rsid w:val="00D57580"/>
    <w:rsid w:val="00D57942"/>
    <w:rsid w:val="00D5799B"/>
    <w:rsid w:val="00D604DA"/>
    <w:rsid w:val="00D60C60"/>
    <w:rsid w:val="00D6116F"/>
    <w:rsid w:val="00D613B5"/>
    <w:rsid w:val="00D615B7"/>
    <w:rsid w:val="00D6170E"/>
    <w:rsid w:val="00D617DE"/>
    <w:rsid w:val="00D619CD"/>
    <w:rsid w:val="00D6231C"/>
    <w:rsid w:val="00D6275B"/>
    <w:rsid w:val="00D6299A"/>
    <w:rsid w:val="00D6394F"/>
    <w:rsid w:val="00D63C4D"/>
    <w:rsid w:val="00D6424B"/>
    <w:rsid w:val="00D64507"/>
    <w:rsid w:val="00D645F4"/>
    <w:rsid w:val="00D6462D"/>
    <w:rsid w:val="00D647D1"/>
    <w:rsid w:val="00D64A85"/>
    <w:rsid w:val="00D64DFB"/>
    <w:rsid w:val="00D64E7F"/>
    <w:rsid w:val="00D64F92"/>
    <w:rsid w:val="00D652F5"/>
    <w:rsid w:val="00D655AF"/>
    <w:rsid w:val="00D656B6"/>
    <w:rsid w:val="00D65C2A"/>
    <w:rsid w:val="00D65DFA"/>
    <w:rsid w:val="00D6612D"/>
    <w:rsid w:val="00D66303"/>
    <w:rsid w:val="00D66319"/>
    <w:rsid w:val="00D6648C"/>
    <w:rsid w:val="00D664EC"/>
    <w:rsid w:val="00D664FD"/>
    <w:rsid w:val="00D66A7B"/>
    <w:rsid w:val="00D66ED3"/>
    <w:rsid w:val="00D670B2"/>
    <w:rsid w:val="00D672DB"/>
    <w:rsid w:val="00D67C46"/>
    <w:rsid w:val="00D67D9D"/>
    <w:rsid w:val="00D67DFF"/>
    <w:rsid w:val="00D67FD3"/>
    <w:rsid w:val="00D7030F"/>
    <w:rsid w:val="00D7061E"/>
    <w:rsid w:val="00D708B0"/>
    <w:rsid w:val="00D70B19"/>
    <w:rsid w:val="00D70FA2"/>
    <w:rsid w:val="00D71225"/>
    <w:rsid w:val="00D7159D"/>
    <w:rsid w:val="00D716C6"/>
    <w:rsid w:val="00D71988"/>
    <w:rsid w:val="00D71B14"/>
    <w:rsid w:val="00D71E9F"/>
    <w:rsid w:val="00D72226"/>
    <w:rsid w:val="00D7231B"/>
    <w:rsid w:val="00D7238F"/>
    <w:rsid w:val="00D723D9"/>
    <w:rsid w:val="00D72624"/>
    <w:rsid w:val="00D728DB"/>
    <w:rsid w:val="00D72959"/>
    <w:rsid w:val="00D72966"/>
    <w:rsid w:val="00D72AEF"/>
    <w:rsid w:val="00D72FEC"/>
    <w:rsid w:val="00D7303D"/>
    <w:rsid w:val="00D73531"/>
    <w:rsid w:val="00D735E6"/>
    <w:rsid w:val="00D7388E"/>
    <w:rsid w:val="00D73B8B"/>
    <w:rsid w:val="00D73B90"/>
    <w:rsid w:val="00D74403"/>
    <w:rsid w:val="00D745B0"/>
    <w:rsid w:val="00D74614"/>
    <w:rsid w:val="00D74D09"/>
    <w:rsid w:val="00D74D27"/>
    <w:rsid w:val="00D74D67"/>
    <w:rsid w:val="00D74FB7"/>
    <w:rsid w:val="00D75366"/>
    <w:rsid w:val="00D75F53"/>
    <w:rsid w:val="00D760E4"/>
    <w:rsid w:val="00D76383"/>
    <w:rsid w:val="00D764D6"/>
    <w:rsid w:val="00D76558"/>
    <w:rsid w:val="00D76711"/>
    <w:rsid w:val="00D767F9"/>
    <w:rsid w:val="00D76CE4"/>
    <w:rsid w:val="00D77021"/>
    <w:rsid w:val="00D770C5"/>
    <w:rsid w:val="00D77267"/>
    <w:rsid w:val="00D77529"/>
    <w:rsid w:val="00D7778F"/>
    <w:rsid w:val="00D7781E"/>
    <w:rsid w:val="00D77A26"/>
    <w:rsid w:val="00D77B84"/>
    <w:rsid w:val="00D77DF1"/>
    <w:rsid w:val="00D801A9"/>
    <w:rsid w:val="00D801B4"/>
    <w:rsid w:val="00D80804"/>
    <w:rsid w:val="00D80D9F"/>
    <w:rsid w:val="00D8136A"/>
    <w:rsid w:val="00D817F1"/>
    <w:rsid w:val="00D81870"/>
    <w:rsid w:val="00D8196E"/>
    <w:rsid w:val="00D81D62"/>
    <w:rsid w:val="00D826AA"/>
    <w:rsid w:val="00D827A9"/>
    <w:rsid w:val="00D828FF"/>
    <w:rsid w:val="00D82977"/>
    <w:rsid w:val="00D82B04"/>
    <w:rsid w:val="00D82F9B"/>
    <w:rsid w:val="00D83035"/>
    <w:rsid w:val="00D8311A"/>
    <w:rsid w:val="00D836A3"/>
    <w:rsid w:val="00D83DCE"/>
    <w:rsid w:val="00D83DFC"/>
    <w:rsid w:val="00D83E98"/>
    <w:rsid w:val="00D84298"/>
    <w:rsid w:val="00D84316"/>
    <w:rsid w:val="00D843E6"/>
    <w:rsid w:val="00D84465"/>
    <w:rsid w:val="00D845DD"/>
    <w:rsid w:val="00D849DB"/>
    <w:rsid w:val="00D84C68"/>
    <w:rsid w:val="00D8507F"/>
    <w:rsid w:val="00D853D4"/>
    <w:rsid w:val="00D85890"/>
    <w:rsid w:val="00D8596A"/>
    <w:rsid w:val="00D859A0"/>
    <w:rsid w:val="00D85AD4"/>
    <w:rsid w:val="00D8615E"/>
    <w:rsid w:val="00D8619D"/>
    <w:rsid w:val="00D861F0"/>
    <w:rsid w:val="00D86D9E"/>
    <w:rsid w:val="00D870EE"/>
    <w:rsid w:val="00D873FB"/>
    <w:rsid w:val="00D87AD4"/>
    <w:rsid w:val="00D87AEA"/>
    <w:rsid w:val="00D87E0F"/>
    <w:rsid w:val="00D87EEC"/>
    <w:rsid w:val="00D90310"/>
    <w:rsid w:val="00D90ED0"/>
    <w:rsid w:val="00D91143"/>
    <w:rsid w:val="00D913ED"/>
    <w:rsid w:val="00D914C5"/>
    <w:rsid w:val="00D9171A"/>
    <w:rsid w:val="00D919A7"/>
    <w:rsid w:val="00D91A35"/>
    <w:rsid w:val="00D91B17"/>
    <w:rsid w:val="00D91B2B"/>
    <w:rsid w:val="00D91B7B"/>
    <w:rsid w:val="00D91EED"/>
    <w:rsid w:val="00D921E8"/>
    <w:rsid w:val="00D923EC"/>
    <w:rsid w:val="00D924DF"/>
    <w:rsid w:val="00D9290A"/>
    <w:rsid w:val="00D9292F"/>
    <w:rsid w:val="00D92D0F"/>
    <w:rsid w:val="00D92DDA"/>
    <w:rsid w:val="00D93120"/>
    <w:rsid w:val="00D93799"/>
    <w:rsid w:val="00D93CD4"/>
    <w:rsid w:val="00D93DB9"/>
    <w:rsid w:val="00D93EB7"/>
    <w:rsid w:val="00D93F60"/>
    <w:rsid w:val="00D9449D"/>
    <w:rsid w:val="00D944A6"/>
    <w:rsid w:val="00D94B5F"/>
    <w:rsid w:val="00D94B60"/>
    <w:rsid w:val="00D94CAE"/>
    <w:rsid w:val="00D94E38"/>
    <w:rsid w:val="00D94FE9"/>
    <w:rsid w:val="00D9500C"/>
    <w:rsid w:val="00D9588C"/>
    <w:rsid w:val="00D95DC3"/>
    <w:rsid w:val="00D95DDC"/>
    <w:rsid w:val="00D95F32"/>
    <w:rsid w:val="00D96334"/>
    <w:rsid w:val="00D9638C"/>
    <w:rsid w:val="00D9641D"/>
    <w:rsid w:val="00D9657D"/>
    <w:rsid w:val="00D965D6"/>
    <w:rsid w:val="00D967C2"/>
    <w:rsid w:val="00D96AED"/>
    <w:rsid w:val="00D9716E"/>
    <w:rsid w:val="00D97338"/>
    <w:rsid w:val="00D9746C"/>
    <w:rsid w:val="00D975E5"/>
    <w:rsid w:val="00D9761C"/>
    <w:rsid w:val="00D97631"/>
    <w:rsid w:val="00D977D3"/>
    <w:rsid w:val="00D977E1"/>
    <w:rsid w:val="00D97B2D"/>
    <w:rsid w:val="00DA045B"/>
    <w:rsid w:val="00DA06CB"/>
    <w:rsid w:val="00DA074E"/>
    <w:rsid w:val="00DA0A5A"/>
    <w:rsid w:val="00DA0D09"/>
    <w:rsid w:val="00DA0D9F"/>
    <w:rsid w:val="00DA134E"/>
    <w:rsid w:val="00DA1C88"/>
    <w:rsid w:val="00DA2604"/>
    <w:rsid w:val="00DA311C"/>
    <w:rsid w:val="00DA3664"/>
    <w:rsid w:val="00DA367F"/>
    <w:rsid w:val="00DA37BF"/>
    <w:rsid w:val="00DA4156"/>
    <w:rsid w:val="00DA4302"/>
    <w:rsid w:val="00DA49FA"/>
    <w:rsid w:val="00DA4A44"/>
    <w:rsid w:val="00DA50BA"/>
    <w:rsid w:val="00DA5114"/>
    <w:rsid w:val="00DA52AC"/>
    <w:rsid w:val="00DA5BFD"/>
    <w:rsid w:val="00DA6211"/>
    <w:rsid w:val="00DA65B3"/>
    <w:rsid w:val="00DA6827"/>
    <w:rsid w:val="00DA6AA0"/>
    <w:rsid w:val="00DA6BE0"/>
    <w:rsid w:val="00DA6D7B"/>
    <w:rsid w:val="00DA6DF8"/>
    <w:rsid w:val="00DA6E3D"/>
    <w:rsid w:val="00DA6F68"/>
    <w:rsid w:val="00DA709F"/>
    <w:rsid w:val="00DA70BE"/>
    <w:rsid w:val="00DA7145"/>
    <w:rsid w:val="00DA723B"/>
    <w:rsid w:val="00DA755B"/>
    <w:rsid w:val="00DA7CE1"/>
    <w:rsid w:val="00DA7EDF"/>
    <w:rsid w:val="00DA7FF2"/>
    <w:rsid w:val="00DB02A7"/>
    <w:rsid w:val="00DB06C0"/>
    <w:rsid w:val="00DB075F"/>
    <w:rsid w:val="00DB1106"/>
    <w:rsid w:val="00DB152E"/>
    <w:rsid w:val="00DB1F3D"/>
    <w:rsid w:val="00DB2349"/>
    <w:rsid w:val="00DB24CD"/>
    <w:rsid w:val="00DB26EB"/>
    <w:rsid w:val="00DB2888"/>
    <w:rsid w:val="00DB2D2A"/>
    <w:rsid w:val="00DB3256"/>
    <w:rsid w:val="00DB32F9"/>
    <w:rsid w:val="00DB353D"/>
    <w:rsid w:val="00DB3717"/>
    <w:rsid w:val="00DB3F95"/>
    <w:rsid w:val="00DB4346"/>
    <w:rsid w:val="00DB444F"/>
    <w:rsid w:val="00DB452C"/>
    <w:rsid w:val="00DB45F3"/>
    <w:rsid w:val="00DB4994"/>
    <w:rsid w:val="00DB49DD"/>
    <w:rsid w:val="00DB4B31"/>
    <w:rsid w:val="00DB4F73"/>
    <w:rsid w:val="00DB5165"/>
    <w:rsid w:val="00DB5325"/>
    <w:rsid w:val="00DB53EE"/>
    <w:rsid w:val="00DB59DC"/>
    <w:rsid w:val="00DB5A3C"/>
    <w:rsid w:val="00DB5D0F"/>
    <w:rsid w:val="00DB5D64"/>
    <w:rsid w:val="00DB6054"/>
    <w:rsid w:val="00DB651D"/>
    <w:rsid w:val="00DB6741"/>
    <w:rsid w:val="00DB6C2E"/>
    <w:rsid w:val="00DB707C"/>
    <w:rsid w:val="00DB7AEB"/>
    <w:rsid w:val="00DB7E31"/>
    <w:rsid w:val="00DC04AC"/>
    <w:rsid w:val="00DC0749"/>
    <w:rsid w:val="00DC0A2D"/>
    <w:rsid w:val="00DC11C2"/>
    <w:rsid w:val="00DC1D9B"/>
    <w:rsid w:val="00DC1E89"/>
    <w:rsid w:val="00DC2139"/>
    <w:rsid w:val="00DC24E9"/>
    <w:rsid w:val="00DC2E33"/>
    <w:rsid w:val="00DC2FFB"/>
    <w:rsid w:val="00DC3011"/>
    <w:rsid w:val="00DC3182"/>
    <w:rsid w:val="00DC336C"/>
    <w:rsid w:val="00DC3645"/>
    <w:rsid w:val="00DC3673"/>
    <w:rsid w:val="00DC3742"/>
    <w:rsid w:val="00DC3819"/>
    <w:rsid w:val="00DC381E"/>
    <w:rsid w:val="00DC3BDA"/>
    <w:rsid w:val="00DC3E95"/>
    <w:rsid w:val="00DC3F16"/>
    <w:rsid w:val="00DC465B"/>
    <w:rsid w:val="00DC480B"/>
    <w:rsid w:val="00DC4DA0"/>
    <w:rsid w:val="00DC4DFA"/>
    <w:rsid w:val="00DC504E"/>
    <w:rsid w:val="00DC507F"/>
    <w:rsid w:val="00DC5799"/>
    <w:rsid w:val="00DC58D6"/>
    <w:rsid w:val="00DC5B2D"/>
    <w:rsid w:val="00DC5D52"/>
    <w:rsid w:val="00DC5FCA"/>
    <w:rsid w:val="00DC6025"/>
    <w:rsid w:val="00DC6083"/>
    <w:rsid w:val="00DC6539"/>
    <w:rsid w:val="00DC6650"/>
    <w:rsid w:val="00DC6AB5"/>
    <w:rsid w:val="00DC6BD3"/>
    <w:rsid w:val="00DC75F7"/>
    <w:rsid w:val="00DC777D"/>
    <w:rsid w:val="00DC790A"/>
    <w:rsid w:val="00DC7BCD"/>
    <w:rsid w:val="00DC7FC4"/>
    <w:rsid w:val="00DD0321"/>
    <w:rsid w:val="00DD0751"/>
    <w:rsid w:val="00DD083C"/>
    <w:rsid w:val="00DD0A97"/>
    <w:rsid w:val="00DD0E35"/>
    <w:rsid w:val="00DD1672"/>
    <w:rsid w:val="00DD18D0"/>
    <w:rsid w:val="00DD19AA"/>
    <w:rsid w:val="00DD1BFA"/>
    <w:rsid w:val="00DD2AFE"/>
    <w:rsid w:val="00DD2DB9"/>
    <w:rsid w:val="00DD3014"/>
    <w:rsid w:val="00DD3593"/>
    <w:rsid w:val="00DD361D"/>
    <w:rsid w:val="00DD3C06"/>
    <w:rsid w:val="00DD3D90"/>
    <w:rsid w:val="00DD400F"/>
    <w:rsid w:val="00DD4906"/>
    <w:rsid w:val="00DD4BA6"/>
    <w:rsid w:val="00DD4D41"/>
    <w:rsid w:val="00DD50EF"/>
    <w:rsid w:val="00DD5835"/>
    <w:rsid w:val="00DD5BB9"/>
    <w:rsid w:val="00DD5DEB"/>
    <w:rsid w:val="00DD5E4D"/>
    <w:rsid w:val="00DD5E5C"/>
    <w:rsid w:val="00DD6326"/>
    <w:rsid w:val="00DD63E7"/>
    <w:rsid w:val="00DD66EC"/>
    <w:rsid w:val="00DD6B22"/>
    <w:rsid w:val="00DD6D00"/>
    <w:rsid w:val="00DD6EF1"/>
    <w:rsid w:val="00DD6FF8"/>
    <w:rsid w:val="00DD7057"/>
    <w:rsid w:val="00DD721B"/>
    <w:rsid w:val="00DD7313"/>
    <w:rsid w:val="00DD7383"/>
    <w:rsid w:val="00DD740A"/>
    <w:rsid w:val="00DD74C4"/>
    <w:rsid w:val="00DD7561"/>
    <w:rsid w:val="00DD7730"/>
    <w:rsid w:val="00DD794D"/>
    <w:rsid w:val="00DD7A8D"/>
    <w:rsid w:val="00DD7B66"/>
    <w:rsid w:val="00DD7B6D"/>
    <w:rsid w:val="00DD7BF3"/>
    <w:rsid w:val="00DD7C4D"/>
    <w:rsid w:val="00DE0036"/>
    <w:rsid w:val="00DE0143"/>
    <w:rsid w:val="00DE02B9"/>
    <w:rsid w:val="00DE0746"/>
    <w:rsid w:val="00DE081D"/>
    <w:rsid w:val="00DE08B1"/>
    <w:rsid w:val="00DE0A01"/>
    <w:rsid w:val="00DE0B2D"/>
    <w:rsid w:val="00DE0F54"/>
    <w:rsid w:val="00DE10D7"/>
    <w:rsid w:val="00DE142C"/>
    <w:rsid w:val="00DE15B4"/>
    <w:rsid w:val="00DE1993"/>
    <w:rsid w:val="00DE1C0F"/>
    <w:rsid w:val="00DE1DD1"/>
    <w:rsid w:val="00DE1E23"/>
    <w:rsid w:val="00DE2047"/>
    <w:rsid w:val="00DE205D"/>
    <w:rsid w:val="00DE2531"/>
    <w:rsid w:val="00DE27A9"/>
    <w:rsid w:val="00DE28EC"/>
    <w:rsid w:val="00DE2AD4"/>
    <w:rsid w:val="00DE2E80"/>
    <w:rsid w:val="00DE2ECC"/>
    <w:rsid w:val="00DE2F12"/>
    <w:rsid w:val="00DE2F75"/>
    <w:rsid w:val="00DE2F81"/>
    <w:rsid w:val="00DE335F"/>
    <w:rsid w:val="00DE3557"/>
    <w:rsid w:val="00DE372A"/>
    <w:rsid w:val="00DE37F3"/>
    <w:rsid w:val="00DE391A"/>
    <w:rsid w:val="00DE3A23"/>
    <w:rsid w:val="00DE3A60"/>
    <w:rsid w:val="00DE3C47"/>
    <w:rsid w:val="00DE3E50"/>
    <w:rsid w:val="00DE3EBC"/>
    <w:rsid w:val="00DE4689"/>
    <w:rsid w:val="00DE4B2A"/>
    <w:rsid w:val="00DE4BE6"/>
    <w:rsid w:val="00DE4C6A"/>
    <w:rsid w:val="00DE4F39"/>
    <w:rsid w:val="00DE51F8"/>
    <w:rsid w:val="00DE564F"/>
    <w:rsid w:val="00DE5659"/>
    <w:rsid w:val="00DE568D"/>
    <w:rsid w:val="00DE5967"/>
    <w:rsid w:val="00DE5EB3"/>
    <w:rsid w:val="00DE6114"/>
    <w:rsid w:val="00DE61B7"/>
    <w:rsid w:val="00DE6292"/>
    <w:rsid w:val="00DE6792"/>
    <w:rsid w:val="00DE692F"/>
    <w:rsid w:val="00DE6F95"/>
    <w:rsid w:val="00DE709C"/>
    <w:rsid w:val="00DE71E2"/>
    <w:rsid w:val="00DE7234"/>
    <w:rsid w:val="00DE7B1F"/>
    <w:rsid w:val="00DE7C30"/>
    <w:rsid w:val="00DE7F29"/>
    <w:rsid w:val="00DE7F44"/>
    <w:rsid w:val="00DF07D9"/>
    <w:rsid w:val="00DF09AA"/>
    <w:rsid w:val="00DF0A28"/>
    <w:rsid w:val="00DF0AC5"/>
    <w:rsid w:val="00DF0FB2"/>
    <w:rsid w:val="00DF0FD1"/>
    <w:rsid w:val="00DF1424"/>
    <w:rsid w:val="00DF14DB"/>
    <w:rsid w:val="00DF1763"/>
    <w:rsid w:val="00DF199F"/>
    <w:rsid w:val="00DF19C5"/>
    <w:rsid w:val="00DF1C45"/>
    <w:rsid w:val="00DF2175"/>
    <w:rsid w:val="00DF2214"/>
    <w:rsid w:val="00DF252C"/>
    <w:rsid w:val="00DF2772"/>
    <w:rsid w:val="00DF2B69"/>
    <w:rsid w:val="00DF2BA4"/>
    <w:rsid w:val="00DF2C15"/>
    <w:rsid w:val="00DF2F15"/>
    <w:rsid w:val="00DF32CD"/>
    <w:rsid w:val="00DF33D9"/>
    <w:rsid w:val="00DF3806"/>
    <w:rsid w:val="00DF393F"/>
    <w:rsid w:val="00DF396E"/>
    <w:rsid w:val="00DF3ADE"/>
    <w:rsid w:val="00DF4662"/>
    <w:rsid w:val="00DF4754"/>
    <w:rsid w:val="00DF48D8"/>
    <w:rsid w:val="00DF497F"/>
    <w:rsid w:val="00DF4BF9"/>
    <w:rsid w:val="00DF5137"/>
    <w:rsid w:val="00DF53EF"/>
    <w:rsid w:val="00DF548C"/>
    <w:rsid w:val="00DF55C6"/>
    <w:rsid w:val="00DF5858"/>
    <w:rsid w:val="00DF595F"/>
    <w:rsid w:val="00DF59E2"/>
    <w:rsid w:val="00DF5EBF"/>
    <w:rsid w:val="00DF69B2"/>
    <w:rsid w:val="00DF6BC9"/>
    <w:rsid w:val="00DF6D27"/>
    <w:rsid w:val="00DF6FA6"/>
    <w:rsid w:val="00DF73BB"/>
    <w:rsid w:val="00DF7759"/>
    <w:rsid w:val="00DF7768"/>
    <w:rsid w:val="00DF788C"/>
    <w:rsid w:val="00E00110"/>
    <w:rsid w:val="00E004C4"/>
    <w:rsid w:val="00E00528"/>
    <w:rsid w:val="00E0055A"/>
    <w:rsid w:val="00E00765"/>
    <w:rsid w:val="00E007F7"/>
    <w:rsid w:val="00E009F8"/>
    <w:rsid w:val="00E00F23"/>
    <w:rsid w:val="00E01125"/>
    <w:rsid w:val="00E0126B"/>
    <w:rsid w:val="00E01A0C"/>
    <w:rsid w:val="00E01A44"/>
    <w:rsid w:val="00E01CEB"/>
    <w:rsid w:val="00E01D86"/>
    <w:rsid w:val="00E01E7D"/>
    <w:rsid w:val="00E02057"/>
    <w:rsid w:val="00E025C5"/>
    <w:rsid w:val="00E026EF"/>
    <w:rsid w:val="00E028B7"/>
    <w:rsid w:val="00E02A20"/>
    <w:rsid w:val="00E02FDD"/>
    <w:rsid w:val="00E03033"/>
    <w:rsid w:val="00E0383C"/>
    <w:rsid w:val="00E03CB1"/>
    <w:rsid w:val="00E0415B"/>
    <w:rsid w:val="00E04183"/>
    <w:rsid w:val="00E045CF"/>
    <w:rsid w:val="00E04AC3"/>
    <w:rsid w:val="00E04DB1"/>
    <w:rsid w:val="00E04EB3"/>
    <w:rsid w:val="00E054BF"/>
    <w:rsid w:val="00E055AF"/>
    <w:rsid w:val="00E05796"/>
    <w:rsid w:val="00E05E34"/>
    <w:rsid w:val="00E05EA7"/>
    <w:rsid w:val="00E06293"/>
    <w:rsid w:val="00E0636F"/>
    <w:rsid w:val="00E0682D"/>
    <w:rsid w:val="00E06AE4"/>
    <w:rsid w:val="00E06E30"/>
    <w:rsid w:val="00E07000"/>
    <w:rsid w:val="00E0702F"/>
    <w:rsid w:val="00E0718D"/>
    <w:rsid w:val="00E07400"/>
    <w:rsid w:val="00E07554"/>
    <w:rsid w:val="00E07777"/>
    <w:rsid w:val="00E078B7"/>
    <w:rsid w:val="00E079C9"/>
    <w:rsid w:val="00E07C17"/>
    <w:rsid w:val="00E07D2C"/>
    <w:rsid w:val="00E101F0"/>
    <w:rsid w:val="00E10263"/>
    <w:rsid w:val="00E103F9"/>
    <w:rsid w:val="00E103FE"/>
    <w:rsid w:val="00E106C2"/>
    <w:rsid w:val="00E10871"/>
    <w:rsid w:val="00E108CB"/>
    <w:rsid w:val="00E109B4"/>
    <w:rsid w:val="00E10D29"/>
    <w:rsid w:val="00E114A6"/>
    <w:rsid w:val="00E11718"/>
    <w:rsid w:val="00E11830"/>
    <w:rsid w:val="00E11A02"/>
    <w:rsid w:val="00E11B62"/>
    <w:rsid w:val="00E120B9"/>
    <w:rsid w:val="00E121DD"/>
    <w:rsid w:val="00E127B5"/>
    <w:rsid w:val="00E12802"/>
    <w:rsid w:val="00E1282A"/>
    <w:rsid w:val="00E1289C"/>
    <w:rsid w:val="00E128B8"/>
    <w:rsid w:val="00E129CD"/>
    <w:rsid w:val="00E12A60"/>
    <w:rsid w:val="00E12AF0"/>
    <w:rsid w:val="00E12C1D"/>
    <w:rsid w:val="00E131C1"/>
    <w:rsid w:val="00E1379C"/>
    <w:rsid w:val="00E1380E"/>
    <w:rsid w:val="00E139CF"/>
    <w:rsid w:val="00E13B61"/>
    <w:rsid w:val="00E14337"/>
    <w:rsid w:val="00E145C3"/>
    <w:rsid w:val="00E147E5"/>
    <w:rsid w:val="00E148D7"/>
    <w:rsid w:val="00E14908"/>
    <w:rsid w:val="00E149FF"/>
    <w:rsid w:val="00E14A25"/>
    <w:rsid w:val="00E14D14"/>
    <w:rsid w:val="00E14DA7"/>
    <w:rsid w:val="00E14F33"/>
    <w:rsid w:val="00E155EE"/>
    <w:rsid w:val="00E15D5A"/>
    <w:rsid w:val="00E164AC"/>
    <w:rsid w:val="00E16B0F"/>
    <w:rsid w:val="00E16B48"/>
    <w:rsid w:val="00E16B6F"/>
    <w:rsid w:val="00E16E09"/>
    <w:rsid w:val="00E16EB3"/>
    <w:rsid w:val="00E16FE3"/>
    <w:rsid w:val="00E1714E"/>
    <w:rsid w:val="00E17510"/>
    <w:rsid w:val="00E17ABF"/>
    <w:rsid w:val="00E17D2C"/>
    <w:rsid w:val="00E17FA9"/>
    <w:rsid w:val="00E2057D"/>
    <w:rsid w:val="00E2069B"/>
    <w:rsid w:val="00E2079D"/>
    <w:rsid w:val="00E2084F"/>
    <w:rsid w:val="00E20B1C"/>
    <w:rsid w:val="00E21E67"/>
    <w:rsid w:val="00E21E98"/>
    <w:rsid w:val="00E21F0B"/>
    <w:rsid w:val="00E2216A"/>
    <w:rsid w:val="00E224B3"/>
    <w:rsid w:val="00E22BBE"/>
    <w:rsid w:val="00E22D63"/>
    <w:rsid w:val="00E22E30"/>
    <w:rsid w:val="00E23168"/>
    <w:rsid w:val="00E2371A"/>
    <w:rsid w:val="00E23FAB"/>
    <w:rsid w:val="00E24AE6"/>
    <w:rsid w:val="00E24C93"/>
    <w:rsid w:val="00E257F6"/>
    <w:rsid w:val="00E25978"/>
    <w:rsid w:val="00E2645B"/>
    <w:rsid w:val="00E2649B"/>
    <w:rsid w:val="00E266C7"/>
    <w:rsid w:val="00E268D7"/>
    <w:rsid w:val="00E27476"/>
    <w:rsid w:val="00E274F9"/>
    <w:rsid w:val="00E27776"/>
    <w:rsid w:val="00E277B4"/>
    <w:rsid w:val="00E27840"/>
    <w:rsid w:val="00E27948"/>
    <w:rsid w:val="00E27E56"/>
    <w:rsid w:val="00E30342"/>
    <w:rsid w:val="00E305F6"/>
    <w:rsid w:val="00E3068A"/>
    <w:rsid w:val="00E30BDC"/>
    <w:rsid w:val="00E30D55"/>
    <w:rsid w:val="00E31547"/>
    <w:rsid w:val="00E31973"/>
    <w:rsid w:val="00E319E6"/>
    <w:rsid w:val="00E31F4F"/>
    <w:rsid w:val="00E3211E"/>
    <w:rsid w:val="00E32704"/>
    <w:rsid w:val="00E327BD"/>
    <w:rsid w:val="00E327DD"/>
    <w:rsid w:val="00E32855"/>
    <w:rsid w:val="00E32971"/>
    <w:rsid w:val="00E329D5"/>
    <w:rsid w:val="00E32AC3"/>
    <w:rsid w:val="00E32DFE"/>
    <w:rsid w:val="00E330AE"/>
    <w:rsid w:val="00E333D4"/>
    <w:rsid w:val="00E33CAC"/>
    <w:rsid w:val="00E33FDA"/>
    <w:rsid w:val="00E34176"/>
    <w:rsid w:val="00E343F5"/>
    <w:rsid w:val="00E34538"/>
    <w:rsid w:val="00E3500A"/>
    <w:rsid w:val="00E3514D"/>
    <w:rsid w:val="00E35198"/>
    <w:rsid w:val="00E352C5"/>
    <w:rsid w:val="00E35729"/>
    <w:rsid w:val="00E35A60"/>
    <w:rsid w:val="00E364C2"/>
    <w:rsid w:val="00E36560"/>
    <w:rsid w:val="00E367EC"/>
    <w:rsid w:val="00E36B93"/>
    <w:rsid w:val="00E36C3D"/>
    <w:rsid w:val="00E37083"/>
    <w:rsid w:val="00E37C72"/>
    <w:rsid w:val="00E37E93"/>
    <w:rsid w:val="00E40288"/>
    <w:rsid w:val="00E40632"/>
    <w:rsid w:val="00E40695"/>
    <w:rsid w:val="00E4087E"/>
    <w:rsid w:val="00E409CE"/>
    <w:rsid w:val="00E40AF7"/>
    <w:rsid w:val="00E40E47"/>
    <w:rsid w:val="00E40E80"/>
    <w:rsid w:val="00E413B2"/>
    <w:rsid w:val="00E413EB"/>
    <w:rsid w:val="00E41682"/>
    <w:rsid w:val="00E416F3"/>
    <w:rsid w:val="00E41846"/>
    <w:rsid w:val="00E41930"/>
    <w:rsid w:val="00E41CE7"/>
    <w:rsid w:val="00E41E0F"/>
    <w:rsid w:val="00E425D6"/>
    <w:rsid w:val="00E42A8F"/>
    <w:rsid w:val="00E42B88"/>
    <w:rsid w:val="00E42EE9"/>
    <w:rsid w:val="00E42EFE"/>
    <w:rsid w:val="00E43464"/>
    <w:rsid w:val="00E43A71"/>
    <w:rsid w:val="00E447FA"/>
    <w:rsid w:val="00E449A2"/>
    <w:rsid w:val="00E45200"/>
    <w:rsid w:val="00E45238"/>
    <w:rsid w:val="00E45673"/>
    <w:rsid w:val="00E457E7"/>
    <w:rsid w:val="00E45BEB"/>
    <w:rsid w:val="00E45F90"/>
    <w:rsid w:val="00E46097"/>
    <w:rsid w:val="00E464B9"/>
    <w:rsid w:val="00E4652D"/>
    <w:rsid w:val="00E46B7A"/>
    <w:rsid w:val="00E46E39"/>
    <w:rsid w:val="00E475CD"/>
    <w:rsid w:val="00E47A40"/>
    <w:rsid w:val="00E5025A"/>
    <w:rsid w:val="00E50345"/>
    <w:rsid w:val="00E50551"/>
    <w:rsid w:val="00E50827"/>
    <w:rsid w:val="00E50C2E"/>
    <w:rsid w:val="00E51138"/>
    <w:rsid w:val="00E51CD3"/>
    <w:rsid w:val="00E51EF3"/>
    <w:rsid w:val="00E51F56"/>
    <w:rsid w:val="00E522F2"/>
    <w:rsid w:val="00E5254B"/>
    <w:rsid w:val="00E52761"/>
    <w:rsid w:val="00E52975"/>
    <w:rsid w:val="00E52C27"/>
    <w:rsid w:val="00E532CA"/>
    <w:rsid w:val="00E536FA"/>
    <w:rsid w:val="00E53E49"/>
    <w:rsid w:val="00E53EDF"/>
    <w:rsid w:val="00E5410E"/>
    <w:rsid w:val="00E54560"/>
    <w:rsid w:val="00E546FF"/>
    <w:rsid w:val="00E54E8A"/>
    <w:rsid w:val="00E54F1A"/>
    <w:rsid w:val="00E55166"/>
    <w:rsid w:val="00E5522F"/>
    <w:rsid w:val="00E554D7"/>
    <w:rsid w:val="00E5555E"/>
    <w:rsid w:val="00E55A82"/>
    <w:rsid w:val="00E55C18"/>
    <w:rsid w:val="00E55F48"/>
    <w:rsid w:val="00E55FE6"/>
    <w:rsid w:val="00E5626F"/>
    <w:rsid w:val="00E5652A"/>
    <w:rsid w:val="00E5667F"/>
    <w:rsid w:val="00E569B9"/>
    <w:rsid w:val="00E56A9D"/>
    <w:rsid w:val="00E56B79"/>
    <w:rsid w:val="00E56D1B"/>
    <w:rsid w:val="00E57F93"/>
    <w:rsid w:val="00E60033"/>
    <w:rsid w:val="00E6016C"/>
    <w:rsid w:val="00E604CA"/>
    <w:rsid w:val="00E6058C"/>
    <w:rsid w:val="00E60668"/>
    <w:rsid w:val="00E60749"/>
    <w:rsid w:val="00E608C3"/>
    <w:rsid w:val="00E60BC6"/>
    <w:rsid w:val="00E60E6C"/>
    <w:rsid w:val="00E611D2"/>
    <w:rsid w:val="00E61BFF"/>
    <w:rsid w:val="00E61C0B"/>
    <w:rsid w:val="00E61F4C"/>
    <w:rsid w:val="00E6230E"/>
    <w:rsid w:val="00E62628"/>
    <w:rsid w:val="00E62781"/>
    <w:rsid w:val="00E62B4A"/>
    <w:rsid w:val="00E63530"/>
    <w:rsid w:val="00E63762"/>
    <w:rsid w:val="00E63A01"/>
    <w:rsid w:val="00E63A09"/>
    <w:rsid w:val="00E63D0B"/>
    <w:rsid w:val="00E63FD2"/>
    <w:rsid w:val="00E64345"/>
    <w:rsid w:val="00E647AA"/>
    <w:rsid w:val="00E64A86"/>
    <w:rsid w:val="00E64BF1"/>
    <w:rsid w:val="00E64C07"/>
    <w:rsid w:val="00E64CDC"/>
    <w:rsid w:val="00E64E32"/>
    <w:rsid w:val="00E64E6A"/>
    <w:rsid w:val="00E64FBF"/>
    <w:rsid w:val="00E652A6"/>
    <w:rsid w:val="00E652D2"/>
    <w:rsid w:val="00E65DA3"/>
    <w:rsid w:val="00E65DE6"/>
    <w:rsid w:val="00E6603E"/>
    <w:rsid w:val="00E66267"/>
    <w:rsid w:val="00E664C1"/>
    <w:rsid w:val="00E66547"/>
    <w:rsid w:val="00E66B85"/>
    <w:rsid w:val="00E66E94"/>
    <w:rsid w:val="00E6719E"/>
    <w:rsid w:val="00E673FE"/>
    <w:rsid w:val="00E67619"/>
    <w:rsid w:val="00E67A65"/>
    <w:rsid w:val="00E67A9B"/>
    <w:rsid w:val="00E7054F"/>
    <w:rsid w:val="00E7078F"/>
    <w:rsid w:val="00E70B63"/>
    <w:rsid w:val="00E70B9C"/>
    <w:rsid w:val="00E70BA6"/>
    <w:rsid w:val="00E71206"/>
    <w:rsid w:val="00E712AF"/>
    <w:rsid w:val="00E712D4"/>
    <w:rsid w:val="00E713E9"/>
    <w:rsid w:val="00E7192A"/>
    <w:rsid w:val="00E71D5F"/>
    <w:rsid w:val="00E71D61"/>
    <w:rsid w:val="00E71D9D"/>
    <w:rsid w:val="00E71E72"/>
    <w:rsid w:val="00E7202E"/>
    <w:rsid w:val="00E728A2"/>
    <w:rsid w:val="00E728DF"/>
    <w:rsid w:val="00E72FE0"/>
    <w:rsid w:val="00E7340C"/>
    <w:rsid w:val="00E7352D"/>
    <w:rsid w:val="00E73A9F"/>
    <w:rsid w:val="00E73AAA"/>
    <w:rsid w:val="00E73CC5"/>
    <w:rsid w:val="00E73CFA"/>
    <w:rsid w:val="00E7430C"/>
    <w:rsid w:val="00E7432A"/>
    <w:rsid w:val="00E745E3"/>
    <w:rsid w:val="00E745F9"/>
    <w:rsid w:val="00E74794"/>
    <w:rsid w:val="00E7499C"/>
    <w:rsid w:val="00E749D5"/>
    <w:rsid w:val="00E74A0F"/>
    <w:rsid w:val="00E74AC8"/>
    <w:rsid w:val="00E74E4E"/>
    <w:rsid w:val="00E74E56"/>
    <w:rsid w:val="00E74FB0"/>
    <w:rsid w:val="00E75035"/>
    <w:rsid w:val="00E752E0"/>
    <w:rsid w:val="00E754CA"/>
    <w:rsid w:val="00E7562C"/>
    <w:rsid w:val="00E75843"/>
    <w:rsid w:val="00E758D0"/>
    <w:rsid w:val="00E75B7D"/>
    <w:rsid w:val="00E7606A"/>
    <w:rsid w:val="00E760C5"/>
    <w:rsid w:val="00E760FA"/>
    <w:rsid w:val="00E7640F"/>
    <w:rsid w:val="00E76774"/>
    <w:rsid w:val="00E76789"/>
    <w:rsid w:val="00E76A5D"/>
    <w:rsid w:val="00E76C17"/>
    <w:rsid w:val="00E76D21"/>
    <w:rsid w:val="00E76EBB"/>
    <w:rsid w:val="00E76EF3"/>
    <w:rsid w:val="00E77057"/>
    <w:rsid w:val="00E77163"/>
    <w:rsid w:val="00E7718E"/>
    <w:rsid w:val="00E778D1"/>
    <w:rsid w:val="00E7790E"/>
    <w:rsid w:val="00E77E87"/>
    <w:rsid w:val="00E77F50"/>
    <w:rsid w:val="00E77F6A"/>
    <w:rsid w:val="00E80483"/>
    <w:rsid w:val="00E806BE"/>
    <w:rsid w:val="00E80FAC"/>
    <w:rsid w:val="00E8117D"/>
    <w:rsid w:val="00E811B0"/>
    <w:rsid w:val="00E813D1"/>
    <w:rsid w:val="00E818A0"/>
    <w:rsid w:val="00E81EA9"/>
    <w:rsid w:val="00E81FF8"/>
    <w:rsid w:val="00E82432"/>
    <w:rsid w:val="00E82834"/>
    <w:rsid w:val="00E82908"/>
    <w:rsid w:val="00E82CE5"/>
    <w:rsid w:val="00E82E7A"/>
    <w:rsid w:val="00E82EFB"/>
    <w:rsid w:val="00E83337"/>
    <w:rsid w:val="00E83712"/>
    <w:rsid w:val="00E83BAB"/>
    <w:rsid w:val="00E83E88"/>
    <w:rsid w:val="00E840CB"/>
    <w:rsid w:val="00E8456B"/>
    <w:rsid w:val="00E84BB7"/>
    <w:rsid w:val="00E84F87"/>
    <w:rsid w:val="00E853C4"/>
    <w:rsid w:val="00E85457"/>
    <w:rsid w:val="00E855B1"/>
    <w:rsid w:val="00E85741"/>
    <w:rsid w:val="00E85AD9"/>
    <w:rsid w:val="00E85C3D"/>
    <w:rsid w:val="00E86242"/>
    <w:rsid w:val="00E866D1"/>
    <w:rsid w:val="00E869AD"/>
    <w:rsid w:val="00E8712A"/>
    <w:rsid w:val="00E87580"/>
    <w:rsid w:val="00E87B9F"/>
    <w:rsid w:val="00E87E07"/>
    <w:rsid w:val="00E87F91"/>
    <w:rsid w:val="00E90344"/>
    <w:rsid w:val="00E9079F"/>
    <w:rsid w:val="00E907A6"/>
    <w:rsid w:val="00E913C3"/>
    <w:rsid w:val="00E9152B"/>
    <w:rsid w:val="00E91A79"/>
    <w:rsid w:val="00E91B6F"/>
    <w:rsid w:val="00E921DD"/>
    <w:rsid w:val="00E92AE5"/>
    <w:rsid w:val="00E92C20"/>
    <w:rsid w:val="00E92F18"/>
    <w:rsid w:val="00E92FDC"/>
    <w:rsid w:val="00E93BF9"/>
    <w:rsid w:val="00E93FB0"/>
    <w:rsid w:val="00E94169"/>
    <w:rsid w:val="00E941F7"/>
    <w:rsid w:val="00E94571"/>
    <w:rsid w:val="00E949F2"/>
    <w:rsid w:val="00E952C3"/>
    <w:rsid w:val="00E953D0"/>
    <w:rsid w:val="00E95586"/>
    <w:rsid w:val="00E95B25"/>
    <w:rsid w:val="00E95E13"/>
    <w:rsid w:val="00E95F36"/>
    <w:rsid w:val="00E9606D"/>
    <w:rsid w:val="00E96638"/>
    <w:rsid w:val="00E9667A"/>
    <w:rsid w:val="00E96867"/>
    <w:rsid w:val="00E9693E"/>
    <w:rsid w:val="00E96E27"/>
    <w:rsid w:val="00E96FF2"/>
    <w:rsid w:val="00E971C0"/>
    <w:rsid w:val="00E972E7"/>
    <w:rsid w:val="00E974C8"/>
    <w:rsid w:val="00E97B34"/>
    <w:rsid w:val="00E97B58"/>
    <w:rsid w:val="00E97B5D"/>
    <w:rsid w:val="00EA006A"/>
    <w:rsid w:val="00EA0374"/>
    <w:rsid w:val="00EA0490"/>
    <w:rsid w:val="00EA0680"/>
    <w:rsid w:val="00EA082F"/>
    <w:rsid w:val="00EA0993"/>
    <w:rsid w:val="00EA09C4"/>
    <w:rsid w:val="00EA0CE4"/>
    <w:rsid w:val="00EA12BE"/>
    <w:rsid w:val="00EA1510"/>
    <w:rsid w:val="00EA1514"/>
    <w:rsid w:val="00EA1620"/>
    <w:rsid w:val="00EA17B1"/>
    <w:rsid w:val="00EA1895"/>
    <w:rsid w:val="00EA1A46"/>
    <w:rsid w:val="00EA2229"/>
    <w:rsid w:val="00EA3023"/>
    <w:rsid w:val="00EA307E"/>
    <w:rsid w:val="00EA322F"/>
    <w:rsid w:val="00EA3377"/>
    <w:rsid w:val="00EA368A"/>
    <w:rsid w:val="00EA41E6"/>
    <w:rsid w:val="00EA43B9"/>
    <w:rsid w:val="00EA4969"/>
    <w:rsid w:val="00EA4CC8"/>
    <w:rsid w:val="00EA51D1"/>
    <w:rsid w:val="00EA541A"/>
    <w:rsid w:val="00EA56D3"/>
    <w:rsid w:val="00EA6312"/>
    <w:rsid w:val="00EA6402"/>
    <w:rsid w:val="00EA645D"/>
    <w:rsid w:val="00EA65E8"/>
    <w:rsid w:val="00EA6D08"/>
    <w:rsid w:val="00EA6DAE"/>
    <w:rsid w:val="00EA6EB8"/>
    <w:rsid w:val="00EA6F94"/>
    <w:rsid w:val="00EA6FC3"/>
    <w:rsid w:val="00EA725B"/>
    <w:rsid w:val="00EA730B"/>
    <w:rsid w:val="00EA739A"/>
    <w:rsid w:val="00EA79F7"/>
    <w:rsid w:val="00EA7A80"/>
    <w:rsid w:val="00EB052D"/>
    <w:rsid w:val="00EB09F7"/>
    <w:rsid w:val="00EB0A6A"/>
    <w:rsid w:val="00EB0AF5"/>
    <w:rsid w:val="00EB10BC"/>
    <w:rsid w:val="00EB13A5"/>
    <w:rsid w:val="00EB197B"/>
    <w:rsid w:val="00EB224A"/>
    <w:rsid w:val="00EB28F8"/>
    <w:rsid w:val="00EB2F56"/>
    <w:rsid w:val="00EB302C"/>
    <w:rsid w:val="00EB304B"/>
    <w:rsid w:val="00EB3411"/>
    <w:rsid w:val="00EB38DD"/>
    <w:rsid w:val="00EB3D2B"/>
    <w:rsid w:val="00EB4155"/>
    <w:rsid w:val="00EB447D"/>
    <w:rsid w:val="00EB47C8"/>
    <w:rsid w:val="00EB488E"/>
    <w:rsid w:val="00EB4A85"/>
    <w:rsid w:val="00EB4B09"/>
    <w:rsid w:val="00EB4C11"/>
    <w:rsid w:val="00EB4C32"/>
    <w:rsid w:val="00EB506D"/>
    <w:rsid w:val="00EB5740"/>
    <w:rsid w:val="00EB5DFF"/>
    <w:rsid w:val="00EB6655"/>
    <w:rsid w:val="00EB7202"/>
    <w:rsid w:val="00EB7B21"/>
    <w:rsid w:val="00EB7B3F"/>
    <w:rsid w:val="00EB7BE0"/>
    <w:rsid w:val="00EB7CC8"/>
    <w:rsid w:val="00EB7EEE"/>
    <w:rsid w:val="00EC09A5"/>
    <w:rsid w:val="00EC0F56"/>
    <w:rsid w:val="00EC0FD0"/>
    <w:rsid w:val="00EC10DB"/>
    <w:rsid w:val="00EC10FB"/>
    <w:rsid w:val="00EC13BD"/>
    <w:rsid w:val="00EC246B"/>
    <w:rsid w:val="00EC25AB"/>
    <w:rsid w:val="00EC26CC"/>
    <w:rsid w:val="00EC2DFE"/>
    <w:rsid w:val="00EC30B3"/>
    <w:rsid w:val="00EC3727"/>
    <w:rsid w:val="00EC3C08"/>
    <w:rsid w:val="00EC4B12"/>
    <w:rsid w:val="00EC4B3A"/>
    <w:rsid w:val="00EC4D57"/>
    <w:rsid w:val="00EC4ED0"/>
    <w:rsid w:val="00EC4F84"/>
    <w:rsid w:val="00EC53A5"/>
    <w:rsid w:val="00EC56C5"/>
    <w:rsid w:val="00EC58F3"/>
    <w:rsid w:val="00EC5A7B"/>
    <w:rsid w:val="00EC5AF4"/>
    <w:rsid w:val="00EC5BE9"/>
    <w:rsid w:val="00EC61E9"/>
    <w:rsid w:val="00EC6350"/>
    <w:rsid w:val="00EC638D"/>
    <w:rsid w:val="00EC6629"/>
    <w:rsid w:val="00EC6D8D"/>
    <w:rsid w:val="00EC6FC5"/>
    <w:rsid w:val="00EC741D"/>
    <w:rsid w:val="00EC771C"/>
    <w:rsid w:val="00EC7B45"/>
    <w:rsid w:val="00ED056C"/>
    <w:rsid w:val="00ED0720"/>
    <w:rsid w:val="00ED07B8"/>
    <w:rsid w:val="00ED0882"/>
    <w:rsid w:val="00ED0A0B"/>
    <w:rsid w:val="00ED0B9D"/>
    <w:rsid w:val="00ED0FC0"/>
    <w:rsid w:val="00ED0FE5"/>
    <w:rsid w:val="00ED108C"/>
    <w:rsid w:val="00ED1585"/>
    <w:rsid w:val="00ED1856"/>
    <w:rsid w:val="00ED2373"/>
    <w:rsid w:val="00ED25A0"/>
    <w:rsid w:val="00ED25C2"/>
    <w:rsid w:val="00ED26C1"/>
    <w:rsid w:val="00ED26CC"/>
    <w:rsid w:val="00ED286F"/>
    <w:rsid w:val="00ED2984"/>
    <w:rsid w:val="00ED2C2F"/>
    <w:rsid w:val="00ED2E43"/>
    <w:rsid w:val="00ED3A7F"/>
    <w:rsid w:val="00ED416B"/>
    <w:rsid w:val="00ED4340"/>
    <w:rsid w:val="00ED504D"/>
    <w:rsid w:val="00ED517E"/>
    <w:rsid w:val="00ED51CF"/>
    <w:rsid w:val="00ED5770"/>
    <w:rsid w:val="00ED5BA4"/>
    <w:rsid w:val="00ED6502"/>
    <w:rsid w:val="00ED6972"/>
    <w:rsid w:val="00ED6C25"/>
    <w:rsid w:val="00ED7317"/>
    <w:rsid w:val="00ED7508"/>
    <w:rsid w:val="00ED7E5C"/>
    <w:rsid w:val="00EE01D2"/>
    <w:rsid w:val="00EE07EB"/>
    <w:rsid w:val="00EE0EE7"/>
    <w:rsid w:val="00EE14C4"/>
    <w:rsid w:val="00EE15B8"/>
    <w:rsid w:val="00EE1720"/>
    <w:rsid w:val="00EE18D9"/>
    <w:rsid w:val="00EE1D36"/>
    <w:rsid w:val="00EE1D4B"/>
    <w:rsid w:val="00EE20B9"/>
    <w:rsid w:val="00EE21E5"/>
    <w:rsid w:val="00EE2492"/>
    <w:rsid w:val="00EE2771"/>
    <w:rsid w:val="00EE27C6"/>
    <w:rsid w:val="00EE2FBB"/>
    <w:rsid w:val="00EE3214"/>
    <w:rsid w:val="00EE324B"/>
    <w:rsid w:val="00EE33D5"/>
    <w:rsid w:val="00EE3C4E"/>
    <w:rsid w:val="00EE3E2C"/>
    <w:rsid w:val="00EE406C"/>
    <w:rsid w:val="00EE4183"/>
    <w:rsid w:val="00EE4320"/>
    <w:rsid w:val="00EE43B8"/>
    <w:rsid w:val="00EE44CE"/>
    <w:rsid w:val="00EE4AD4"/>
    <w:rsid w:val="00EE4B25"/>
    <w:rsid w:val="00EE4D8F"/>
    <w:rsid w:val="00EE4FF6"/>
    <w:rsid w:val="00EE55E4"/>
    <w:rsid w:val="00EE5F46"/>
    <w:rsid w:val="00EE5F66"/>
    <w:rsid w:val="00EE61AE"/>
    <w:rsid w:val="00EE6600"/>
    <w:rsid w:val="00EE68AD"/>
    <w:rsid w:val="00EE748C"/>
    <w:rsid w:val="00EF008E"/>
    <w:rsid w:val="00EF0720"/>
    <w:rsid w:val="00EF090C"/>
    <w:rsid w:val="00EF1016"/>
    <w:rsid w:val="00EF188D"/>
    <w:rsid w:val="00EF1E36"/>
    <w:rsid w:val="00EF1F7B"/>
    <w:rsid w:val="00EF23EC"/>
    <w:rsid w:val="00EF2542"/>
    <w:rsid w:val="00EF276B"/>
    <w:rsid w:val="00EF2877"/>
    <w:rsid w:val="00EF2A06"/>
    <w:rsid w:val="00EF2E30"/>
    <w:rsid w:val="00EF2F60"/>
    <w:rsid w:val="00EF3801"/>
    <w:rsid w:val="00EF3874"/>
    <w:rsid w:val="00EF39B0"/>
    <w:rsid w:val="00EF454B"/>
    <w:rsid w:val="00EF4609"/>
    <w:rsid w:val="00EF470B"/>
    <w:rsid w:val="00EF4850"/>
    <w:rsid w:val="00EF48F6"/>
    <w:rsid w:val="00EF4B11"/>
    <w:rsid w:val="00EF4B31"/>
    <w:rsid w:val="00EF4D73"/>
    <w:rsid w:val="00EF5093"/>
    <w:rsid w:val="00EF5433"/>
    <w:rsid w:val="00EF5BE0"/>
    <w:rsid w:val="00EF5D4A"/>
    <w:rsid w:val="00EF64BC"/>
    <w:rsid w:val="00EF6663"/>
    <w:rsid w:val="00EF66DD"/>
    <w:rsid w:val="00EF68E4"/>
    <w:rsid w:val="00EF6BE1"/>
    <w:rsid w:val="00EF6FE8"/>
    <w:rsid w:val="00EF7088"/>
    <w:rsid w:val="00EF7303"/>
    <w:rsid w:val="00EF7482"/>
    <w:rsid w:val="00EF74A4"/>
    <w:rsid w:val="00EF754B"/>
    <w:rsid w:val="00EF76AF"/>
    <w:rsid w:val="00EF7752"/>
    <w:rsid w:val="00EF7DA0"/>
    <w:rsid w:val="00EF7FB5"/>
    <w:rsid w:val="00F000B5"/>
    <w:rsid w:val="00F00903"/>
    <w:rsid w:val="00F00ADC"/>
    <w:rsid w:val="00F00DB2"/>
    <w:rsid w:val="00F0129C"/>
    <w:rsid w:val="00F0189F"/>
    <w:rsid w:val="00F0229D"/>
    <w:rsid w:val="00F0280A"/>
    <w:rsid w:val="00F02BDB"/>
    <w:rsid w:val="00F02ED2"/>
    <w:rsid w:val="00F03189"/>
    <w:rsid w:val="00F0344D"/>
    <w:rsid w:val="00F03883"/>
    <w:rsid w:val="00F039DD"/>
    <w:rsid w:val="00F03C44"/>
    <w:rsid w:val="00F040E1"/>
    <w:rsid w:val="00F040FF"/>
    <w:rsid w:val="00F0425D"/>
    <w:rsid w:val="00F04929"/>
    <w:rsid w:val="00F0497C"/>
    <w:rsid w:val="00F04A80"/>
    <w:rsid w:val="00F04B7D"/>
    <w:rsid w:val="00F054E9"/>
    <w:rsid w:val="00F05681"/>
    <w:rsid w:val="00F05E32"/>
    <w:rsid w:val="00F061AA"/>
    <w:rsid w:val="00F061AE"/>
    <w:rsid w:val="00F0641B"/>
    <w:rsid w:val="00F06A77"/>
    <w:rsid w:val="00F06B9F"/>
    <w:rsid w:val="00F06D7B"/>
    <w:rsid w:val="00F06EDF"/>
    <w:rsid w:val="00F07194"/>
    <w:rsid w:val="00F07468"/>
    <w:rsid w:val="00F07E61"/>
    <w:rsid w:val="00F07E86"/>
    <w:rsid w:val="00F10CAD"/>
    <w:rsid w:val="00F10E0C"/>
    <w:rsid w:val="00F1103D"/>
    <w:rsid w:val="00F11098"/>
    <w:rsid w:val="00F113E1"/>
    <w:rsid w:val="00F11521"/>
    <w:rsid w:val="00F11ACA"/>
    <w:rsid w:val="00F11E34"/>
    <w:rsid w:val="00F121F5"/>
    <w:rsid w:val="00F1265B"/>
    <w:rsid w:val="00F12ECF"/>
    <w:rsid w:val="00F12F54"/>
    <w:rsid w:val="00F1320F"/>
    <w:rsid w:val="00F13962"/>
    <w:rsid w:val="00F13B08"/>
    <w:rsid w:val="00F13D26"/>
    <w:rsid w:val="00F13F84"/>
    <w:rsid w:val="00F14038"/>
    <w:rsid w:val="00F14177"/>
    <w:rsid w:val="00F14367"/>
    <w:rsid w:val="00F14A0B"/>
    <w:rsid w:val="00F15078"/>
    <w:rsid w:val="00F151FC"/>
    <w:rsid w:val="00F15464"/>
    <w:rsid w:val="00F15472"/>
    <w:rsid w:val="00F154C8"/>
    <w:rsid w:val="00F159F0"/>
    <w:rsid w:val="00F15C20"/>
    <w:rsid w:val="00F15ECA"/>
    <w:rsid w:val="00F15F80"/>
    <w:rsid w:val="00F161E3"/>
    <w:rsid w:val="00F16501"/>
    <w:rsid w:val="00F1673A"/>
    <w:rsid w:val="00F16A46"/>
    <w:rsid w:val="00F16BD6"/>
    <w:rsid w:val="00F16F65"/>
    <w:rsid w:val="00F17566"/>
    <w:rsid w:val="00F179F3"/>
    <w:rsid w:val="00F2065C"/>
    <w:rsid w:val="00F20B4C"/>
    <w:rsid w:val="00F20EE2"/>
    <w:rsid w:val="00F21A89"/>
    <w:rsid w:val="00F21AAA"/>
    <w:rsid w:val="00F21DEA"/>
    <w:rsid w:val="00F22422"/>
    <w:rsid w:val="00F227E5"/>
    <w:rsid w:val="00F22A1C"/>
    <w:rsid w:val="00F2362F"/>
    <w:rsid w:val="00F23977"/>
    <w:rsid w:val="00F23DF1"/>
    <w:rsid w:val="00F23DFF"/>
    <w:rsid w:val="00F241C9"/>
    <w:rsid w:val="00F242CF"/>
    <w:rsid w:val="00F248DF"/>
    <w:rsid w:val="00F248EA"/>
    <w:rsid w:val="00F24F00"/>
    <w:rsid w:val="00F25079"/>
    <w:rsid w:val="00F25144"/>
    <w:rsid w:val="00F255E7"/>
    <w:rsid w:val="00F255F8"/>
    <w:rsid w:val="00F25630"/>
    <w:rsid w:val="00F259A9"/>
    <w:rsid w:val="00F25A62"/>
    <w:rsid w:val="00F25E67"/>
    <w:rsid w:val="00F25EE8"/>
    <w:rsid w:val="00F265CB"/>
    <w:rsid w:val="00F2674E"/>
    <w:rsid w:val="00F268AF"/>
    <w:rsid w:val="00F26C2D"/>
    <w:rsid w:val="00F271CC"/>
    <w:rsid w:val="00F27D4E"/>
    <w:rsid w:val="00F30496"/>
    <w:rsid w:val="00F304B8"/>
    <w:rsid w:val="00F30D05"/>
    <w:rsid w:val="00F30F0B"/>
    <w:rsid w:val="00F31008"/>
    <w:rsid w:val="00F311B8"/>
    <w:rsid w:val="00F314DB"/>
    <w:rsid w:val="00F31AAA"/>
    <w:rsid w:val="00F3212B"/>
    <w:rsid w:val="00F32921"/>
    <w:rsid w:val="00F32B40"/>
    <w:rsid w:val="00F33A8B"/>
    <w:rsid w:val="00F33D6C"/>
    <w:rsid w:val="00F340BF"/>
    <w:rsid w:val="00F342B5"/>
    <w:rsid w:val="00F35031"/>
    <w:rsid w:val="00F353BC"/>
    <w:rsid w:val="00F35773"/>
    <w:rsid w:val="00F35C96"/>
    <w:rsid w:val="00F35CD4"/>
    <w:rsid w:val="00F35DDA"/>
    <w:rsid w:val="00F3600B"/>
    <w:rsid w:val="00F36761"/>
    <w:rsid w:val="00F368D4"/>
    <w:rsid w:val="00F369EE"/>
    <w:rsid w:val="00F36BEC"/>
    <w:rsid w:val="00F372C2"/>
    <w:rsid w:val="00F37675"/>
    <w:rsid w:val="00F37E2D"/>
    <w:rsid w:val="00F40C7C"/>
    <w:rsid w:val="00F40FC5"/>
    <w:rsid w:val="00F41699"/>
    <w:rsid w:val="00F416AA"/>
    <w:rsid w:val="00F416DC"/>
    <w:rsid w:val="00F41786"/>
    <w:rsid w:val="00F42158"/>
    <w:rsid w:val="00F4220D"/>
    <w:rsid w:val="00F4258F"/>
    <w:rsid w:val="00F42644"/>
    <w:rsid w:val="00F428DE"/>
    <w:rsid w:val="00F42959"/>
    <w:rsid w:val="00F42B35"/>
    <w:rsid w:val="00F430DE"/>
    <w:rsid w:val="00F43C55"/>
    <w:rsid w:val="00F43C56"/>
    <w:rsid w:val="00F43D29"/>
    <w:rsid w:val="00F43DB3"/>
    <w:rsid w:val="00F43E1B"/>
    <w:rsid w:val="00F444CA"/>
    <w:rsid w:val="00F44AF4"/>
    <w:rsid w:val="00F44B41"/>
    <w:rsid w:val="00F44B65"/>
    <w:rsid w:val="00F44BAD"/>
    <w:rsid w:val="00F44C04"/>
    <w:rsid w:val="00F44E58"/>
    <w:rsid w:val="00F44E86"/>
    <w:rsid w:val="00F44F28"/>
    <w:rsid w:val="00F45032"/>
    <w:rsid w:val="00F4508F"/>
    <w:rsid w:val="00F45119"/>
    <w:rsid w:val="00F452ED"/>
    <w:rsid w:val="00F4542C"/>
    <w:rsid w:val="00F4557A"/>
    <w:rsid w:val="00F4557E"/>
    <w:rsid w:val="00F45965"/>
    <w:rsid w:val="00F45CB4"/>
    <w:rsid w:val="00F4642A"/>
    <w:rsid w:val="00F4668C"/>
    <w:rsid w:val="00F466B3"/>
    <w:rsid w:val="00F468C4"/>
    <w:rsid w:val="00F46DC7"/>
    <w:rsid w:val="00F46ED9"/>
    <w:rsid w:val="00F477BA"/>
    <w:rsid w:val="00F478C9"/>
    <w:rsid w:val="00F4791C"/>
    <w:rsid w:val="00F47B82"/>
    <w:rsid w:val="00F50024"/>
    <w:rsid w:val="00F5029D"/>
    <w:rsid w:val="00F505F5"/>
    <w:rsid w:val="00F50B84"/>
    <w:rsid w:val="00F51128"/>
    <w:rsid w:val="00F51150"/>
    <w:rsid w:val="00F5155B"/>
    <w:rsid w:val="00F51778"/>
    <w:rsid w:val="00F51926"/>
    <w:rsid w:val="00F51AA4"/>
    <w:rsid w:val="00F51AF5"/>
    <w:rsid w:val="00F51AFE"/>
    <w:rsid w:val="00F51BDF"/>
    <w:rsid w:val="00F52200"/>
    <w:rsid w:val="00F52320"/>
    <w:rsid w:val="00F526BF"/>
    <w:rsid w:val="00F52A5F"/>
    <w:rsid w:val="00F52B0D"/>
    <w:rsid w:val="00F53037"/>
    <w:rsid w:val="00F533B5"/>
    <w:rsid w:val="00F533C6"/>
    <w:rsid w:val="00F535C9"/>
    <w:rsid w:val="00F53A53"/>
    <w:rsid w:val="00F53A75"/>
    <w:rsid w:val="00F53E5C"/>
    <w:rsid w:val="00F54306"/>
    <w:rsid w:val="00F54579"/>
    <w:rsid w:val="00F54A95"/>
    <w:rsid w:val="00F54D77"/>
    <w:rsid w:val="00F54DBB"/>
    <w:rsid w:val="00F54DBF"/>
    <w:rsid w:val="00F54F05"/>
    <w:rsid w:val="00F55048"/>
    <w:rsid w:val="00F55331"/>
    <w:rsid w:val="00F556B0"/>
    <w:rsid w:val="00F55DB3"/>
    <w:rsid w:val="00F56397"/>
    <w:rsid w:val="00F563F5"/>
    <w:rsid w:val="00F56655"/>
    <w:rsid w:val="00F566E0"/>
    <w:rsid w:val="00F567F6"/>
    <w:rsid w:val="00F56D67"/>
    <w:rsid w:val="00F56E46"/>
    <w:rsid w:val="00F56EA8"/>
    <w:rsid w:val="00F56FAA"/>
    <w:rsid w:val="00F57666"/>
    <w:rsid w:val="00F57AF4"/>
    <w:rsid w:val="00F57BC6"/>
    <w:rsid w:val="00F57CA8"/>
    <w:rsid w:val="00F57DB7"/>
    <w:rsid w:val="00F600DE"/>
    <w:rsid w:val="00F60247"/>
    <w:rsid w:val="00F60517"/>
    <w:rsid w:val="00F606F1"/>
    <w:rsid w:val="00F6098E"/>
    <w:rsid w:val="00F60B57"/>
    <w:rsid w:val="00F60C84"/>
    <w:rsid w:val="00F60E0E"/>
    <w:rsid w:val="00F60EA2"/>
    <w:rsid w:val="00F610EE"/>
    <w:rsid w:val="00F6122E"/>
    <w:rsid w:val="00F61534"/>
    <w:rsid w:val="00F61656"/>
    <w:rsid w:val="00F616DC"/>
    <w:rsid w:val="00F617AF"/>
    <w:rsid w:val="00F61F43"/>
    <w:rsid w:val="00F61FC3"/>
    <w:rsid w:val="00F62102"/>
    <w:rsid w:val="00F63217"/>
    <w:rsid w:val="00F632A8"/>
    <w:rsid w:val="00F63337"/>
    <w:rsid w:val="00F63A71"/>
    <w:rsid w:val="00F63BF2"/>
    <w:rsid w:val="00F63C93"/>
    <w:rsid w:val="00F63DA0"/>
    <w:rsid w:val="00F64186"/>
    <w:rsid w:val="00F6434D"/>
    <w:rsid w:val="00F648BD"/>
    <w:rsid w:val="00F648D2"/>
    <w:rsid w:val="00F649D1"/>
    <w:rsid w:val="00F64F25"/>
    <w:rsid w:val="00F651AD"/>
    <w:rsid w:val="00F65201"/>
    <w:rsid w:val="00F65BBF"/>
    <w:rsid w:val="00F65D12"/>
    <w:rsid w:val="00F65FD1"/>
    <w:rsid w:val="00F66271"/>
    <w:rsid w:val="00F666DA"/>
    <w:rsid w:val="00F66755"/>
    <w:rsid w:val="00F66DC5"/>
    <w:rsid w:val="00F67103"/>
    <w:rsid w:val="00F67225"/>
    <w:rsid w:val="00F672D6"/>
    <w:rsid w:val="00F676CB"/>
    <w:rsid w:val="00F700F0"/>
    <w:rsid w:val="00F70179"/>
    <w:rsid w:val="00F701D4"/>
    <w:rsid w:val="00F705B9"/>
    <w:rsid w:val="00F70BAD"/>
    <w:rsid w:val="00F70C88"/>
    <w:rsid w:val="00F70FA1"/>
    <w:rsid w:val="00F712A2"/>
    <w:rsid w:val="00F713A3"/>
    <w:rsid w:val="00F71614"/>
    <w:rsid w:val="00F716B3"/>
    <w:rsid w:val="00F71A60"/>
    <w:rsid w:val="00F71A6F"/>
    <w:rsid w:val="00F71EF8"/>
    <w:rsid w:val="00F71F30"/>
    <w:rsid w:val="00F72125"/>
    <w:rsid w:val="00F722A0"/>
    <w:rsid w:val="00F72339"/>
    <w:rsid w:val="00F724A7"/>
    <w:rsid w:val="00F72693"/>
    <w:rsid w:val="00F727E4"/>
    <w:rsid w:val="00F73373"/>
    <w:rsid w:val="00F739F2"/>
    <w:rsid w:val="00F73ACD"/>
    <w:rsid w:val="00F73BA7"/>
    <w:rsid w:val="00F73FF7"/>
    <w:rsid w:val="00F74043"/>
    <w:rsid w:val="00F741BA"/>
    <w:rsid w:val="00F74A11"/>
    <w:rsid w:val="00F74C82"/>
    <w:rsid w:val="00F74DD5"/>
    <w:rsid w:val="00F74FB5"/>
    <w:rsid w:val="00F75144"/>
    <w:rsid w:val="00F753DA"/>
    <w:rsid w:val="00F7545A"/>
    <w:rsid w:val="00F756D9"/>
    <w:rsid w:val="00F759E6"/>
    <w:rsid w:val="00F75FF6"/>
    <w:rsid w:val="00F76191"/>
    <w:rsid w:val="00F762F1"/>
    <w:rsid w:val="00F76B7F"/>
    <w:rsid w:val="00F76C45"/>
    <w:rsid w:val="00F76EFD"/>
    <w:rsid w:val="00F7702D"/>
    <w:rsid w:val="00F770A0"/>
    <w:rsid w:val="00F77134"/>
    <w:rsid w:val="00F775A0"/>
    <w:rsid w:val="00F77AD6"/>
    <w:rsid w:val="00F80428"/>
    <w:rsid w:val="00F8059B"/>
    <w:rsid w:val="00F8065B"/>
    <w:rsid w:val="00F806FB"/>
    <w:rsid w:val="00F80967"/>
    <w:rsid w:val="00F80A59"/>
    <w:rsid w:val="00F80A66"/>
    <w:rsid w:val="00F80C8D"/>
    <w:rsid w:val="00F80CAD"/>
    <w:rsid w:val="00F81067"/>
    <w:rsid w:val="00F81085"/>
    <w:rsid w:val="00F81291"/>
    <w:rsid w:val="00F814B6"/>
    <w:rsid w:val="00F8197D"/>
    <w:rsid w:val="00F81ADE"/>
    <w:rsid w:val="00F81F38"/>
    <w:rsid w:val="00F820AB"/>
    <w:rsid w:val="00F82DAE"/>
    <w:rsid w:val="00F82F89"/>
    <w:rsid w:val="00F8308B"/>
    <w:rsid w:val="00F83129"/>
    <w:rsid w:val="00F83699"/>
    <w:rsid w:val="00F83C98"/>
    <w:rsid w:val="00F83D26"/>
    <w:rsid w:val="00F83D76"/>
    <w:rsid w:val="00F83ED4"/>
    <w:rsid w:val="00F84119"/>
    <w:rsid w:val="00F84BA6"/>
    <w:rsid w:val="00F84E52"/>
    <w:rsid w:val="00F851B0"/>
    <w:rsid w:val="00F8524A"/>
    <w:rsid w:val="00F85357"/>
    <w:rsid w:val="00F85DFA"/>
    <w:rsid w:val="00F85E7B"/>
    <w:rsid w:val="00F86C51"/>
    <w:rsid w:val="00F86D5B"/>
    <w:rsid w:val="00F878F7"/>
    <w:rsid w:val="00F87DC2"/>
    <w:rsid w:val="00F87DE1"/>
    <w:rsid w:val="00F90148"/>
    <w:rsid w:val="00F90244"/>
    <w:rsid w:val="00F9028A"/>
    <w:rsid w:val="00F905B1"/>
    <w:rsid w:val="00F90666"/>
    <w:rsid w:val="00F90F9A"/>
    <w:rsid w:val="00F90F9B"/>
    <w:rsid w:val="00F912FC"/>
    <w:rsid w:val="00F91664"/>
    <w:rsid w:val="00F916AD"/>
    <w:rsid w:val="00F91C59"/>
    <w:rsid w:val="00F91DF7"/>
    <w:rsid w:val="00F92034"/>
    <w:rsid w:val="00F92389"/>
    <w:rsid w:val="00F923BD"/>
    <w:rsid w:val="00F92436"/>
    <w:rsid w:val="00F92869"/>
    <w:rsid w:val="00F92CA2"/>
    <w:rsid w:val="00F93161"/>
    <w:rsid w:val="00F931FA"/>
    <w:rsid w:val="00F93A10"/>
    <w:rsid w:val="00F942FF"/>
    <w:rsid w:val="00F94342"/>
    <w:rsid w:val="00F94358"/>
    <w:rsid w:val="00F94585"/>
    <w:rsid w:val="00F94A6D"/>
    <w:rsid w:val="00F94A8C"/>
    <w:rsid w:val="00F94C9D"/>
    <w:rsid w:val="00F94E25"/>
    <w:rsid w:val="00F950F3"/>
    <w:rsid w:val="00F951A0"/>
    <w:rsid w:val="00F95583"/>
    <w:rsid w:val="00F95C17"/>
    <w:rsid w:val="00F95CE6"/>
    <w:rsid w:val="00F95DA1"/>
    <w:rsid w:val="00F96125"/>
    <w:rsid w:val="00F96294"/>
    <w:rsid w:val="00F96546"/>
    <w:rsid w:val="00F968C7"/>
    <w:rsid w:val="00F96AB5"/>
    <w:rsid w:val="00F978F8"/>
    <w:rsid w:val="00F97B62"/>
    <w:rsid w:val="00F97F44"/>
    <w:rsid w:val="00FA00EF"/>
    <w:rsid w:val="00FA022D"/>
    <w:rsid w:val="00FA0243"/>
    <w:rsid w:val="00FA0411"/>
    <w:rsid w:val="00FA041E"/>
    <w:rsid w:val="00FA0E96"/>
    <w:rsid w:val="00FA0F61"/>
    <w:rsid w:val="00FA1072"/>
    <w:rsid w:val="00FA11AB"/>
    <w:rsid w:val="00FA1241"/>
    <w:rsid w:val="00FA1713"/>
    <w:rsid w:val="00FA1B4A"/>
    <w:rsid w:val="00FA1C32"/>
    <w:rsid w:val="00FA2029"/>
    <w:rsid w:val="00FA253F"/>
    <w:rsid w:val="00FA2C89"/>
    <w:rsid w:val="00FA2EF4"/>
    <w:rsid w:val="00FA38EC"/>
    <w:rsid w:val="00FA3B1D"/>
    <w:rsid w:val="00FA3BBF"/>
    <w:rsid w:val="00FA3BF1"/>
    <w:rsid w:val="00FA3E3A"/>
    <w:rsid w:val="00FA4187"/>
    <w:rsid w:val="00FA51F1"/>
    <w:rsid w:val="00FA5249"/>
    <w:rsid w:val="00FA526A"/>
    <w:rsid w:val="00FA52EC"/>
    <w:rsid w:val="00FA5351"/>
    <w:rsid w:val="00FA56E6"/>
    <w:rsid w:val="00FA5F1B"/>
    <w:rsid w:val="00FA6569"/>
    <w:rsid w:val="00FA6876"/>
    <w:rsid w:val="00FA6DB7"/>
    <w:rsid w:val="00FA6F73"/>
    <w:rsid w:val="00FA72BE"/>
    <w:rsid w:val="00FA769F"/>
    <w:rsid w:val="00FA771C"/>
    <w:rsid w:val="00FA7CDA"/>
    <w:rsid w:val="00FA7EB3"/>
    <w:rsid w:val="00FB0035"/>
    <w:rsid w:val="00FB0A2E"/>
    <w:rsid w:val="00FB1878"/>
    <w:rsid w:val="00FB1D0F"/>
    <w:rsid w:val="00FB2080"/>
    <w:rsid w:val="00FB2360"/>
    <w:rsid w:val="00FB240F"/>
    <w:rsid w:val="00FB2BAA"/>
    <w:rsid w:val="00FB30E6"/>
    <w:rsid w:val="00FB3123"/>
    <w:rsid w:val="00FB32B1"/>
    <w:rsid w:val="00FB34C2"/>
    <w:rsid w:val="00FB35B0"/>
    <w:rsid w:val="00FB369A"/>
    <w:rsid w:val="00FB3874"/>
    <w:rsid w:val="00FB3A1A"/>
    <w:rsid w:val="00FB3A53"/>
    <w:rsid w:val="00FB3DE1"/>
    <w:rsid w:val="00FB3EDC"/>
    <w:rsid w:val="00FB43C2"/>
    <w:rsid w:val="00FB43EB"/>
    <w:rsid w:val="00FB45B4"/>
    <w:rsid w:val="00FB475A"/>
    <w:rsid w:val="00FB4889"/>
    <w:rsid w:val="00FB4D87"/>
    <w:rsid w:val="00FB50E2"/>
    <w:rsid w:val="00FB56A8"/>
    <w:rsid w:val="00FB64F3"/>
    <w:rsid w:val="00FB6C21"/>
    <w:rsid w:val="00FB6F31"/>
    <w:rsid w:val="00FB6FD4"/>
    <w:rsid w:val="00FB7317"/>
    <w:rsid w:val="00FB798D"/>
    <w:rsid w:val="00FB7B6F"/>
    <w:rsid w:val="00FC0417"/>
    <w:rsid w:val="00FC0565"/>
    <w:rsid w:val="00FC0EA8"/>
    <w:rsid w:val="00FC0FB3"/>
    <w:rsid w:val="00FC1357"/>
    <w:rsid w:val="00FC1442"/>
    <w:rsid w:val="00FC187C"/>
    <w:rsid w:val="00FC1D31"/>
    <w:rsid w:val="00FC1D85"/>
    <w:rsid w:val="00FC1DD6"/>
    <w:rsid w:val="00FC1E2A"/>
    <w:rsid w:val="00FC243B"/>
    <w:rsid w:val="00FC2C82"/>
    <w:rsid w:val="00FC2F1C"/>
    <w:rsid w:val="00FC3154"/>
    <w:rsid w:val="00FC3526"/>
    <w:rsid w:val="00FC3550"/>
    <w:rsid w:val="00FC3564"/>
    <w:rsid w:val="00FC35DC"/>
    <w:rsid w:val="00FC3BC2"/>
    <w:rsid w:val="00FC3C17"/>
    <w:rsid w:val="00FC3E03"/>
    <w:rsid w:val="00FC3FBB"/>
    <w:rsid w:val="00FC3FE5"/>
    <w:rsid w:val="00FC4119"/>
    <w:rsid w:val="00FC4248"/>
    <w:rsid w:val="00FC454C"/>
    <w:rsid w:val="00FC4C4A"/>
    <w:rsid w:val="00FC4CB6"/>
    <w:rsid w:val="00FC4E6E"/>
    <w:rsid w:val="00FC4F89"/>
    <w:rsid w:val="00FC5794"/>
    <w:rsid w:val="00FC5A9D"/>
    <w:rsid w:val="00FC5AB4"/>
    <w:rsid w:val="00FC5E10"/>
    <w:rsid w:val="00FC6323"/>
    <w:rsid w:val="00FC64E8"/>
    <w:rsid w:val="00FC6600"/>
    <w:rsid w:val="00FC6612"/>
    <w:rsid w:val="00FC6926"/>
    <w:rsid w:val="00FC6A1D"/>
    <w:rsid w:val="00FC6AA4"/>
    <w:rsid w:val="00FC6AA7"/>
    <w:rsid w:val="00FC6C50"/>
    <w:rsid w:val="00FC6D88"/>
    <w:rsid w:val="00FC6E08"/>
    <w:rsid w:val="00FC6E1E"/>
    <w:rsid w:val="00FC7053"/>
    <w:rsid w:val="00FC73BD"/>
    <w:rsid w:val="00FC7527"/>
    <w:rsid w:val="00FD02C0"/>
    <w:rsid w:val="00FD03E4"/>
    <w:rsid w:val="00FD05C6"/>
    <w:rsid w:val="00FD0A0B"/>
    <w:rsid w:val="00FD0A3F"/>
    <w:rsid w:val="00FD0F4B"/>
    <w:rsid w:val="00FD103C"/>
    <w:rsid w:val="00FD1684"/>
    <w:rsid w:val="00FD18EF"/>
    <w:rsid w:val="00FD1D12"/>
    <w:rsid w:val="00FD2162"/>
    <w:rsid w:val="00FD27A0"/>
    <w:rsid w:val="00FD29BF"/>
    <w:rsid w:val="00FD2D74"/>
    <w:rsid w:val="00FD3007"/>
    <w:rsid w:val="00FD34B8"/>
    <w:rsid w:val="00FD3546"/>
    <w:rsid w:val="00FD36CB"/>
    <w:rsid w:val="00FD3CBA"/>
    <w:rsid w:val="00FD454F"/>
    <w:rsid w:val="00FD4669"/>
    <w:rsid w:val="00FD4689"/>
    <w:rsid w:val="00FD487A"/>
    <w:rsid w:val="00FD48EE"/>
    <w:rsid w:val="00FD48F5"/>
    <w:rsid w:val="00FD4F18"/>
    <w:rsid w:val="00FD4FE0"/>
    <w:rsid w:val="00FD5114"/>
    <w:rsid w:val="00FD543C"/>
    <w:rsid w:val="00FD5CA9"/>
    <w:rsid w:val="00FD5F00"/>
    <w:rsid w:val="00FD61B0"/>
    <w:rsid w:val="00FD6274"/>
    <w:rsid w:val="00FD65A3"/>
    <w:rsid w:val="00FD6A7E"/>
    <w:rsid w:val="00FD6A80"/>
    <w:rsid w:val="00FD6B3F"/>
    <w:rsid w:val="00FD6C21"/>
    <w:rsid w:val="00FD6C89"/>
    <w:rsid w:val="00FD6C91"/>
    <w:rsid w:val="00FD6FE9"/>
    <w:rsid w:val="00FD71F2"/>
    <w:rsid w:val="00FD7854"/>
    <w:rsid w:val="00FD7871"/>
    <w:rsid w:val="00FD7D26"/>
    <w:rsid w:val="00FD7D89"/>
    <w:rsid w:val="00FE0C9E"/>
    <w:rsid w:val="00FE0CF5"/>
    <w:rsid w:val="00FE117C"/>
    <w:rsid w:val="00FE1675"/>
    <w:rsid w:val="00FE1690"/>
    <w:rsid w:val="00FE1793"/>
    <w:rsid w:val="00FE1AA0"/>
    <w:rsid w:val="00FE20D0"/>
    <w:rsid w:val="00FE258A"/>
    <w:rsid w:val="00FE28E2"/>
    <w:rsid w:val="00FE346F"/>
    <w:rsid w:val="00FE38C5"/>
    <w:rsid w:val="00FE3932"/>
    <w:rsid w:val="00FE3B01"/>
    <w:rsid w:val="00FE3F59"/>
    <w:rsid w:val="00FE431D"/>
    <w:rsid w:val="00FE49A8"/>
    <w:rsid w:val="00FE5270"/>
    <w:rsid w:val="00FE5480"/>
    <w:rsid w:val="00FE5DAD"/>
    <w:rsid w:val="00FE5EB0"/>
    <w:rsid w:val="00FE6102"/>
    <w:rsid w:val="00FE63D7"/>
    <w:rsid w:val="00FE6944"/>
    <w:rsid w:val="00FE6B0E"/>
    <w:rsid w:val="00FE6B2B"/>
    <w:rsid w:val="00FE7522"/>
    <w:rsid w:val="00FE77D5"/>
    <w:rsid w:val="00FE78A8"/>
    <w:rsid w:val="00FE7AD0"/>
    <w:rsid w:val="00FF02B7"/>
    <w:rsid w:val="00FF0A91"/>
    <w:rsid w:val="00FF0BAD"/>
    <w:rsid w:val="00FF0C56"/>
    <w:rsid w:val="00FF1085"/>
    <w:rsid w:val="00FF110A"/>
    <w:rsid w:val="00FF130C"/>
    <w:rsid w:val="00FF14C4"/>
    <w:rsid w:val="00FF17AE"/>
    <w:rsid w:val="00FF1CB9"/>
    <w:rsid w:val="00FF1CFB"/>
    <w:rsid w:val="00FF20D0"/>
    <w:rsid w:val="00FF2234"/>
    <w:rsid w:val="00FF2422"/>
    <w:rsid w:val="00FF2608"/>
    <w:rsid w:val="00FF2ADB"/>
    <w:rsid w:val="00FF2F97"/>
    <w:rsid w:val="00FF30B3"/>
    <w:rsid w:val="00FF339D"/>
    <w:rsid w:val="00FF34CC"/>
    <w:rsid w:val="00FF34F1"/>
    <w:rsid w:val="00FF3B01"/>
    <w:rsid w:val="00FF3B73"/>
    <w:rsid w:val="00FF3BD2"/>
    <w:rsid w:val="00FF3CEF"/>
    <w:rsid w:val="00FF438B"/>
    <w:rsid w:val="00FF448B"/>
    <w:rsid w:val="00FF4AD9"/>
    <w:rsid w:val="00FF4BB4"/>
    <w:rsid w:val="00FF4C89"/>
    <w:rsid w:val="00FF4DBC"/>
    <w:rsid w:val="00FF5467"/>
    <w:rsid w:val="00FF600F"/>
    <w:rsid w:val="00FF6215"/>
    <w:rsid w:val="00FF6455"/>
    <w:rsid w:val="00FF666D"/>
    <w:rsid w:val="00FF69F1"/>
    <w:rsid w:val="00FF6C63"/>
    <w:rsid w:val="00FF7080"/>
    <w:rsid w:val="00FF729F"/>
    <w:rsid w:val="00FF76B4"/>
    <w:rsid w:val="17F34E20"/>
    <w:rsid w:val="1FBF7D6F"/>
    <w:rsid w:val="23990CD3"/>
    <w:rsid w:val="29E9EFA4"/>
    <w:rsid w:val="2E5E7740"/>
    <w:rsid w:val="327F6DBF"/>
    <w:rsid w:val="36AFDE2C"/>
    <w:rsid w:val="37FBA229"/>
    <w:rsid w:val="47DE1A3E"/>
    <w:rsid w:val="4DFFB1D9"/>
    <w:rsid w:val="55A312A2"/>
    <w:rsid w:val="5BFF0158"/>
    <w:rsid w:val="5DBC0BE1"/>
    <w:rsid w:val="65CFFAB3"/>
    <w:rsid w:val="6971AA90"/>
    <w:rsid w:val="6D9C14C0"/>
    <w:rsid w:val="6EE746A6"/>
    <w:rsid w:val="6FCEAFB0"/>
    <w:rsid w:val="6FFD033A"/>
    <w:rsid w:val="75B77EE3"/>
    <w:rsid w:val="76B58BCC"/>
    <w:rsid w:val="76FF3979"/>
    <w:rsid w:val="77EF5076"/>
    <w:rsid w:val="79BE9FB0"/>
    <w:rsid w:val="7B9FEDBD"/>
    <w:rsid w:val="7BD7AC3A"/>
    <w:rsid w:val="7BFED32A"/>
    <w:rsid w:val="7C6F3008"/>
    <w:rsid w:val="7CDFC685"/>
    <w:rsid w:val="7DD794F5"/>
    <w:rsid w:val="7DFFF29D"/>
    <w:rsid w:val="7E3F5F18"/>
    <w:rsid w:val="7EBB65BD"/>
    <w:rsid w:val="7ED2751A"/>
    <w:rsid w:val="7EFBB4F8"/>
    <w:rsid w:val="7F5BDFAA"/>
    <w:rsid w:val="7F5D649F"/>
    <w:rsid w:val="7F7A0989"/>
    <w:rsid w:val="7F7F1413"/>
    <w:rsid w:val="7F8EFB3D"/>
    <w:rsid w:val="7F9E756D"/>
    <w:rsid w:val="7FBD2D49"/>
    <w:rsid w:val="7FBF1C1B"/>
    <w:rsid w:val="7FBFC7AA"/>
    <w:rsid w:val="7FEBDB73"/>
    <w:rsid w:val="7FF71B7B"/>
    <w:rsid w:val="7FFF9367"/>
    <w:rsid w:val="7FFFC26F"/>
    <w:rsid w:val="AFEF8832"/>
    <w:rsid w:val="AFF5BEB2"/>
    <w:rsid w:val="B7985DA3"/>
    <w:rsid w:val="BDC2B32A"/>
    <w:rsid w:val="BFFF9670"/>
    <w:rsid w:val="CEBACBF7"/>
    <w:rsid w:val="CFFF8D03"/>
    <w:rsid w:val="D8EF1627"/>
    <w:rsid w:val="DBF7D574"/>
    <w:rsid w:val="DD5FB77D"/>
    <w:rsid w:val="DF7E9F3D"/>
    <w:rsid w:val="EC5CD3A8"/>
    <w:rsid w:val="F3B825AE"/>
    <w:rsid w:val="F62B1CB8"/>
    <w:rsid w:val="F6D74E02"/>
    <w:rsid w:val="F7E52B19"/>
    <w:rsid w:val="FBAB1034"/>
    <w:rsid w:val="FBCE97A5"/>
    <w:rsid w:val="FDFAE3D5"/>
    <w:rsid w:val="FDFE8953"/>
    <w:rsid w:val="FE1ED4E2"/>
    <w:rsid w:val="FEDD4425"/>
    <w:rsid w:val="FEFE2365"/>
    <w:rsid w:val="FF6BA68B"/>
    <w:rsid w:val="FF7B35C8"/>
    <w:rsid w:val="FF7DCDB2"/>
    <w:rsid w:val="FFBB0109"/>
    <w:rsid w:val="FFDE186A"/>
    <w:rsid w:val="FFE78B3F"/>
    <w:rsid w:val="FFEF9D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1"/>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2">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4">
    <w:name w:val="annotation text"/>
    <w:basedOn w:val="1"/>
    <w:link w:val="23"/>
    <w:unhideWhenUsed/>
    <w:uiPriority w:val="99"/>
    <w:pPr>
      <w:jc w:val="left"/>
    </w:pPr>
  </w:style>
  <w:style w:type="paragraph" w:styleId="5">
    <w:name w:val="Balloon Text"/>
    <w:basedOn w:val="1"/>
    <w:link w:val="25"/>
    <w:semiHidden/>
    <w:unhideWhenUsed/>
    <w:uiPriority w:val="99"/>
    <w:rPr>
      <w:sz w:val="18"/>
      <w:szCs w:val="18"/>
    </w:rPr>
  </w:style>
  <w:style w:type="paragraph" w:styleId="6">
    <w:name w:val="footer"/>
    <w:basedOn w:val="1"/>
    <w:link w:val="21"/>
    <w:unhideWhenUsed/>
    <w:uiPriority w:val="99"/>
    <w:pPr>
      <w:tabs>
        <w:tab w:val="center" w:pos="4153"/>
        <w:tab w:val="right" w:pos="8306"/>
      </w:tabs>
      <w:snapToGrid w:val="0"/>
      <w:jc w:val="left"/>
    </w:pPr>
    <w:rPr>
      <w:sz w:val="18"/>
      <w:szCs w:val="18"/>
    </w:rPr>
  </w:style>
  <w:style w:type="paragraph" w:styleId="7">
    <w:name w:val="header"/>
    <w:basedOn w:val="1"/>
    <w:link w:val="20"/>
    <w:unhideWhenUsed/>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pPr>
      <w:widowControl/>
      <w:spacing w:before="100" w:beforeAutospacing="1" w:after="100" w:afterAutospacing="1" w:line="240" w:lineRule="auto"/>
      <w:jc w:val="left"/>
    </w:pPr>
    <w:rPr>
      <w:rFonts w:ascii="宋体" w:hAnsi="宋体" w:eastAsia="宋体" w:cs="宋体"/>
      <w:kern w:val="0"/>
      <w:szCs w:val="24"/>
    </w:rPr>
  </w:style>
  <w:style w:type="paragraph" w:styleId="9">
    <w:name w:val="annotation subject"/>
    <w:basedOn w:val="4"/>
    <w:next w:val="4"/>
    <w:link w:val="24"/>
    <w:semiHidden/>
    <w:unhideWhenUsed/>
    <w:uiPriority w:val="99"/>
    <w:rPr>
      <w:b/>
      <w:bCs/>
    </w:rPr>
  </w:style>
  <w:style w:type="table" w:styleId="11">
    <w:name w:val="Table Grid"/>
    <w:basedOn w:val="10"/>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22"/>
    <w:rPr>
      <w:b/>
      <w:bCs/>
    </w:rPr>
  </w:style>
  <w:style w:type="character" w:styleId="14">
    <w:name w:val="FollowedHyperlink"/>
    <w:basedOn w:val="12"/>
    <w:semiHidden/>
    <w:unhideWhenUsed/>
    <w:uiPriority w:val="99"/>
    <w:rPr>
      <w:color w:val="954F72" w:themeColor="followedHyperlink"/>
      <w:u w:val="single"/>
      <w14:textFill>
        <w14:solidFill>
          <w14:schemeClr w14:val="folHlink"/>
        </w14:solidFill>
      </w14:textFill>
    </w:rPr>
  </w:style>
  <w:style w:type="character" w:styleId="15">
    <w:name w:val="Emphasis"/>
    <w:basedOn w:val="12"/>
    <w:qFormat/>
    <w:uiPriority w:val="20"/>
    <w:rPr>
      <w:i/>
      <w:iCs/>
    </w:rPr>
  </w:style>
  <w:style w:type="character" w:styleId="16">
    <w:name w:val="line number"/>
    <w:basedOn w:val="12"/>
    <w:semiHidden/>
    <w:unhideWhenUsed/>
    <w:uiPriority w:val="99"/>
    <w:rPr>
      <w:rFonts w:ascii="Arial" w:hAnsi="Arial" w:eastAsia="Arial" w:cs="Arial"/>
      <w:sz w:val="22"/>
      <w:szCs w:val="22"/>
    </w:rPr>
  </w:style>
  <w:style w:type="character" w:styleId="17">
    <w:name w:val="Hyperlink"/>
    <w:basedOn w:val="12"/>
    <w:unhideWhenUsed/>
    <w:uiPriority w:val="99"/>
    <w:rPr>
      <w:color w:val="0563C1" w:themeColor="hyperlink"/>
      <w:u w:val="single"/>
      <w14:textFill>
        <w14:solidFill>
          <w14:schemeClr w14:val="hlink"/>
        </w14:solidFill>
      </w14:textFill>
    </w:rPr>
  </w:style>
  <w:style w:type="character" w:styleId="18">
    <w:name w:val="annotation reference"/>
    <w:basedOn w:val="12"/>
    <w:semiHidden/>
    <w:unhideWhenUsed/>
    <w:uiPriority w:val="99"/>
    <w:rPr>
      <w:sz w:val="21"/>
      <w:szCs w:val="21"/>
    </w:rPr>
  </w:style>
  <w:style w:type="character" w:customStyle="1" w:styleId="19">
    <w:name w:val="未处理的提及1"/>
    <w:basedOn w:val="12"/>
    <w:semiHidden/>
    <w:unhideWhenUsed/>
    <w:uiPriority w:val="99"/>
    <w:rPr>
      <w:color w:val="605E5C"/>
      <w:shd w:val="clear" w:color="auto" w:fill="E1DFDD"/>
    </w:rPr>
  </w:style>
  <w:style w:type="character" w:customStyle="1" w:styleId="20">
    <w:name w:val="页眉 字符"/>
    <w:basedOn w:val="12"/>
    <w:link w:val="7"/>
    <w:uiPriority w:val="99"/>
    <w:rPr>
      <w:sz w:val="18"/>
      <w:szCs w:val="18"/>
    </w:rPr>
  </w:style>
  <w:style w:type="character" w:customStyle="1" w:styleId="21">
    <w:name w:val="页脚 字符"/>
    <w:basedOn w:val="12"/>
    <w:link w:val="6"/>
    <w:uiPriority w:val="99"/>
    <w:rPr>
      <w:sz w:val="18"/>
      <w:szCs w:val="18"/>
    </w:rPr>
  </w:style>
  <w:style w:type="paragraph" w:styleId="22">
    <w:name w:val="List Paragraph"/>
    <w:basedOn w:val="1"/>
    <w:link w:val="40"/>
    <w:qFormat/>
    <w:uiPriority w:val="34"/>
    <w:pPr>
      <w:ind w:firstLine="420" w:firstLineChars="200"/>
    </w:pPr>
  </w:style>
  <w:style w:type="character" w:customStyle="1" w:styleId="23">
    <w:name w:val="批注文字 字符"/>
    <w:basedOn w:val="12"/>
    <w:link w:val="4"/>
    <w:uiPriority w:val="99"/>
  </w:style>
  <w:style w:type="character" w:customStyle="1" w:styleId="24">
    <w:name w:val="批注主题 字符"/>
    <w:basedOn w:val="23"/>
    <w:link w:val="9"/>
    <w:semiHidden/>
    <w:uiPriority w:val="99"/>
    <w:rPr>
      <w:b/>
      <w:bCs/>
    </w:rPr>
  </w:style>
  <w:style w:type="character" w:customStyle="1" w:styleId="25">
    <w:name w:val="批注框文本 字符"/>
    <w:basedOn w:val="12"/>
    <w:link w:val="5"/>
    <w:semiHidden/>
    <w:uiPriority w:val="99"/>
    <w:rPr>
      <w:sz w:val="18"/>
      <w:szCs w:val="18"/>
    </w:rPr>
  </w:style>
  <w:style w:type="paragraph" w:customStyle="1" w:styleId="26">
    <w:name w:val="Revision"/>
    <w:hidden/>
    <w:semiHidden/>
    <w:uiPriority w:val="99"/>
    <w:rPr>
      <w:rFonts w:asciiTheme="minorHAnsi" w:hAnsiTheme="minorHAnsi" w:eastAsiaTheme="minorEastAsia" w:cstheme="minorBidi"/>
      <w:kern w:val="2"/>
      <w:sz w:val="21"/>
      <w:szCs w:val="21"/>
      <w:lang w:val="en-US" w:eastAsia="zh-CN" w:bidi="ar-SA"/>
    </w:rPr>
  </w:style>
  <w:style w:type="paragraph" w:customStyle="1" w:styleId="27">
    <w:name w:val="EndNote Bibliography Title"/>
    <w:basedOn w:val="1"/>
    <w:link w:val="28"/>
    <w:uiPriority w:val="0"/>
    <w:pPr>
      <w:jc w:val="center"/>
    </w:pPr>
    <w:rPr>
      <w:rFonts w:ascii="DengXian" w:hAnsi="DengXian" w:eastAsia="DengXian"/>
      <w:sz w:val="20"/>
    </w:rPr>
  </w:style>
  <w:style w:type="character" w:customStyle="1" w:styleId="28">
    <w:name w:val="EndNote Bibliography Title 字符"/>
    <w:basedOn w:val="12"/>
    <w:link w:val="27"/>
    <w:uiPriority w:val="0"/>
    <w:rPr>
      <w:rFonts w:ascii="DengXian" w:hAnsi="DengXian" w:eastAsia="DengXian"/>
      <w:sz w:val="20"/>
    </w:rPr>
  </w:style>
  <w:style w:type="paragraph" w:customStyle="1" w:styleId="29">
    <w:name w:val="EndNote Bibliography"/>
    <w:basedOn w:val="1"/>
    <w:link w:val="30"/>
    <w:uiPriority w:val="0"/>
    <w:rPr>
      <w:rFonts w:ascii="DengXian" w:hAnsi="DengXian" w:eastAsia="DengXian"/>
      <w:sz w:val="20"/>
    </w:rPr>
  </w:style>
  <w:style w:type="character" w:customStyle="1" w:styleId="30">
    <w:name w:val="EndNote Bibliography 字符"/>
    <w:basedOn w:val="12"/>
    <w:link w:val="29"/>
    <w:uiPriority w:val="0"/>
    <w:rPr>
      <w:rFonts w:ascii="DengXian" w:hAnsi="DengXian" w:eastAsia="DengXian"/>
      <w:sz w:val="20"/>
    </w:rPr>
  </w:style>
  <w:style w:type="character" w:customStyle="1" w:styleId="31">
    <w:name w:val="未处理的提及2"/>
    <w:basedOn w:val="12"/>
    <w:semiHidden/>
    <w:unhideWhenUsed/>
    <w:uiPriority w:val="99"/>
    <w:rPr>
      <w:color w:val="605E5C"/>
      <w:shd w:val="clear" w:color="auto" w:fill="E1DFDD"/>
    </w:rPr>
  </w:style>
  <w:style w:type="character" w:customStyle="1" w:styleId="32">
    <w:name w:val="Unresolved Mention"/>
    <w:basedOn w:val="12"/>
    <w:semiHidden/>
    <w:unhideWhenUsed/>
    <w:uiPriority w:val="99"/>
    <w:rPr>
      <w:color w:val="605E5C"/>
      <w:shd w:val="clear" w:color="auto" w:fill="E1DFDD"/>
    </w:rPr>
  </w:style>
  <w:style w:type="paragraph" w:customStyle="1" w:styleId="33">
    <w:name w:val="BA_Title"/>
    <w:basedOn w:val="1"/>
    <w:next w:val="1"/>
    <w:uiPriority w:val="0"/>
    <w:pPr>
      <w:widowControl/>
      <w:spacing w:before="720" w:after="360" w:line="480" w:lineRule="auto"/>
      <w:jc w:val="center"/>
    </w:pPr>
    <w:rPr>
      <w:rFonts w:ascii="Times New Roman" w:hAnsi="Times New Roman" w:cs="Times New Roman"/>
      <w:kern w:val="0"/>
      <w:sz w:val="44"/>
      <w:szCs w:val="20"/>
      <w:lang w:eastAsia="en-US"/>
    </w:rPr>
  </w:style>
  <w:style w:type="paragraph" w:customStyle="1" w:styleId="34">
    <w:name w:val="Addresses"/>
    <w:basedOn w:val="1"/>
    <w:uiPriority w:val="0"/>
    <w:pPr>
      <w:widowControl/>
      <w:jc w:val="left"/>
    </w:pPr>
    <w:rPr>
      <w:rFonts w:ascii="Times New Roman" w:hAnsi="Times New Roman" w:eastAsia="MS Mincho" w:cs="Times New Roman"/>
      <w:kern w:val="0"/>
      <w:szCs w:val="24"/>
      <w:lang w:eastAsia="ja-JP"/>
    </w:rPr>
  </w:style>
  <w:style w:type="paragraph" w:customStyle="1" w:styleId="35">
    <w:name w:val="본  문"/>
    <w:basedOn w:val="1"/>
    <w:link w:val="36"/>
    <w:uiPriority w:val="0"/>
    <w:pPr>
      <w:tabs>
        <w:tab w:val="right" w:pos="3969"/>
      </w:tabs>
      <w:adjustRightInd w:val="0"/>
      <w:snapToGrid w:val="0"/>
      <w:spacing w:line="240" w:lineRule="exact"/>
      <w:ind w:firstLine="100" w:firstLineChars="100"/>
    </w:pPr>
    <w:rPr>
      <w:rFonts w:ascii="Times New Roman" w:hAnsi="Times New Roman" w:eastAsia="-윤명조120" w:cs="Times New Roman"/>
      <w:snapToGrid w:val="0"/>
      <w:spacing w:val="-3"/>
      <w:kern w:val="0"/>
      <w:sz w:val="19"/>
      <w:szCs w:val="20"/>
      <w:lang w:val="zh-CN" w:eastAsia="ja-JP"/>
    </w:rPr>
  </w:style>
  <w:style w:type="character" w:customStyle="1" w:styleId="36">
    <w:name w:val="본  문 Char"/>
    <w:link w:val="35"/>
    <w:uiPriority w:val="0"/>
    <w:rPr>
      <w:rFonts w:ascii="Times New Roman" w:hAnsi="Times New Roman" w:eastAsia="-윤명조120" w:cs="Times New Roman"/>
      <w:snapToGrid w:val="0"/>
      <w:spacing w:val="-3"/>
      <w:kern w:val="0"/>
      <w:sz w:val="19"/>
      <w:szCs w:val="20"/>
      <w:lang w:val="zh-CN" w:eastAsia="ja-JP"/>
    </w:rPr>
  </w:style>
  <w:style w:type="character" w:customStyle="1" w:styleId="37">
    <w:name w:val="null"/>
    <w:basedOn w:val="12"/>
    <w:uiPriority w:val="0"/>
  </w:style>
  <w:style w:type="paragraph" w:customStyle="1" w:styleId="38">
    <w:name w:val="Acknowledgement"/>
    <w:basedOn w:val="1"/>
    <w:uiPriority w:val="0"/>
    <w:pPr>
      <w:widowControl/>
      <w:spacing w:before="120"/>
      <w:ind w:left="720" w:hanging="720"/>
      <w:jc w:val="left"/>
    </w:pPr>
    <w:rPr>
      <w:rFonts w:ascii="Times New Roman" w:hAnsi="Times New Roman" w:eastAsia="Times New Roman" w:cs="Times New Roman"/>
      <w:kern w:val="0"/>
      <w:sz w:val="24"/>
      <w:szCs w:val="24"/>
      <w:lang w:eastAsia="en-US"/>
    </w:rPr>
  </w:style>
  <w:style w:type="character" w:styleId="39">
    <w:name w:val="Placeholder Text"/>
    <w:basedOn w:val="12"/>
    <w:semiHidden/>
    <w:uiPriority w:val="99"/>
    <w:rPr>
      <w:color w:val="666666"/>
    </w:rPr>
  </w:style>
  <w:style w:type="character" w:customStyle="1" w:styleId="40">
    <w:name w:val="列表段落 字符"/>
    <w:basedOn w:val="12"/>
    <w:link w:val="22"/>
    <w:uiPriority w:val="34"/>
  </w:style>
  <w:style w:type="paragraph" w:customStyle="1" w:styleId="41">
    <w:name w:val="Teaser"/>
    <w:basedOn w:val="1"/>
    <w:uiPriority w:val="0"/>
    <w:pPr>
      <w:widowControl/>
      <w:spacing w:before="120"/>
      <w:jc w:val="left"/>
    </w:pPr>
    <w:rPr>
      <w:rFonts w:ascii="Times New Roman" w:hAnsi="Times New Roman" w:eastAsia="Times New Roman" w:cs="Times New Roman"/>
      <w:kern w:val="0"/>
      <w:sz w:val="24"/>
      <w:szCs w:val="24"/>
      <w:lang w:eastAsia="en-US"/>
    </w:rPr>
  </w:style>
  <w:style w:type="paragraph" w:customStyle="1" w:styleId="42">
    <w:name w:val="6表内"/>
    <w:basedOn w:val="1"/>
    <w:qFormat/>
    <w:uiPriority w:val="0"/>
    <w:pPr>
      <w:widowControl/>
      <w:spacing w:line="280" w:lineRule="atLeast"/>
      <w:textAlignment w:val="center"/>
    </w:pPr>
    <w:rPr>
      <w:color w:val="000000"/>
      <w:kern w:val="0"/>
      <w:sz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tiff"/><Relationship Id="rId6" Type="http://schemas.openxmlformats.org/officeDocument/2006/relationships/image" Target="media/image1.png"/><Relationship Id="rId5" Type="http://schemas.openxmlformats.org/officeDocument/2006/relationships/theme" Target="theme/theme1.xml"/><Relationship Id="rId43" Type="http://schemas.openxmlformats.org/officeDocument/2006/relationships/fontTable" Target="fontTable.xml"/><Relationship Id="rId42" Type="http://schemas.openxmlformats.org/officeDocument/2006/relationships/customXml" Target="../customXml/item1.xml"/><Relationship Id="rId41" Type="http://schemas.openxmlformats.org/officeDocument/2006/relationships/numbering" Target="numbering.xml"/><Relationship Id="rId40" Type="http://schemas.openxmlformats.org/officeDocument/2006/relationships/image" Target="media/image35.tiff"/><Relationship Id="rId4" Type="http://schemas.openxmlformats.org/officeDocument/2006/relationships/footer" Target="footer2.xml"/><Relationship Id="rId39" Type="http://schemas.openxmlformats.org/officeDocument/2006/relationships/image" Target="media/image34.tiff"/><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footer" Target="foot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jpe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jpe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tiff"/><Relationship Id="rId14" Type="http://schemas.openxmlformats.org/officeDocument/2006/relationships/image" Target="media/image9.tiff"/><Relationship Id="rId13" Type="http://schemas.openxmlformats.org/officeDocument/2006/relationships/image" Target="media/image8.tiff"/><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Version="6" SelectedStyle="\APASixthEditionOfficeOnline.xsl" StyleName="APA"/>
</file>

<file path=customXml/itemProps1.xml><?xml version="1.0" encoding="utf-8"?>
<ds:datastoreItem xmlns:ds="http://schemas.openxmlformats.org/officeDocument/2006/customXml" ds:itemID="{941E61DE-DD8B-4245-B115-81D4988274FC}">
  <ds:schemaRefs/>
</ds:datastoreItem>
</file>

<file path=docProps/app.xml><?xml version="1.0" encoding="utf-8"?>
<Properties xmlns="http://schemas.openxmlformats.org/officeDocument/2006/extended-properties" xmlns:vt="http://schemas.openxmlformats.org/officeDocument/2006/docPropsVTypes">
  <Template>Normal.dotm</Template>
  <Pages>51</Pages>
  <Words>1676</Words>
  <Characters>9556</Characters>
  <Lines>79</Lines>
  <Paragraphs>22</Paragraphs>
  <TotalTime>0</TotalTime>
  <ScaleCrop>false</ScaleCrop>
  <LinksUpToDate>false</LinksUpToDate>
  <CharactersWithSpaces>11210</CharactersWithSpaces>
  <Application>WPS Office_12.1.26026.26026_F1E327BC-269C-435d-A152-05C5408002CA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2025-04-23T04:48:00Z</dcterms:created>
  <dc:creator>lzs X</dc:creator>
  <cp:lastModifiedBy>mine</cp:lastModifiedBy>
  <cp:lastPrinted>2025-10-22T08:00:00Z</cp:lastPrinted>
  <dcterms:modified xsi:type="dcterms:W3CDTF">2026-07-02T12:28:56Z</dcterms:modified>
  <cp:revision>358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2052-12.1.26026.26026</vt:lpwstr>
  </property>
  <property fmtid="{D5CDD505-2E9C-101B-9397-08002B2CF9AE}" pid="3" name="ICV">
    <vt:lpwstr>D839105B312399B3CB21EB6974A0C0F1_42</vt:lpwstr>
  </property>
</Properties>
</file>