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Cambria" w:cs="Times New Roman"/>
          <w:b/>
          <w:sz w:val="20"/>
          <w:szCs w:val="20"/>
          <w:lang w:val="en-US" w:eastAsia="en-US" w:bidi="ar-SA"/>
        </w:rPr>
      </w:pPr>
      <w:r>
        <w:rPr>
          <w:rFonts w:hint="eastAsia" w:ascii="Times New Roman" w:hAnsi="Times New Roman" w:eastAsia="Cambria" w:cs="Times New Roman"/>
          <w:b/>
          <w:sz w:val="20"/>
          <w:szCs w:val="20"/>
          <w:lang w:val="en-US" w:eastAsia="zh-CN" w:bidi="ar-SA"/>
        </w:rPr>
        <w:t>S</w:t>
      </w:r>
      <w:r>
        <w:rPr>
          <w:rFonts w:ascii="Times New Roman" w:hAnsi="Times New Roman" w:eastAsia="Cambria" w:cs="Times New Roman"/>
          <w:b/>
          <w:sz w:val="20"/>
          <w:szCs w:val="20"/>
          <w:lang w:val="en-US" w:eastAsia="en-US" w:bidi="ar-SA"/>
        </w:rPr>
        <w:t>upplementary figure legends</w:t>
      </w:r>
    </w:p>
    <w:p>
      <w:pPr>
        <w:rPr>
          <w:rFonts w:cs="Times New Roman"/>
          <w:color w:val="auto"/>
          <w:sz w:val="20"/>
          <w:szCs w:val="20"/>
          <w:lang w:eastAsia="zh-CN"/>
        </w:rPr>
      </w:pPr>
      <w:r>
        <w:rPr>
          <w:rFonts w:cs="Times New Roman"/>
          <w:color w:val="auto"/>
          <w:sz w:val="20"/>
          <w:szCs w:val="20"/>
        </w:rPr>
        <w:t xml:space="preserve">Figure S1. Enriched guard cell (GC) purity assays. Transcript abundance of </w:t>
      </w:r>
      <w:r>
        <w:rPr>
          <w:rFonts w:cs="Times New Roman"/>
          <w:i/>
          <w:iCs/>
          <w:color w:val="auto"/>
          <w:sz w:val="20"/>
          <w:szCs w:val="20"/>
        </w:rPr>
        <w:t>AHA 1</w:t>
      </w:r>
      <w:r>
        <w:rPr>
          <w:rFonts w:cs="Times New Roman"/>
          <w:color w:val="auto"/>
          <w:sz w:val="20"/>
          <w:szCs w:val="20"/>
        </w:rPr>
        <w:t xml:space="preserve"> gene based on fold difference in guard cell samples compared to leaf samples (A). GC, guard cells; L, leaves; Distribution of </w:t>
      </w:r>
      <w:r>
        <w:rPr>
          <w:rFonts w:cs="Times New Roman"/>
          <w:i/>
          <w:iCs/>
          <w:color w:val="auto"/>
          <w:sz w:val="20"/>
          <w:szCs w:val="20"/>
        </w:rPr>
        <w:t xml:space="preserve">AHA1 </w:t>
      </w:r>
      <w:r>
        <w:rPr>
          <w:rFonts w:cs="Times New Roman"/>
          <w:color w:val="auto"/>
          <w:sz w:val="20"/>
          <w:szCs w:val="20"/>
        </w:rPr>
        <w:t xml:space="preserve">expression in different cells of leaves (B). The top panel is control and the bottom panel is after ABA treatment. The data were obtained from ePlant based on the expression of Arabidopsis homolog </w:t>
      </w:r>
      <w:r>
        <w:rPr>
          <w:rFonts w:cs="Times New Roman"/>
          <w:i/>
          <w:iCs/>
          <w:color w:val="auto"/>
          <w:sz w:val="20"/>
          <w:szCs w:val="20"/>
        </w:rPr>
        <w:t xml:space="preserve">AHA1 </w:t>
      </w:r>
      <w:r>
        <w:rPr>
          <w:rFonts w:cs="Times New Roman"/>
          <w:color w:val="auto"/>
          <w:sz w:val="20"/>
          <w:szCs w:val="20"/>
        </w:rPr>
        <w:t>(https://bar.utoronto.ca/eplant).</w:t>
      </w:r>
      <w:bookmarkStart w:id="0" w:name="_GoBack"/>
      <w:bookmarkEnd w:id="0"/>
    </w:p>
    <w:p>
      <w:pPr>
        <w:rPr>
          <w:rFonts w:cs="Times New Roman"/>
          <w:color w:val="auto"/>
          <w:sz w:val="20"/>
          <w:szCs w:val="20"/>
        </w:rPr>
      </w:pPr>
      <w:r>
        <w:rPr>
          <w:rFonts w:cs="Times New Roman"/>
          <w:color w:val="auto"/>
          <w:sz w:val="20"/>
          <w:szCs w:val="20"/>
        </w:rPr>
        <w:t>Figure S</w:t>
      </w:r>
      <w:r>
        <w:rPr>
          <w:rFonts w:cs="Times New Roman"/>
          <w:color w:val="auto"/>
          <w:sz w:val="20"/>
          <w:szCs w:val="20"/>
          <w:lang w:eastAsia="zh-CN"/>
        </w:rPr>
        <w:t>2</w:t>
      </w:r>
      <w:r>
        <w:rPr>
          <w:rFonts w:cs="Times New Roman"/>
          <w:color w:val="auto"/>
          <w:sz w:val="20"/>
          <w:szCs w:val="20"/>
        </w:rPr>
        <w:t xml:space="preserve">. Stomatal guard cell microscopic observation using three different methods. Nail varnish blotting (A); Leaf transparency (B); Epidermal fixation (C). </w:t>
      </w:r>
    </w:p>
    <w:p>
      <w:pPr>
        <w:rPr>
          <w:rFonts w:cs="Times New Roman"/>
          <w:color w:val="auto"/>
          <w:sz w:val="20"/>
          <w:szCs w:val="20"/>
        </w:rPr>
      </w:pPr>
      <w:r>
        <w:rPr>
          <w:rFonts w:cs="Times New Roman"/>
          <w:color w:val="auto"/>
          <w:sz w:val="20"/>
          <w:szCs w:val="20"/>
        </w:rPr>
        <w:t>Figure S</w:t>
      </w:r>
      <w:r>
        <w:rPr>
          <w:rFonts w:cs="Times New Roman"/>
          <w:color w:val="auto"/>
          <w:sz w:val="20"/>
          <w:szCs w:val="20"/>
          <w:lang w:eastAsia="zh-CN"/>
        </w:rPr>
        <w:t>3</w:t>
      </w:r>
      <w:r>
        <w:rPr>
          <w:rFonts w:cs="Times New Roman"/>
          <w:color w:val="auto"/>
          <w:sz w:val="20"/>
          <w:szCs w:val="20"/>
        </w:rPr>
        <w:t xml:space="preserve">. Distribution of peptide number in the guard cells from the </w:t>
      </w:r>
      <w:r>
        <w:rPr>
          <w:rFonts w:cs="Times New Roman"/>
          <w:i/>
          <w:iCs/>
          <w:color w:val="auto"/>
          <w:sz w:val="20"/>
          <w:szCs w:val="20"/>
        </w:rPr>
        <w:t>Bv</w:t>
      </w:r>
      <w:r>
        <w:rPr>
          <w:rFonts w:cs="Times New Roman"/>
          <w:color w:val="auto"/>
          <w:sz w:val="20"/>
          <w:szCs w:val="20"/>
        </w:rPr>
        <w:t>M14 plants after 200 mM NaCl treatment (A) and 400 mM NaCl treatment (B).</w:t>
      </w:r>
    </w:p>
    <w:p>
      <w:pPr>
        <w:spacing w:after="200" w:line="200" w:lineRule="atLeast"/>
        <w:rPr>
          <w:rFonts w:cs="Times New Roman"/>
          <w:color w:val="auto"/>
          <w:sz w:val="20"/>
          <w:szCs w:val="20"/>
        </w:rPr>
      </w:pPr>
      <w:r>
        <w:rPr>
          <w:rFonts w:cs="Times New Roman"/>
          <w:color w:val="auto"/>
          <w:sz w:val="20"/>
          <w:szCs w:val="20"/>
        </w:rPr>
        <w:t>Figure S</w:t>
      </w:r>
      <w:r>
        <w:rPr>
          <w:rFonts w:cs="Times New Roman"/>
          <w:color w:val="auto"/>
          <w:sz w:val="20"/>
          <w:szCs w:val="20"/>
          <w:lang w:eastAsia="zh-CN"/>
        </w:rPr>
        <w:t>4</w:t>
      </w:r>
      <w:r>
        <w:rPr>
          <w:rFonts w:cs="Times New Roman"/>
          <w:color w:val="auto"/>
          <w:sz w:val="20"/>
          <w:szCs w:val="20"/>
        </w:rPr>
        <w:t xml:space="preserve">. Distribution of protein masses in the guard cells from the </w:t>
      </w:r>
      <w:r>
        <w:rPr>
          <w:rFonts w:cs="Times New Roman"/>
          <w:i/>
          <w:iCs/>
          <w:color w:val="auto"/>
          <w:sz w:val="20"/>
          <w:szCs w:val="20"/>
        </w:rPr>
        <w:t>Bv</w:t>
      </w:r>
      <w:r>
        <w:rPr>
          <w:rFonts w:cs="Times New Roman"/>
          <w:color w:val="auto"/>
          <w:sz w:val="20"/>
          <w:szCs w:val="20"/>
        </w:rPr>
        <w:t>M14 plants after 200 mM NaCl treatment (A) and 400 mM NaCl treatment (B).</w:t>
      </w:r>
    </w:p>
    <w:p>
      <w:pPr>
        <w:spacing w:after="200" w:line="200" w:lineRule="atLeast"/>
        <w:rPr>
          <w:rFonts w:cs="Times New Roman"/>
          <w:bCs/>
          <w:color w:val="auto"/>
          <w:sz w:val="20"/>
          <w:szCs w:val="20"/>
          <w:lang w:eastAsia="zh-CN"/>
        </w:rPr>
      </w:pPr>
      <w:r>
        <w:rPr>
          <w:rFonts w:cs="Times New Roman"/>
          <w:bCs/>
          <w:color w:val="auto"/>
          <w:sz w:val="20"/>
          <w:szCs w:val="20"/>
          <w:lang w:eastAsia="zh-CN"/>
        </w:rPr>
        <w:t xml:space="preserve">Figure S5. Functional enrichment of protein activities with </w:t>
      </w:r>
      <w:r>
        <w:rPr>
          <w:rFonts w:cs="Times New Roman"/>
          <w:color w:val="auto"/>
          <w:sz w:val="20"/>
          <w:szCs w:val="20"/>
          <w:lang w:eastAsia="zh-CN"/>
        </w:rPr>
        <w:t xml:space="preserve">RNA binding and structural constituent of ribosome functions. </w:t>
      </w:r>
      <w:r>
        <w:rPr>
          <w:rFonts w:cs="Times New Roman"/>
          <w:bCs/>
          <w:color w:val="auto"/>
          <w:sz w:val="20"/>
          <w:szCs w:val="20"/>
          <w:lang w:eastAsia="zh-CN"/>
        </w:rPr>
        <w:t>Singular enrichment analysis (SEA) for cellular components was conducted using AgriGO. Each box shows the GO term, adjusted p-value, GO description, item number mapping the GO in the query list and background, and total number of query list and background. Box color indicates levels of statistical significance. More statistically significant nodes result in darker red color.</w:t>
      </w:r>
    </w:p>
    <w:p>
      <w:pPr>
        <w:spacing w:after="200" w:line="200" w:lineRule="atLeast"/>
        <w:rPr>
          <w:rFonts w:cs="Times New Roman"/>
          <w:bCs/>
          <w:color w:val="auto"/>
          <w:sz w:val="20"/>
          <w:szCs w:val="20"/>
          <w:lang w:eastAsia="zh-CN"/>
        </w:rPr>
      </w:pPr>
      <w:r>
        <w:rPr>
          <w:rFonts w:eastAsia="宋体" w:cs="Times New Roman"/>
          <w:bCs/>
          <w:color w:val="auto"/>
          <w:sz w:val="20"/>
          <w:szCs w:val="20"/>
          <w:lang w:eastAsia="zh-CN"/>
        </w:rPr>
        <w:t xml:space="preserve">Figure S6. Functional enrichment of subcellular localization of </w:t>
      </w:r>
      <w:r>
        <w:rPr>
          <w:rFonts w:cs="Times New Roman"/>
          <w:bCs/>
          <w:color w:val="auto"/>
          <w:sz w:val="20"/>
          <w:szCs w:val="20"/>
          <w:lang w:eastAsia="zh-CN"/>
        </w:rPr>
        <w:t>plastid and chloroplast-related proteins. Singular enrichment analysis (SEA) for cellular components was conducted using AgriGO. Each box shows the GO term, adjusted p-value, GO description, item number mapping the GO in the query list and background, and total number of query list and background. Box color indicates levels of statistical significance. More statistically significant nodes result in darker red color.</w:t>
      </w:r>
    </w:p>
    <w:p>
      <w:r>
        <w:rPr>
          <w:rFonts w:cs="Times New Roman"/>
          <w:bCs/>
          <w:color w:val="auto"/>
          <w:sz w:val="20"/>
          <w:szCs w:val="20"/>
          <w:lang w:eastAsia="zh-CN"/>
        </w:rPr>
        <w:t xml:space="preserve">Figure S7. Functional enrichment of biological processes of proteins related to </w:t>
      </w:r>
      <w:r>
        <w:rPr>
          <w:rFonts w:cs="Times New Roman"/>
          <w:color w:val="auto"/>
          <w:sz w:val="20"/>
          <w:szCs w:val="20"/>
          <w:lang w:eastAsia="zh-CN"/>
        </w:rPr>
        <w:t xml:space="preserve">response to stress, response to abiotic stimulus and translation in guard cells. </w:t>
      </w:r>
      <w:r>
        <w:rPr>
          <w:rFonts w:cs="Times New Roman"/>
          <w:bCs/>
          <w:color w:val="auto"/>
          <w:sz w:val="20"/>
          <w:szCs w:val="20"/>
          <w:lang w:eastAsia="zh-CN"/>
        </w:rPr>
        <w:t>Singular enrichment analysis (SEA) for cellular components was conducted using AgriGO. Each box shows the GO term, adjusted p-value, GO description, item number mapping the GO in the query list and background, and total number of query list and background. Box color indicates levels of statistical significance. More statistically significant nodes result in darker red color.</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C0601A"/>
    <w:multiLevelType w:val="multilevel"/>
    <w:tmpl w:val="1EC0601A"/>
    <w:lvl w:ilvl="0" w:tentative="0">
      <w:start w:val="1"/>
      <w:numFmt w:val="decimal"/>
      <w:lvlText w:val="%1"/>
      <w:lvlJc w:val="left"/>
      <w:pPr>
        <w:tabs>
          <w:tab w:val="left" w:pos="567"/>
        </w:tabs>
        <w:ind w:left="567" w:hanging="567"/>
      </w:pPr>
      <w:rPr>
        <w:rFonts w:hint="default"/>
      </w:rPr>
    </w:lvl>
    <w:lvl w:ilvl="1" w:tentative="0">
      <w:start w:val="1"/>
      <w:numFmt w:val="decimal"/>
      <w:lvlText w:val="%1.%2"/>
      <w:lvlJc w:val="left"/>
      <w:pPr>
        <w:tabs>
          <w:tab w:val="left" w:pos="567"/>
        </w:tabs>
        <w:ind w:left="567" w:hanging="567"/>
      </w:pPr>
      <w:rPr>
        <w:rFonts w:hint="default"/>
      </w:rPr>
    </w:lvl>
    <w:lvl w:ilvl="2" w:tentative="0">
      <w:start w:val="1"/>
      <w:numFmt w:val="decimal"/>
      <w:lvlText w:val="%1.%2.%3"/>
      <w:lvlJc w:val="left"/>
      <w:pPr>
        <w:tabs>
          <w:tab w:val="left" w:pos="567"/>
        </w:tabs>
        <w:ind w:left="567" w:hanging="567"/>
      </w:pPr>
      <w:rPr>
        <w:rFonts w:hint="default"/>
      </w:rPr>
    </w:lvl>
    <w:lvl w:ilvl="3" w:tentative="0">
      <w:start w:val="1"/>
      <w:numFmt w:val="decimal"/>
      <w:lvlText w:val="%1.%2.%3.%4"/>
      <w:lvlJc w:val="left"/>
      <w:pPr>
        <w:tabs>
          <w:tab w:val="left" w:pos="567"/>
        </w:tabs>
        <w:ind w:left="567" w:hanging="567"/>
      </w:pPr>
      <w:rPr>
        <w:rFonts w:hint="default"/>
      </w:rPr>
    </w:lvl>
    <w:lvl w:ilvl="4" w:tentative="0">
      <w:start w:val="1"/>
      <w:numFmt w:val="decimal"/>
      <w:lvlText w:val="%1.%2.%3.%4.%5"/>
      <w:lvlJc w:val="left"/>
      <w:pPr>
        <w:tabs>
          <w:tab w:val="left" w:pos="567"/>
        </w:tabs>
        <w:ind w:left="567" w:hanging="567"/>
      </w:pPr>
      <w:rPr>
        <w:rFonts w:hint="default"/>
      </w:rPr>
    </w:lvl>
    <w:lvl w:ilvl="5" w:tentative="0">
      <w:start w:val="1"/>
      <w:numFmt w:val="lowerRoman"/>
      <w:lvlText w:val="%6."/>
      <w:lvlJc w:val="right"/>
      <w:pPr>
        <w:tabs>
          <w:tab w:val="left" w:pos="567"/>
        </w:tabs>
        <w:ind w:left="567" w:hanging="567"/>
      </w:pPr>
      <w:rPr>
        <w:rFonts w:hint="default"/>
      </w:rPr>
    </w:lvl>
    <w:lvl w:ilvl="6" w:tentative="0">
      <w:start w:val="1"/>
      <w:numFmt w:val="decimal"/>
      <w:lvlText w:val="%7."/>
      <w:lvlJc w:val="left"/>
      <w:pPr>
        <w:tabs>
          <w:tab w:val="left" w:pos="567"/>
        </w:tabs>
        <w:ind w:left="567" w:hanging="567"/>
      </w:pPr>
      <w:rPr>
        <w:rFonts w:hint="default"/>
      </w:rPr>
    </w:lvl>
    <w:lvl w:ilvl="7" w:tentative="0">
      <w:start w:val="1"/>
      <w:numFmt w:val="lowerLetter"/>
      <w:lvlText w:val="%8."/>
      <w:lvlJc w:val="left"/>
      <w:pPr>
        <w:tabs>
          <w:tab w:val="left" w:pos="567"/>
        </w:tabs>
        <w:ind w:left="567" w:hanging="567"/>
      </w:pPr>
      <w:rPr>
        <w:rFonts w:hint="default"/>
      </w:rPr>
    </w:lvl>
    <w:lvl w:ilvl="8" w:tentative="0">
      <w:start w:val="1"/>
      <w:numFmt w:val="lowerRoman"/>
      <w:lvlText w:val="%9."/>
      <w:lvlJc w:val="right"/>
      <w:pPr>
        <w:tabs>
          <w:tab w:val="left" w:pos="567"/>
        </w:tabs>
        <w:ind w:left="567" w:hanging="567"/>
      </w:pPr>
      <w:rPr>
        <w:rFonts w:hint="default"/>
      </w:rPr>
    </w:lvl>
  </w:abstractNum>
  <w:abstractNum w:abstractNumId="1">
    <w:nsid w:val="225305B5"/>
    <w:multiLevelType w:val="multilevel"/>
    <w:tmpl w:val="225305B5"/>
    <w:lvl w:ilvl="0" w:tentative="0">
      <w:start w:val="1"/>
      <w:numFmt w:val="bullet"/>
      <w:pStyle w:val="3"/>
      <w:lvlText w:val=""/>
      <w:lvlJc w:val="left"/>
      <w:pPr>
        <w:ind w:left="1440" w:hanging="360"/>
      </w:pPr>
      <w:rPr>
        <w:rFonts w:hint="default" w:ascii="Symbol" w:hAnsi="Symbol"/>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num w:numId="1">
    <w:abstractNumId w:val="0"/>
    <w:lvlOverride w:ilvl="0">
      <w:lvl w:ilvl="0" w:tentative="1">
        <w:start w:val="1"/>
        <w:numFmt w:val="decimal"/>
        <w:pStyle w:val="2"/>
        <w:lvlText w:val="%1"/>
        <w:lvlJc w:val="left"/>
        <w:pPr>
          <w:tabs>
            <w:tab w:val="left" w:pos="567"/>
          </w:tabs>
          <w:ind w:left="567" w:hanging="567"/>
        </w:pPr>
        <w:rPr>
          <w:rFonts w:hint="default"/>
        </w:rPr>
      </w:lvl>
    </w:lvlOverride>
    <w:lvlOverride w:ilvl="1">
      <w:lvl w:ilvl="1" w:tentative="1">
        <w:start w:val="1"/>
        <w:numFmt w:val="decimal"/>
        <w:lvlText w:val="%1.%2"/>
        <w:lvlJc w:val="left"/>
        <w:pPr>
          <w:tabs>
            <w:tab w:val="left" w:pos="567"/>
          </w:tabs>
          <w:ind w:left="567" w:hanging="567"/>
        </w:pPr>
        <w:rPr>
          <w:rFonts w:hint="default"/>
        </w:rPr>
      </w:lvl>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B47319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2"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120" w:after="240"/>
    </w:pPr>
    <w:rPr>
      <w:rFonts w:ascii="Times New Roman" w:hAnsi="Times New Roman" w:eastAsiaTheme="minorEastAsia" w:cstheme="minorBidi"/>
      <w:sz w:val="24"/>
      <w:szCs w:val="22"/>
      <w:lang w:val="en-US" w:eastAsia="en-US" w:bidi="ar-SA"/>
    </w:rPr>
  </w:style>
  <w:style w:type="paragraph" w:styleId="2">
    <w:name w:val="heading 1"/>
    <w:basedOn w:val="3"/>
    <w:next w:val="1"/>
    <w:qFormat/>
    <w:uiPriority w:val="2"/>
    <w:pPr>
      <w:numPr>
        <w:ilvl w:val="0"/>
        <w:numId w:val="1"/>
      </w:numPr>
      <w:spacing w:before="240"/>
      <w:contextualSpacing w:val="0"/>
      <w:outlineLvl w:val="0"/>
    </w:pPr>
    <w:rPr>
      <w:b/>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List Paragraph"/>
    <w:basedOn w:val="1"/>
    <w:qFormat/>
    <w:uiPriority w:val="3"/>
    <w:pPr>
      <w:numPr>
        <w:ilvl w:val="0"/>
        <w:numId w:val="2"/>
      </w:numPr>
      <w:ind w:left="1434" w:hanging="357"/>
      <w:contextualSpacing/>
    </w:pPr>
    <w:rPr>
      <w:rFonts w:eastAsia="Cambria" w:cs="Times New Roman"/>
      <w:szCs w:val="24"/>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zhangjialin</cp:lastModifiedBy>
  <dcterms:modified xsi:type="dcterms:W3CDTF">2022-02-19T11:16:49Z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8A6EB5B66FE741849F78CE75F6C27947</vt:lpwstr>
  </property>
</Properties>
</file>