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EB44" w14:textId="77777777" w:rsidR="00175BEC" w:rsidRPr="00175BEC" w:rsidRDefault="00175BEC" w:rsidP="00175BEC">
      <w:pPr>
        <w:rPr>
          <w:lang w:val="en-US"/>
        </w:rPr>
      </w:pPr>
      <w:r w:rsidRPr="00175BEC">
        <w:rPr>
          <w:b/>
          <w:lang w:val="en-US"/>
        </w:rPr>
        <w:t>Supplementary material legends</w:t>
      </w:r>
    </w:p>
    <w:p w14:paraId="7A6972AE" w14:textId="77777777" w:rsidR="00175BEC" w:rsidRPr="00175BEC" w:rsidRDefault="00175BEC" w:rsidP="00175BEC">
      <w:pPr>
        <w:rPr>
          <w:b/>
          <w:bCs/>
          <w:lang w:val="en-US"/>
        </w:rPr>
      </w:pPr>
      <w:r w:rsidRPr="00175BEC">
        <w:rPr>
          <w:b/>
          <w:bCs/>
          <w:lang w:val="en-US"/>
        </w:rPr>
        <w:t>Supplementary Figure 1.</w:t>
      </w:r>
      <w:r w:rsidRPr="00175BEC">
        <w:rPr>
          <w:lang w:val="en-US"/>
        </w:rPr>
        <w:t xml:space="preserve"> </w:t>
      </w:r>
      <w:r w:rsidRPr="00175BEC">
        <w:rPr>
          <w:b/>
          <w:bCs/>
          <w:lang w:val="en-US"/>
        </w:rPr>
        <w:t xml:space="preserve">Subgroup discrimination in the eICU external validation cohort. </w:t>
      </w:r>
    </w:p>
    <w:p w14:paraId="3A618907" w14:textId="77777777" w:rsidR="00175BEC" w:rsidRPr="00175BEC" w:rsidRDefault="00175BEC" w:rsidP="00175BEC">
      <w:pPr>
        <w:rPr>
          <w:lang w:val="en-US"/>
        </w:rPr>
      </w:pPr>
      <w:r w:rsidRPr="00175BEC">
        <w:rPr>
          <w:lang w:val="en-US"/>
        </w:rPr>
        <w:t>The forest plot presents subgroup-specific AUROC values with bootstrap 95% confidence intervals for prespecified clinical strata, including age, sex, COPD status, Sepsis-3 status, vasoactive drug use, and oxygenation severity defined by PaO2/FiO2 &lt;200 versus &gt;=200 mm Hg. The vertical reference line indicates the overall eICU AUROC.</w:t>
      </w:r>
    </w:p>
    <w:p w14:paraId="4AD2A949" w14:textId="77777777" w:rsidR="00175BEC" w:rsidRPr="00175BEC" w:rsidRDefault="00175BEC" w:rsidP="00175BEC">
      <w:pPr>
        <w:rPr>
          <w:lang w:val="en-US"/>
        </w:rPr>
      </w:pPr>
      <w:r w:rsidRPr="00175BEC">
        <w:rPr>
          <w:b/>
          <w:bCs/>
          <w:lang w:val="en-US"/>
        </w:rPr>
        <w:t>Supplementary Table 1.</w:t>
      </w:r>
      <w:r w:rsidRPr="00175BEC">
        <w:rPr>
          <w:lang w:val="en-US"/>
        </w:rPr>
        <w:t xml:space="preserve"> </w:t>
      </w:r>
      <w:r w:rsidRPr="00175BEC">
        <w:rPr>
          <w:b/>
          <w:bCs/>
          <w:lang w:val="en-US"/>
        </w:rPr>
        <w:t>Subgroup performance across cohorts.</w:t>
      </w:r>
    </w:p>
    <w:p w14:paraId="0EB523E6" w14:textId="77777777" w:rsidR="00175BEC" w:rsidRPr="00175BEC" w:rsidRDefault="00175BEC" w:rsidP="00175BEC">
      <w:pPr>
        <w:rPr>
          <w:lang w:val="en-US"/>
        </w:rPr>
      </w:pPr>
      <w:r w:rsidRPr="00175BEC">
        <w:rPr>
          <w:lang w:val="en-US"/>
        </w:rPr>
        <w:t xml:space="preserve"> This table reports sample size, number of events, event rate, AUROC with bootstrap 95% confidence intervals, and AUPRC for prespecified subgroups in the MIMIC-IV test, eICU external validation, and local clinical validation cohorts.</w:t>
      </w:r>
    </w:p>
    <w:p w14:paraId="562EE1E1" w14:textId="77777777" w:rsidR="00175BEC" w:rsidRPr="00175BEC" w:rsidRDefault="00175BEC" w:rsidP="00175BEC">
      <w:pPr>
        <w:rPr>
          <w:lang w:val="en-US"/>
        </w:rPr>
      </w:pPr>
      <w:r w:rsidRPr="00175BEC">
        <w:rPr>
          <w:b/>
          <w:bCs/>
          <w:lang w:val="en-US"/>
        </w:rPr>
        <w:t>Supplementary Table 2. Calibration by decile of predicted risk.</w:t>
      </w:r>
      <w:r w:rsidRPr="00175BEC">
        <w:rPr>
          <w:lang w:val="en-US"/>
        </w:rPr>
        <w:t xml:space="preserve"> </w:t>
      </w:r>
    </w:p>
    <w:p w14:paraId="5F9C5ED6" w14:textId="77777777" w:rsidR="00175BEC" w:rsidRPr="00175BEC" w:rsidRDefault="00175BEC" w:rsidP="00175BEC">
      <w:pPr>
        <w:rPr>
          <w:lang w:val="en-US"/>
        </w:rPr>
      </w:pPr>
      <w:r w:rsidRPr="00175BEC">
        <w:rPr>
          <w:lang w:val="en-US"/>
        </w:rPr>
        <w:t>This table reports, for each cohort and predicted-risk decile, sample size, number of observed events, mean predicted risk, observed event rate, and Wilson 95% confidence intervals, providing a tabular counterpart to the calibration curves.</w:t>
      </w:r>
    </w:p>
    <w:p w14:paraId="0CEF1961" w14:textId="77777777" w:rsidR="00175BEC" w:rsidRPr="00175BEC" w:rsidRDefault="00175BEC" w:rsidP="00175BEC">
      <w:pPr>
        <w:rPr>
          <w:b/>
          <w:bCs/>
          <w:lang w:val="en-US"/>
        </w:rPr>
      </w:pPr>
      <w:r w:rsidRPr="00175BEC">
        <w:rPr>
          <w:b/>
          <w:bCs/>
          <w:lang w:val="en-US"/>
        </w:rPr>
        <w:t>Supplementary Table 3.</w:t>
      </w:r>
      <w:r w:rsidRPr="00175BEC">
        <w:rPr>
          <w:lang w:val="en-US"/>
        </w:rPr>
        <w:t xml:space="preserve"> </w:t>
      </w:r>
      <w:r w:rsidRPr="00175BEC">
        <w:rPr>
          <w:b/>
          <w:bCs/>
          <w:lang w:val="en-US"/>
        </w:rPr>
        <w:t xml:space="preserve">Missingness of key predictors across cohorts. </w:t>
      </w:r>
    </w:p>
    <w:p w14:paraId="4BAD455A" w14:textId="77777777" w:rsidR="00175BEC" w:rsidRPr="00175BEC" w:rsidRDefault="00175BEC" w:rsidP="00175BEC">
      <w:pPr>
        <w:rPr>
          <w:lang w:val="en-US"/>
        </w:rPr>
      </w:pPr>
      <w:r w:rsidRPr="00175BEC">
        <w:rPr>
          <w:lang w:val="en-US"/>
        </w:rPr>
        <w:t>This table summarizes missing data for clinically important model variables across cohorts. Missingness was calculated in the full MIMIC-IV eligible cohort before model splitting (n=9,614), the full eICU external validation cohort (n=12,507), and the full local validation cohort (n=347), rather than only within the MIMIC-IV test subset.</w:t>
      </w:r>
    </w:p>
    <w:p w14:paraId="514A607E" w14:textId="77777777" w:rsidR="00175BEC" w:rsidRPr="00175BEC" w:rsidRDefault="00175BEC" w:rsidP="00175BEC">
      <w:pPr>
        <w:rPr>
          <w:lang w:val="en-US"/>
        </w:rPr>
      </w:pPr>
      <w:r w:rsidRPr="00175BEC">
        <w:rPr>
          <w:b/>
          <w:bCs/>
          <w:lang w:val="en-US"/>
        </w:rPr>
        <w:t>Supplementary Table 4.</w:t>
      </w:r>
      <w:r w:rsidRPr="00175BEC">
        <w:rPr>
          <w:lang w:val="en-US"/>
        </w:rPr>
        <w:t xml:space="preserve"> </w:t>
      </w:r>
      <w:r w:rsidRPr="00175BEC">
        <w:rPr>
          <w:b/>
          <w:bCs/>
          <w:lang w:val="en-US"/>
        </w:rPr>
        <w:t>Decision curve analysis at selected threshold probabilities.</w:t>
      </w:r>
      <w:r w:rsidRPr="00175BEC">
        <w:rPr>
          <w:lang w:val="en-US"/>
        </w:rPr>
        <w:t xml:space="preserve"> </w:t>
      </w:r>
    </w:p>
    <w:p w14:paraId="2D649099" w14:textId="77777777" w:rsidR="00175BEC" w:rsidRPr="00175BEC" w:rsidRDefault="00175BEC" w:rsidP="00175BEC">
      <w:pPr>
        <w:rPr>
          <w:lang w:val="en-US"/>
        </w:rPr>
      </w:pPr>
      <w:r w:rsidRPr="00175BEC">
        <w:rPr>
          <w:lang w:val="en-US"/>
        </w:rPr>
        <w:t>This table reports model net benefit, treat-all net benefit, treat-</w:t>
      </w:r>
      <w:proofErr w:type="gramStart"/>
      <w:r w:rsidRPr="00175BEC">
        <w:rPr>
          <w:lang w:val="en-US"/>
        </w:rPr>
        <w:t>none net</w:t>
      </w:r>
      <w:proofErr w:type="gramEnd"/>
      <w:r w:rsidRPr="00175BEC">
        <w:rPr>
          <w:lang w:val="en-US"/>
        </w:rPr>
        <w:t xml:space="preserve"> benefit, and incremental net benefit across threshold probabilities from 0.05 to 0.60, providing numerical support for the DCA curves.</w:t>
      </w:r>
    </w:p>
    <w:p w14:paraId="060C1AB9" w14:textId="77777777" w:rsidR="00175BEC" w:rsidRPr="00175BEC" w:rsidRDefault="00175BEC" w:rsidP="00175BEC">
      <w:pPr>
        <w:rPr>
          <w:b/>
          <w:bCs/>
          <w:lang w:val="en-US"/>
        </w:rPr>
      </w:pPr>
      <w:r w:rsidRPr="00175BEC">
        <w:rPr>
          <w:b/>
          <w:bCs/>
          <w:lang w:val="en-US"/>
        </w:rPr>
        <w:t xml:space="preserve">Supplementary Table 5. Endpoint-variant analyses. </w:t>
      </w:r>
    </w:p>
    <w:p w14:paraId="1969D638" w14:textId="77777777" w:rsidR="00175BEC" w:rsidRPr="00175BEC" w:rsidRDefault="00175BEC" w:rsidP="00175BEC">
      <w:pPr>
        <w:rPr>
          <w:lang w:val="en-US"/>
        </w:rPr>
      </w:pPr>
      <w:r w:rsidRPr="00175BEC">
        <w:rPr>
          <w:lang w:val="en-US"/>
        </w:rPr>
        <w:t>This table reports sample size, event counts, event rates, AUROC, AUPRC, and Brier score for the primary endpoint and exploratory 72-hour durability and nonfatal endpoint variants in the MIMIC-IV test and eICU external validation cohorts.</w:t>
      </w:r>
    </w:p>
    <w:p w14:paraId="0C4BDFDD" w14:textId="77777777" w:rsidR="00175BEC" w:rsidRPr="00175BEC" w:rsidRDefault="00175BEC" w:rsidP="00175BEC">
      <w:pPr>
        <w:rPr>
          <w:b/>
          <w:bCs/>
          <w:lang w:val="en-US"/>
        </w:rPr>
      </w:pPr>
      <w:r w:rsidRPr="00175BEC">
        <w:rPr>
          <w:b/>
          <w:bCs/>
          <w:lang w:val="en-US"/>
        </w:rPr>
        <w:t>Supplementary Table 6.</w:t>
      </w:r>
      <w:r w:rsidRPr="00175BEC">
        <w:rPr>
          <w:lang w:val="en-US"/>
        </w:rPr>
        <w:t xml:space="preserve"> </w:t>
      </w:r>
      <w:r w:rsidRPr="00175BEC">
        <w:rPr>
          <w:b/>
          <w:bCs/>
          <w:lang w:val="en-US"/>
        </w:rPr>
        <w:t>Predictor dictionary and cross-database harmonization.</w:t>
      </w:r>
    </w:p>
    <w:p w14:paraId="55D7D9A1" w14:textId="77777777" w:rsidR="00175BEC" w:rsidRPr="00175BEC" w:rsidRDefault="00175BEC" w:rsidP="00175BEC">
      <w:pPr>
        <w:rPr>
          <w:lang w:val="en-US"/>
        </w:rPr>
      </w:pPr>
      <w:r w:rsidRPr="00175BEC">
        <w:rPr>
          <w:lang w:val="en-US"/>
        </w:rPr>
        <w:t>This table lists final RF predictors, model-level variable names, clinical modules, aggregation rules, units, source mappings across databases, comparator-model use, and missingness-indicator handling.</w:t>
      </w:r>
    </w:p>
    <w:p w14:paraId="43D4AEA4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EC"/>
    <w:rsid w:val="00175BEC"/>
    <w:rsid w:val="00767E38"/>
    <w:rsid w:val="00866F7D"/>
    <w:rsid w:val="00EE5CC4"/>
    <w:rsid w:val="00F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5C4B6"/>
  <w15:chartTrackingRefBased/>
  <w15:docId w15:val="{FA911426-83D3-40AD-BC26-9E526A0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B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B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B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B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B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2026-07-31T14:37:00Z</dcterms:created>
  <dcterms:modified xsi:type="dcterms:W3CDTF">2026-07-31T14:37:00Z</dcterms:modified>
</cp:coreProperties>
</file>