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A171C" w14:textId="5B5785A9" w:rsidR="00F76180" w:rsidRPr="00BA58A8" w:rsidRDefault="00F76180" w:rsidP="005B7805">
      <w:pPr>
        <w:pStyle w:val="Title2"/>
        <w:spacing w:line="480" w:lineRule="auto"/>
        <w:jc w:val="center"/>
        <w:rPr>
          <w:rFonts w:ascii="Arial" w:hAnsi="Arial" w:cs="Arial"/>
          <w:smallCaps/>
          <w:color w:val="000000" w:themeColor="text1"/>
          <w:sz w:val="40"/>
          <w:szCs w:val="40"/>
        </w:rPr>
      </w:pPr>
      <w:r w:rsidRPr="00BA58A8">
        <w:rPr>
          <w:rFonts w:ascii="Arial" w:hAnsi="Arial" w:cs="Arial"/>
          <w:smallCaps/>
          <w:color w:val="000000" w:themeColor="text1"/>
          <w:sz w:val="40"/>
          <w:szCs w:val="40"/>
        </w:rPr>
        <w:t>Supp</w:t>
      </w:r>
      <w:r w:rsidR="00772034" w:rsidRPr="00BA58A8">
        <w:rPr>
          <w:rFonts w:ascii="Arial" w:hAnsi="Arial" w:cs="Arial"/>
          <w:smallCaps/>
          <w:color w:val="000000" w:themeColor="text1"/>
          <w:sz w:val="40"/>
          <w:szCs w:val="40"/>
        </w:rPr>
        <w:t>orting</w:t>
      </w:r>
      <w:r w:rsidRPr="00BA58A8">
        <w:rPr>
          <w:rFonts w:ascii="Arial" w:hAnsi="Arial" w:cs="Arial"/>
          <w:smallCaps/>
          <w:color w:val="000000" w:themeColor="text1"/>
          <w:sz w:val="40"/>
          <w:szCs w:val="40"/>
        </w:rPr>
        <w:t xml:space="preserve"> Information</w:t>
      </w:r>
    </w:p>
    <w:p w14:paraId="3FA7FB88" w14:textId="77777777" w:rsidR="00051651" w:rsidRPr="005B7805" w:rsidRDefault="00051651" w:rsidP="005B7805">
      <w:pPr>
        <w:pStyle w:val="Title2"/>
        <w:spacing w:line="480" w:lineRule="auto"/>
        <w:jc w:val="both"/>
        <w:rPr>
          <w:rFonts w:ascii="Arial" w:hAnsi="Arial" w:cs="Arial"/>
          <w:color w:val="000000" w:themeColor="text1"/>
        </w:rPr>
      </w:pPr>
    </w:p>
    <w:p w14:paraId="31EE0CAE" w14:textId="77777777" w:rsidR="00382A3A" w:rsidRPr="00382A3A" w:rsidRDefault="00382A3A" w:rsidP="00382A3A">
      <w:pPr>
        <w:snapToGrid w:val="0"/>
        <w:spacing w:line="480" w:lineRule="auto"/>
        <w:jc w:val="center"/>
        <w:rPr>
          <w:rFonts w:ascii="Arial" w:hAnsi="Arial" w:cs="Arial"/>
          <w:b/>
          <w:smallCaps/>
          <w:sz w:val="36"/>
          <w:szCs w:val="36"/>
          <w:lang w:val="it-IT"/>
        </w:rPr>
      </w:pPr>
      <w:r w:rsidRPr="00382A3A">
        <w:rPr>
          <w:rFonts w:ascii="Arial" w:hAnsi="Arial" w:cs="Arial"/>
          <w:b/>
          <w:smallCaps/>
          <w:sz w:val="36"/>
          <w:szCs w:val="36"/>
          <w:lang w:val="it-IT"/>
        </w:rPr>
        <w:t>Extended Cognitive Recovery in Down Syndrome Mice</w:t>
      </w:r>
    </w:p>
    <w:p w14:paraId="14694FB9" w14:textId="77777777" w:rsidR="00382A3A" w:rsidRPr="00382A3A" w:rsidRDefault="00382A3A" w:rsidP="00382A3A">
      <w:pPr>
        <w:snapToGrid w:val="0"/>
        <w:spacing w:line="480" w:lineRule="auto"/>
        <w:jc w:val="center"/>
        <w:rPr>
          <w:rFonts w:ascii="Arial" w:hAnsi="Arial" w:cs="Arial"/>
          <w:b/>
          <w:smallCaps/>
          <w:sz w:val="36"/>
          <w:szCs w:val="36"/>
          <w:lang w:val="it-IT"/>
        </w:rPr>
      </w:pPr>
      <w:r w:rsidRPr="00382A3A">
        <w:rPr>
          <w:rFonts w:ascii="Arial" w:hAnsi="Arial" w:cs="Arial"/>
          <w:b/>
          <w:smallCaps/>
          <w:sz w:val="36"/>
          <w:szCs w:val="36"/>
          <w:lang w:val="it-IT"/>
        </w:rPr>
        <w:t>via Sustained Release of AM404 from microPLates</w:t>
      </w:r>
    </w:p>
    <w:p w14:paraId="6DFDE0DB" w14:textId="77777777" w:rsidR="00BA58A8" w:rsidRDefault="00BA58A8" w:rsidP="005B7805">
      <w:pPr>
        <w:snapToGrid w:val="0"/>
        <w:spacing w:line="480" w:lineRule="auto"/>
        <w:jc w:val="center"/>
        <w:rPr>
          <w:rFonts w:ascii="Arial" w:hAnsi="Arial" w:cs="Arial"/>
          <w:b/>
          <w:smallCaps/>
          <w:lang w:val="en-US"/>
        </w:rPr>
      </w:pPr>
    </w:p>
    <w:p w14:paraId="0D89D1E4" w14:textId="77777777" w:rsidR="00BD388B" w:rsidRPr="005B7805" w:rsidRDefault="00BD388B" w:rsidP="005B7805">
      <w:pPr>
        <w:snapToGrid w:val="0"/>
        <w:spacing w:line="480" w:lineRule="auto"/>
        <w:jc w:val="both"/>
        <w:rPr>
          <w:rFonts w:ascii="Arial" w:hAnsi="Arial" w:cs="Arial"/>
          <w:vertAlign w:val="superscript"/>
          <w:lang w:val="it-IT"/>
        </w:rPr>
      </w:pPr>
      <w:r w:rsidRPr="005B7805">
        <w:rPr>
          <w:rFonts w:ascii="Arial" w:hAnsi="Arial" w:cs="Arial"/>
          <w:lang w:val="it-IT"/>
        </w:rPr>
        <w:t>Corinne Portioli</w:t>
      </w:r>
      <w:r w:rsidRPr="005B7805">
        <w:rPr>
          <w:rFonts w:ascii="Arial" w:hAnsi="Arial" w:cs="Arial"/>
          <w:vertAlign w:val="superscript"/>
          <w:lang w:val="it-IT"/>
        </w:rPr>
        <w:t>1</w:t>
      </w:r>
      <w:r w:rsidRPr="005B7805">
        <w:rPr>
          <w:rFonts w:ascii="Arial" w:hAnsi="Arial" w:cs="Arial"/>
          <w:lang w:val="it-IT"/>
        </w:rPr>
        <w:t>, Denise Murgia</w:t>
      </w:r>
      <w:r w:rsidRPr="005B7805">
        <w:rPr>
          <w:rFonts w:ascii="Arial" w:hAnsi="Arial" w:cs="Arial"/>
          <w:vertAlign w:val="superscript"/>
          <w:lang w:val="it-IT"/>
        </w:rPr>
        <w:t>1</w:t>
      </w:r>
      <w:r w:rsidRPr="005B7805">
        <w:rPr>
          <w:rFonts w:ascii="Arial" w:hAnsi="Arial" w:cs="Arial"/>
          <w:lang w:val="it-IT"/>
        </w:rPr>
        <w:t>, Raffaele Spanò</w:t>
      </w:r>
      <w:r w:rsidRPr="005B7805">
        <w:rPr>
          <w:rFonts w:ascii="Arial" w:hAnsi="Arial" w:cs="Arial"/>
          <w:vertAlign w:val="superscript"/>
          <w:lang w:val="it-IT"/>
        </w:rPr>
        <w:t>1</w:t>
      </w:r>
      <w:r w:rsidRPr="005B7805">
        <w:rPr>
          <w:rFonts w:ascii="Arial" w:hAnsi="Arial" w:cs="Arial"/>
          <w:lang w:val="it-IT"/>
        </w:rPr>
        <w:t>, Stefania Mamberti</w:t>
      </w:r>
      <w:r w:rsidRPr="005B7805">
        <w:rPr>
          <w:rFonts w:ascii="Arial" w:hAnsi="Arial" w:cs="Arial"/>
          <w:vertAlign w:val="superscript"/>
          <w:lang w:val="it-IT"/>
        </w:rPr>
        <w:t>1</w:t>
      </w:r>
      <w:r w:rsidRPr="005B7805">
        <w:rPr>
          <w:rFonts w:ascii="Arial" w:hAnsi="Arial" w:cs="Arial"/>
          <w:lang w:val="it-IT"/>
        </w:rPr>
        <w:t>, Bianca Martins Estevão</w:t>
      </w:r>
      <w:r w:rsidRPr="005B7805">
        <w:rPr>
          <w:rFonts w:ascii="Arial" w:hAnsi="Arial" w:cs="Arial"/>
          <w:vertAlign w:val="superscript"/>
          <w:lang w:val="it-IT"/>
        </w:rPr>
        <w:t>1</w:t>
      </w:r>
      <w:r w:rsidRPr="005B7805">
        <w:rPr>
          <w:rFonts w:ascii="Arial" w:hAnsi="Arial" w:cs="Arial"/>
          <w:lang w:val="it-IT"/>
        </w:rPr>
        <w:t>, Greta Avancini</w:t>
      </w:r>
      <w:r w:rsidRPr="005B7805">
        <w:rPr>
          <w:rFonts w:ascii="Arial" w:hAnsi="Arial" w:cs="Arial"/>
          <w:vertAlign w:val="superscript"/>
          <w:lang w:val="it-IT"/>
        </w:rPr>
        <w:t>1</w:t>
      </w:r>
      <w:r w:rsidRPr="005B7805">
        <w:rPr>
          <w:rFonts w:ascii="Arial" w:hAnsi="Arial" w:cs="Arial"/>
          <w:lang w:val="it-IT"/>
        </w:rPr>
        <w:t>, Sine Bertozzi</w:t>
      </w:r>
      <w:r w:rsidRPr="005B7805">
        <w:rPr>
          <w:rFonts w:ascii="Arial" w:hAnsi="Arial" w:cs="Arial"/>
          <w:vertAlign w:val="superscript"/>
          <w:lang w:val="it-IT"/>
        </w:rPr>
        <w:t>2</w:t>
      </w:r>
      <w:r w:rsidRPr="005B7805">
        <w:rPr>
          <w:rFonts w:ascii="Arial" w:hAnsi="Arial" w:cs="Arial"/>
          <w:lang w:val="it-IT"/>
        </w:rPr>
        <w:t>, Andrea Armirotti</w:t>
      </w:r>
      <w:r w:rsidRPr="005B7805">
        <w:rPr>
          <w:rFonts w:ascii="Arial" w:hAnsi="Arial" w:cs="Arial"/>
          <w:vertAlign w:val="superscript"/>
          <w:lang w:val="it-IT"/>
        </w:rPr>
        <w:t>2</w:t>
      </w:r>
      <w:r w:rsidRPr="005B7805">
        <w:rPr>
          <w:rFonts w:ascii="Arial" w:hAnsi="Arial" w:cs="Arial"/>
          <w:lang w:val="it-IT"/>
        </w:rPr>
        <w:t>, Laura Cancedda</w:t>
      </w:r>
      <w:r w:rsidRPr="005B7805">
        <w:rPr>
          <w:rFonts w:ascii="Arial" w:hAnsi="Arial" w:cs="Arial"/>
          <w:vertAlign w:val="superscript"/>
          <w:lang w:val="it-IT"/>
        </w:rPr>
        <w:t>3*</w:t>
      </w:r>
      <w:r w:rsidRPr="005B7805">
        <w:rPr>
          <w:rFonts w:ascii="Arial" w:hAnsi="Arial" w:cs="Arial"/>
          <w:lang w:val="it-IT"/>
        </w:rPr>
        <w:t xml:space="preserve"> and Paolo Decuzzi</w:t>
      </w:r>
      <w:r w:rsidRPr="005B7805">
        <w:rPr>
          <w:rFonts w:ascii="Arial" w:hAnsi="Arial" w:cs="Arial"/>
          <w:vertAlign w:val="superscript"/>
          <w:lang w:val="it-IT"/>
        </w:rPr>
        <w:t>1,4 *</w:t>
      </w:r>
    </w:p>
    <w:p w14:paraId="7B45D09F" w14:textId="77777777" w:rsidR="00BD388B" w:rsidRPr="005B7805" w:rsidRDefault="00BD388B" w:rsidP="005B7805">
      <w:pPr>
        <w:snapToGrid w:val="0"/>
        <w:spacing w:line="480" w:lineRule="auto"/>
        <w:jc w:val="both"/>
        <w:rPr>
          <w:rFonts w:ascii="Arial" w:eastAsia="Times New Roman" w:hAnsi="Arial" w:cs="Arial"/>
          <w:vertAlign w:val="superscript"/>
          <w:lang w:val="it-IT"/>
        </w:rPr>
      </w:pPr>
    </w:p>
    <w:p w14:paraId="406157D3" w14:textId="77777777" w:rsidR="00BD388B" w:rsidRPr="00BA58A8" w:rsidRDefault="00BD388B" w:rsidP="005B7805">
      <w:pPr>
        <w:snapToGrid w:val="0"/>
        <w:spacing w:line="480" w:lineRule="auto"/>
        <w:jc w:val="both"/>
        <w:rPr>
          <w:rFonts w:ascii="Arial" w:eastAsia="Times New Roman" w:hAnsi="Arial" w:cs="Arial"/>
          <w:sz w:val="22"/>
          <w:szCs w:val="22"/>
          <w:lang w:val="en-US"/>
        </w:rPr>
      </w:pPr>
      <w:r w:rsidRPr="00BA58A8">
        <w:rPr>
          <w:rFonts w:ascii="Arial" w:eastAsia="Times New Roman" w:hAnsi="Arial" w:cs="Arial"/>
          <w:sz w:val="22"/>
          <w:szCs w:val="22"/>
          <w:vertAlign w:val="superscript"/>
          <w:lang w:val="en-US"/>
        </w:rPr>
        <w:t xml:space="preserve">1 </w:t>
      </w:r>
      <w:r w:rsidRPr="00BA58A8">
        <w:rPr>
          <w:rFonts w:ascii="Arial" w:eastAsia="Times New Roman" w:hAnsi="Arial" w:cs="Arial"/>
          <w:sz w:val="22"/>
          <w:szCs w:val="22"/>
          <w:lang w:val="en-US"/>
        </w:rPr>
        <w:t xml:space="preserve">Laboratory of Nanotechnology for Precision Medicine, Italian Institute of Technology, Via Morego 30, 16163, Genoa, Italy. </w:t>
      </w:r>
    </w:p>
    <w:p w14:paraId="68D64263" w14:textId="77777777" w:rsidR="00BD388B" w:rsidRPr="00BA58A8" w:rsidRDefault="00BD388B" w:rsidP="005B7805">
      <w:pPr>
        <w:snapToGrid w:val="0"/>
        <w:spacing w:line="480" w:lineRule="auto"/>
        <w:jc w:val="both"/>
        <w:rPr>
          <w:rFonts w:ascii="Arial" w:hAnsi="Arial" w:cs="Arial"/>
          <w:sz w:val="22"/>
          <w:szCs w:val="22"/>
          <w:lang w:val="en-US"/>
        </w:rPr>
      </w:pPr>
      <w:r w:rsidRPr="00BA58A8">
        <w:rPr>
          <w:rFonts w:ascii="Arial" w:hAnsi="Arial" w:cs="Arial"/>
          <w:sz w:val="22"/>
          <w:szCs w:val="22"/>
          <w:vertAlign w:val="superscript"/>
          <w:lang w:val="en-US"/>
        </w:rPr>
        <w:t xml:space="preserve">2 </w:t>
      </w:r>
      <w:r w:rsidRPr="00BA58A8">
        <w:rPr>
          <w:rFonts w:ascii="Arial" w:hAnsi="Arial" w:cs="Arial"/>
          <w:sz w:val="22"/>
          <w:szCs w:val="22"/>
          <w:lang w:val="en-US"/>
        </w:rPr>
        <w:t xml:space="preserve">Analytical Chemistry Facility, Italian Institute of Technology, Via Morego 30, 16163, Genoa, Italy. </w:t>
      </w:r>
    </w:p>
    <w:p w14:paraId="52F352C6" w14:textId="77777777" w:rsidR="00BD388B" w:rsidRPr="00BA58A8" w:rsidRDefault="00BD388B" w:rsidP="005B7805">
      <w:pPr>
        <w:snapToGrid w:val="0"/>
        <w:spacing w:line="480" w:lineRule="auto"/>
        <w:jc w:val="both"/>
        <w:rPr>
          <w:rFonts w:ascii="Arial" w:hAnsi="Arial" w:cs="Arial"/>
          <w:sz w:val="22"/>
          <w:szCs w:val="22"/>
          <w:lang w:val="en-US"/>
        </w:rPr>
      </w:pPr>
      <w:r w:rsidRPr="00BA58A8">
        <w:rPr>
          <w:rFonts w:ascii="Arial" w:hAnsi="Arial" w:cs="Arial"/>
          <w:sz w:val="22"/>
          <w:szCs w:val="22"/>
          <w:vertAlign w:val="superscript"/>
          <w:lang w:val="en-US"/>
        </w:rPr>
        <w:t xml:space="preserve">3 </w:t>
      </w:r>
      <w:r w:rsidRPr="00BA58A8">
        <w:rPr>
          <w:rFonts w:ascii="Arial" w:hAnsi="Arial" w:cs="Arial"/>
          <w:sz w:val="22"/>
          <w:szCs w:val="22"/>
          <w:lang w:val="en-US"/>
        </w:rPr>
        <w:t xml:space="preserve">Laboratory of Brain Development and Disease, Italian Institute of Technology, Via Morego 30, 16163, Genoa, Italy. </w:t>
      </w:r>
    </w:p>
    <w:p w14:paraId="3F2BE4FE" w14:textId="77777777" w:rsidR="00BD388B" w:rsidRPr="00BA58A8" w:rsidRDefault="00BD388B" w:rsidP="005B7805">
      <w:pPr>
        <w:spacing w:line="480" w:lineRule="auto"/>
        <w:jc w:val="both"/>
        <w:rPr>
          <w:rFonts w:ascii="Arial" w:hAnsi="Arial" w:cs="Arial"/>
          <w:sz w:val="22"/>
          <w:szCs w:val="22"/>
          <w:lang w:val="en-US"/>
        </w:rPr>
      </w:pPr>
      <w:r w:rsidRPr="00BA58A8">
        <w:rPr>
          <w:rFonts w:ascii="Arial" w:eastAsia="Times New Roman" w:hAnsi="Arial" w:cs="Arial"/>
          <w:sz w:val="22"/>
          <w:szCs w:val="22"/>
          <w:vertAlign w:val="superscript"/>
        </w:rPr>
        <w:t>4</w:t>
      </w:r>
      <w:r w:rsidRPr="00BA58A8">
        <w:rPr>
          <w:rFonts w:ascii="Arial" w:eastAsia="Times New Roman" w:hAnsi="Arial" w:cs="Arial"/>
          <w:sz w:val="22"/>
          <w:szCs w:val="22"/>
        </w:rPr>
        <w:t xml:space="preserve"> </w:t>
      </w:r>
      <w:r w:rsidRPr="00BA58A8">
        <w:rPr>
          <w:rFonts w:ascii="Arial" w:hAnsi="Arial" w:cs="Arial"/>
          <w:sz w:val="22"/>
          <w:szCs w:val="22"/>
          <w:lang w:val="en-US"/>
        </w:rPr>
        <w:t>School of Medicine/Division of Oncology, Center for Clinical Sciences Research, Stanford University, 269 Campus Drive, Stanford, CA 94305 - USA</w:t>
      </w:r>
    </w:p>
    <w:p w14:paraId="11FCC010" w14:textId="77777777" w:rsidR="00BD388B" w:rsidRPr="005B7805" w:rsidRDefault="00BD388B" w:rsidP="005B7805">
      <w:pPr>
        <w:snapToGrid w:val="0"/>
        <w:spacing w:line="480" w:lineRule="auto"/>
        <w:jc w:val="both"/>
        <w:rPr>
          <w:rFonts w:ascii="Arial" w:hAnsi="Arial" w:cs="Arial"/>
          <w:lang w:val="en-US"/>
        </w:rPr>
      </w:pPr>
    </w:p>
    <w:p w14:paraId="296AFBCD" w14:textId="77777777" w:rsidR="00BD388B" w:rsidRPr="005B7805" w:rsidRDefault="00BD388B" w:rsidP="005B7805">
      <w:pPr>
        <w:snapToGrid w:val="0"/>
        <w:spacing w:line="480" w:lineRule="auto"/>
        <w:jc w:val="both"/>
        <w:rPr>
          <w:rFonts w:ascii="Arial" w:hAnsi="Arial" w:cs="Arial"/>
          <w:lang w:val="en-US"/>
        </w:rPr>
      </w:pPr>
      <w:r w:rsidRPr="005B7805">
        <w:rPr>
          <w:rFonts w:ascii="Arial" w:hAnsi="Arial" w:cs="Arial"/>
          <w:lang w:val="en-US"/>
        </w:rPr>
        <w:t>* Sharing senior authorship</w:t>
      </w:r>
    </w:p>
    <w:p w14:paraId="6BAE7430" w14:textId="77777777" w:rsidR="00E960A1" w:rsidRDefault="00E960A1" w:rsidP="005B7805">
      <w:pPr>
        <w:snapToGrid w:val="0"/>
        <w:spacing w:line="480" w:lineRule="auto"/>
        <w:jc w:val="both"/>
        <w:rPr>
          <w:rFonts w:ascii="Arial" w:hAnsi="Arial" w:cs="Arial"/>
          <w:lang w:val="en-GB"/>
        </w:rPr>
      </w:pPr>
    </w:p>
    <w:p w14:paraId="369F0EF8" w14:textId="3F383DFA" w:rsidR="00BD388B" w:rsidRPr="005B7805" w:rsidRDefault="00BD388B" w:rsidP="005B7805">
      <w:pPr>
        <w:snapToGrid w:val="0"/>
        <w:spacing w:line="480" w:lineRule="auto"/>
        <w:jc w:val="both"/>
        <w:rPr>
          <w:rFonts w:ascii="Arial" w:hAnsi="Arial" w:cs="Arial"/>
          <w:lang w:val="en-GB"/>
        </w:rPr>
      </w:pPr>
      <w:r w:rsidRPr="005B7805">
        <w:rPr>
          <w:rFonts w:ascii="Arial" w:hAnsi="Arial" w:cs="Arial"/>
          <w:lang w:val="en-GB"/>
        </w:rPr>
        <w:t xml:space="preserve">Corresponding author: Paolo Decuzzi, PhD; </w:t>
      </w:r>
      <w:hyperlink r:id="rId7" w:history="1">
        <w:r w:rsidRPr="005B7805">
          <w:rPr>
            <w:rStyle w:val="Hyperlink"/>
            <w:rFonts w:ascii="Arial" w:hAnsi="Arial" w:cs="Arial"/>
            <w:lang w:val="en-GB"/>
          </w:rPr>
          <w:t>paolo.decuzzi@iit.it</w:t>
        </w:r>
      </w:hyperlink>
      <w:r w:rsidRPr="005B7805">
        <w:rPr>
          <w:rFonts w:ascii="Arial" w:hAnsi="Arial" w:cs="Arial"/>
          <w:lang w:val="en-GB"/>
        </w:rPr>
        <w:t xml:space="preserve"> </w:t>
      </w:r>
    </w:p>
    <w:p w14:paraId="0F0E0D6C" w14:textId="77777777" w:rsidR="00BD388B" w:rsidRPr="005B7805" w:rsidRDefault="00BD388B" w:rsidP="005B7805">
      <w:pPr>
        <w:snapToGrid w:val="0"/>
        <w:spacing w:line="480" w:lineRule="auto"/>
        <w:jc w:val="both"/>
        <w:rPr>
          <w:rFonts w:ascii="Arial" w:hAnsi="Arial" w:cs="Arial"/>
          <w:lang w:val="en-GB"/>
        </w:rPr>
      </w:pPr>
    </w:p>
    <w:p w14:paraId="2925AD18" w14:textId="77777777" w:rsidR="00BD388B" w:rsidRPr="005B7805" w:rsidRDefault="00BD388B" w:rsidP="005B7805">
      <w:pPr>
        <w:snapToGrid w:val="0"/>
        <w:spacing w:line="480" w:lineRule="auto"/>
        <w:jc w:val="both"/>
        <w:rPr>
          <w:rFonts w:ascii="Arial" w:eastAsia="Times New Roman" w:hAnsi="Arial" w:cs="Arial"/>
          <w:b/>
          <w:bCs/>
          <w:u w:val="single"/>
          <w:lang w:val="en-GB"/>
        </w:rPr>
      </w:pPr>
      <w:r w:rsidRPr="005B7805">
        <w:rPr>
          <w:rFonts w:ascii="Arial" w:eastAsia="Times New Roman" w:hAnsi="Arial" w:cs="Arial"/>
          <w:b/>
          <w:bCs/>
          <w:u w:val="single"/>
          <w:lang w:val="en-GB"/>
        </w:rPr>
        <w:br w:type="page"/>
      </w:r>
    </w:p>
    <w:p w14:paraId="2D282E17" w14:textId="5A72EEF8" w:rsidR="00902808" w:rsidRPr="00E960A1" w:rsidRDefault="001818DF" w:rsidP="005B7805">
      <w:pPr>
        <w:spacing w:line="480" w:lineRule="auto"/>
        <w:rPr>
          <w:rFonts w:ascii="Arial" w:hAnsi="Arial" w:cs="Arial"/>
          <w:b/>
          <w:bCs/>
          <w:smallCaps/>
          <w:sz w:val="28"/>
          <w:lang w:val="en-US"/>
        </w:rPr>
      </w:pPr>
      <w:r w:rsidRPr="00E960A1">
        <w:rPr>
          <w:rFonts w:ascii="Arial" w:hAnsi="Arial" w:cs="Arial"/>
          <w:b/>
          <w:bCs/>
          <w:smallCaps/>
          <w:sz w:val="28"/>
          <w:lang w:val="en-US"/>
        </w:rPr>
        <w:lastRenderedPageBreak/>
        <w:t>Supp</w:t>
      </w:r>
      <w:r w:rsidR="00772034" w:rsidRPr="00E960A1">
        <w:rPr>
          <w:rFonts w:ascii="Arial" w:hAnsi="Arial" w:cs="Arial"/>
          <w:b/>
          <w:bCs/>
          <w:smallCaps/>
          <w:sz w:val="28"/>
          <w:lang w:val="en-US"/>
        </w:rPr>
        <w:t>orting</w:t>
      </w:r>
      <w:r w:rsidRPr="00E960A1">
        <w:rPr>
          <w:rFonts w:ascii="Arial" w:hAnsi="Arial" w:cs="Arial"/>
          <w:b/>
          <w:bCs/>
          <w:smallCaps/>
          <w:sz w:val="28"/>
          <w:lang w:val="en-US"/>
        </w:rPr>
        <w:t xml:space="preserve"> </w:t>
      </w:r>
      <w:r w:rsidR="00E440FD">
        <w:rPr>
          <w:rFonts w:ascii="Arial" w:hAnsi="Arial" w:cs="Arial"/>
          <w:b/>
          <w:bCs/>
          <w:smallCaps/>
          <w:sz w:val="28"/>
          <w:lang w:val="en-US"/>
        </w:rPr>
        <w:t xml:space="preserve">Results and </w:t>
      </w:r>
      <w:r w:rsidR="00772034" w:rsidRPr="00E960A1">
        <w:rPr>
          <w:rFonts w:ascii="Arial" w:hAnsi="Arial" w:cs="Arial"/>
          <w:b/>
          <w:bCs/>
          <w:smallCaps/>
          <w:sz w:val="28"/>
          <w:lang w:val="en-US"/>
        </w:rPr>
        <w:t xml:space="preserve">Figures </w:t>
      </w:r>
    </w:p>
    <w:p w14:paraId="571C5F00" w14:textId="110C8DA1" w:rsidR="00E440FD" w:rsidRDefault="00E440FD" w:rsidP="00E440FD">
      <w:pPr>
        <w:spacing w:line="480" w:lineRule="auto"/>
        <w:jc w:val="both"/>
        <w:rPr>
          <w:rFonts w:ascii="Arial" w:hAnsi="Arial" w:cs="Arial"/>
          <w:b/>
          <w:bCs/>
          <w:lang w:val="en-US"/>
        </w:rPr>
      </w:pPr>
      <w:r w:rsidRPr="005B7805">
        <w:rPr>
          <w:rFonts w:ascii="Arial" w:hAnsi="Arial" w:cs="Arial"/>
          <w:b/>
          <w:bCs/>
          <w:lang w:val="en-US"/>
        </w:rPr>
        <w:t>Dimensional characterization of</w:t>
      </w:r>
      <w:r>
        <w:rPr>
          <w:rFonts w:ascii="Arial" w:hAnsi="Arial" w:cs="Arial"/>
          <w:b/>
          <w:bCs/>
          <w:lang w:val="en-US"/>
        </w:rPr>
        <w:t xml:space="preserve"> </w:t>
      </w:r>
      <w:r w:rsidRPr="005B7805">
        <w:rPr>
          <w:rFonts w:ascii="Arial" w:hAnsi="Arial" w:cs="Arial"/>
          <w:b/>
          <w:bCs/>
          <w:lang w:val="en-US"/>
        </w:rPr>
        <w:t>PLGA</w:t>
      </w:r>
      <w:r>
        <w:rPr>
          <w:rFonts w:ascii="Arial" w:hAnsi="Arial" w:cs="Arial"/>
          <w:b/>
          <w:bCs/>
          <w:lang w:val="en-US"/>
        </w:rPr>
        <w:t>-</w:t>
      </w:r>
      <w:r w:rsidRPr="005B7805">
        <w:rPr>
          <w:rFonts w:ascii="Arial" w:hAnsi="Arial" w:cs="Arial"/>
          <w:b/>
          <w:bCs/>
          <w:lang w:val="en-US"/>
        </w:rPr>
        <w:t>μPL.</w:t>
      </w:r>
      <w:r w:rsidRPr="00E440FD">
        <w:rPr>
          <w:rFonts w:ascii="Arial" w:hAnsi="Arial" w:cs="Arial"/>
          <w:lang w:val="en-US"/>
        </w:rPr>
        <w:t xml:space="preserve"> </w:t>
      </w:r>
      <w:r w:rsidRPr="005B7805">
        <w:rPr>
          <w:rFonts w:ascii="Arial" w:hAnsi="Arial" w:cs="Arial"/>
          <w:lang w:val="en-US"/>
        </w:rPr>
        <w:t xml:space="preserve">The average size </w:t>
      </w:r>
      <w:r>
        <w:rPr>
          <w:rFonts w:ascii="Arial" w:hAnsi="Arial" w:cs="Arial"/>
          <w:lang w:val="en-US"/>
        </w:rPr>
        <w:t xml:space="preserve">and size distribution </w:t>
      </w:r>
      <w:r w:rsidRPr="005B7805">
        <w:rPr>
          <w:rFonts w:ascii="Arial" w:hAnsi="Arial" w:cs="Arial"/>
          <w:lang w:val="en-US"/>
        </w:rPr>
        <w:t>of</w:t>
      </w:r>
      <w:r w:rsidRPr="00E440FD">
        <w:rPr>
          <w:rFonts w:ascii="Arial" w:hAnsi="Arial" w:cs="Arial"/>
          <w:lang w:val="en-US"/>
        </w:rPr>
        <w:t xml:space="preserve"> PLGA-μPL </w:t>
      </w:r>
      <w:r w:rsidR="003959DE">
        <w:rPr>
          <w:rFonts w:ascii="Arial" w:hAnsi="Arial" w:cs="Arial"/>
          <w:lang w:val="en-US"/>
        </w:rPr>
        <w:t>were</w:t>
      </w:r>
      <w:r>
        <w:rPr>
          <w:rFonts w:ascii="Arial" w:hAnsi="Arial" w:cs="Arial"/>
          <w:lang w:val="en-US"/>
        </w:rPr>
        <w:t xml:space="preserve"> systematically assessed using </w:t>
      </w:r>
      <w:r w:rsidRPr="005B7805">
        <w:rPr>
          <w:rFonts w:ascii="Arial" w:hAnsi="Arial" w:cs="Arial"/>
          <w:lang w:val="en-US"/>
        </w:rPr>
        <w:t xml:space="preserve">Multisizer </w:t>
      </w:r>
      <w:r>
        <w:rPr>
          <w:rFonts w:ascii="Arial" w:hAnsi="Arial" w:cs="Arial"/>
          <w:lang w:val="en-US"/>
        </w:rPr>
        <w:t>Coulter counter system.</w:t>
      </w:r>
    </w:p>
    <w:p w14:paraId="10C4E6C7" w14:textId="77777777" w:rsidR="00E440FD" w:rsidRDefault="00E440FD" w:rsidP="00E440FD">
      <w:pPr>
        <w:spacing w:line="480" w:lineRule="auto"/>
        <w:rPr>
          <w:rFonts w:ascii="Arial" w:hAnsi="Arial" w:cs="Arial"/>
          <w:b/>
          <w:bCs/>
          <w:lang w:val="en-US"/>
        </w:rPr>
      </w:pPr>
    </w:p>
    <w:p w14:paraId="572C83FA" w14:textId="1EAC4382" w:rsidR="00B77EC9" w:rsidRPr="005B7805" w:rsidRDefault="00F22CFE" w:rsidP="005B7805">
      <w:pPr>
        <w:spacing w:line="480" w:lineRule="auto"/>
        <w:jc w:val="center"/>
        <w:rPr>
          <w:rFonts w:ascii="Arial" w:hAnsi="Arial" w:cs="Arial"/>
          <w:b/>
          <w:bCs/>
          <w:lang w:val="en-US"/>
        </w:rPr>
      </w:pPr>
      <w:r w:rsidRPr="005B7805">
        <w:rPr>
          <w:rFonts w:ascii="Arial" w:hAnsi="Arial" w:cs="Arial"/>
          <w:noProof/>
        </w:rPr>
        <w:drawing>
          <wp:inline distT="0" distB="0" distL="0" distR="0" wp14:anchorId="0763A5E0" wp14:editId="0178EA4D">
            <wp:extent cx="2847975" cy="2438400"/>
            <wp:effectExtent l="0" t="0" r="9525" b="0"/>
            <wp:docPr id="265444498" name="Picture 1" descr="A graph of a number of colum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44498" name="Picture 1" descr="A graph of a number of columns&#10;&#10;AI-generated content may be incorrect."/>
                    <pic:cNvPicPr>
                      <a:picLocks noChangeAspect="1" noChangeArrowheads="1"/>
                    </pic:cNvPicPr>
                  </pic:nvPicPr>
                  <pic:blipFill rotWithShape="1">
                    <a:blip r:embed="rId8">
                      <a:extLst>
                        <a:ext uri="{28A0092B-C50C-407E-A947-70E740481C1C}">
                          <a14:useLocalDpi xmlns:a14="http://schemas.microsoft.com/office/drawing/2010/main" val="0"/>
                        </a:ext>
                      </a:extLst>
                    </a:blip>
                    <a:srcRect l="2006" t="1505" r="48005" b="68865"/>
                    <a:stretch>
                      <a:fillRect/>
                    </a:stretch>
                  </pic:blipFill>
                  <pic:spPr bwMode="auto">
                    <a:xfrm>
                      <a:off x="0" y="0"/>
                      <a:ext cx="2847975"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5B7D4E24" w14:textId="0B5C3CE8" w:rsidR="00B77EC9" w:rsidRPr="005B7805" w:rsidRDefault="00E960A1" w:rsidP="005B7805">
      <w:pPr>
        <w:spacing w:line="480" w:lineRule="auto"/>
        <w:jc w:val="both"/>
        <w:rPr>
          <w:rFonts w:ascii="Arial" w:hAnsi="Arial" w:cs="Arial"/>
          <w:b/>
          <w:bCs/>
          <w:lang w:val="en-US"/>
        </w:rPr>
      </w:pPr>
      <w:r>
        <w:rPr>
          <w:rFonts w:ascii="Arial" w:hAnsi="Arial" w:cs="Arial"/>
          <w:b/>
          <w:bCs/>
          <w:lang w:val="en-US"/>
        </w:rPr>
        <w:t xml:space="preserve">Supporting </w:t>
      </w:r>
      <w:r w:rsidR="00B77EC9" w:rsidRPr="005B7805">
        <w:rPr>
          <w:rFonts w:ascii="Arial" w:hAnsi="Arial" w:cs="Arial"/>
          <w:b/>
          <w:bCs/>
          <w:lang w:val="en-US"/>
        </w:rPr>
        <w:t>Figure 1. Dimensional characterization of</w:t>
      </w:r>
      <w:r w:rsidR="00AA3759">
        <w:rPr>
          <w:rFonts w:ascii="Arial" w:hAnsi="Arial" w:cs="Arial"/>
          <w:b/>
          <w:bCs/>
          <w:lang w:val="en-US"/>
        </w:rPr>
        <w:t xml:space="preserve"> </w:t>
      </w:r>
      <w:r w:rsidR="00B77EC9" w:rsidRPr="005B7805">
        <w:rPr>
          <w:rFonts w:ascii="Arial" w:hAnsi="Arial" w:cs="Arial"/>
          <w:b/>
          <w:bCs/>
          <w:lang w:val="en-US"/>
        </w:rPr>
        <w:t>PLGA</w:t>
      </w:r>
      <w:r w:rsidR="00AA3759">
        <w:rPr>
          <w:rFonts w:ascii="Arial" w:hAnsi="Arial" w:cs="Arial"/>
          <w:b/>
          <w:bCs/>
          <w:lang w:val="en-US"/>
        </w:rPr>
        <w:t>-</w:t>
      </w:r>
      <w:r w:rsidR="00B77EC9" w:rsidRPr="005B7805">
        <w:rPr>
          <w:rFonts w:ascii="Arial" w:hAnsi="Arial" w:cs="Arial"/>
          <w:b/>
          <w:bCs/>
          <w:lang w:val="en-US"/>
        </w:rPr>
        <w:t xml:space="preserve">μPL. </w:t>
      </w:r>
      <w:r w:rsidR="00B77EC9" w:rsidRPr="005B7805">
        <w:rPr>
          <w:rFonts w:ascii="Arial" w:hAnsi="Arial" w:cs="Arial"/>
          <w:lang w:val="en-US"/>
        </w:rPr>
        <w:t xml:space="preserve">The average size of the particles </w:t>
      </w:r>
      <w:r w:rsidR="00A66096" w:rsidRPr="005B7805">
        <w:rPr>
          <w:rFonts w:ascii="Arial" w:hAnsi="Arial" w:cs="Arial"/>
          <w:lang w:val="en-US"/>
        </w:rPr>
        <w:t xml:space="preserve">obtained with Multisizer measurement </w:t>
      </w:r>
      <w:r w:rsidR="00B77EC9" w:rsidRPr="005B7805">
        <w:rPr>
          <w:rFonts w:ascii="Arial" w:hAnsi="Arial" w:cs="Arial"/>
          <w:lang w:val="en-US"/>
        </w:rPr>
        <w:t>is plotted for the different preparations: empty particles, AM404 (5 mg-PLGA with 375 μg-AM404, 500 μg-AM404, or 750 μg-AM404; and 10 mg-PLGA with 600 μg-AM404 or 800 μg-AM404).</w:t>
      </w:r>
      <w:r w:rsidR="00A66096" w:rsidRPr="005B7805">
        <w:rPr>
          <w:rFonts w:ascii="Arial" w:hAnsi="Arial" w:cs="Arial"/>
          <w:lang w:val="en-US"/>
        </w:rPr>
        <w:t xml:space="preserve"> Bars represent the average of at least three different replicates ± SEM.</w:t>
      </w:r>
      <w:r w:rsidR="00A66096" w:rsidRPr="005B7805">
        <w:rPr>
          <w:rFonts w:ascii="Arial" w:hAnsi="Arial" w:cs="Arial"/>
          <w:b/>
          <w:bCs/>
          <w:lang w:val="en-US"/>
        </w:rPr>
        <w:t xml:space="preserve"> </w:t>
      </w:r>
      <w:r w:rsidR="00A66096" w:rsidRPr="005B7805">
        <w:rPr>
          <w:rFonts w:ascii="Arial" w:hAnsi="Arial" w:cs="Arial"/>
          <w:lang w:val="en-US"/>
        </w:rPr>
        <w:t xml:space="preserve">One-way ANOVA followed by </w:t>
      </w:r>
      <w:bookmarkStart w:id="0" w:name="_Hlk193994630"/>
      <w:r w:rsidR="00A66096" w:rsidRPr="005B7805">
        <w:rPr>
          <w:rFonts w:ascii="Arial" w:hAnsi="Arial" w:cs="Arial"/>
          <w:lang w:val="en-US"/>
        </w:rPr>
        <w:t>Šídák's multiple comparisons test</w:t>
      </w:r>
      <w:bookmarkEnd w:id="0"/>
      <w:r w:rsidR="00A66096" w:rsidRPr="005B7805">
        <w:rPr>
          <w:rFonts w:ascii="Arial" w:hAnsi="Arial" w:cs="Arial"/>
          <w:lang w:val="en-US"/>
        </w:rPr>
        <w:t xml:space="preserve"> gives non-significant results. </w:t>
      </w:r>
    </w:p>
    <w:p w14:paraId="712B94FD" w14:textId="77777777" w:rsidR="00B77EC9" w:rsidRPr="005B7805" w:rsidRDefault="00B77EC9" w:rsidP="005B7805">
      <w:pPr>
        <w:spacing w:line="480" w:lineRule="auto"/>
        <w:jc w:val="both"/>
        <w:rPr>
          <w:rFonts w:ascii="Arial" w:hAnsi="Arial" w:cs="Arial"/>
          <w:b/>
          <w:bCs/>
          <w:lang w:val="en-US"/>
        </w:rPr>
      </w:pPr>
    </w:p>
    <w:p w14:paraId="2FFFACEA" w14:textId="77777777" w:rsidR="00B77EC9" w:rsidRDefault="00B77EC9" w:rsidP="005B7805">
      <w:pPr>
        <w:spacing w:line="480" w:lineRule="auto"/>
        <w:jc w:val="both"/>
        <w:rPr>
          <w:rFonts w:ascii="Arial" w:hAnsi="Arial" w:cs="Arial"/>
          <w:b/>
          <w:bCs/>
          <w:lang w:val="en-US"/>
        </w:rPr>
      </w:pPr>
    </w:p>
    <w:p w14:paraId="5A100665" w14:textId="77777777" w:rsidR="00E440FD" w:rsidRDefault="00E440FD" w:rsidP="005B7805">
      <w:pPr>
        <w:spacing w:line="480" w:lineRule="auto"/>
        <w:jc w:val="both"/>
        <w:rPr>
          <w:rFonts w:ascii="Arial" w:hAnsi="Arial" w:cs="Arial"/>
          <w:b/>
          <w:bCs/>
          <w:lang w:val="en-US"/>
        </w:rPr>
      </w:pPr>
    </w:p>
    <w:p w14:paraId="22967F7C" w14:textId="77777777" w:rsidR="00E440FD" w:rsidRDefault="00E440FD" w:rsidP="005B7805">
      <w:pPr>
        <w:spacing w:line="480" w:lineRule="auto"/>
        <w:jc w:val="both"/>
        <w:rPr>
          <w:rFonts w:ascii="Arial" w:hAnsi="Arial" w:cs="Arial"/>
          <w:b/>
          <w:bCs/>
          <w:lang w:val="en-US"/>
        </w:rPr>
      </w:pPr>
    </w:p>
    <w:p w14:paraId="1F62A21F" w14:textId="77777777" w:rsidR="00E440FD" w:rsidRDefault="00E440FD" w:rsidP="005B7805">
      <w:pPr>
        <w:spacing w:line="480" w:lineRule="auto"/>
        <w:jc w:val="both"/>
        <w:rPr>
          <w:rFonts w:ascii="Arial" w:hAnsi="Arial" w:cs="Arial"/>
          <w:b/>
          <w:bCs/>
          <w:lang w:val="en-US"/>
        </w:rPr>
      </w:pPr>
    </w:p>
    <w:p w14:paraId="594EF14A" w14:textId="77777777" w:rsidR="00E440FD" w:rsidRDefault="00E440FD" w:rsidP="005B7805">
      <w:pPr>
        <w:spacing w:line="480" w:lineRule="auto"/>
        <w:jc w:val="both"/>
        <w:rPr>
          <w:rFonts w:ascii="Arial" w:hAnsi="Arial" w:cs="Arial"/>
          <w:b/>
          <w:bCs/>
          <w:lang w:val="en-US"/>
        </w:rPr>
      </w:pPr>
    </w:p>
    <w:p w14:paraId="07A960B9" w14:textId="12B00B84" w:rsidR="002C48A6" w:rsidRDefault="00E440FD" w:rsidP="005B7805">
      <w:pPr>
        <w:spacing w:line="480" w:lineRule="auto"/>
        <w:jc w:val="both"/>
        <w:rPr>
          <w:rFonts w:ascii="Arial" w:hAnsi="Arial" w:cs="Arial"/>
          <w:lang w:val="en-US"/>
        </w:rPr>
      </w:pPr>
      <w:r w:rsidRPr="005B7805">
        <w:rPr>
          <w:rFonts w:ascii="Arial" w:hAnsi="Arial" w:cs="Arial"/>
          <w:b/>
          <w:bCs/>
          <w:lang w:val="en-US"/>
        </w:rPr>
        <w:lastRenderedPageBreak/>
        <w:t>Degradation of</w:t>
      </w:r>
      <w:r>
        <w:rPr>
          <w:rFonts w:ascii="Arial" w:hAnsi="Arial" w:cs="Arial"/>
          <w:b/>
          <w:bCs/>
          <w:lang w:val="en-US"/>
        </w:rPr>
        <w:t xml:space="preserve"> </w:t>
      </w:r>
      <w:r w:rsidRPr="005B7805">
        <w:rPr>
          <w:rFonts w:ascii="Arial" w:hAnsi="Arial" w:cs="Arial"/>
          <w:b/>
          <w:bCs/>
          <w:lang w:val="en-US"/>
        </w:rPr>
        <w:t>PLGA</w:t>
      </w:r>
      <w:r>
        <w:rPr>
          <w:rFonts w:ascii="Arial" w:hAnsi="Arial" w:cs="Arial"/>
          <w:b/>
          <w:bCs/>
          <w:lang w:val="en-US"/>
        </w:rPr>
        <w:t>-</w:t>
      </w:r>
      <w:r w:rsidRPr="005B7805">
        <w:rPr>
          <w:rFonts w:ascii="Arial" w:hAnsi="Arial" w:cs="Arial"/>
          <w:b/>
          <w:bCs/>
          <w:lang w:val="en-US"/>
        </w:rPr>
        <w:t>μPL</w:t>
      </w:r>
      <w:r>
        <w:rPr>
          <w:rFonts w:ascii="Arial" w:hAnsi="Arial" w:cs="Arial"/>
          <w:b/>
          <w:bCs/>
          <w:lang w:val="en-US"/>
        </w:rPr>
        <w:t>.</w:t>
      </w:r>
      <w:r w:rsidRPr="00A715E1">
        <w:rPr>
          <w:rFonts w:ascii="Arial" w:hAnsi="Arial" w:cs="Arial"/>
          <w:lang w:val="en-US"/>
        </w:rPr>
        <w:t xml:space="preserve"> </w:t>
      </w:r>
      <w:r w:rsidR="00A715E1" w:rsidRPr="00A715E1">
        <w:rPr>
          <w:rFonts w:ascii="Arial" w:hAnsi="Arial" w:cs="Arial"/>
          <w:lang w:val="en-US"/>
        </w:rPr>
        <w:t>Biodegradation of PLGA-μPL was assessed via scanning electron microscopy at different time points</w:t>
      </w:r>
      <w:r w:rsidR="00A715E1">
        <w:rPr>
          <w:rFonts w:ascii="Arial" w:hAnsi="Arial" w:cs="Arial"/>
          <w:lang w:val="en-US"/>
        </w:rPr>
        <w:t xml:space="preserve"> and under different conditions</w:t>
      </w:r>
      <w:r w:rsidR="00A715E1" w:rsidRPr="00A715E1">
        <w:rPr>
          <w:rFonts w:ascii="Arial" w:hAnsi="Arial" w:cs="Arial"/>
          <w:lang w:val="en-US"/>
        </w:rPr>
        <w:t>.</w:t>
      </w:r>
    </w:p>
    <w:p w14:paraId="36F86D28" w14:textId="357D6231" w:rsidR="00E440FD" w:rsidRPr="005B7805" w:rsidRDefault="00A715E1" w:rsidP="005B7805">
      <w:pPr>
        <w:spacing w:line="480" w:lineRule="auto"/>
        <w:jc w:val="both"/>
        <w:rPr>
          <w:rFonts w:ascii="Arial" w:hAnsi="Arial" w:cs="Arial"/>
          <w:b/>
          <w:bCs/>
          <w:lang w:val="en-US"/>
        </w:rPr>
      </w:pPr>
      <w:r>
        <w:rPr>
          <w:rFonts w:ascii="Arial" w:hAnsi="Arial" w:cs="Arial"/>
          <w:lang w:val="en-US"/>
        </w:rPr>
        <w:t xml:space="preserve"> </w:t>
      </w:r>
      <w:r>
        <w:rPr>
          <w:rFonts w:ascii="Arial" w:hAnsi="Arial" w:cs="Arial"/>
          <w:b/>
          <w:bCs/>
          <w:lang w:val="en-US"/>
        </w:rPr>
        <w:t xml:space="preserve"> </w:t>
      </w:r>
    </w:p>
    <w:p w14:paraId="320B2637" w14:textId="2CFB5C73" w:rsidR="00CF2189" w:rsidRPr="005B7805" w:rsidRDefault="00CF2189" w:rsidP="00374429">
      <w:pPr>
        <w:spacing w:line="480" w:lineRule="auto"/>
        <w:jc w:val="center"/>
        <w:rPr>
          <w:rFonts w:ascii="Arial" w:hAnsi="Arial" w:cs="Arial"/>
          <w:b/>
          <w:bCs/>
          <w:lang w:val="en-US"/>
        </w:rPr>
      </w:pPr>
      <w:r w:rsidRPr="005B7805">
        <w:rPr>
          <w:rFonts w:ascii="Arial" w:hAnsi="Arial" w:cs="Arial"/>
          <w:b/>
          <w:bCs/>
          <w:noProof/>
          <w:lang w:val="en-US"/>
        </w:rPr>
        <w:drawing>
          <wp:inline distT="0" distB="0" distL="0" distR="0" wp14:anchorId="550929AF" wp14:editId="0C36B06B">
            <wp:extent cx="5541513" cy="2083435"/>
            <wp:effectExtent l="0" t="0" r="2540" b="0"/>
            <wp:docPr id="17737266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l="8095"/>
                    <a:stretch>
                      <a:fillRect/>
                    </a:stretch>
                  </pic:blipFill>
                  <pic:spPr bwMode="auto">
                    <a:xfrm>
                      <a:off x="0" y="0"/>
                      <a:ext cx="5556466" cy="2089057"/>
                    </a:xfrm>
                    <a:prstGeom prst="rect">
                      <a:avLst/>
                    </a:prstGeom>
                    <a:noFill/>
                    <a:ln>
                      <a:noFill/>
                    </a:ln>
                    <a:extLst>
                      <a:ext uri="{53640926-AAD7-44D8-BBD7-CCE9431645EC}">
                        <a14:shadowObscured xmlns:a14="http://schemas.microsoft.com/office/drawing/2010/main"/>
                      </a:ext>
                    </a:extLst>
                  </pic:spPr>
                </pic:pic>
              </a:graphicData>
            </a:graphic>
          </wp:inline>
        </w:drawing>
      </w:r>
    </w:p>
    <w:p w14:paraId="6946EC2F" w14:textId="1973B7C3" w:rsidR="005710FC" w:rsidRPr="005B7805" w:rsidRDefault="00374429" w:rsidP="005B7805">
      <w:pPr>
        <w:spacing w:line="480" w:lineRule="auto"/>
        <w:jc w:val="both"/>
        <w:rPr>
          <w:rFonts w:ascii="Arial" w:hAnsi="Arial" w:cs="Arial"/>
          <w:lang w:val="en-US"/>
        </w:rPr>
      </w:pPr>
      <w:r>
        <w:rPr>
          <w:rFonts w:ascii="Arial" w:hAnsi="Arial" w:cs="Arial"/>
          <w:b/>
          <w:bCs/>
          <w:lang w:val="en-US"/>
        </w:rPr>
        <w:t xml:space="preserve">Supporting </w:t>
      </w:r>
      <w:r w:rsidR="00B77EC9" w:rsidRPr="005B7805">
        <w:rPr>
          <w:rFonts w:ascii="Arial" w:hAnsi="Arial" w:cs="Arial"/>
          <w:b/>
          <w:bCs/>
          <w:lang w:val="en-US"/>
        </w:rPr>
        <w:t xml:space="preserve">Figure 2. </w:t>
      </w:r>
      <w:r w:rsidR="005710FC" w:rsidRPr="005B7805">
        <w:rPr>
          <w:rFonts w:ascii="Arial" w:hAnsi="Arial" w:cs="Arial"/>
          <w:b/>
          <w:bCs/>
          <w:lang w:val="en-US"/>
        </w:rPr>
        <w:t>Degradation of</w:t>
      </w:r>
      <w:r>
        <w:rPr>
          <w:rFonts w:ascii="Arial" w:hAnsi="Arial" w:cs="Arial"/>
          <w:b/>
          <w:bCs/>
          <w:lang w:val="en-US"/>
        </w:rPr>
        <w:t xml:space="preserve"> </w:t>
      </w:r>
      <w:r w:rsidR="005710FC" w:rsidRPr="005B7805">
        <w:rPr>
          <w:rFonts w:ascii="Arial" w:hAnsi="Arial" w:cs="Arial"/>
          <w:b/>
          <w:bCs/>
          <w:lang w:val="en-US"/>
        </w:rPr>
        <w:t>PLGA</w:t>
      </w:r>
      <w:r>
        <w:rPr>
          <w:rFonts w:ascii="Arial" w:hAnsi="Arial" w:cs="Arial"/>
          <w:b/>
          <w:bCs/>
          <w:lang w:val="en-US"/>
        </w:rPr>
        <w:t>-</w:t>
      </w:r>
      <w:r w:rsidR="005710FC" w:rsidRPr="005B7805">
        <w:rPr>
          <w:rFonts w:ascii="Arial" w:hAnsi="Arial" w:cs="Arial"/>
          <w:b/>
          <w:bCs/>
          <w:lang w:val="en-US"/>
        </w:rPr>
        <w:t xml:space="preserve">μPL </w:t>
      </w:r>
      <w:r>
        <w:rPr>
          <w:rFonts w:ascii="Arial" w:hAnsi="Arial" w:cs="Arial"/>
          <w:b/>
          <w:bCs/>
          <w:lang w:val="en-US"/>
        </w:rPr>
        <w:t>at</w:t>
      </w:r>
      <w:r w:rsidR="005710FC" w:rsidRPr="005B7805">
        <w:rPr>
          <w:rFonts w:ascii="Arial" w:hAnsi="Arial" w:cs="Arial"/>
          <w:b/>
          <w:bCs/>
          <w:lang w:val="en-US"/>
        </w:rPr>
        <w:t xml:space="preserve"> 28 and 70 days. </w:t>
      </w:r>
      <w:r w:rsidR="005710FC" w:rsidRPr="005B7805">
        <w:rPr>
          <w:rFonts w:ascii="Arial" w:hAnsi="Arial" w:cs="Arial"/>
          <w:lang w:val="en-US"/>
        </w:rPr>
        <w:t xml:space="preserve">Representative SEM images at lower magnification (X500) were collected from samples incubated for 28 days and 70 days in PBS, consisting of 5 mg-PLGA μPL configurations, either empty or loaded with input amounts of AM404 (375 μg, 500 μg, 750 μg), and 10 mg-PLGA μPL configurations, AM404-loaded with input amounts of 600 μg or 800 μg. </w:t>
      </w:r>
    </w:p>
    <w:p w14:paraId="2396BFC0" w14:textId="77777777" w:rsidR="005710FC" w:rsidRPr="005B7805" w:rsidRDefault="005710FC" w:rsidP="005B7805">
      <w:pPr>
        <w:spacing w:line="480" w:lineRule="auto"/>
        <w:jc w:val="both"/>
        <w:rPr>
          <w:rFonts w:ascii="Arial" w:hAnsi="Arial" w:cs="Arial"/>
          <w:lang w:val="en-US"/>
        </w:rPr>
      </w:pPr>
    </w:p>
    <w:p w14:paraId="7DC88A51" w14:textId="77777777" w:rsidR="00B77EC9" w:rsidRPr="005B7805" w:rsidRDefault="00B77EC9" w:rsidP="005B7805">
      <w:pPr>
        <w:spacing w:line="480" w:lineRule="auto"/>
        <w:jc w:val="both"/>
        <w:rPr>
          <w:rFonts w:ascii="Arial" w:hAnsi="Arial" w:cs="Arial"/>
          <w:b/>
          <w:bCs/>
          <w:lang w:val="en-US"/>
        </w:rPr>
      </w:pPr>
    </w:p>
    <w:p w14:paraId="65AFF10A" w14:textId="6E0DF683" w:rsidR="00B77EC9" w:rsidRPr="005B7805" w:rsidRDefault="00CF2189" w:rsidP="005B7805">
      <w:pPr>
        <w:spacing w:line="480" w:lineRule="auto"/>
        <w:jc w:val="center"/>
        <w:rPr>
          <w:rFonts w:ascii="Arial" w:hAnsi="Arial" w:cs="Arial"/>
          <w:b/>
          <w:bCs/>
          <w:lang w:val="en-US"/>
        </w:rPr>
      </w:pPr>
      <w:r w:rsidRPr="005B7805">
        <w:rPr>
          <w:rFonts w:ascii="Arial" w:hAnsi="Arial" w:cs="Arial"/>
          <w:b/>
          <w:bCs/>
          <w:noProof/>
          <w:lang w:val="en-US"/>
        </w:rPr>
        <w:lastRenderedPageBreak/>
        <w:drawing>
          <wp:inline distT="0" distB="0" distL="0" distR="0" wp14:anchorId="4B138537" wp14:editId="2A45BC9D">
            <wp:extent cx="4552344" cy="6645216"/>
            <wp:effectExtent l="0" t="0" r="635" b="3810"/>
            <wp:docPr id="14167400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62467" cy="6659992"/>
                    </a:xfrm>
                    <a:prstGeom prst="rect">
                      <a:avLst/>
                    </a:prstGeom>
                    <a:noFill/>
                  </pic:spPr>
                </pic:pic>
              </a:graphicData>
            </a:graphic>
          </wp:inline>
        </w:drawing>
      </w:r>
    </w:p>
    <w:p w14:paraId="28F13637" w14:textId="355851E8" w:rsidR="005710FC" w:rsidRPr="005B7805" w:rsidRDefault="00374429" w:rsidP="005B7805">
      <w:pPr>
        <w:spacing w:line="480" w:lineRule="auto"/>
        <w:jc w:val="both"/>
        <w:rPr>
          <w:rFonts w:ascii="Arial" w:hAnsi="Arial" w:cs="Arial"/>
          <w:lang w:val="en-US"/>
        </w:rPr>
      </w:pPr>
      <w:r>
        <w:rPr>
          <w:rFonts w:ascii="Arial" w:hAnsi="Arial" w:cs="Arial"/>
          <w:b/>
          <w:bCs/>
          <w:lang w:val="en-US"/>
        </w:rPr>
        <w:t xml:space="preserve">Supporting </w:t>
      </w:r>
      <w:r w:rsidR="00B77EC9" w:rsidRPr="005B7805">
        <w:rPr>
          <w:rFonts w:ascii="Arial" w:hAnsi="Arial" w:cs="Arial"/>
          <w:b/>
          <w:bCs/>
          <w:lang w:val="en-US"/>
        </w:rPr>
        <w:t xml:space="preserve">Figure 3. </w:t>
      </w:r>
      <w:r w:rsidR="005710FC" w:rsidRPr="005B7805">
        <w:rPr>
          <w:rFonts w:ascii="Arial" w:hAnsi="Arial" w:cs="Arial"/>
          <w:b/>
          <w:bCs/>
          <w:lang w:val="en-US"/>
        </w:rPr>
        <w:t>Degradation of PLGA</w:t>
      </w:r>
      <w:r>
        <w:rPr>
          <w:rFonts w:ascii="Arial" w:hAnsi="Arial" w:cs="Arial"/>
          <w:b/>
          <w:bCs/>
          <w:lang w:val="en-US"/>
        </w:rPr>
        <w:t>-</w:t>
      </w:r>
      <w:r w:rsidR="005710FC" w:rsidRPr="005B7805">
        <w:rPr>
          <w:rFonts w:ascii="Arial" w:hAnsi="Arial" w:cs="Arial"/>
          <w:b/>
          <w:bCs/>
          <w:lang w:val="en-US"/>
        </w:rPr>
        <w:t xml:space="preserve">μPL in DI water. A. </w:t>
      </w:r>
      <w:r w:rsidR="005710FC" w:rsidRPr="005B7805">
        <w:rPr>
          <w:rFonts w:ascii="Arial" w:hAnsi="Arial" w:cs="Arial"/>
          <w:lang w:val="en-US"/>
        </w:rPr>
        <w:t xml:space="preserve">Representative SEM images of 5 mg PLGA μPL configurations, either empty or loaded with the specified amounts of AM404 (375 μg, 500 μg, 750 μg), as well as 10 mg PLGA μPL configurations, empty or loaded with AM404 amounts (600 μg, 800 μg), are displayed after 4 weeks in </w:t>
      </w:r>
      <w:r w:rsidR="005710FC" w:rsidRPr="005B7805">
        <w:rPr>
          <w:rFonts w:ascii="Arial" w:hAnsi="Arial" w:cs="Arial"/>
          <w:lang w:val="en-US"/>
        </w:rPr>
        <w:lastRenderedPageBreak/>
        <w:t xml:space="preserve">water. </w:t>
      </w:r>
      <w:r w:rsidR="005710FC" w:rsidRPr="005B7805">
        <w:rPr>
          <w:rFonts w:ascii="Arial" w:hAnsi="Arial" w:cs="Arial"/>
          <w:b/>
          <w:bCs/>
          <w:lang w:val="en-US"/>
        </w:rPr>
        <w:t>B.</w:t>
      </w:r>
      <w:r w:rsidR="005710FC" w:rsidRPr="005B7805">
        <w:rPr>
          <w:rFonts w:ascii="Arial" w:hAnsi="Arial" w:cs="Arial"/>
          <w:lang w:val="en-US"/>
        </w:rPr>
        <w:t xml:space="preserve"> Representative images were utilized to calculate the circularity, along with a plot showing all preparations and the circularity values ranging from 0 to 1, where 1 indicates a perfect circle.  </w:t>
      </w:r>
    </w:p>
    <w:p w14:paraId="6D83F1C7" w14:textId="77777777" w:rsidR="00BC054A" w:rsidRDefault="00BC054A" w:rsidP="005B7805">
      <w:pPr>
        <w:spacing w:line="480" w:lineRule="auto"/>
        <w:jc w:val="both"/>
        <w:rPr>
          <w:rFonts w:ascii="Arial" w:hAnsi="Arial" w:cs="Arial"/>
          <w:lang w:val="en-US"/>
        </w:rPr>
      </w:pPr>
    </w:p>
    <w:p w14:paraId="1B82862D" w14:textId="77777777" w:rsidR="00C105F6" w:rsidRDefault="00C105F6" w:rsidP="005B7805">
      <w:pPr>
        <w:spacing w:line="480" w:lineRule="auto"/>
        <w:jc w:val="both"/>
        <w:rPr>
          <w:rFonts w:ascii="Arial" w:hAnsi="Arial" w:cs="Arial"/>
          <w:lang w:val="en-US"/>
        </w:rPr>
      </w:pPr>
    </w:p>
    <w:p w14:paraId="4409F7B9" w14:textId="77777777" w:rsidR="00C105F6" w:rsidRDefault="00C105F6" w:rsidP="005B7805">
      <w:pPr>
        <w:spacing w:line="480" w:lineRule="auto"/>
        <w:jc w:val="both"/>
        <w:rPr>
          <w:rFonts w:ascii="Arial" w:hAnsi="Arial" w:cs="Arial"/>
          <w:lang w:val="en-US"/>
        </w:rPr>
      </w:pPr>
    </w:p>
    <w:p w14:paraId="0CBB0BD5" w14:textId="77777777" w:rsidR="00C105F6" w:rsidRDefault="00C105F6" w:rsidP="005B7805">
      <w:pPr>
        <w:spacing w:line="480" w:lineRule="auto"/>
        <w:jc w:val="both"/>
        <w:rPr>
          <w:rFonts w:ascii="Arial" w:hAnsi="Arial" w:cs="Arial"/>
          <w:lang w:val="en-US"/>
        </w:rPr>
      </w:pPr>
    </w:p>
    <w:p w14:paraId="63677C86" w14:textId="77777777" w:rsidR="00C105F6" w:rsidRDefault="00C105F6" w:rsidP="005B7805">
      <w:pPr>
        <w:spacing w:line="480" w:lineRule="auto"/>
        <w:jc w:val="both"/>
        <w:rPr>
          <w:rFonts w:ascii="Arial" w:hAnsi="Arial" w:cs="Arial"/>
          <w:lang w:val="en-US"/>
        </w:rPr>
      </w:pPr>
    </w:p>
    <w:p w14:paraId="5339EF54" w14:textId="77777777" w:rsidR="00C105F6" w:rsidRDefault="00C105F6" w:rsidP="005B7805">
      <w:pPr>
        <w:spacing w:line="480" w:lineRule="auto"/>
        <w:jc w:val="both"/>
        <w:rPr>
          <w:rFonts w:ascii="Arial" w:hAnsi="Arial" w:cs="Arial"/>
          <w:lang w:val="en-US"/>
        </w:rPr>
      </w:pPr>
    </w:p>
    <w:p w14:paraId="2A0CFE8A" w14:textId="77777777" w:rsidR="00C105F6" w:rsidRDefault="00C105F6" w:rsidP="005B7805">
      <w:pPr>
        <w:spacing w:line="480" w:lineRule="auto"/>
        <w:jc w:val="both"/>
        <w:rPr>
          <w:rFonts w:ascii="Arial" w:hAnsi="Arial" w:cs="Arial"/>
          <w:lang w:val="en-US"/>
        </w:rPr>
      </w:pPr>
    </w:p>
    <w:p w14:paraId="0E519910" w14:textId="77777777" w:rsidR="00C105F6" w:rsidRDefault="00C105F6" w:rsidP="005B7805">
      <w:pPr>
        <w:spacing w:line="480" w:lineRule="auto"/>
        <w:jc w:val="both"/>
        <w:rPr>
          <w:rFonts w:ascii="Arial" w:hAnsi="Arial" w:cs="Arial"/>
          <w:lang w:val="en-US"/>
        </w:rPr>
      </w:pPr>
    </w:p>
    <w:p w14:paraId="51DCCCB5" w14:textId="77777777" w:rsidR="00C105F6" w:rsidRDefault="00C105F6" w:rsidP="005B7805">
      <w:pPr>
        <w:spacing w:line="480" w:lineRule="auto"/>
        <w:jc w:val="both"/>
        <w:rPr>
          <w:rFonts w:ascii="Arial" w:hAnsi="Arial" w:cs="Arial"/>
          <w:lang w:val="en-US"/>
        </w:rPr>
      </w:pPr>
    </w:p>
    <w:p w14:paraId="6588AF06" w14:textId="77777777" w:rsidR="00C105F6" w:rsidRDefault="00C105F6" w:rsidP="005B7805">
      <w:pPr>
        <w:spacing w:line="480" w:lineRule="auto"/>
        <w:jc w:val="both"/>
        <w:rPr>
          <w:rFonts w:ascii="Arial" w:hAnsi="Arial" w:cs="Arial"/>
          <w:lang w:val="en-US"/>
        </w:rPr>
      </w:pPr>
    </w:p>
    <w:p w14:paraId="319CB89A" w14:textId="77777777" w:rsidR="00C105F6" w:rsidRDefault="00C105F6" w:rsidP="005B7805">
      <w:pPr>
        <w:spacing w:line="480" w:lineRule="auto"/>
        <w:jc w:val="both"/>
        <w:rPr>
          <w:rFonts w:ascii="Arial" w:hAnsi="Arial" w:cs="Arial"/>
          <w:lang w:val="en-US"/>
        </w:rPr>
      </w:pPr>
    </w:p>
    <w:p w14:paraId="3BD786DD" w14:textId="77777777" w:rsidR="00C105F6" w:rsidRDefault="00C105F6" w:rsidP="005B7805">
      <w:pPr>
        <w:spacing w:line="480" w:lineRule="auto"/>
        <w:jc w:val="both"/>
        <w:rPr>
          <w:rFonts w:ascii="Arial" w:hAnsi="Arial" w:cs="Arial"/>
          <w:lang w:val="en-US"/>
        </w:rPr>
      </w:pPr>
    </w:p>
    <w:p w14:paraId="635E986A" w14:textId="77777777" w:rsidR="00C105F6" w:rsidRDefault="00C105F6" w:rsidP="005B7805">
      <w:pPr>
        <w:spacing w:line="480" w:lineRule="auto"/>
        <w:jc w:val="both"/>
        <w:rPr>
          <w:rFonts w:ascii="Arial" w:hAnsi="Arial" w:cs="Arial"/>
          <w:lang w:val="en-US"/>
        </w:rPr>
      </w:pPr>
    </w:p>
    <w:p w14:paraId="7DB037D3" w14:textId="77777777" w:rsidR="00C105F6" w:rsidRDefault="00C105F6" w:rsidP="005B7805">
      <w:pPr>
        <w:spacing w:line="480" w:lineRule="auto"/>
        <w:jc w:val="both"/>
        <w:rPr>
          <w:rFonts w:ascii="Arial" w:hAnsi="Arial" w:cs="Arial"/>
          <w:lang w:val="en-US"/>
        </w:rPr>
      </w:pPr>
    </w:p>
    <w:p w14:paraId="6C20690B" w14:textId="77777777" w:rsidR="00C105F6" w:rsidRDefault="00C105F6" w:rsidP="005B7805">
      <w:pPr>
        <w:spacing w:line="480" w:lineRule="auto"/>
        <w:jc w:val="both"/>
        <w:rPr>
          <w:rFonts w:ascii="Arial" w:hAnsi="Arial" w:cs="Arial"/>
          <w:lang w:val="en-US"/>
        </w:rPr>
      </w:pPr>
    </w:p>
    <w:p w14:paraId="431C96A4" w14:textId="77777777" w:rsidR="00C105F6" w:rsidRDefault="00C105F6" w:rsidP="005B7805">
      <w:pPr>
        <w:spacing w:line="480" w:lineRule="auto"/>
        <w:jc w:val="both"/>
        <w:rPr>
          <w:rFonts w:ascii="Arial" w:hAnsi="Arial" w:cs="Arial"/>
          <w:lang w:val="en-US"/>
        </w:rPr>
      </w:pPr>
    </w:p>
    <w:p w14:paraId="3B69A12C" w14:textId="77777777" w:rsidR="00C105F6" w:rsidRDefault="00C105F6" w:rsidP="005B7805">
      <w:pPr>
        <w:spacing w:line="480" w:lineRule="auto"/>
        <w:jc w:val="both"/>
        <w:rPr>
          <w:rFonts w:ascii="Arial" w:hAnsi="Arial" w:cs="Arial"/>
          <w:lang w:val="en-US"/>
        </w:rPr>
      </w:pPr>
    </w:p>
    <w:p w14:paraId="16AEF0BB" w14:textId="77777777" w:rsidR="00C105F6" w:rsidRDefault="00C105F6" w:rsidP="005B7805">
      <w:pPr>
        <w:spacing w:line="480" w:lineRule="auto"/>
        <w:jc w:val="both"/>
        <w:rPr>
          <w:rFonts w:ascii="Arial" w:hAnsi="Arial" w:cs="Arial"/>
          <w:lang w:val="en-US"/>
        </w:rPr>
      </w:pPr>
    </w:p>
    <w:p w14:paraId="0B300F96" w14:textId="77777777" w:rsidR="00C105F6" w:rsidRDefault="00C105F6" w:rsidP="005B7805">
      <w:pPr>
        <w:spacing w:line="480" w:lineRule="auto"/>
        <w:jc w:val="both"/>
        <w:rPr>
          <w:rFonts w:ascii="Arial" w:hAnsi="Arial" w:cs="Arial"/>
          <w:lang w:val="en-US"/>
        </w:rPr>
      </w:pPr>
    </w:p>
    <w:p w14:paraId="2633A7B9" w14:textId="77777777" w:rsidR="00C105F6" w:rsidRDefault="00C105F6" w:rsidP="005B7805">
      <w:pPr>
        <w:spacing w:line="480" w:lineRule="auto"/>
        <w:jc w:val="both"/>
        <w:rPr>
          <w:rFonts w:ascii="Arial" w:hAnsi="Arial" w:cs="Arial"/>
          <w:lang w:val="en-US"/>
        </w:rPr>
      </w:pPr>
    </w:p>
    <w:p w14:paraId="14E9FAF3" w14:textId="7F2F6CF7" w:rsidR="002C48A6" w:rsidRPr="005B7805" w:rsidRDefault="002C48A6" w:rsidP="002C48A6">
      <w:pPr>
        <w:autoSpaceDE w:val="0"/>
        <w:autoSpaceDN w:val="0"/>
        <w:adjustRightInd w:val="0"/>
        <w:snapToGrid w:val="0"/>
        <w:spacing w:line="480" w:lineRule="auto"/>
        <w:jc w:val="both"/>
        <w:rPr>
          <w:rFonts w:ascii="Arial" w:eastAsia="STIX-Regular" w:hAnsi="Arial" w:cs="Arial"/>
          <w:lang w:val="en-US" w:eastAsia="en-GB"/>
        </w:rPr>
      </w:pPr>
      <w:r w:rsidRPr="00E440FD">
        <w:rPr>
          <w:rFonts w:ascii="Arial" w:hAnsi="Arial" w:cs="Arial"/>
          <w:lang w:val="en-GB"/>
        </w:rPr>
        <w:lastRenderedPageBreak/>
        <w:t>Morphological changes of μPL happened slowly under physiological conditions but occurred rapidly in water. Regarding m</w:t>
      </w:r>
      <w:r w:rsidRPr="00E440FD">
        <w:rPr>
          <w:rFonts w:ascii="Arial" w:eastAsia="STIX-Regular" w:hAnsi="Arial" w:cs="Arial"/>
          <w:lang w:val="en-US" w:eastAsia="en-GB"/>
        </w:rPr>
        <w:t xml:space="preserve">ultisizer Coulter counter analyses </w:t>
      </w:r>
      <w:r w:rsidRPr="005B7805">
        <w:rPr>
          <w:rFonts w:ascii="Arial" w:eastAsia="STIX-Regular" w:hAnsi="Arial" w:cs="Arial"/>
          <w:lang w:val="en-US" w:eastAsia="en-GB"/>
        </w:rPr>
        <w:t>(</w:t>
      </w:r>
      <w:r w:rsidRPr="005B7805">
        <w:rPr>
          <w:rFonts w:ascii="Arial" w:eastAsia="STIX-Regular" w:hAnsi="Arial" w:cs="Arial"/>
          <w:b/>
          <w:bCs/>
          <w:lang w:val="en-US" w:eastAsia="en-GB"/>
        </w:rPr>
        <w:t>Supporting Figure 4</w:t>
      </w:r>
      <w:r w:rsidRPr="005B7805">
        <w:rPr>
          <w:rFonts w:ascii="Arial" w:eastAsia="STIX-Regular" w:hAnsi="Arial" w:cs="Arial"/>
          <w:lang w:val="en-US" w:eastAsia="en-GB"/>
        </w:rPr>
        <w:t xml:space="preserve">), with time, we observed the curves become flatter with a peak moving towards larger characteristic sizes until complete degradation occurred, manifested by the appearance of microscopic and submicroscopic debris (i.e., peak moved to the left). The initial increase in particle characteristic size is likely connected to structural alterations and possible particle aggregation. The reduction in peak value is associated with an overall decrease in particle count. Throughout all μPL configurations, we noticed a slight increase </w:t>
      </w:r>
      <w:r w:rsidR="0005193E">
        <w:rPr>
          <w:rFonts w:ascii="Arial" w:eastAsia="STIX-Regular" w:hAnsi="Arial" w:cs="Arial"/>
          <w:lang w:val="en-US" w:eastAsia="en-GB"/>
        </w:rPr>
        <w:t>in size</w:t>
      </w:r>
      <w:r w:rsidR="0005193E" w:rsidRPr="005B7805">
        <w:rPr>
          <w:rFonts w:ascii="Arial" w:eastAsia="STIX-Regular" w:hAnsi="Arial" w:cs="Arial"/>
          <w:lang w:val="en-US" w:eastAsia="en-GB"/>
        </w:rPr>
        <w:t xml:space="preserve"> </w:t>
      </w:r>
      <w:r w:rsidR="007B7C6F">
        <w:rPr>
          <w:rFonts w:ascii="Arial" w:eastAsia="STIX-Regular" w:hAnsi="Arial" w:cs="Arial"/>
          <w:lang w:val="en-US" w:eastAsia="en-GB"/>
        </w:rPr>
        <w:t xml:space="preserve">up </w:t>
      </w:r>
      <w:r w:rsidRPr="005B7805">
        <w:rPr>
          <w:rFonts w:ascii="Arial" w:eastAsia="STIX-Regular" w:hAnsi="Arial" w:cs="Arial"/>
          <w:lang w:val="en-US" w:eastAsia="en-GB"/>
        </w:rPr>
        <w:t>to 14 days before sharply decreasing after day 21. This trend was especially pronounced for the 10 mg PLGA configurations, which exhibited broader peaks even at day 0 and produced larger peaks at larger sizes (~ 35 μm) at 14 days for the AM404 600 μg configuration or larger peaks at smaller sizes (~ 5 μm) at 21 days for the AM404 800 μg configuration. In contrast, the 5 mg PLGA configurations displayed similar particle degradation from day 0 to day 21 in the Multisizer counter. Notably, the AM404 500 μg configuration yielded the highest peak at day 0, signaling a more effective polymer-drug combination. Measurements at subsequent time points proved unfeasible due to morphological changes in μPL that rendered the samples unsuitable for analysis. The degradation of PLGA μPL is vital, especially in drug-loaded particles. The degradation of the polymer matrix influences drug delivery and correlates directly with drug release kinetics.</w:t>
      </w:r>
    </w:p>
    <w:p w14:paraId="518351C5" w14:textId="71686E02" w:rsidR="00B77EC9" w:rsidRPr="005B7805" w:rsidRDefault="00CF2189" w:rsidP="005B7805">
      <w:pPr>
        <w:spacing w:line="480" w:lineRule="auto"/>
        <w:jc w:val="both"/>
        <w:rPr>
          <w:rFonts w:ascii="Arial" w:hAnsi="Arial" w:cs="Arial"/>
          <w:b/>
          <w:bCs/>
          <w:lang w:val="en-US"/>
        </w:rPr>
      </w:pPr>
      <w:r w:rsidRPr="005B7805">
        <w:rPr>
          <w:rFonts w:ascii="Arial" w:hAnsi="Arial" w:cs="Arial"/>
          <w:b/>
          <w:bCs/>
          <w:noProof/>
          <w:lang w:val="en-US"/>
        </w:rPr>
        <w:lastRenderedPageBreak/>
        <w:drawing>
          <wp:inline distT="0" distB="0" distL="0" distR="0" wp14:anchorId="4F548703" wp14:editId="042EF6E3">
            <wp:extent cx="5985295" cy="6132786"/>
            <wp:effectExtent l="0" t="0" r="0" b="1905"/>
            <wp:docPr id="13088439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7225" cy="6134763"/>
                    </a:xfrm>
                    <a:prstGeom prst="rect">
                      <a:avLst/>
                    </a:prstGeom>
                    <a:noFill/>
                  </pic:spPr>
                </pic:pic>
              </a:graphicData>
            </a:graphic>
          </wp:inline>
        </w:drawing>
      </w:r>
    </w:p>
    <w:p w14:paraId="0D62A003" w14:textId="6F2A59DB" w:rsidR="005710FC" w:rsidRDefault="00374429" w:rsidP="005B7805">
      <w:pPr>
        <w:spacing w:line="480" w:lineRule="auto"/>
        <w:jc w:val="both"/>
        <w:rPr>
          <w:rFonts w:ascii="Arial" w:hAnsi="Arial" w:cs="Arial"/>
          <w:lang w:val="en-US"/>
        </w:rPr>
      </w:pPr>
      <w:r>
        <w:rPr>
          <w:rFonts w:ascii="Arial" w:hAnsi="Arial" w:cs="Arial"/>
          <w:b/>
          <w:bCs/>
          <w:lang w:val="en-US"/>
        </w:rPr>
        <w:t xml:space="preserve">Supporting </w:t>
      </w:r>
      <w:r w:rsidR="00B77EC9" w:rsidRPr="005B7805">
        <w:rPr>
          <w:rFonts w:ascii="Arial" w:hAnsi="Arial" w:cs="Arial"/>
          <w:b/>
          <w:bCs/>
          <w:lang w:val="en-US"/>
        </w:rPr>
        <w:t xml:space="preserve">Figure 4. </w:t>
      </w:r>
      <w:r w:rsidR="005710FC" w:rsidRPr="005B7805">
        <w:rPr>
          <w:rFonts w:ascii="Arial" w:hAnsi="Arial" w:cs="Arial"/>
          <w:b/>
          <w:bCs/>
          <w:lang w:val="en-US"/>
        </w:rPr>
        <w:t>Multisizer analysis of PLGA</w:t>
      </w:r>
      <w:r>
        <w:rPr>
          <w:rFonts w:ascii="Arial" w:hAnsi="Arial" w:cs="Arial"/>
          <w:b/>
          <w:bCs/>
          <w:lang w:val="en-US"/>
        </w:rPr>
        <w:t>-</w:t>
      </w:r>
      <w:r w:rsidR="005710FC" w:rsidRPr="005B7805">
        <w:rPr>
          <w:rFonts w:ascii="Arial" w:hAnsi="Arial" w:cs="Arial"/>
          <w:b/>
          <w:bCs/>
          <w:lang w:val="en-US"/>
        </w:rPr>
        <w:t xml:space="preserve">μPL </w:t>
      </w:r>
      <w:r w:rsidR="009E6837">
        <w:rPr>
          <w:rFonts w:ascii="Arial" w:hAnsi="Arial" w:cs="Arial"/>
          <w:b/>
          <w:bCs/>
          <w:lang w:val="en-US"/>
        </w:rPr>
        <w:t xml:space="preserve">over time incubated in DI </w:t>
      </w:r>
      <w:r w:rsidR="005710FC" w:rsidRPr="005B7805">
        <w:rPr>
          <w:rFonts w:ascii="Arial" w:hAnsi="Arial" w:cs="Arial"/>
          <w:b/>
          <w:bCs/>
          <w:lang w:val="en-US"/>
        </w:rPr>
        <w:t xml:space="preserve">water. </w:t>
      </w:r>
      <w:r w:rsidR="005710FC" w:rsidRPr="005B7805">
        <w:rPr>
          <w:rFonts w:ascii="Arial" w:hAnsi="Arial" w:cs="Arial"/>
          <w:lang w:val="en-US"/>
        </w:rPr>
        <w:t>Representation of multisizer analysis for 5 mg-PLGA μPL configurations, either empty or AM404-loaded with input amounts of 375 μg, 500 μg, or 750 μg, and 10 mg-PLGA μPL configurations, AM404-loaded with input amounts of 600 μg or 800 μg, observed over a period of up to 21 days in water.</w:t>
      </w:r>
    </w:p>
    <w:p w14:paraId="1D576A33" w14:textId="45E8AD89" w:rsidR="00A715E1" w:rsidRDefault="00A715E1" w:rsidP="005B7805">
      <w:pPr>
        <w:spacing w:line="480" w:lineRule="auto"/>
        <w:jc w:val="both"/>
        <w:rPr>
          <w:rFonts w:ascii="Arial" w:hAnsi="Arial" w:cs="Arial"/>
          <w:lang w:val="en-US"/>
        </w:rPr>
      </w:pPr>
      <w:r w:rsidRPr="005B7805">
        <w:rPr>
          <w:rFonts w:ascii="Arial" w:hAnsi="Arial" w:cs="Arial"/>
          <w:b/>
          <w:bCs/>
          <w:lang w:val="en-US"/>
        </w:rPr>
        <w:lastRenderedPageBreak/>
        <w:t xml:space="preserve">Quantification of AM404 loading in </w:t>
      </w:r>
      <w:r>
        <w:rPr>
          <w:rFonts w:ascii="Arial" w:hAnsi="Arial" w:cs="Arial"/>
          <w:b/>
          <w:bCs/>
          <w:lang w:val="en-US"/>
        </w:rPr>
        <w:t>PLGA-</w:t>
      </w:r>
      <w:r w:rsidRPr="005B7805">
        <w:rPr>
          <w:rFonts w:ascii="Arial" w:hAnsi="Arial" w:cs="Arial"/>
          <w:b/>
          <w:bCs/>
          <w:lang w:val="en-US"/>
        </w:rPr>
        <w:t>μPL.</w:t>
      </w:r>
      <w:r w:rsidRPr="00A715E1">
        <w:rPr>
          <w:rFonts w:ascii="Arial" w:hAnsi="Arial" w:cs="Arial"/>
          <w:lang w:val="en-US"/>
        </w:rPr>
        <w:t xml:space="preserve"> Liquid chromatography was employed to assess the loading of AM404 into PLGA-μPL.</w:t>
      </w:r>
    </w:p>
    <w:p w14:paraId="1A52E7ED" w14:textId="4E08EB05" w:rsidR="00083280" w:rsidRPr="005B7805" w:rsidRDefault="00447D1D" w:rsidP="005B7805">
      <w:pPr>
        <w:snapToGrid w:val="0"/>
        <w:spacing w:line="480" w:lineRule="auto"/>
        <w:jc w:val="both"/>
        <w:rPr>
          <w:rFonts w:ascii="Arial" w:hAnsi="Arial" w:cs="Arial"/>
          <w:b/>
          <w:bCs/>
          <w:lang w:val="en-US"/>
        </w:rPr>
      </w:pPr>
      <w:r w:rsidRPr="005B7805">
        <w:rPr>
          <w:rFonts w:ascii="Arial" w:hAnsi="Arial" w:cs="Arial"/>
          <w:noProof/>
        </w:rPr>
        <w:drawing>
          <wp:inline distT="0" distB="0" distL="0" distR="0" wp14:anchorId="7F3FE8B7" wp14:editId="2CCCACA6">
            <wp:extent cx="5695315" cy="3985146"/>
            <wp:effectExtent l="0" t="0" r="635" b="0"/>
            <wp:docPr id="573677241" name="Picture 2"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77241" name="Picture 2" descr="A graph of a graph of a graph&#10;&#10;AI-generated content may be incorrect."/>
                    <pic:cNvPicPr>
                      <a:picLocks noChangeAspect="1" noChangeArrowheads="1"/>
                    </pic:cNvPicPr>
                  </pic:nvPicPr>
                  <pic:blipFill rotWithShape="1">
                    <a:blip r:embed="rId12">
                      <a:extLst>
                        <a:ext uri="{28A0092B-C50C-407E-A947-70E740481C1C}">
                          <a14:useLocalDpi xmlns:a14="http://schemas.microsoft.com/office/drawing/2010/main" val="0"/>
                        </a:ext>
                      </a:extLst>
                    </a:blip>
                    <a:srcRect b="51575"/>
                    <a:stretch>
                      <a:fillRect/>
                    </a:stretch>
                  </pic:blipFill>
                  <pic:spPr bwMode="auto">
                    <a:xfrm>
                      <a:off x="0" y="0"/>
                      <a:ext cx="5695315" cy="3985146"/>
                    </a:xfrm>
                    <a:prstGeom prst="rect">
                      <a:avLst/>
                    </a:prstGeom>
                    <a:noFill/>
                    <a:ln>
                      <a:noFill/>
                    </a:ln>
                    <a:extLst>
                      <a:ext uri="{53640926-AAD7-44D8-BBD7-CCE9431645EC}">
                        <a14:shadowObscured xmlns:a14="http://schemas.microsoft.com/office/drawing/2010/main"/>
                      </a:ext>
                    </a:extLst>
                  </pic:spPr>
                </pic:pic>
              </a:graphicData>
            </a:graphic>
          </wp:inline>
        </w:drawing>
      </w:r>
    </w:p>
    <w:p w14:paraId="7C478055" w14:textId="171C5A88" w:rsidR="00083280" w:rsidRPr="005B7805" w:rsidRDefault="009E6837" w:rsidP="005B7805">
      <w:pPr>
        <w:snapToGrid w:val="0"/>
        <w:spacing w:line="480" w:lineRule="auto"/>
        <w:jc w:val="both"/>
        <w:rPr>
          <w:rFonts w:ascii="Arial" w:hAnsi="Arial" w:cs="Arial"/>
          <w:b/>
          <w:bCs/>
          <w:lang w:val="en-US"/>
        </w:rPr>
      </w:pPr>
      <w:r>
        <w:rPr>
          <w:rFonts w:ascii="Arial" w:hAnsi="Arial" w:cs="Arial"/>
          <w:b/>
          <w:bCs/>
          <w:lang w:val="en-US"/>
        </w:rPr>
        <w:t xml:space="preserve">Supporting </w:t>
      </w:r>
      <w:r w:rsidR="00083280" w:rsidRPr="005B7805">
        <w:rPr>
          <w:rFonts w:ascii="Arial" w:hAnsi="Arial" w:cs="Arial"/>
          <w:b/>
          <w:bCs/>
          <w:lang w:val="en-US"/>
        </w:rPr>
        <w:t xml:space="preserve">Figure 5. Quantification of AM404 loading in </w:t>
      </w:r>
      <w:r>
        <w:rPr>
          <w:rFonts w:ascii="Arial" w:hAnsi="Arial" w:cs="Arial"/>
          <w:b/>
          <w:bCs/>
          <w:lang w:val="en-US"/>
        </w:rPr>
        <w:t>PLGA-</w:t>
      </w:r>
      <w:r w:rsidR="00083280" w:rsidRPr="005B7805">
        <w:rPr>
          <w:rFonts w:ascii="Arial" w:hAnsi="Arial" w:cs="Arial"/>
          <w:b/>
          <w:bCs/>
          <w:lang w:val="en-US"/>
        </w:rPr>
        <w:t xml:space="preserve">μPL. </w:t>
      </w:r>
      <w:r w:rsidR="00083280" w:rsidRPr="005B7805">
        <w:rPr>
          <w:rFonts w:ascii="Arial" w:hAnsi="Arial" w:cs="Arial"/>
          <w:lang w:val="en-US"/>
        </w:rPr>
        <w:t xml:space="preserve">Representative HPLC detection plots from μPL configurations: </w:t>
      </w:r>
      <w:r w:rsidR="00447D1D" w:rsidRPr="005B7805">
        <w:rPr>
          <w:rFonts w:ascii="Arial" w:hAnsi="Arial" w:cs="Arial"/>
          <w:b/>
          <w:bCs/>
          <w:lang w:val="en-US"/>
        </w:rPr>
        <w:t>A.</w:t>
      </w:r>
      <w:r w:rsidR="00447D1D" w:rsidRPr="005B7805">
        <w:rPr>
          <w:rFonts w:ascii="Arial" w:hAnsi="Arial" w:cs="Arial"/>
          <w:lang w:val="en-US"/>
        </w:rPr>
        <w:t xml:space="preserve"> 500</w:t>
      </w:r>
      <w:r w:rsidR="00083280" w:rsidRPr="005B7805">
        <w:rPr>
          <w:rFonts w:ascii="Arial" w:hAnsi="Arial" w:cs="Arial"/>
          <w:lang w:val="en-US"/>
        </w:rPr>
        <w:t xml:space="preserve"> μg AM404-5 mg PLGA configuration and </w:t>
      </w:r>
      <w:r w:rsidR="00447D1D" w:rsidRPr="005B7805">
        <w:rPr>
          <w:rFonts w:ascii="Arial" w:hAnsi="Arial" w:cs="Arial"/>
          <w:b/>
          <w:bCs/>
          <w:lang w:val="en-US"/>
        </w:rPr>
        <w:t>B.</w:t>
      </w:r>
      <w:r w:rsidR="00447D1D" w:rsidRPr="005B7805">
        <w:rPr>
          <w:rFonts w:ascii="Arial" w:hAnsi="Arial" w:cs="Arial"/>
          <w:lang w:val="en-US"/>
        </w:rPr>
        <w:t xml:space="preserve"> </w:t>
      </w:r>
      <w:r w:rsidR="00083280" w:rsidRPr="005B7805">
        <w:rPr>
          <w:rFonts w:ascii="Arial" w:hAnsi="Arial" w:cs="Arial"/>
          <w:lang w:val="en-US"/>
        </w:rPr>
        <w:t>800 μg AM404-5 mg PLGA configuration.</w:t>
      </w:r>
    </w:p>
    <w:p w14:paraId="5EBD107F" w14:textId="77777777" w:rsidR="00083280" w:rsidRPr="005B7805" w:rsidRDefault="00083280" w:rsidP="005B7805">
      <w:pPr>
        <w:snapToGrid w:val="0"/>
        <w:spacing w:line="480" w:lineRule="auto"/>
        <w:jc w:val="both"/>
        <w:rPr>
          <w:rFonts w:ascii="Arial" w:hAnsi="Arial" w:cs="Arial"/>
          <w:lang w:val="en-US"/>
        </w:rPr>
      </w:pPr>
    </w:p>
    <w:p w14:paraId="529D619B" w14:textId="77777777" w:rsidR="00C105F6" w:rsidRDefault="00A715E1" w:rsidP="002C6ACF">
      <w:pPr>
        <w:autoSpaceDE w:val="0"/>
        <w:autoSpaceDN w:val="0"/>
        <w:adjustRightInd w:val="0"/>
        <w:snapToGrid w:val="0"/>
        <w:spacing w:line="480" w:lineRule="auto"/>
        <w:jc w:val="both"/>
        <w:rPr>
          <w:rFonts w:ascii="Arial" w:hAnsi="Arial" w:cs="Arial"/>
          <w:lang w:val="en-US"/>
        </w:rPr>
      </w:pPr>
      <w:r>
        <w:rPr>
          <w:rFonts w:ascii="Arial" w:hAnsi="Arial" w:cs="Arial"/>
          <w:b/>
          <w:bCs/>
          <w:lang w:val="en-US"/>
        </w:rPr>
        <w:t>Release of AM404 from PLGA-</w:t>
      </w:r>
      <w:r w:rsidRPr="005B7805">
        <w:rPr>
          <w:rFonts w:ascii="Arial" w:hAnsi="Arial" w:cs="Arial"/>
          <w:b/>
          <w:bCs/>
          <w:lang w:val="en-US"/>
        </w:rPr>
        <w:t>μPL</w:t>
      </w:r>
      <w:r>
        <w:rPr>
          <w:rFonts w:ascii="Arial" w:hAnsi="Arial" w:cs="Arial"/>
          <w:b/>
          <w:bCs/>
          <w:lang w:val="en-US"/>
        </w:rPr>
        <w:t xml:space="preserve">. </w:t>
      </w:r>
      <w:r w:rsidRPr="00A715E1">
        <w:rPr>
          <w:rFonts w:ascii="Arial" w:hAnsi="Arial" w:cs="Arial"/>
          <w:lang w:val="en-US"/>
        </w:rPr>
        <w:t xml:space="preserve">Liquid chromatography was employed to </w:t>
      </w:r>
      <w:r>
        <w:rPr>
          <w:rFonts w:ascii="Arial" w:hAnsi="Arial" w:cs="Arial"/>
          <w:lang w:val="en-US"/>
        </w:rPr>
        <w:t xml:space="preserve">quantify the release of </w:t>
      </w:r>
      <w:r w:rsidRPr="00A715E1">
        <w:rPr>
          <w:rFonts w:ascii="Arial" w:hAnsi="Arial" w:cs="Arial"/>
          <w:lang w:val="en-US"/>
        </w:rPr>
        <w:t>AM404</w:t>
      </w:r>
      <w:r>
        <w:rPr>
          <w:rFonts w:ascii="Arial" w:hAnsi="Arial" w:cs="Arial"/>
          <w:lang w:val="en-US"/>
        </w:rPr>
        <w:t xml:space="preserve"> from </w:t>
      </w:r>
      <w:r w:rsidRPr="00A715E1">
        <w:rPr>
          <w:rFonts w:ascii="Arial" w:hAnsi="Arial" w:cs="Arial"/>
          <w:lang w:val="en-US"/>
        </w:rPr>
        <w:t>PLGA-μPL.</w:t>
      </w:r>
      <w:r>
        <w:rPr>
          <w:rFonts w:ascii="Arial" w:hAnsi="Arial" w:cs="Arial"/>
          <w:lang w:val="en-US"/>
        </w:rPr>
        <w:t xml:space="preserve"> The resulting release kinetics w</w:t>
      </w:r>
      <w:r w:rsidR="002C48A6">
        <w:rPr>
          <w:rFonts w:ascii="Arial" w:hAnsi="Arial" w:cs="Arial"/>
          <w:lang w:val="en-US"/>
        </w:rPr>
        <w:t>ere fitted with a standard Korsmeyer-Peppas model.</w:t>
      </w:r>
      <w:r w:rsidR="002C6ACF">
        <w:rPr>
          <w:rFonts w:ascii="Arial" w:hAnsi="Arial" w:cs="Arial"/>
          <w:lang w:val="en-US"/>
        </w:rPr>
        <w:t xml:space="preserve"> </w:t>
      </w:r>
      <w:bookmarkStart w:id="1" w:name="_Hlk197686718"/>
      <w:bookmarkStart w:id="2" w:name="_Hlk197686551"/>
    </w:p>
    <w:p w14:paraId="3DD2C1CF" w14:textId="77777777" w:rsidR="00C105F6" w:rsidRDefault="00C105F6" w:rsidP="002C6ACF">
      <w:pPr>
        <w:autoSpaceDE w:val="0"/>
        <w:autoSpaceDN w:val="0"/>
        <w:adjustRightInd w:val="0"/>
        <w:snapToGrid w:val="0"/>
        <w:spacing w:line="480" w:lineRule="auto"/>
        <w:jc w:val="both"/>
        <w:rPr>
          <w:rFonts w:ascii="Arial" w:hAnsi="Arial" w:cs="Arial"/>
          <w:lang w:val="en-US"/>
        </w:rPr>
      </w:pPr>
    </w:p>
    <w:p w14:paraId="4E0B9D19" w14:textId="77777777" w:rsidR="00C105F6" w:rsidRDefault="00C105F6" w:rsidP="002C6ACF">
      <w:pPr>
        <w:autoSpaceDE w:val="0"/>
        <w:autoSpaceDN w:val="0"/>
        <w:adjustRightInd w:val="0"/>
        <w:snapToGrid w:val="0"/>
        <w:spacing w:line="480" w:lineRule="auto"/>
        <w:jc w:val="both"/>
        <w:rPr>
          <w:rFonts w:ascii="Arial" w:hAnsi="Arial" w:cs="Arial"/>
          <w:lang w:val="en-US"/>
        </w:rPr>
      </w:pPr>
    </w:p>
    <w:p w14:paraId="13A33C19" w14:textId="7AB6471B" w:rsidR="002C6ACF" w:rsidRPr="005B7805" w:rsidRDefault="002C6ACF" w:rsidP="002C6ACF">
      <w:pPr>
        <w:autoSpaceDE w:val="0"/>
        <w:autoSpaceDN w:val="0"/>
        <w:adjustRightInd w:val="0"/>
        <w:snapToGrid w:val="0"/>
        <w:spacing w:line="480" w:lineRule="auto"/>
        <w:jc w:val="both"/>
        <w:rPr>
          <w:rFonts w:ascii="Arial" w:eastAsia="STIX-Regular" w:hAnsi="Arial" w:cs="Arial"/>
          <w:lang w:eastAsia="en-GB"/>
        </w:rPr>
      </w:pPr>
      <w:r w:rsidRPr="005B7805">
        <w:rPr>
          <w:rFonts w:ascii="Arial" w:eastAsia="STIX-Regular" w:hAnsi="Arial" w:cs="Arial"/>
          <w:b/>
          <w:bCs/>
          <w:lang w:val="en-US"/>
        </w:rPr>
        <w:lastRenderedPageBreak/>
        <w:t xml:space="preserve">Loading of AM404 decreased with higher PLGA content, with release observed for 70 days from 5 mg PLGA configurations. </w:t>
      </w:r>
      <w:bookmarkEnd w:id="1"/>
      <w:bookmarkEnd w:id="2"/>
    </w:p>
    <w:p w14:paraId="78A17226" w14:textId="5CDFC658" w:rsidR="00083280" w:rsidRDefault="002C6ACF" w:rsidP="002C6ACF">
      <w:pPr>
        <w:snapToGrid w:val="0"/>
        <w:spacing w:line="480" w:lineRule="auto"/>
        <w:jc w:val="both"/>
        <w:rPr>
          <w:rFonts w:ascii="Arial" w:hAnsi="Arial" w:cs="Arial"/>
          <w:lang w:val="en-US"/>
        </w:rPr>
      </w:pPr>
      <w:r w:rsidRPr="005B7805">
        <w:rPr>
          <w:rFonts w:ascii="Arial" w:eastAsia="STIX-Regular" w:hAnsi="Arial" w:cs="Arial"/>
          <w:lang w:val="en" w:eastAsia="en-GB"/>
        </w:rPr>
        <w:t>The Korsmeyer-Peppas model equation is Q</w:t>
      </w:r>
      <w:r w:rsidRPr="005B7805">
        <w:rPr>
          <w:rFonts w:ascii="Arial" w:eastAsia="STIX-Regular" w:hAnsi="Arial" w:cs="Arial"/>
          <w:vertAlign w:val="subscript"/>
          <w:lang w:val="en" w:eastAsia="en-GB"/>
        </w:rPr>
        <w:t>t</w:t>
      </w:r>
      <w:r w:rsidRPr="005B7805">
        <w:rPr>
          <w:rFonts w:ascii="Arial" w:eastAsia="STIX-Regular" w:hAnsi="Arial" w:cs="Arial"/>
          <w:lang w:val="en" w:eastAsia="en-GB"/>
        </w:rPr>
        <w:t>/Q</w:t>
      </w:r>
      <w:r w:rsidRPr="005B7805">
        <w:rPr>
          <w:rFonts w:ascii="Arial" w:eastAsia="STIX-Regular" w:hAnsi="Arial" w:cs="Arial"/>
          <w:vertAlign w:val="subscript"/>
          <w:lang w:val="en" w:eastAsia="en-GB"/>
        </w:rPr>
        <w:t>∞</w:t>
      </w:r>
      <w:r w:rsidRPr="005B7805">
        <w:rPr>
          <w:rFonts w:ascii="Arial" w:eastAsia="STIX-Regular" w:hAnsi="Arial" w:cs="Arial"/>
          <w:lang w:val="en" w:eastAsia="en-GB"/>
        </w:rPr>
        <w:t xml:space="preserve"> = Kt</w:t>
      </w:r>
      <w:r w:rsidRPr="005B7805">
        <w:rPr>
          <w:rFonts w:ascii="Arial" w:eastAsia="STIX-Regular" w:hAnsi="Arial" w:cs="Arial"/>
          <w:vertAlign w:val="superscript"/>
          <w:lang w:val="en" w:eastAsia="en-GB"/>
        </w:rPr>
        <w:t>n</w:t>
      </w:r>
      <w:r w:rsidRPr="005B7805">
        <w:rPr>
          <w:rFonts w:ascii="Arial" w:eastAsia="STIX-Regular" w:hAnsi="Arial" w:cs="Arial"/>
          <w:lang w:val="en" w:eastAsia="en-GB"/>
        </w:rPr>
        <w:t>, where Q</w:t>
      </w:r>
      <w:r w:rsidRPr="005B7805">
        <w:rPr>
          <w:rFonts w:ascii="Arial" w:eastAsia="STIX-Regular" w:hAnsi="Arial" w:cs="Arial"/>
          <w:vertAlign w:val="subscript"/>
          <w:lang w:val="en" w:eastAsia="en-GB"/>
        </w:rPr>
        <w:t>t</w:t>
      </w:r>
      <w:r w:rsidRPr="005B7805">
        <w:rPr>
          <w:rFonts w:ascii="Arial" w:eastAsia="STIX-Regular" w:hAnsi="Arial" w:cs="Arial"/>
          <w:lang w:val="en" w:eastAsia="en-GB"/>
        </w:rPr>
        <w:t>/Q</w:t>
      </w:r>
      <w:r w:rsidRPr="005B7805">
        <w:rPr>
          <w:rFonts w:ascii="Arial" w:eastAsia="STIX-Regular" w:hAnsi="Arial" w:cs="Arial"/>
          <w:vertAlign w:val="subscript"/>
          <w:lang w:val="en" w:eastAsia="en-GB"/>
        </w:rPr>
        <w:t>∞</w:t>
      </w:r>
      <w:r w:rsidRPr="005B7805">
        <w:rPr>
          <w:rFonts w:ascii="Arial" w:eastAsia="STIX-Regular" w:hAnsi="Arial" w:cs="Arial"/>
          <w:lang w:val="en" w:eastAsia="en-GB"/>
        </w:rPr>
        <w:t> represents the fraction of drug permeated, t is the time, Q</w:t>
      </w:r>
      <w:r w:rsidRPr="005B7805">
        <w:rPr>
          <w:rFonts w:ascii="Arial" w:eastAsia="STIX-Regular" w:hAnsi="Arial" w:cs="Arial"/>
          <w:vertAlign w:val="subscript"/>
          <w:lang w:val="en" w:eastAsia="en-GB"/>
        </w:rPr>
        <w:t>t</w:t>
      </w:r>
      <w:r w:rsidRPr="005B7805">
        <w:rPr>
          <w:rFonts w:ascii="Arial" w:eastAsia="STIX-Regular" w:hAnsi="Arial" w:cs="Arial"/>
          <w:lang w:val="en" w:eastAsia="en-GB"/>
        </w:rPr>
        <w:t xml:space="preserve"> is the amount of drug released at time t, Q</w:t>
      </w:r>
      <w:r w:rsidRPr="005B7805">
        <w:rPr>
          <w:rFonts w:ascii="Arial" w:eastAsia="STIX-Regular" w:hAnsi="Arial" w:cs="Arial"/>
          <w:vertAlign w:val="subscript"/>
          <w:lang w:val="en" w:eastAsia="en-GB"/>
        </w:rPr>
        <w:t>∞</w:t>
      </w:r>
      <w:r w:rsidRPr="005B7805">
        <w:rPr>
          <w:rFonts w:ascii="Arial" w:eastAsia="STIX-Regular" w:hAnsi="Arial" w:cs="Arial"/>
          <w:lang w:val="en" w:eastAsia="en-GB"/>
        </w:rPr>
        <w:t xml:space="preserve"> is the total amount of drug, K is the release rate constant, and n is the diffusional exponent or drug release exponent. This model describes drug release from polymeric systems and is particularly useful for understanding the release mechanism (Fickian or non-Fickian). </w:t>
      </w:r>
      <w:r w:rsidRPr="005B7805">
        <w:rPr>
          <w:rFonts w:ascii="Arial" w:eastAsia="STIX-Regular" w:hAnsi="Arial" w:cs="Arial"/>
          <w:lang w:val="en-US" w:eastAsia="en-GB"/>
        </w:rPr>
        <w:t>We observed the highest coefficient of determination (R² ≈ 0.95) for the 500 μg formulation, whereas the fit was slightly lower for the other doses (</w:t>
      </w:r>
      <w:r w:rsidRPr="005B7805">
        <w:rPr>
          <w:rFonts w:ascii="Arial" w:eastAsia="STIX-Regular" w:hAnsi="Arial" w:cs="Arial"/>
          <w:b/>
          <w:bCs/>
          <w:lang w:val="en-US" w:eastAsia="en-GB"/>
        </w:rPr>
        <w:t>Supporting Figure 6C</w:t>
      </w:r>
      <w:r w:rsidRPr="005B7805">
        <w:rPr>
          <w:rFonts w:ascii="Arial" w:eastAsia="STIX-Regular" w:hAnsi="Arial" w:cs="Arial"/>
          <w:lang w:val="en-US" w:eastAsia="en-GB"/>
        </w:rPr>
        <w:t xml:space="preserve">). This may be attributed to the release kinetics of the 500 μg configuration being more consistent with the assumptions underlying the model, such as a well-defined diffusion process through a polymeric matrix, compared to the more variable or overlapping mechanisms potentially occurring at lower or higher loadings. In the Korsmeyer–Peppas model, n plays a critical role in elucidating the underlying drug release mechanism, as both the structural characteristics and the geometry of the delivery system influence it. When modeling the μPL as cylindrical structures, the n value can be interpreted as follows: for n ≈ 0.45, the release follows a Fickian diffusion mechanism, where concentration gradients primarily drive drug transport; for 0.45 &lt; n &lt; 0.89, the release is governed by non-Fickian (anomalous) transport, indicating a combination of diffusion and other mechanisms such as polymer swelling or degradation; for n &gt; 0.89, the system exhibits a case II or super case II transport, typically involving swelling-controlled release with possible polymer relaxation phenomena. In our study, n was found to be approximately 0.5 for the 375 μg and 500 μg configurations, indicating a quasi-Fickian or </w:t>
      </w:r>
      <w:r w:rsidRPr="005B7805">
        <w:rPr>
          <w:rFonts w:ascii="Arial" w:eastAsia="STIX-Regular" w:hAnsi="Arial" w:cs="Arial"/>
          <w:lang w:val="en-US" w:eastAsia="en-GB"/>
        </w:rPr>
        <w:lastRenderedPageBreak/>
        <w:t>borderline anomalous diffusion mechanism, where diffusion remains the dominant process, with minor contributions from matrix relaxation or degradation. In contrast, for the 7</w:t>
      </w:r>
      <w:r w:rsidR="00747622">
        <w:rPr>
          <w:rFonts w:ascii="Arial" w:eastAsia="STIX-Regular" w:hAnsi="Arial" w:cs="Arial"/>
          <w:lang w:val="en-US" w:eastAsia="en-GB"/>
        </w:rPr>
        <w:t>5</w:t>
      </w:r>
      <w:r w:rsidRPr="005B7805">
        <w:rPr>
          <w:rFonts w:ascii="Arial" w:eastAsia="STIX-Regular" w:hAnsi="Arial" w:cs="Arial"/>
          <w:lang w:val="en-US" w:eastAsia="en-GB"/>
        </w:rPr>
        <w:t>0 μg configuration, we obtained an n value closer to 0.45, suggesting a more purely Fickian diffusion profile (</w:t>
      </w:r>
      <w:r w:rsidRPr="005B7805">
        <w:rPr>
          <w:rFonts w:ascii="Arial" w:eastAsia="STIX-Regular" w:hAnsi="Arial" w:cs="Arial"/>
          <w:b/>
          <w:bCs/>
          <w:lang w:val="en-US" w:eastAsia="en-GB"/>
        </w:rPr>
        <w:t>Supporting Figure 6C</w:t>
      </w:r>
      <w:r w:rsidRPr="005B7805">
        <w:rPr>
          <w:rFonts w:ascii="Arial" w:eastAsia="STIX-Regular" w:hAnsi="Arial" w:cs="Arial"/>
          <w:lang w:val="en-US" w:eastAsia="en-GB"/>
        </w:rPr>
        <w:t>). This may reflect the higher drug loading leading to a more compact matrix structure or reduced swelling, thus favoring diffusion-driven release.</w:t>
      </w:r>
    </w:p>
    <w:p w14:paraId="44C3819A" w14:textId="2D683BF4" w:rsidR="006D0343" w:rsidRPr="005B7805" w:rsidRDefault="006D0343" w:rsidP="005B7805">
      <w:pPr>
        <w:spacing w:line="480" w:lineRule="auto"/>
        <w:jc w:val="both"/>
        <w:rPr>
          <w:rFonts w:ascii="Arial" w:hAnsi="Arial" w:cs="Arial"/>
          <w:b/>
          <w:bCs/>
          <w:lang w:val="en-US"/>
        </w:rPr>
      </w:pPr>
      <w:r w:rsidRPr="005B7805">
        <w:rPr>
          <w:rFonts w:ascii="Arial" w:hAnsi="Arial" w:cs="Arial"/>
          <w:b/>
          <w:bCs/>
          <w:noProof/>
          <w:lang w:val="en-US"/>
        </w:rPr>
        <w:drawing>
          <wp:inline distT="0" distB="0" distL="0" distR="0" wp14:anchorId="4C92D5A7" wp14:editId="56F5C237">
            <wp:extent cx="5878286" cy="4176358"/>
            <wp:effectExtent l="0" t="0" r="8255" b="0"/>
            <wp:docPr id="1628448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4383" cy="4180690"/>
                    </a:xfrm>
                    <a:prstGeom prst="rect">
                      <a:avLst/>
                    </a:prstGeom>
                    <a:noFill/>
                  </pic:spPr>
                </pic:pic>
              </a:graphicData>
            </a:graphic>
          </wp:inline>
        </w:drawing>
      </w:r>
    </w:p>
    <w:p w14:paraId="6196FCAC" w14:textId="21A472F1" w:rsidR="006D0343" w:rsidRPr="005B7805" w:rsidRDefault="009E6837" w:rsidP="005B7805">
      <w:pPr>
        <w:spacing w:line="480" w:lineRule="auto"/>
        <w:jc w:val="both"/>
        <w:rPr>
          <w:rFonts w:ascii="Arial" w:hAnsi="Arial" w:cs="Arial"/>
          <w:lang w:val="en-GB"/>
        </w:rPr>
      </w:pPr>
      <w:r>
        <w:rPr>
          <w:rFonts w:ascii="Arial" w:hAnsi="Arial" w:cs="Arial"/>
          <w:b/>
          <w:bCs/>
          <w:lang w:val="en-US"/>
        </w:rPr>
        <w:t xml:space="preserve">Supporting </w:t>
      </w:r>
      <w:r w:rsidR="006D0343" w:rsidRPr="005B7805">
        <w:rPr>
          <w:rFonts w:ascii="Arial" w:hAnsi="Arial" w:cs="Arial"/>
          <w:b/>
          <w:bCs/>
          <w:lang w:val="en-US"/>
        </w:rPr>
        <w:t xml:space="preserve">Figure </w:t>
      </w:r>
      <w:r w:rsidR="00083280" w:rsidRPr="005B7805">
        <w:rPr>
          <w:rFonts w:ascii="Arial" w:hAnsi="Arial" w:cs="Arial"/>
          <w:b/>
          <w:bCs/>
          <w:lang w:val="en-US"/>
        </w:rPr>
        <w:t>6</w:t>
      </w:r>
      <w:r w:rsidR="00B77EC9" w:rsidRPr="005B7805">
        <w:rPr>
          <w:rFonts w:ascii="Arial" w:hAnsi="Arial" w:cs="Arial"/>
          <w:b/>
          <w:bCs/>
          <w:lang w:val="en-US"/>
        </w:rPr>
        <w:t xml:space="preserve">. </w:t>
      </w:r>
      <w:r w:rsidR="00BE24D1">
        <w:rPr>
          <w:rFonts w:ascii="Arial" w:hAnsi="Arial" w:cs="Arial"/>
          <w:b/>
          <w:bCs/>
          <w:lang w:val="en-US"/>
        </w:rPr>
        <w:t>Drug r</w:t>
      </w:r>
      <w:r w:rsidR="005710FC" w:rsidRPr="005B7805">
        <w:rPr>
          <w:rFonts w:ascii="Arial" w:hAnsi="Arial" w:cs="Arial"/>
          <w:b/>
          <w:bCs/>
          <w:lang w:val="en-US"/>
        </w:rPr>
        <w:t xml:space="preserve">elease </w:t>
      </w:r>
      <w:r w:rsidR="00BE24D1">
        <w:rPr>
          <w:rFonts w:ascii="Arial" w:hAnsi="Arial" w:cs="Arial"/>
          <w:b/>
          <w:bCs/>
          <w:lang w:val="en-US"/>
        </w:rPr>
        <w:t xml:space="preserve">values and </w:t>
      </w:r>
      <w:r w:rsidR="006D0343" w:rsidRPr="005B7805">
        <w:rPr>
          <w:rFonts w:ascii="Arial" w:hAnsi="Arial" w:cs="Arial"/>
          <w:b/>
          <w:bCs/>
          <w:lang w:val="en-US"/>
        </w:rPr>
        <w:t xml:space="preserve">kinetics </w:t>
      </w:r>
      <w:r w:rsidR="00BE24D1">
        <w:rPr>
          <w:rFonts w:ascii="Arial" w:hAnsi="Arial" w:cs="Arial"/>
          <w:b/>
          <w:bCs/>
          <w:lang w:val="en-US"/>
        </w:rPr>
        <w:t>for PLGA-</w:t>
      </w:r>
      <w:r w:rsidR="00BE24D1" w:rsidRPr="005B7805">
        <w:rPr>
          <w:rFonts w:ascii="Arial" w:hAnsi="Arial" w:cs="Arial"/>
          <w:b/>
          <w:bCs/>
          <w:lang w:val="en-US"/>
        </w:rPr>
        <w:t>μPL</w:t>
      </w:r>
      <w:r w:rsidR="005710FC" w:rsidRPr="005B7805">
        <w:rPr>
          <w:rFonts w:ascii="Arial" w:hAnsi="Arial" w:cs="Arial"/>
          <w:b/>
          <w:bCs/>
          <w:lang w:val="en-US"/>
        </w:rPr>
        <w:t>.</w:t>
      </w:r>
      <w:r w:rsidR="005710FC" w:rsidRPr="005B7805">
        <w:rPr>
          <w:rFonts w:ascii="Arial" w:hAnsi="Arial" w:cs="Arial"/>
          <w:lang w:val="en-US"/>
        </w:rPr>
        <w:t xml:space="preserve"> </w:t>
      </w:r>
      <w:r w:rsidR="006D0343" w:rsidRPr="005B7805">
        <w:rPr>
          <w:rFonts w:ascii="Arial" w:hAnsi="Arial" w:cs="Arial"/>
          <w:b/>
          <w:bCs/>
          <w:lang w:val="en-US"/>
        </w:rPr>
        <w:t>A.</w:t>
      </w:r>
      <w:r w:rsidR="006D0343" w:rsidRPr="005B7805">
        <w:rPr>
          <w:rFonts w:ascii="Arial" w:hAnsi="Arial" w:cs="Arial"/>
          <w:lang w:val="en-US"/>
        </w:rPr>
        <w:t xml:space="preserve"> </w:t>
      </w:r>
      <w:r w:rsidR="005710FC" w:rsidRPr="005B7805">
        <w:rPr>
          <w:rFonts w:ascii="Arial" w:hAnsi="Arial" w:cs="Arial"/>
          <w:lang w:val="en-US"/>
        </w:rPr>
        <w:t>Each system's average value is depicted versus the time (days) ± SEM of at least three replicates.</w:t>
      </w:r>
      <w:r w:rsidR="006D0343" w:rsidRPr="005B7805">
        <w:rPr>
          <w:rFonts w:ascii="Arial" w:hAnsi="Arial" w:cs="Arial"/>
          <w:lang w:val="en-US"/>
        </w:rPr>
        <w:t xml:space="preserve"> </w:t>
      </w:r>
      <w:r w:rsidR="006D0343" w:rsidRPr="005B7805">
        <w:rPr>
          <w:rFonts w:ascii="Arial" w:hAnsi="Arial" w:cs="Arial"/>
          <w:b/>
          <w:bCs/>
          <w:lang w:val="en-US"/>
        </w:rPr>
        <w:t xml:space="preserve">B. </w:t>
      </w:r>
      <w:r w:rsidR="006D0343" w:rsidRPr="005B7805">
        <w:rPr>
          <w:rFonts w:ascii="Arial" w:hAnsi="Arial" w:cs="Arial"/>
          <w:lang w:val="en-GB"/>
        </w:rPr>
        <w:t xml:space="preserve">Experimental data (colored dots) are fitted to Korsmeyer-Peppas (dashed lines) up to 60% of drug release. </w:t>
      </w:r>
      <w:r w:rsidR="006D0343" w:rsidRPr="005B7805">
        <w:rPr>
          <w:rFonts w:ascii="Arial" w:hAnsi="Arial" w:cs="Arial"/>
          <w:b/>
          <w:bCs/>
          <w:lang w:val="en-GB"/>
        </w:rPr>
        <w:t>C.</w:t>
      </w:r>
      <w:r w:rsidR="006D0343" w:rsidRPr="005B7805">
        <w:rPr>
          <w:rFonts w:ascii="Arial" w:hAnsi="Arial" w:cs="Arial"/>
          <w:lang w:val="en-GB"/>
        </w:rPr>
        <w:t xml:space="preserve"> Values of the fitting parameters for the release kinetic model of Korsmeyer-Peppas. </w:t>
      </w:r>
      <w:r w:rsidR="006D0343" w:rsidRPr="005B7805">
        <w:rPr>
          <w:rFonts w:ascii="Arial" w:hAnsi="Arial" w:cs="Arial"/>
          <w:i/>
          <w:iCs/>
          <w:lang w:val="en-GB"/>
        </w:rPr>
        <w:t>Mt/M</w:t>
      </w:r>
      <w:r w:rsidR="006D0343" w:rsidRPr="005B7805">
        <w:rPr>
          <w:rFonts w:ascii="Arial" w:hAnsi="Arial" w:cs="Arial"/>
          <w:i/>
          <w:iCs/>
          <w:vertAlign w:val="subscript"/>
          <w:lang w:val="en-GB"/>
        </w:rPr>
        <w:t>∞</w:t>
      </w:r>
      <w:r w:rsidR="006D0343" w:rsidRPr="005B7805">
        <w:rPr>
          <w:rFonts w:ascii="Arial" w:hAnsi="Arial" w:cs="Arial"/>
          <w:lang w:val="en-GB"/>
        </w:rPr>
        <w:t xml:space="preserve"> equals the fraction of released drug within the time </w:t>
      </w:r>
      <w:r w:rsidR="006D0343" w:rsidRPr="005B7805">
        <w:rPr>
          <w:rFonts w:ascii="Arial" w:hAnsi="Arial" w:cs="Arial"/>
          <w:i/>
          <w:iCs/>
          <w:lang w:val="en-GB"/>
        </w:rPr>
        <w:lastRenderedPageBreak/>
        <w:t>t</w:t>
      </w:r>
      <w:r w:rsidR="006D0343" w:rsidRPr="005B7805">
        <w:rPr>
          <w:rFonts w:ascii="Arial" w:hAnsi="Arial" w:cs="Arial"/>
          <w:lang w:val="en-GB"/>
        </w:rPr>
        <w:t xml:space="preserve">; </w:t>
      </w:r>
      <w:r w:rsidR="006D0343" w:rsidRPr="005B7805">
        <w:rPr>
          <w:rFonts w:ascii="Arial" w:hAnsi="Arial" w:cs="Arial"/>
          <w:i/>
          <w:iCs/>
          <w:lang w:val="en-GB"/>
        </w:rPr>
        <w:t>k</w:t>
      </w:r>
      <w:r w:rsidR="006D0343" w:rsidRPr="005B7805">
        <w:rPr>
          <w:rFonts w:ascii="Arial" w:hAnsi="Arial" w:cs="Arial"/>
          <w:i/>
          <w:iCs/>
          <w:vertAlign w:val="subscript"/>
          <w:lang w:val="en-GB"/>
        </w:rPr>
        <w:t>KP</w:t>
      </w:r>
      <w:r w:rsidR="006D0343" w:rsidRPr="005B7805">
        <w:rPr>
          <w:rFonts w:ascii="Arial" w:hAnsi="Arial" w:cs="Arial"/>
          <w:lang w:val="en-GB"/>
        </w:rPr>
        <w:t xml:space="preserve"> is the release constant based on the drug-dosage form's structural characteristics (here considered cylinders); </w:t>
      </w:r>
      <w:r w:rsidR="006D0343" w:rsidRPr="005B7805">
        <w:rPr>
          <w:rFonts w:ascii="Arial" w:hAnsi="Arial" w:cs="Arial"/>
          <w:i/>
          <w:iCs/>
          <w:lang w:val="en-GB"/>
        </w:rPr>
        <w:t>n</w:t>
      </w:r>
      <w:r w:rsidR="006D0343" w:rsidRPr="005B7805">
        <w:rPr>
          <w:rFonts w:ascii="Arial" w:hAnsi="Arial" w:cs="Arial"/>
          <w:lang w:val="en-GB"/>
        </w:rPr>
        <w:t xml:space="preserve"> is the diffusional exponent indicating the drug-release mechanisms. Results are presented as the average ± SD (n = 6).</w:t>
      </w:r>
    </w:p>
    <w:p w14:paraId="3F6DE9D1" w14:textId="77777777" w:rsidR="002C48A6" w:rsidRDefault="002C48A6" w:rsidP="005B7805">
      <w:pPr>
        <w:spacing w:line="480" w:lineRule="auto"/>
        <w:jc w:val="both"/>
        <w:rPr>
          <w:rFonts w:ascii="Arial" w:hAnsi="Arial" w:cs="Arial"/>
          <w:lang w:val="en-US"/>
        </w:rPr>
      </w:pPr>
    </w:p>
    <w:p w14:paraId="62619CD4" w14:textId="77777777" w:rsidR="00C105F6" w:rsidRDefault="00C105F6" w:rsidP="005B7805">
      <w:pPr>
        <w:spacing w:line="480" w:lineRule="auto"/>
        <w:jc w:val="both"/>
        <w:rPr>
          <w:rFonts w:ascii="Arial" w:hAnsi="Arial" w:cs="Arial"/>
          <w:lang w:val="en-US"/>
        </w:rPr>
      </w:pPr>
    </w:p>
    <w:p w14:paraId="5046FB75" w14:textId="77777777" w:rsidR="00C105F6" w:rsidRDefault="00C105F6" w:rsidP="005B7805">
      <w:pPr>
        <w:spacing w:line="480" w:lineRule="auto"/>
        <w:jc w:val="both"/>
        <w:rPr>
          <w:rFonts w:ascii="Arial" w:hAnsi="Arial" w:cs="Arial"/>
          <w:lang w:val="en-US"/>
        </w:rPr>
      </w:pPr>
    </w:p>
    <w:p w14:paraId="2D65FB5F" w14:textId="77777777" w:rsidR="00C105F6" w:rsidRDefault="00C105F6" w:rsidP="005B7805">
      <w:pPr>
        <w:spacing w:line="480" w:lineRule="auto"/>
        <w:jc w:val="both"/>
        <w:rPr>
          <w:rFonts w:ascii="Arial" w:hAnsi="Arial" w:cs="Arial"/>
          <w:lang w:val="en-US"/>
        </w:rPr>
      </w:pPr>
    </w:p>
    <w:p w14:paraId="2D7C8088" w14:textId="77777777" w:rsidR="00C105F6" w:rsidRDefault="00C105F6" w:rsidP="005B7805">
      <w:pPr>
        <w:spacing w:line="480" w:lineRule="auto"/>
        <w:jc w:val="both"/>
        <w:rPr>
          <w:rFonts w:ascii="Arial" w:hAnsi="Arial" w:cs="Arial"/>
          <w:lang w:val="en-US"/>
        </w:rPr>
      </w:pPr>
    </w:p>
    <w:p w14:paraId="05E91489" w14:textId="77777777" w:rsidR="00C105F6" w:rsidRDefault="00C105F6" w:rsidP="005B7805">
      <w:pPr>
        <w:spacing w:line="480" w:lineRule="auto"/>
        <w:jc w:val="both"/>
        <w:rPr>
          <w:rFonts w:ascii="Arial" w:hAnsi="Arial" w:cs="Arial"/>
          <w:lang w:val="en-US"/>
        </w:rPr>
      </w:pPr>
    </w:p>
    <w:p w14:paraId="0B52E72C" w14:textId="77777777" w:rsidR="00C105F6" w:rsidRDefault="00C105F6" w:rsidP="005B7805">
      <w:pPr>
        <w:spacing w:line="480" w:lineRule="auto"/>
        <w:jc w:val="both"/>
        <w:rPr>
          <w:rFonts w:ascii="Arial" w:hAnsi="Arial" w:cs="Arial"/>
          <w:lang w:val="en-US"/>
        </w:rPr>
      </w:pPr>
    </w:p>
    <w:p w14:paraId="3E6C8F7B" w14:textId="77777777" w:rsidR="00C105F6" w:rsidRDefault="00C105F6" w:rsidP="005B7805">
      <w:pPr>
        <w:spacing w:line="480" w:lineRule="auto"/>
        <w:jc w:val="both"/>
        <w:rPr>
          <w:rFonts w:ascii="Arial" w:hAnsi="Arial" w:cs="Arial"/>
          <w:lang w:val="en-US"/>
        </w:rPr>
      </w:pPr>
    </w:p>
    <w:p w14:paraId="74567157" w14:textId="77777777" w:rsidR="00C105F6" w:rsidRDefault="00C105F6" w:rsidP="005B7805">
      <w:pPr>
        <w:spacing w:line="480" w:lineRule="auto"/>
        <w:jc w:val="both"/>
        <w:rPr>
          <w:rFonts w:ascii="Arial" w:hAnsi="Arial" w:cs="Arial"/>
          <w:lang w:val="en-US"/>
        </w:rPr>
      </w:pPr>
    </w:p>
    <w:p w14:paraId="474BCB81" w14:textId="77777777" w:rsidR="00C105F6" w:rsidRDefault="00C105F6" w:rsidP="005B7805">
      <w:pPr>
        <w:spacing w:line="480" w:lineRule="auto"/>
        <w:jc w:val="both"/>
        <w:rPr>
          <w:rFonts w:ascii="Arial" w:hAnsi="Arial" w:cs="Arial"/>
          <w:lang w:val="en-US"/>
        </w:rPr>
      </w:pPr>
    </w:p>
    <w:p w14:paraId="1FD49229" w14:textId="77777777" w:rsidR="00C105F6" w:rsidRDefault="00C105F6" w:rsidP="005B7805">
      <w:pPr>
        <w:spacing w:line="480" w:lineRule="auto"/>
        <w:jc w:val="both"/>
        <w:rPr>
          <w:rFonts w:ascii="Arial" w:hAnsi="Arial" w:cs="Arial"/>
          <w:lang w:val="en-US"/>
        </w:rPr>
      </w:pPr>
    </w:p>
    <w:p w14:paraId="1CB65A04" w14:textId="77777777" w:rsidR="00C105F6" w:rsidRDefault="00C105F6" w:rsidP="005B7805">
      <w:pPr>
        <w:spacing w:line="480" w:lineRule="auto"/>
        <w:jc w:val="both"/>
        <w:rPr>
          <w:rFonts w:ascii="Arial" w:hAnsi="Arial" w:cs="Arial"/>
          <w:lang w:val="en-US"/>
        </w:rPr>
      </w:pPr>
    </w:p>
    <w:p w14:paraId="3D97B7D8" w14:textId="77777777" w:rsidR="00C105F6" w:rsidRDefault="00C105F6" w:rsidP="005B7805">
      <w:pPr>
        <w:spacing w:line="480" w:lineRule="auto"/>
        <w:jc w:val="both"/>
        <w:rPr>
          <w:rFonts w:ascii="Arial" w:hAnsi="Arial" w:cs="Arial"/>
          <w:lang w:val="en-US"/>
        </w:rPr>
      </w:pPr>
    </w:p>
    <w:p w14:paraId="1743988E" w14:textId="77777777" w:rsidR="00C105F6" w:rsidRDefault="00C105F6" w:rsidP="005B7805">
      <w:pPr>
        <w:spacing w:line="480" w:lineRule="auto"/>
        <w:jc w:val="both"/>
        <w:rPr>
          <w:rFonts w:ascii="Arial" w:hAnsi="Arial" w:cs="Arial"/>
          <w:lang w:val="en-US"/>
        </w:rPr>
      </w:pPr>
    </w:p>
    <w:p w14:paraId="187D4140" w14:textId="77777777" w:rsidR="00C105F6" w:rsidRDefault="00C105F6" w:rsidP="005B7805">
      <w:pPr>
        <w:spacing w:line="480" w:lineRule="auto"/>
        <w:jc w:val="both"/>
        <w:rPr>
          <w:rFonts w:ascii="Arial" w:hAnsi="Arial" w:cs="Arial"/>
          <w:lang w:val="en-US"/>
        </w:rPr>
      </w:pPr>
    </w:p>
    <w:p w14:paraId="76A1E8FF" w14:textId="77777777" w:rsidR="00C105F6" w:rsidRDefault="00C105F6" w:rsidP="005B7805">
      <w:pPr>
        <w:spacing w:line="480" w:lineRule="auto"/>
        <w:jc w:val="both"/>
        <w:rPr>
          <w:rFonts w:ascii="Arial" w:hAnsi="Arial" w:cs="Arial"/>
          <w:lang w:val="en-US"/>
        </w:rPr>
      </w:pPr>
    </w:p>
    <w:p w14:paraId="5D707186" w14:textId="77777777" w:rsidR="00C105F6" w:rsidRDefault="00C105F6" w:rsidP="005B7805">
      <w:pPr>
        <w:spacing w:line="480" w:lineRule="auto"/>
        <w:jc w:val="both"/>
        <w:rPr>
          <w:rFonts w:ascii="Arial" w:hAnsi="Arial" w:cs="Arial"/>
          <w:lang w:val="en-US"/>
        </w:rPr>
      </w:pPr>
    </w:p>
    <w:p w14:paraId="0A548127" w14:textId="77777777" w:rsidR="00C105F6" w:rsidRDefault="00C105F6" w:rsidP="005B7805">
      <w:pPr>
        <w:spacing w:line="480" w:lineRule="auto"/>
        <w:jc w:val="both"/>
        <w:rPr>
          <w:rFonts w:ascii="Arial" w:hAnsi="Arial" w:cs="Arial"/>
          <w:lang w:val="en-US"/>
        </w:rPr>
      </w:pPr>
    </w:p>
    <w:p w14:paraId="4F595E5C" w14:textId="79CB556A" w:rsidR="002C48A6" w:rsidRDefault="002C48A6" w:rsidP="005B7805">
      <w:pPr>
        <w:spacing w:line="480" w:lineRule="auto"/>
        <w:jc w:val="both"/>
        <w:rPr>
          <w:rFonts w:ascii="Arial" w:hAnsi="Arial" w:cs="Arial"/>
          <w:lang w:val="en-US"/>
        </w:rPr>
      </w:pPr>
      <w:r>
        <w:rPr>
          <w:rFonts w:ascii="Arial" w:hAnsi="Arial" w:cs="Arial"/>
          <w:b/>
          <w:bCs/>
          <w:lang w:val="en-US"/>
        </w:rPr>
        <w:lastRenderedPageBreak/>
        <w:t>Therapeutic efficacy of</w:t>
      </w:r>
      <w:r w:rsidRPr="005B7805">
        <w:rPr>
          <w:rFonts w:ascii="Arial" w:hAnsi="Arial" w:cs="Arial"/>
          <w:b/>
          <w:bCs/>
          <w:lang w:val="en-US"/>
        </w:rPr>
        <w:t xml:space="preserve"> AM404</w:t>
      </w:r>
      <w:r>
        <w:rPr>
          <w:rFonts w:ascii="Arial" w:hAnsi="Arial" w:cs="Arial"/>
          <w:b/>
          <w:bCs/>
          <w:lang w:val="en-US"/>
        </w:rPr>
        <w:t xml:space="preserve"> in DS mice. </w:t>
      </w:r>
      <w:r w:rsidRPr="002C48A6">
        <w:rPr>
          <w:rFonts w:ascii="Arial" w:hAnsi="Arial" w:cs="Arial"/>
          <w:lang w:val="en-US"/>
        </w:rPr>
        <w:t>The therapeutic efficacy of free AM404 and a single AM404-μPL administration in Dp(16) mice was assessed via NOR and compared to vehicle.</w:t>
      </w:r>
    </w:p>
    <w:p w14:paraId="3D2F9AD0" w14:textId="77777777" w:rsidR="00B77EC9" w:rsidRPr="005B7805" w:rsidRDefault="00B77EC9" w:rsidP="00BE24D1">
      <w:pPr>
        <w:spacing w:line="480" w:lineRule="auto"/>
        <w:jc w:val="center"/>
        <w:rPr>
          <w:rFonts w:ascii="Arial" w:hAnsi="Arial" w:cs="Arial"/>
          <w:lang w:val="en-US"/>
        </w:rPr>
      </w:pPr>
      <w:r w:rsidRPr="005B7805">
        <w:rPr>
          <w:rFonts w:ascii="Arial" w:hAnsi="Arial" w:cs="Arial"/>
          <w:noProof/>
        </w:rPr>
        <w:drawing>
          <wp:inline distT="0" distB="0" distL="0" distR="0" wp14:anchorId="052AD344" wp14:editId="6AD64BCC">
            <wp:extent cx="2907036" cy="2866953"/>
            <wp:effectExtent l="0" t="0" r="7620" b="0"/>
            <wp:docPr id="3" name="Picture 2" descr="A graph of different colored squares&#10;&#10;AI-generated content may be incorrect.">
              <a:extLst xmlns:a="http://schemas.openxmlformats.org/drawingml/2006/main">
                <a:ext uri="{FF2B5EF4-FFF2-40B4-BE49-F238E27FC236}">
                  <a16:creationId xmlns:a16="http://schemas.microsoft.com/office/drawing/2014/main" id="{05D8397B-C31E-6EF2-AF81-0AA7C28F69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different colored squares&#10;&#10;AI-generated content may be incorrect.">
                      <a:extLst>
                        <a:ext uri="{FF2B5EF4-FFF2-40B4-BE49-F238E27FC236}">
                          <a16:creationId xmlns:a16="http://schemas.microsoft.com/office/drawing/2014/main" id="{05D8397B-C31E-6EF2-AF81-0AA7C28F6982}"/>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5099" t="3566" r="5038" b="41332"/>
                    <a:stretch/>
                  </pic:blipFill>
                  <pic:spPr bwMode="auto">
                    <a:xfrm>
                      <a:off x="0" y="0"/>
                      <a:ext cx="2914315" cy="2874131"/>
                    </a:xfrm>
                    <a:prstGeom prst="rect">
                      <a:avLst/>
                    </a:prstGeom>
                    <a:ln>
                      <a:noFill/>
                    </a:ln>
                    <a:extLst>
                      <a:ext uri="{53640926-AAD7-44D8-BBD7-CCE9431645EC}">
                        <a14:shadowObscured xmlns:a14="http://schemas.microsoft.com/office/drawing/2010/main"/>
                      </a:ext>
                    </a:extLst>
                  </pic:spPr>
                </pic:pic>
              </a:graphicData>
            </a:graphic>
          </wp:inline>
        </w:drawing>
      </w:r>
    </w:p>
    <w:p w14:paraId="7462A320" w14:textId="1CE43173" w:rsidR="00C3315A" w:rsidRPr="002C6ACF" w:rsidRDefault="00BE24D1" w:rsidP="002C6ACF">
      <w:pPr>
        <w:snapToGrid w:val="0"/>
        <w:spacing w:line="480" w:lineRule="auto"/>
        <w:jc w:val="both"/>
        <w:rPr>
          <w:rFonts w:ascii="Arial" w:hAnsi="Arial" w:cs="Arial"/>
          <w:b/>
          <w:bCs/>
          <w:lang w:val="en-US"/>
        </w:rPr>
      </w:pPr>
      <w:r>
        <w:rPr>
          <w:rFonts w:ascii="Arial" w:hAnsi="Arial" w:cs="Arial"/>
          <w:b/>
          <w:bCs/>
          <w:lang w:val="en-US"/>
        </w:rPr>
        <w:t xml:space="preserve">Supporting </w:t>
      </w:r>
      <w:r w:rsidR="00B77EC9" w:rsidRPr="005B7805">
        <w:rPr>
          <w:rFonts w:ascii="Arial" w:hAnsi="Arial" w:cs="Arial"/>
          <w:b/>
          <w:bCs/>
          <w:lang w:val="en-US"/>
        </w:rPr>
        <w:t xml:space="preserve">Figure </w:t>
      </w:r>
      <w:r w:rsidR="00083280" w:rsidRPr="005B7805">
        <w:rPr>
          <w:rFonts w:ascii="Arial" w:hAnsi="Arial" w:cs="Arial"/>
          <w:b/>
          <w:bCs/>
          <w:lang w:val="en-US"/>
        </w:rPr>
        <w:t>7</w:t>
      </w:r>
      <w:r w:rsidR="00B77EC9" w:rsidRPr="005B7805">
        <w:rPr>
          <w:rFonts w:ascii="Arial" w:hAnsi="Arial" w:cs="Arial"/>
          <w:b/>
          <w:bCs/>
          <w:lang w:val="en-US"/>
        </w:rPr>
        <w:t xml:space="preserve">. </w:t>
      </w:r>
      <w:r>
        <w:rPr>
          <w:rFonts w:ascii="Arial" w:hAnsi="Arial" w:cs="Arial"/>
          <w:b/>
          <w:bCs/>
          <w:lang w:val="en-US"/>
        </w:rPr>
        <w:t xml:space="preserve">Therapeutic efficacy </w:t>
      </w:r>
      <w:r w:rsidR="00E529E2" w:rsidRPr="005B7805">
        <w:rPr>
          <w:rFonts w:ascii="Arial" w:hAnsi="Arial" w:cs="Arial"/>
          <w:b/>
          <w:bCs/>
          <w:lang w:val="en-US"/>
        </w:rPr>
        <w:t>of vehicle</w:t>
      </w:r>
      <w:r>
        <w:rPr>
          <w:rFonts w:ascii="Arial" w:hAnsi="Arial" w:cs="Arial"/>
          <w:b/>
          <w:bCs/>
          <w:lang w:val="en-US"/>
        </w:rPr>
        <w:t xml:space="preserve">, </w:t>
      </w:r>
      <w:r w:rsidR="00E529E2" w:rsidRPr="005B7805">
        <w:rPr>
          <w:rFonts w:ascii="Arial" w:hAnsi="Arial" w:cs="Arial"/>
          <w:b/>
          <w:bCs/>
          <w:lang w:val="en-US"/>
        </w:rPr>
        <w:t>free AM404</w:t>
      </w:r>
      <w:r>
        <w:rPr>
          <w:rFonts w:ascii="Arial" w:hAnsi="Arial" w:cs="Arial"/>
          <w:b/>
          <w:bCs/>
          <w:lang w:val="en-US"/>
        </w:rPr>
        <w:t xml:space="preserve">, </w:t>
      </w:r>
      <w:r w:rsidR="00E529E2" w:rsidRPr="005B7805">
        <w:rPr>
          <w:rFonts w:ascii="Arial" w:hAnsi="Arial" w:cs="Arial"/>
          <w:b/>
          <w:bCs/>
          <w:lang w:val="en-US"/>
        </w:rPr>
        <w:t xml:space="preserve">and a single AM404-μPL </w:t>
      </w:r>
      <w:r w:rsidR="00F76CAC" w:rsidRPr="005B7805">
        <w:rPr>
          <w:rFonts w:ascii="Arial" w:hAnsi="Arial" w:cs="Arial"/>
          <w:b/>
          <w:bCs/>
          <w:lang w:val="en-US"/>
        </w:rPr>
        <w:t>administration</w:t>
      </w:r>
      <w:r w:rsidR="00F76CAC">
        <w:rPr>
          <w:rFonts w:ascii="Arial" w:hAnsi="Arial" w:cs="Arial"/>
          <w:b/>
          <w:bCs/>
          <w:lang w:val="en-US"/>
        </w:rPr>
        <w:t xml:space="preserve"> </w:t>
      </w:r>
      <w:r w:rsidR="00E529E2" w:rsidRPr="005B7805">
        <w:rPr>
          <w:rFonts w:ascii="Arial" w:hAnsi="Arial" w:cs="Arial"/>
          <w:b/>
          <w:bCs/>
          <w:lang w:val="en-US"/>
        </w:rPr>
        <w:t xml:space="preserve">in Dp(16) mice. </w:t>
      </w:r>
      <w:r w:rsidR="005710FC" w:rsidRPr="005B7805">
        <w:rPr>
          <w:rFonts w:ascii="Arial" w:hAnsi="Arial" w:cs="Arial"/>
          <w:lang w:val="en-US"/>
        </w:rPr>
        <w:t>Evaluation of three injections of free AM404 (1 mg/kg – AM 1 or 10 mg/kg – AM 10) or vehicle (VEH) at P20-P22 and a single injection of AM404-loaded μPL at P20 in Dp(16) mice. The discrimination index (DI), after performing NOR test at P22, was determined. Bars indicate the average DI of all analyzed mice ± SEM, while symbols represent individual data points for each animal (Unpaired t test: *</w:t>
      </w:r>
      <w:r w:rsidR="005710FC" w:rsidRPr="005B7805">
        <w:rPr>
          <w:rFonts w:ascii="Arial" w:hAnsi="Arial" w:cs="Arial"/>
          <w:i/>
          <w:iCs/>
          <w:lang w:val="en-US"/>
        </w:rPr>
        <w:t>p</w:t>
      </w:r>
      <w:r w:rsidR="005710FC" w:rsidRPr="005B7805">
        <w:rPr>
          <w:rFonts w:ascii="Arial" w:hAnsi="Arial" w:cs="Arial"/>
          <w:lang w:val="en-US"/>
        </w:rPr>
        <w:t>=0.0434 AM 10 vs. AM404-μPL).</w:t>
      </w:r>
    </w:p>
    <w:sectPr w:rsidR="00C3315A" w:rsidRPr="002C6ACF" w:rsidSect="00BA77BF">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346F3" w14:textId="77777777" w:rsidR="00B375E4" w:rsidRDefault="00B375E4" w:rsidP="0041721F">
      <w:r>
        <w:separator/>
      </w:r>
    </w:p>
  </w:endnote>
  <w:endnote w:type="continuationSeparator" w:id="0">
    <w:p w14:paraId="34C8E9F6" w14:textId="77777777" w:rsidR="00B375E4" w:rsidRDefault="00B375E4" w:rsidP="00417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TIX-Regular">
    <w:altName w:val="Yu Gothic"/>
    <w:charset w:val="80"/>
    <w:family w:val="roman"/>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3146693"/>
      <w:docPartObj>
        <w:docPartGallery w:val="Page Numbers (Bottom of Page)"/>
        <w:docPartUnique/>
      </w:docPartObj>
    </w:sdtPr>
    <w:sdtContent>
      <w:p w14:paraId="41E0E9DA" w14:textId="56288D03" w:rsidR="0041721F" w:rsidRDefault="0041721F" w:rsidP="00B064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A3181D" w14:textId="77777777" w:rsidR="0041721F" w:rsidRDefault="0041721F" w:rsidP="004172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7796193"/>
      <w:docPartObj>
        <w:docPartGallery w:val="Page Numbers (Bottom of Page)"/>
        <w:docPartUnique/>
      </w:docPartObj>
    </w:sdtPr>
    <w:sdtEndPr>
      <w:rPr>
        <w:rFonts w:ascii="Arial" w:hAnsi="Arial" w:cs="Arial"/>
        <w:sz w:val="20"/>
        <w:szCs w:val="20"/>
      </w:rPr>
    </w:sdtEndPr>
    <w:sdtContent>
      <w:sdt>
        <w:sdtPr>
          <w:id w:val="-1769616900"/>
          <w:docPartObj>
            <w:docPartGallery w:val="Page Numbers (Top of Page)"/>
            <w:docPartUnique/>
          </w:docPartObj>
        </w:sdtPr>
        <w:sdtEndPr>
          <w:rPr>
            <w:rFonts w:ascii="Arial" w:hAnsi="Arial" w:cs="Arial"/>
            <w:sz w:val="20"/>
            <w:szCs w:val="20"/>
          </w:rPr>
        </w:sdtEndPr>
        <w:sdtContent>
          <w:p w14:paraId="70505A3C" w14:textId="59B1C1E0" w:rsidR="002C6ACF" w:rsidRPr="002C6ACF" w:rsidRDefault="002C6ACF">
            <w:pPr>
              <w:pStyle w:val="Footer"/>
              <w:jc w:val="right"/>
              <w:rPr>
                <w:rFonts w:ascii="Arial" w:hAnsi="Arial" w:cs="Arial"/>
                <w:sz w:val="20"/>
                <w:szCs w:val="20"/>
              </w:rPr>
            </w:pPr>
            <w:r w:rsidRPr="002C6ACF">
              <w:rPr>
                <w:rFonts w:ascii="Arial" w:hAnsi="Arial" w:cs="Arial"/>
                <w:sz w:val="20"/>
                <w:szCs w:val="20"/>
              </w:rPr>
              <w:fldChar w:fldCharType="begin"/>
            </w:r>
            <w:r w:rsidRPr="002C6ACF">
              <w:rPr>
                <w:rFonts w:ascii="Arial" w:hAnsi="Arial" w:cs="Arial"/>
                <w:sz w:val="20"/>
                <w:szCs w:val="20"/>
              </w:rPr>
              <w:instrText xml:space="preserve"> PAGE </w:instrText>
            </w:r>
            <w:r w:rsidRPr="002C6ACF">
              <w:rPr>
                <w:rFonts w:ascii="Arial" w:hAnsi="Arial" w:cs="Arial"/>
                <w:sz w:val="20"/>
                <w:szCs w:val="20"/>
              </w:rPr>
              <w:fldChar w:fldCharType="separate"/>
            </w:r>
            <w:r w:rsidRPr="002C6ACF">
              <w:rPr>
                <w:rFonts w:ascii="Arial" w:hAnsi="Arial" w:cs="Arial"/>
                <w:noProof/>
                <w:sz w:val="20"/>
                <w:szCs w:val="20"/>
              </w:rPr>
              <w:t>2</w:t>
            </w:r>
            <w:r w:rsidRPr="002C6ACF">
              <w:rPr>
                <w:rFonts w:ascii="Arial" w:hAnsi="Arial" w:cs="Arial"/>
                <w:sz w:val="20"/>
                <w:szCs w:val="20"/>
              </w:rPr>
              <w:fldChar w:fldCharType="end"/>
            </w:r>
            <w:r w:rsidRPr="002C6ACF">
              <w:rPr>
                <w:rFonts w:ascii="Arial" w:hAnsi="Arial" w:cs="Arial"/>
                <w:sz w:val="20"/>
                <w:szCs w:val="20"/>
              </w:rPr>
              <w:t xml:space="preserve"> of </w:t>
            </w:r>
            <w:r w:rsidRPr="002C6ACF">
              <w:rPr>
                <w:rFonts w:ascii="Arial" w:hAnsi="Arial" w:cs="Arial"/>
                <w:b/>
                <w:bCs/>
                <w:sz w:val="20"/>
                <w:szCs w:val="20"/>
              </w:rPr>
              <w:fldChar w:fldCharType="begin"/>
            </w:r>
            <w:r w:rsidRPr="002C6ACF">
              <w:rPr>
                <w:rFonts w:ascii="Arial" w:hAnsi="Arial" w:cs="Arial"/>
                <w:b/>
                <w:bCs/>
                <w:sz w:val="20"/>
                <w:szCs w:val="20"/>
              </w:rPr>
              <w:instrText xml:space="preserve"> NUMPAGES  </w:instrText>
            </w:r>
            <w:r w:rsidRPr="002C6ACF">
              <w:rPr>
                <w:rFonts w:ascii="Arial" w:hAnsi="Arial" w:cs="Arial"/>
                <w:b/>
                <w:bCs/>
                <w:sz w:val="20"/>
                <w:szCs w:val="20"/>
              </w:rPr>
              <w:fldChar w:fldCharType="separate"/>
            </w:r>
            <w:r w:rsidRPr="002C6ACF">
              <w:rPr>
                <w:rFonts w:ascii="Arial" w:hAnsi="Arial" w:cs="Arial"/>
                <w:b/>
                <w:bCs/>
                <w:noProof/>
                <w:sz w:val="20"/>
                <w:szCs w:val="20"/>
              </w:rPr>
              <w:t>2</w:t>
            </w:r>
            <w:r w:rsidRPr="002C6ACF">
              <w:rPr>
                <w:rFonts w:ascii="Arial" w:hAnsi="Arial" w:cs="Arial"/>
                <w:b/>
                <w:bCs/>
                <w:sz w:val="20"/>
                <w:szCs w:val="20"/>
              </w:rPr>
              <w:fldChar w:fldCharType="end"/>
            </w:r>
          </w:p>
        </w:sdtContent>
      </w:sdt>
    </w:sdtContent>
  </w:sdt>
  <w:p w14:paraId="30BA8245" w14:textId="77777777" w:rsidR="0041721F" w:rsidRPr="002C6ACF" w:rsidRDefault="0041721F" w:rsidP="0041721F">
    <w:pPr>
      <w:pStyle w:val="Footer"/>
      <w:ind w:right="360"/>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F378D" w14:textId="77777777" w:rsidR="002C6ACF" w:rsidRDefault="002C6A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88CEE" w14:textId="77777777" w:rsidR="00B375E4" w:rsidRDefault="00B375E4" w:rsidP="0041721F">
      <w:r>
        <w:separator/>
      </w:r>
    </w:p>
  </w:footnote>
  <w:footnote w:type="continuationSeparator" w:id="0">
    <w:p w14:paraId="365D5B9C" w14:textId="77777777" w:rsidR="00B375E4" w:rsidRDefault="00B375E4" w:rsidP="004172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F155E" w14:textId="77777777" w:rsidR="002C6ACF" w:rsidRDefault="002C6A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3B2C" w14:textId="77777777" w:rsidR="002C6ACF" w:rsidRDefault="002C6A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86DFF" w14:textId="77777777" w:rsidR="002C6ACF" w:rsidRDefault="002C6A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180"/>
    <w:rsid w:val="0000299F"/>
    <w:rsid w:val="00022E90"/>
    <w:rsid w:val="00036FA1"/>
    <w:rsid w:val="00051651"/>
    <w:rsid w:val="0005193E"/>
    <w:rsid w:val="00052DE6"/>
    <w:rsid w:val="000731F9"/>
    <w:rsid w:val="00083280"/>
    <w:rsid w:val="000B7541"/>
    <w:rsid w:val="000E024A"/>
    <w:rsid w:val="00121320"/>
    <w:rsid w:val="00163043"/>
    <w:rsid w:val="001818DF"/>
    <w:rsid w:val="00194F25"/>
    <w:rsid w:val="001C7B88"/>
    <w:rsid w:val="002018E2"/>
    <w:rsid w:val="00276CE6"/>
    <w:rsid w:val="002836B7"/>
    <w:rsid w:val="002B6379"/>
    <w:rsid w:val="002C48A6"/>
    <w:rsid w:val="002C5414"/>
    <w:rsid w:val="002C6ACF"/>
    <w:rsid w:val="0035137B"/>
    <w:rsid w:val="0035408F"/>
    <w:rsid w:val="00374429"/>
    <w:rsid w:val="00382A3A"/>
    <w:rsid w:val="003959DE"/>
    <w:rsid w:val="003A11A8"/>
    <w:rsid w:val="003D20D2"/>
    <w:rsid w:val="003F16FB"/>
    <w:rsid w:val="0041721F"/>
    <w:rsid w:val="00447D1D"/>
    <w:rsid w:val="004A4CF8"/>
    <w:rsid w:val="00533B02"/>
    <w:rsid w:val="005710FC"/>
    <w:rsid w:val="00597FB2"/>
    <w:rsid w:val="005B7805"/>
    <w:rsid w:val="005C4E44"/>
    <w:rsid w:val="005D1273"/>
    <w:rsid w:val="005E28EF"/>
    <w:rsid w:val="00620505"/>
    <w:rsid w:val="006516A7"/>
    <w:rsid w:val="00664672"/>
    <w:rsid w:val="00685EB9"/>
    <w:rsid w:val="006D0343"/>
    <w:rsid w:val="006D358F"/>
    <w:rsid w:val="00706593"/>
    <w:rsid w:val="00720A97"/>
    <w:rsid w:val="0072331C"/>
    <w:rsid w:val="007400E9"/>
    <w:rsid w:val="00747622"/>
    <w:rsid w:val="0076450E"/>
    <w:rsid w:val="0076725E"/>
    <w:rsid w:val="007712EC"/>
    <w:rsid w:val="00772034"/>
    <w:rsid w:val="007A526B"/>
    <w:rsid w:val="007A55B9"/>
    <w:rsid w:val="007B73AC"/>
    <w:rsid w:val="007B7C6F"/>
    <w:rsid w:val="007E014F"/>
    <w:rsid w:val="00806961"/>
    <w:rsid w:val="00813173"/>
    <w:rsid w:val="00886D6C"/>
    <w:rsid w:val="008D1024"/>
    <w:rsid w:val="008D281A"/>
    <w:rsid w:val="00902808"/>
    <w:rsid w:val="0099010C"/>
    <w:rsid w:val="009E6837"/>
    <w:rsid w:val="00A01DAB"/>
    <w:rsid w:val="00A66096"/>
    <w:rsid w:val="00A67B9E"/>
    <w:rsid w:val="00A715E1"/>
    <w:rsid w:val="00A950B9"/>
    <w:rsid w:val="00AA3759"/>
    <w:rsid w:val="00AA4C12"/>
    <w:rsid w:val="00AB47D3"/>
    <w:rsid w:val="00AD3763"/>
    <w:rsid w:val="00B34637"/>
    <w:rsid w:val="00B375E4"/>
    <w:rsid w:val="00B77EC9"/>
    <w:rsid w:val="00BA58A8"/>
    <w:rsid w:val="00BA77BF"/>
    <w:rsid w:val="00BB204F"/>
    <w:rsid w:val="00BC054A"/>
    <w:rsid w:val="00BD388B"/>
    <w:rsid w:val="00BE24D1"/>
    <w:rsid w:val="00BE67E1"/>
    <w:rsid w:val="00C105F6"/>
    <w:rsid w:val="00C24659"/>
    <w:rsid w:val="00C3315A"/>
    <w:rsid w:val="00C343B5"/>
    <w:rsid w:val="00CA5372"/>
    <w:rsid w:val="00CC364A"/>
    <w:rsid w:val="00CD753B"/>
    <w:rsid w:val="00CF2189"/>
    <w:rsid w:val="00D01DCC"/>
    <w:rsid w:val="00D30D7F"/>
    <w:rsid w:val="00D56E65"/>
    <w:rsid w:val="00D623E1"/>
    <w:rsid w:val="00D9531C"/>
    <w:rsid w:val="00DE7F66"/>
    <w:rsid w:val="00DF6046"/>
    <w:rsid w:val="00DF7ACE"/>
    <w:rsid w:val="00E440FD"/>
    <w:rsid w:val="00E529E2"/>
    <w:rsid w:val="00E960A1"/>
    <w:rsid w:val="00F1069E"/>
    <w:rsid w:val="00F15726"/>
    <w:rsid w:val="00F22CFE"/>
    <w:rsid w:val="00F5181C"/>
    <w:rsid w:val="00F76180"/>
    <w:rsid w:val="00F76CAC"/>
    <w:rsid w:val="00F817AF"/>
    <w:rsid w:val="00F97BE9"/>
    <w:rsid w:val="00FA3B54"/>
    <w:rsid w:val="00FF3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305CB7"/>
  <w15:chartTrackingRefBased/>
  <w15:docId w15:val="{50E84A12-2686-5B4C-8733-C4E539C79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180"/>
    <w:rPr>
      <w:rFonts w:ascii="Times New Roman" w:eastAsia="MS Mincho" w:hAnsi="Times New Roman" w:cs="Times New Roman"/>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
    <w:name w:val="Table of contents"/>
    <w:basedOn w:val="Normal"/>
    <w:autoRedefine/>
    <w:rsid w:val="00F76180"/>
    <w:rPr>
      <w:lang w:val="en-US"/>
    </w:rPr>
  </w:style>
  <w:style w:type="paragraph" w:customStyle="1" w:styleId="Title2">
    <w:name w:val="Title2"/>
    <w:basedOn w:val="Normal"/>
    <w:rsid w:val="00F76180"/>
    <w:rPr>
      <w:b/>
      <w:lang w:val="en-US"/>
    </w:rPr>
  </w:style>
  <w:style w:type="character" w:styleId="Hyperlink">
    <w:name w:val="Hyperlink"/>
    <w:basedOn w:val="DefaultParagraphFont"/>
    <w:uiPriority w:val="99"/>
    <w:unhideWhenUsed/>
    <w:rsid w:val="00F76180"/>
    <w:rPr>
      <w:color w:val="0563C1" w:themeColor="hyperlink"/>
      <w:u w:val="single"/>
    </w:rPr>
  </w:style>
  <w:style w:type="character" w:styleId="UnresolvedMention">
    <w:name w:val="Unresolved Mention"/>
    <w:basedOn w:val="DefaultParagraphFont"/>
    <w:uiPriority w:val="99"/>
    <w:semiHidden/>
    <w:unhideWhenUsed/>
    <w:rsid w:val="00F76180"/>
    <w:rPr>
      <w:color w:val="605E5C"/>
      <w:shd w:val="clear" w:color="auto" w:fill="E1DFDD"/>
    </w:rPr>
  </w:style>
  <w:style w:type="paragraph" w:styleId="Footer">
    <w:name w:val="footer"/>
    <w:basedOn w:val="Normal"/>
    <w:link w:val="FooterChar"/>
    <w:uiPriority w:val="99"/>
    <w:unhideWhenUsed/>
    <w:rsid w:val="0041721F"/>
    <w:pPr>
      <w:tabs>
        <w:tab w:val="center" w:pos="4680"/>
        <w:tab w:val="right" w:pos="9360"/>
      </w:tabs>
    </w:pPr>
  </w:style>
  <w:style w:type="character" w:customStyle="1" w:styleId="FooterChar">
    <w:name w:val="Footer Char"/>
    <w:basedOn w:val="DefaultParagraphFont"/>
    <w:link w:val="Footer"/>
    <w:uiPriority w:val="99"/>
    <w:rsid w:val="0041721F"/>
    <w:rPr>
      <w:rFonts w:ascii="Times New Roman" w:eastAsia="MS Mincho" w:hAnsi="Times New Roman" w:cs="Times New Roman"/>
      <w:lang w:val="de-DE" w:eastAsia="ja-JP"/>
    </w:rPr>
  </w:style>
  <w:style w:type="character" w:styleId="PageNumber">
    <w:name w:val="page number"/>
    <w:basedOn w:val="DefaultParagraphFont"/>
    <w:uiPriority w:val="99"/>
    <w:semiHidden/>
    <w:unhideWhenUsed/>
    <w:rsid w:val="0041721F"/>
  </w:style>
  <w:style w:type="paragraph" w:customStyle="1" w:styleId="TableHead">
    <w:name w:val="TableHead"/>
    <w:basedOn w:val="Normal"/>
    <w:rsid w:val="001818DF"/>
    <w:pPr>
      <w:pBdr>
        <w:top w:val="single" w:sz="4" w:space="4" w:color="FFFFFF"/>
        <w:left w:val="single" w:sz="4" w:space="4" w:color="FFFFFF"/>
        <w:bottom w:val="single" w:sz="4" w:space="4" w:color="FFFFFF"/>
        <w:right w:val="single" w:sz="4" w:space="4" w:color="FFFFFF"/>
      </w:pBdr>
      <w:spacing w:line="190" w:lineRule="exact"/>
      <w:jc w:val="both"/>
    </w:pPr>
    <w:rPr>
      <w:rFonts w:ascii="Arial" w:hAnsi="Arial"/>
      <w:sz w:val="16"/>
      <w:szCs w:val="14"/>
      <w:lang w:val="en-GB"/>
    </w:rPr>
  </w:style>
  <w:style w:type="paragraph" w:customStyle="1" w:styleId="TableBody">
    <w:name w:val="TableBody"/>
    <w:basedOn w:val="TableHead"/>
    <w:rsid w:val="001818DF"/>
  </w:style>
  <w:style w:type="character" w:styleId="CommentReference">
    <w:name w:val="annotation reference"/>
    <w:basedOn w:val="DefaultParagraphFont"/>
    <w:uiPriority w:val="99"/>
    <w:semiHidden/>
    <w:unhideWhenUsed/>
    <w:rsid w:val="00B77EC9"/>
    <w:rPr>
      <w:sz w:val="16"/>
      <w:szCs w:val="16"/>
    </w:rPr>
  </w:style>
  <w:style w:type="paragraph" w:styleId="CommentText">
    <w:name w:val="annotation text"/>
    <w:basedOn w:val="Normal"/>
    <w:link w:val="CommentTextChar"/>
    <w:uiPriority w:val="99"/>
    <w:unhideWhenUsed/>
    <w:rsid w:val="00685EB9"/>
    <w:rPr>
      <w:rFonts w:ascii="Arial" w:hAnsi="Arial" w:cs="Arial"/>
      <w:sz w:val="20"/>
      <w:szCs w:val="20"/>
      <w:lang w:val="en" w:eastAsia="en-GB"/>
    </w:rPr>
  </w:style>
  <w:style w:type="character" w:customStyle="1" w:styleId="CommentTextChar">
    <w:name w:val="Comment Text Char"/>
    <w:basedOn w:val="DefaultParagraphFont"/>
    <w:link w:val="CommentText"/>
    <w:uiPriority w:val="99"/>
    <w:rsid w:val="00685EB9"/>
    <w:rPr>
      <w:rFonts w:ascii="Arial" w:eastAsia="MS Mincho" w:hAnsi="Arial" w:cs="Arial"/>
      <w:sz w:val="20"/>
      <w:szCs w:val="20"/>
      <w:lang w:val="en" w:eastAsia="en-GB"/>
    </w:rPr>
  </w:style>
  <w:style w:type="paragraph" w:styleId="NormalWeb">
    <w:name w:val="Normal (Web)"/>
    <w:basedOn w:val="Normal"/>
    <w:uiPriority w:val="99"/>
    <w:semiHidden/>
    <w:unhideWhenUsed/>
    <w:rsid w:val="006D0343"/>
    <w:pPr>
      <w:spacing w:before="100" w:beforeAutospacing="1" w:after="100" w:afterAutospacing="1"/>
    </w:pPr>
    <w:rPr>
      <w:rFonts w:eastAsia="Times New Roman"/>
      <w:lang w:val="en-GB" w:eastAsia="en-GB"/>
    </w:rPr>
  </w:style>
  <w:style w:type="paragraph" w:styleId="Header">
    <w:name w:val="header"/>
    <w:basedOn w:val="Normal"/>
    <w:link w:val="HeaderChar"/>
    <w:uiPriority w:val="99"/>
    <w:unhideWhenUsed/>
    <w:rsid w:val="002C6ACF"/>
    <w:pPr>
      <w:tabs>
        <w:tab w:val="center" w:pos="4680"/>
        <w:tab w:val="right" w:pos="9360"/>
      </w:tabs>
    </w:pPr>
  </w:style>
  <w:style w:type="character" w:customStyle="1" w:styleId="HeaderChar">
    <w:name w:val="Header Char"/>
    <w:basedOn w:val="DefaultParagraphFont"/>
    <w:link w:val="Header"/>
    <w:uiPriority w:val="99"/>
    <w:rsid w:val="002C6ACF"/>
    <w:rPr>
      <w:rFonts w:ascii="Times New Roman" w:eastAsia="MS Mincho" w:hAnsi="Times New Roman" w:cs="Times New Roman"/>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46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paolo.decuzzi@iit.it" TargetMode="Externa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BA302-6835-43FD-BD5D-E6046735E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1259</Words>
  <Characters>7869</Characters>
  <Application>Microsoft Office Word</Application>
  <DocSecurity>0</DocSecurity>
  <Lines>122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bellotti</dc:creator>
  <cp:keywords/>
  <dc:description/>
  <cp:lastModifiedBy>Paolo Decuzzi</cp:lastModifiedBy>
  <cp:revision>30</cp:revision>
  <cp:lastPrinted>2021-08-16T16:32:00Z</cp:lastPrinted>
  <dcterms:created xsi:type="dcterms:W3CDTF">2026-01-02T14:38:00Z</dcterms:created>
  <dcterms:modified xsi:type="dcterms:W3CDTF">2026-07-05T08:55:00Z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c48bcfc1ecd8f7e3d807a1cd0e59558d9fb9509b6833097dcf681fbf36440220</vt:lpwstr>
  </property>
</Properties>
</file>