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B77C2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 w:firstLine="3253" w:firstLineChars="135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b/>
          <w:bCs/>
          <w:sz w:val="24"/>
          <w:szCs w:val="24"/>
        </w:rPr>
        <w:t>Highlights</w:t>
      </w:r>
    </w:p>
    <w:p w14:paraId="0F24713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Scalable hydrothermal synthesis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binder-free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PAN@Sb–Ca–Ti oxides/MXene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electrodes with enhanced interfacial integration. </w:t>
      </w:r>
    </w:p>
    <w:p w14:paraId="50E8FA8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PAN-derived conductive scaffold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and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MXene 2D network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synergistically improve electron transport, structural stability, and ion diffusion. </w:t>
      </w:r>
    </w:p>
    <w:p w14:paraId="3C54F2F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High electrochemical performance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with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380.1 C g⁻¹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at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1 A g⁻¹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delivering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108 Wh kg⁻¹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energy density and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1000 W kg⁻¹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power density. </w:t>
      </w:r>
    </w:p>
    <w:p w14:paraId="0971B22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Outstanding durability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retaining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80% capacitance after 12,000 cycles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with </w:t>
      </w:r>
      <w:r>
        <w:rPr>
          <w:rStyle w:val="5"/>
          <w:rFonts w:hint="default" w:ascii="Times New Roman" w:hAnsi="Times New Roman" w:cs="Times New Roman"/>
          <w:b w:val="0"/>
          <w:bCs w:val="0"/>
          <w:sz w:val="24"/>
          <w:szCs w:val="24"/>
        </w:rPr>
        <w:t>94% coulombic efficiency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demonstrating promise for next-generation supercapacitors.</w:t>
      </w:r>
    </w:p>
    <w:p w14:paraId="14377201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3CB702"/>
    <w:multiLevelType w:val="multilevel"/>
    <w:tmpl w:val="513CB7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A1306"/>
    <w:rsid w:val="089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  <w:szCs w:val="24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2026-07-05T07:56:00Z</dcterms:created>
  <dc:creator>Fozia Shaheen</dc:creator>
  <cp:lastModifiedBy>Fozia Shaheen</cp:lastModifiedBy>
  <dcterms:modified xsi:type="dcterms:W3CDTF">2026-07-05T07:58:32Z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CD7634DC0BD44DE7BD1B1C34AAEEDD29_11</vt:lpwstr>
  </property>
  <property fmtid="{D5CDD505-2E9C-101B-9397-08002B2CF9AE}" pid="4" name="KSOTemplateDocerSaveRecord">
    <vt:lpwstr>eyJoZGlkIjoiNjNkNDRkZjQ4NmQ1MzI5MTFjMjg0NmMwODBiMThhZWUiLCJ1c2VySWQiOiI4ODEzNjI1NjA0MjY2In0=</vt:lpwstr>
  </property>
</Properties>
</file>