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900CED" w14:textId="77777777" w:rsidR="004914B1" w:rsidRDefault="004914B1" w:rsidP="004914B1">
      <w:pPr>
        <w:pStyle w:val="Heading2"/>
      </w:pPr>
      <w:r>
        <w:rPr>
          <w:rFonts w:ascii="Times New Roman" w:hAnsi="Times New Roman"/>
          <w:b/>
          <w:color w:val="000000"/>
        </w:rPr>
        <w:t>Supplementary Material</w:t>
      </w:r>
    </w:p>
    <w:p w14:paraId="754CA2DB" w14:textId="77777777" w:rsidR="004914B1" w:rsidRDefault="004914B1" w:rsidP="004914B1">
      <w:r>
        <w:rPr>
          <w:i/>
        </w:rPr>
        <w:t xml:space="preserve">Table S1. </w:t>
      </w:r>
      <w:r>
        <w:t>Community-level occupancy covariate effects from the single-season (2017) multi-species occupancy model (msPGOcc). Estimates are posterior means on the probit scale with 95% credible intervals (CrI); all covariates were standardised to zero mean and unit variance. No covariate had a credible interval excluding zero, either at the community level (below) or for any of the 16 individual species. The near-ceiling intercept indicates near-universal occupancy across the surveyed grid.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77"/>
        <w:gridCol w:w="2877"/>
        <w:gridCol w:w="2876"/>
      </w:tblGrid>
      <w:tr w:rsidR="004914B1" w14:paraId="5BD161C4" w14:textId="77777777" w:rsidTr="002C3348">
        <w:tc>
          <w:tcPr>
            <w:tcW w:w="2880" w:type="dxa"/>
          </w:tcPr>
          <w:p w14:paraId="1810A5B2" w14:textId="77777777" w:rsidR="004914B1" w:rsidRDefault="004914B1" w:rsidP="002C3348">
            <w:r w:rsidRPr="26A4BCD6">
              <w:rPr>
                <w:b/>
                <w:bCs/>
                <w:sz w:val="19"/>
                <w:szCs w:val="19"/>
              </w:rPr>
              <w:t>Parameter</w:t>
            </w:r>
          </w:p>
        </w:tc>
        <w:tc>
          <w:tcPr>
            <w:tcW w:w="2880" w:type="dxa"/>
          </w:tcPr>
          <w:p w14:paraId="51B15423" w14:textId="77777777" w:rsidR="004914B1" w:rsidRDefault="004914B1" w:rsidP="002C3348">
            <w:r w:rsidRPr="26A4BCD6">
              <w:rPr>
                <w:b/>
                <w:bCs/>
                <w:sz w:val="19"/>
                <w:szCs w:val="19"/>
              </w:rPr>
              <w:t>Posterior mean</w:t>
            </w:r>
          </w:p>
        </w:tc>
        <w:tc>
          <w:tcPr>
            <w:tcW w:w="2880" w:type="dxa"/>
          </w:tcPr>
          <w:p w14:paraId="1AF59E94" w14:textId="77777777" w:rsidR="004914B1" w:rsidRDefault="004914B1" w:rsidP="002C3348">
            <w:r w:rsidRPr="26A4BCD6">
              <w:rPr>
                <w:b/>
                <w:bCs/>
                <w:sz w:val="19"/>
                <w:szCs w:val="19"/>
              </w:rPr>
              <w:t>95% CrI</w:t>
            </w:r>
          </w:p>
        </w:tc>
      </w:tr>
      <w:tr w:rsidR="004914B1" w14:paraId="4B033AF0" w14:textId="77777777" w:rsidTr="002C3348">
        <w:tc>
          <w:tcPr>
            <w:tcW w:w="2880" w:type="dxa"/>
          </w:tcPr>
          <w:p w14:paraId="0AA0796B" w14:textId="77777777" w:rsidR="004914B1" w:rsidRDefault="004914B1" w:rsidP="002C3348">
            <w:r w:rsidRPr="26A4BCD6">
              <w:rPr>
                <w:sz w:val="19"/>
                <w:szCs w:val="19"/>
              </w:rPr>
              <w:t>Intercept</w:t>
            </w:r>
          </w:p>
        </w:tc>
        <w:tc>
          <w:tcPr>
            <w:tcW w:w="2880" w:type="dxa"/>
          </w:tcPr>
          <w:p w14:paraId="495EAFD9" w14:textId="77777777" w:rsidR="004914B1" w:rsidRDefault="004914B1" w:rsidP="002C3348">
            <w:r w:rsidRPr="26A4BCD6">
              <w:rPr>
                <w:sz w:val="19"/>
                <w:szCs w:val="19"/>
              </w:rPr>
              <w:t>8.12</w:t>
            </w:r>
          </w:p>
        </w:tc>
        <w:tc>
          <w:tcPr>
            <w:tcW w:w="2880" w:type="dxa"/>
          </w:tcPr>
          <w:p w14:paraId="508CF797" w14:textId="77777777" w:rsidR="004914B1" w:rsidRDefault="004914B1" w:rsidP="002C3348">
            <w:r w:rsidRPr="26A4BCD6">
              <w:rPr>
                <w:sz w:val="19"/>
                <w:szCs w:val="19"/>
              </w:rPr>
              <w:t>6.78 – 9.85</w:t>
            </w:r>
          </w:p>
        </w:tc>
      </w:tr>
      <w:tr w:rsidR="004914B1" w14:paraId="37C8A6D9" w14:textId="77777777" w:rsidTr="002C3348">
        <w:tc>
          <w:tcPr>
            <w:tcW w:w="2880" w:type="dxa"/>
          </w:tcPr>
          <w:p w14:paraId="55F8F648" w14:textId="77777777" w:rsidR="004914B1" w:rsidRDefault="004914B1" w:rsidP="002C3348">
            <w:r w:rsidRPr="26A4BCD6">
              <w:rPr>
                <w:sz w:val="19"/>
                <w:szCs w:val="19"/>
              </w:rPr>
              <w:t>Elevation</w:t>
            </w:r>
          </w:p>
        </w:tc>
        <w:tc>
          <w:tcPr>
            <w:tcW w:w="2880" w:type="dxa"/>
          </w:tcPr>
          <w:p w14:paraId="4B0D13FA" w14:textId="77777777" w:rsidR="004914B1" w:rsidRDefault="004914B1" w:rsidP="002C3348">
            <w:r w:rsidRPr="26A4BCD6">
              <w:rPr>
                <w:sz w:val="19"/>
                <w:szCs w:val="19"/>
              </w:rPr>
              <w:t>0.20</w:t>
            </w:r>
          </w:p>
        </w:tc>
        <w:tc>
          <w:tcPr>
            <w:tcW w:w="2880" w:type="dxa"/>
          </w:tcPr>
          <w:p w14:paraId="4FC44645" w14:textId="77777777" w:rsidR="004914B1" w:rsidRDefault="004914B1" w:rsidP="002C3348">
            <w:r w:rsidRPr="26A4BCD6">
              <w:rPr>
                <w:sz w:val="19"/>
                <w:szCs w:val="19"/>
              </w:rPr>
              <w:t>−1.34 – 1.55</w:t>
            </w:r>
          </w:p>
        </w:tc>
      </w:tr>
      <w:tr w:rsidR="004914B1" w14:paraId="32A68F5E" w14:textId="77777777" w:rsidTr="002C3348">
        <w:tc>
          <w:tcPr>
            <w:tcW w:w="2880" w:type="dxa"/>
          </w:tcPr>
          <w:p w14:paraId="27B5AE3F" w14:textId="77777777" w:rsidR="004914B1" w:rsidRDefault="004914B1" w:rsidP="002C3348">
            <w:r w:rsidRPr="26A4BCD6">
              <w:rPr>
                <w:sz w:val="19"/>
                <w:szCs w:val="19"/>
              </w:rPr>
              <w:t>Human pressure</w:t>
            </w:r>
          </w:p>
        </w:tc>
        <w:tc>
          <w:tcPr>
            <w:tcW w:w="2880" w:type="dxa"/>
          </w:tcPr>
          <w:p w14:paraId="7FEA7170" w14:textId="77777777" w:rsidR="004914B1" w:rsidRDefault="004914B1" w:rsidP="002C3348">
            <w:r w:rsidRPr="26A4BCD6">
              <w:rPr>
                <w:sz w:val="19"/>
                <w:szCs w:val="19"/>
              </w:rPr>
              <w:t>1.19</w:t>
            </w:r>
          </w:p>
        </w:tc>
        <w:tc>
          <w:tcPr>
            <w:tcW w:w="2880" w:type="dxa"/>
          </w:tcPr>
          <w:p w14:paraId="600ECB9F" w14:textId="77777777" w:rsidR="004914B1" w:rsidRDefault="004914B1" w:rsidP="002C3348">
            <w:r w:rsidRPr="26A4BCD6">
              <w:rPr>
                <w:sz w:val="19"/>
                <w:szCs w:val="19"/>
              </w:rPr>
              <w:t>−0.06 – 3.09</w:t>
            </w:r>
          </w:p>
        </w:tc>
      </w:tr>
      <w:tr w:rsidR="004914B1" w14:paraId="43AB49A3" w14:textId="77777777" w:rsidTr="002C3348">
        <w:tc>
          <w:tcPr>
            <w:tcW w:w="2880" w:type="dxa"/>
          </w:tcPr>
          <w:p w14:paraId="3AD6E59C" w14:textId="77777777" w:rsidR="004914B1" w:rsidRDefault="004914B1" w:rsidP="002C3348">
            <w:r w:rsidRPr="26A4BCD6">
              <w:rPr>
                <w:sz w:val="19"/>
                <w:szCs w:val="19"/>
              </w:rPr>
              <w:t>Forest cover (2000)</w:t>
            </w:r>
          </w:p>
        </w:tc>
        <w:tc>
          <w:tcPr>
            <w:tcW w:w="2880" w:type="dxa"/>
          </w:tcPr>
          <w:p w14:paraId="6133710E" w14:textId="77777777" w:rsidR="004914B1" w:rsidRDefault="004914B1" w:rsidP="002C3348">
            <w:r w:rsidRPr="26A4BCD6">
              <w:rPr>
                <w:sz w:val="19"/>
                <w:szCs w:val="19"/>
              </w:rPr>
              <w:t>0.15</w:t>
            </w:r>
          </w:p>
        </w:tc>
        <w:tc>
          <w:tcPr>
            <w:tcW w:w="2880" w:type="dxa"/>
          </w:tcPr>
          <w:p w14:paraId="0D8508B2" w14:textId="77777777" w:rsidR="004914B1" w:rsidRDefault="004914B1" w:rsidP="002C3348">
            <w:r w:rsidRPr="26A4BCD6">
              <w:rPr>
                <w:sz w:val="19"/>
                <w:szCs w:val="19"/>
              </w:rPr>
              <w:t>−1.57 – 1.61</w:t>
            </w:r>
          </w:p>
        </w:tc>
      </w:tr>
    </w:tbl>
    <w:p w14:paraId="1D34DC2A" w14:textId="77777777" w:rsidR="004914B1" w:rsidRDefault="004914B1" w:rsidP="004914B1"/>
    <w:p w14:paraId="0FEF0AF5" w14:textId="77777777" w:rsidR="004914B1" w:rsidRDefault="004914B1" w:rsidP="004914B1">
      <w:pPr>
        <w:pStyle w:val="Heading3"/>
      </w:pPr>
      <w:r>
        <w:rPr>
          <w:rFonts w:ascii="Times New Roman" w:hAnsi="Times New Roman"/>
          <w:b/>
          <w:color w:val="000000"/>
        </w:rPr>
        <w:t>Appendix A. Model specifications</w:t>
      </w:r>
    </w:p>
    <w:p w14:paraId="6084085B" w14:textId="77777777" w:rsidR="004914B1" w:rsidRDefault="004914B1" w:rsidP="004914B1">
      <w:r>
        <w:t>Contemporary distribution (community occupancy). Fitted with msPGOcc (spOccupancy) as a single-season multi-species occupancy model. Within-grid respondents were retained as detection replicates; the detection sub-model was ~ certainty (respondent-reported certain/uncertain) and the occupancy sub-model was ~ elevation + human pressure + forest cover (2000), all standardised. Species-level parameters were drawn from community-level normal hyperpriors (means ~ Normal(0, 2.72² on the probit scale); between-species variances ~ Inverse-Gamma(0.1, 0.1)). Estimation used three chains of 10,000 iterations, 5,000 burn-in, thinning by 5.</w:t>
      </w:r>
    </w:p>
    <w:p w14:paraId="44418378" w14:textId="77777777" w:rsidR="004914B1" w:rsidRDefault="004914B1" w:rsidP="004914B1">
      <w:r>
        <w:t>Reporting-frequency change (GLMM). For each species, respondent-level reported presence (0/1) was modelled as ~ period + (1 | grid cell) + (1 | respondent) with a binomial error and logit link, fitted by maximum likelihood in lme4 (bobyqa optimiser). Period was coded 0 = 1998 recall, 1 = 2017. The crossed random intercepts absorb non-independence among respondents sharing a grid cell and between the two reports contributed by each respondent. A negative, significant period coefficient denotes a decline in the fraction of respondents reporting the species.</w:t>
      </w:r>
    </w:p>
    <w:p w14:paraId="205D6877" w14:textId="77777777" w:rsidR="004914B1" w:rsidRDefault="004914B1" w:rsidP="004914B1">
      <w:r>
        <w:t>Perceived trend. Among respondents who expressed a trend for a species, the proportion reporting decline was summarised with an exact (Clopper–Pearson) binomial 95% confidence interval. This measure is independent of the presence records used for the reporting-frequency model.</w:t>
      </w:r>
    </w:p>
    <w:p w14:paraId="3A7D56DA" w14:textId="77777777" w:rsidR="004914B1" w:rsidRDefault="004914B1" w:rsidP="004914B1">
      <w:r>
        <w:lastRenderedPageBreak/>
        <w:t>Convergence classification. Strong = both a significant reporting-frequency decline (period coefficient &lt; 0, p &lt; 0.05) and ≥ 60% of ≥ 20 respondents perceiving decline; moderate = one criterion met; none = neither. Analyses were conducted in R v4.4.</w:t>
      </w:r>
    </w:p>
    <w:p w14:paraId="0FC09CB8" w14:textId="77777777" w:rsidR="00EB4A2D" w:rsidRDefault="00EB4A2D"/>
    <w:sectPr w:rsidR="00EB4A2D" w:rsidSect="004914B1">
      <w:pgSz w:w="12240" w:h="15840"/>
      <w:pgMar w:top="1440" w:right="1800" w:bottom="1440" w:left="1800" w:header="720" w:footer="720" w:gutter="0"/>
      <w:lnNumType w:countBy="1" w:restart="continuous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4B1"/>
    <w:rsid w:val="001D3053"/>
    <w:rsid w:val="001E3A92"/>
    <w:rsid w:val="00217E67"/>
    <w:rsid w:val="002C7D54"/>
    <w:rsid w:val="0033371E"/>
    <w:rsid w:val="004914B1"/>
    <w:rsid w:val="005C0D39"/>
    <w:rsid w:val="00607339"/>
    <w:rsid w:val="0070406C"/>
    <w:rsid w:val="00724754"/>
    <w:rsid w:val="007B36B1"/>
    <w:rsid w:val="00C321FA"/>
    <w:rsid w:val="00C97210"/>
    <w:rsid w:val="00EB4A2D"/>
    <w:rsid w:val="00EE513F"/>
    <w:rsid w:val="00FC5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B79CD7"/>
  <w15:chartTrackingRefBased/>
  <w15:docId w15:val="{B2D9F563-2B00-4855-9240-B9103AC6A9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14B1"/>
    <w:pPr>
      <w:spacing w:after="200" w:line="276" w:lineRule="auto"/>
    </w:pPr>
    <w:rPr>
      <w:rFonts w:ascii="Times New Roman" w:eastAsia="Times New Roman" w:hAnsi="Times New Roman"/>
      <w:kern w:val="0"/>
      <w:lang w:val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914B1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IN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914B1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IN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914B1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IN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914B1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val="en-IN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914B1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val="en-IN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914B1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n-IN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914B1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n-IN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914B1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n-IN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914B1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n-IN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914B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4914B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4914B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914B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914B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914B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914B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914B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914B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914B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4914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914B1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IN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4914B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914B1"/>
    <w:pPr>
      <w:spacing w:before="160" w:after="160" w:line="278" w:lineRule="auto"/>
      <w:jc w:val="center"/>
    </w:pPr>
    <w:rPr>
      <w:rFonts w:asciiTheme="minorHAnsi" w:eastAsiaTheme="minorHAnsi" w:hAnsiTheme="minorHAnsi"/>
      <w:i/>
      <w:iCs/>
      <w:color w:val="404040" w:themeColor="text1" w:themeTint="BF"/>
      <w:kern w:val="2"/>
      <w:lang w:val="en-IN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4914B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914B1"/>
    <w:pPr>
      <w:spacing w:after="160" w:line="278" w:lineRule="auto"/>
      <w:ind w:left="720"/>
      <w:contextualSpacing/>
    </w:pPr>
    <w:rPr>
      <w:rFonts w:asciiTheme="minorHAnsi" w:eastAsiaTheme="minorHAnsi" w:hAnsiTheme="minorHAnsi"/>
      <w:kern w:val="2"/>
      <w:lang w:val="en-IN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4914B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914B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/>
      <w:i/>
      <w:iCs/>
      <w:color w:val="0F4761" w:themeColor="accent1" w:themeShade="BF"/>
      <w:kern w:val="2"/>
      <w:lang w:val="en-IN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914B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914B1"/>
    <w:rPr>
      <w:b/>
      <w:bCs/>
      <w:smallCaps/>
      <w:color w:val="0F4761" w:themeColor="accent1" w:themeShade="BF"/>
      <w:spacing w:val="5"/>
    </w:rPr>
  </w:style>
  <w:style w:type="character" w:styleId="LineNumber">
    <w:name w:val="line number"/>
    <w:basedOn w:val="DefaultParagraphFont"/>
    <w:uiPriority w:val="99"/>
    <w:semiHidden/>
    <w:unhideWhenUsed/>
    <w:rsid w:val="004914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364</Words>
  <Characters>2079</Characters>
  <Application>Microsoft Office Word</Application>
  <DocSecurity>0</DocSecurity>
  <Lines>17</Lines>
  <Paragraphs>4</Paragraphs>
  <ScaleCrop>false</ScaleCrop>
  <Company/>
  <LinksUpToDate>false</LinksUpToDate>
  <CharactersWithSpaces>2439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Pradeep Gaikwad</dc:creator>
  <cp:keywords/>
  <dc:description/>
  <cp:lastModifiedBy>Pradeep Gaikwad</cp:lastModifiedBy>
  <cp:revision>1</cp:revision>
  <dcterms:created xsi:type="dcterms:W3CDTF">2026-07-27T06:56:00Z</dcterms:created>
  <dcterms:modified xsi:type="dcterms:W3CDTF">2026-07-27T06:56:00Z</dcterms:modified>
</cp:coreProperties>
</file>