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6628C" w14:textId="14A0510D" w:rsidR="00357DE7" w:rsidRPr="00AF5F4A" w:rsidRDefault="00C441B0" w:rsidP="00730803">
      <w:pPr>
        <w:spacing w:line="276" w:lineRule="auto"/>
      </w:pPr>
      <w:r>
        <w:rPr>
          <w:noProof/>
        </w:rPr>
        <w:drawing>
          <wp:inline distT="0" distB="0" distL="0" distR="0" wp14:anchorId="731D94FC" wp14:editId="74CC5723">
            <wp:extent cx="5273675" cy="5486400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0ACB8" w14:textId="580880FF" w:rsidR="00357DE7" w:rsidRPr="00B2742E" w:rsidRDefault="00357DE7" w:rsidP="00B2742E">
      <w:pPr>
        <w:spacing w:line="276" w:lineRule="auto"/>
        <w:rPr>
          <w:b/>
          <w:bCs/>
        </w:rPr>
      </w:pPr>
      <w:r w:rsidRPr="00AF5F4A">
        <w:rPr>
          <w:b/>
          <w:bCs/>
        </w:rPr>
        <w:t>Supplementary Figure 1. Supplementary physiological, behavioral and safety-related assessments in middle-aged alcohol-fed mice.</w:t>
      </w:r>
      <w:r>
        <w:rPr>
          <w:rFonts w:hint="eastAsia"/>
          <w:b/>
          <w:bCs/>
        </w:rPr>
        <w:t xml:space="preserve"> </w:t>
      </w:r>
      <w:r w:rsidRPr="00AF5F4A">
        <w:rPr>
          <w:b/>
          <w:bCs/>
        </w:rPr>
        <w:t>(A,B)</w:t>
      </w:r>
      <w:r w:rsidRPr="00AF5F4A">
        <w:t xml:space="preserve"> Dynamic monitoring of body weight </w:t>
      </w:r>
      <w:r w:rsidRPr="00AF5F4A">
        <w:rPr>
          <w:b/>
          <w:bCs/>
        </w:rPr>
        <w:t>(A)</w:t>
      </w:r>
      <w:r w:rsidRPr="00AF5F4A">
        <w:t xml:space="preserve"> and food intake </w:t>
      </w:r>
      <w:r w:rsidRPr="00AF5F4A">
        <w:rPr>
          <w:b/>
          <w:bCs/>
        </w:rPr>
        <w:t>(B)</w:t>
      </w:r>
      <w:r w:rsidRPr="00AF5F4A">
        <w:t xml:space="preserve"> during the experimental period.</w:t>
      </w:r>
      <w:r>
        <w:rPr>
          <w:rFonts w:hint="eastAsia"/>
        </w:rPr>
        <w:t xml:space="preserve"> </w:t>
      </w:r>
      <w:r w:rsidRPr="00AF5F4A">
        <w:rPr>
          <w:b/>
          <w:bCs/>
        </w:rPr>
        <w:t>(</w:t>
      </w:r>
      <w:r w:rsidR="003C0EE6">
        <w:rPr>
          <w:rFonts w:hint="eastAsia"/>
          <w:b/>
          <w:bCs/>
        </w:rPr>
        <w:t>C</w:t>
      </w:r>
      <w:r w:rsidRPr="00AF5F4A">
        <w:rPr>
          <w:b/>
          <w:bCs/>
        </w:rPr>
        <w:t>)</w:t>
      </w:r>
      <w:r w:rsidRPr="00AF5F4A">
        <w:t xml:space="preserve"> Representative H&amp;E staining images of kidney sections across groups to evaluate potential systemic toxicity. Scale bars are indicated in the images. </w:t>
      </w:r>
      <w:r w:rsidR="003C0EE6" w:rsidRPr="00AF5F4A">
        <w:rPr>
          <w:b/>
          <w:bCs/>
        </w:rPr>
        <w:t>(</w:t>
      </w:r>
      <w:r w:rsidR="003C0EE6">
        <w:rPr>
          <w:rFonts w:hint="eastAsia"/>
          <w:b/>
          <w:bCs/>
        </w:rPr>
        <w:t>D</w:t>
      </w:r>
      <w:r w:rsidR="003C0EE6" w:rsidRPr="00AF5F4A">
        <w:rPr>
          <w:b/>
          <w:bCs/>
        </w:rPr>
        <w:t>)</w:t>
      </w:r>
      <w:r w:rsidR="003C0EE6" w:rsidRPr="00AF5F4A">
        <w:t xml:space="preserve"> Spleen/body weight ratio at the endpoint.</w:t>
      </w:r>
      <w:r w:rsidR="003C0EE6">
        <w:rPr>
          <w:rFonts w:hint="eastAsia"/>
        </w:rPr>
        <w:t xml:space="preserve"> </w:t>
      </w:r>
      <w:r w:rsidR="003C0EE6" w:rsidRPr="00AF5F4A">
        <w:rPr>
          <w:b/>
          <w:bCs/>
        </w:rPr>
        <w:t>(</w:t>
      </w:r>
      <w:r w:rsidR="003C0EE6">
        <w:rPr>
          <w:rFonts w:hint="eastAsia"/>
          <w:b/>
          <w:bCs/>
        </w:rPr>
        <w:t>E</w:t>
      </w:r>
      <w:r w:rsidR="003C0EE6" w:rsidRPr="00AF5F4A">
        <w:rPr>
          <w:b/>
          <w:bCs/>
        </w:rPr>
        <w:t>,</w:t>
      </w:r>
      <w:r w:rsidR="003C0EE6">
        <w:rPr>
          <w:rFonts w:hint="eastAsia"/>
          <w:b/>
          <w:bCs/>
        </w:rPr>
        <w:t>F</w:t>
      </w:r>
      <w:r w:rsidR="003C0EE6" w:rsidRPr="00AF5F4A">
        <w:rPr>
          <w:b/>
          <w:bCs/>
        </w:rPr>
        <w:t>)</w:t>
      </w:r>
      <w:r w:rsidR="003C0EE6" w:rsidRPr="00AF5F4A">
        <w:t xml:space="preserve"> Assessment of physical performance and locomotor activity, including grip strength </w:t>
      </w:r>
      <w:r w:rsidR="003C0EE6" w:rsidRPr="00AF5F4A">
        <w:rPr>
          <w:b/>
          <w:bCs/>
        </w:rPr>
        <w:t>(</w:t>
      </w:r>
      <w:r w:rsidR="003C0EE6">
        <w:rPr>
          <w:rFonts w:hint="eastAsia"/>
          <w:b/>
          <w:bCs/>
        </w:rPr>
        <w:t>E</w:t>
      </w:r>
      <w:r w:rsidR="003C0EE6" w:rsidRPr="00AF5F4A">
        <w:rPr>
          <w:b/>
          <w:bCs/>
        </w:rPr>
        <w:t>)</w:t>
      </w:r>
      <w:r w:rsidR="003C0EE6" w:rsidRPr="00AF5F4A">
        <w:t xml:space="preserve"> and total distance in the open-field test </w:t>
      </w:r>
      <w:r w:rsidR="003C0EE6" w:rsidRPr="00AF5F4A">
        <w:rPr>
          <w:b/>
          <w:bCs/>
        </w:rPr>
        <w:t>(</w:t>
      </w:r>
      <w:r w:rsidR="003C0EE6">
        <w:rPr>
          <w:rFonts w:hint="eastAsia"/>
          <w:b/>
          <w:bCs/>
        </w:rPr>
        <w:t>F</w:t>
      </w:r>
      <w:r w:rsidR="003C0EE6" w:rsidRPr="00AF5F4A">
        <w:rPr>
          <w:b/>
          <w:bCs/>
        </w:rPr>
        <w:t>)</w:t>
      </w:r>
      <w:r w:rsidR="003C0EE6" w:rsidRPr="00AF5F4A">
        <w:t>.</w:t>
      </w:r>
      <w:r w:rsidR="003C0EE6">
        <w:rPr>
          <w:rFonts w:hint="eastAsia"/>
        </w:rPr>
        <w:t xml:space="preserve"> </w:t>
      </w:r>
      <w:r w:rsidRPr="00AF5F4A">
        <w:t>Data are presented as mean ± SEM. Statistical significance was evaluated using one-way ANOVA followed by the Bonferroni post hoc test for selected comparisons.</w:t>
      </w:r>
      <w:r w:rsidR="00B2742E" w:rsidRPr="00B2742E">
        <w:t xml:space="preserve"> </w:t>
      </w:r>
    </w:p>
    <w:p w14:paraId="343FE36C" w14:textId="50230130" w:rsidR="00357DE7" w:rsidRDefault="00B22CA4" w:rsidP="00357DE7">
      <w:pPr>
        <w:spacing w:line="276" w:lineRule="auto"/>
      </w:pPr>
      <w:r>
        <w:rPr>
          <w:noProof/>
        </w:rPr>
        <w:lastRenderedPageBreak/>
        <w:drawing>
          <wp:inline distT="0" distB="0" distL="0" distR="0" wp14:anchorId="024971A7" wp14:editId="30E07B02">
            <wp:extent cx="5274945" cy="4653915"/>
            <wp:effectExtent l="0" t="0" r="190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465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8DD03" w14:textId="63FAE45E" w:rsidR="00357DE7" w:rsidRDefault="00357DE7" w:rsidP="003D24D7">
      <w:pPr>
        <w:spacing w:line="276" w:lineRule="auto"/>
      </w:pPr>
      <w:bookmarkStart w:id="0" w:name="OLE_LINK3"/>
      <w:r w:rsidRPr="00847D91">
        <w:rPr>
          <w:b/>
          <w:bCs/>
        </w:rPr>
        <w:t xml:space="preserve">Supplementary Figure 2. Global hepatic transcriptomic landscape and shared recovery of protein translation. </w:t>
      </w:r>
      <w:r w:rsidRPr="00CB5705">
        <w:rPr>
          <w:b/>
          <w:bCs/>
        </w:rPr>
        <w:t>(A)</w:t>
      </w:r>
      <w:r w:rsidRPr="00816272">
        <w:t xml:space="preserve"> Principal component analysis (PCA) plot of liver transcriptomes across Control, DHM, EtOH, </w:t>
      </w:r>
      <w:proofErr w:type="spellStart"/>
      <w:r w:rsidRPr="00816272">
        <w:t>EtOH+Silybin</w:t>
      </w:r>
      <w:proofErr w:type="spellEnd"/>
      <w:r w:rsidRPr="00816272">
        <w:t xml:space="preserve"> and </w:t>
      </w:r>
      <w:proofErr w:type="spellStart"/>
      <w:r w:rsidRPr="00816272">
        <w:t>EtOH+DHM</w:t>
      </w:r>
      <w:proofErr w:type="spellEnd"/>
      <w:r w:rsidRPr="00816272">
        <w:t xml:space="preserve"> groups. </w:t>
      </w:r>
      <w:r w:rsidRPr="00CB5705">
        <w:rPr>
          <w:b/>
          <w:bCs/>
        </w:rPr>
        <w:t>(B</w:t>
      </w:r>
      <w:bookmarkStart w:id="1" w:name="OLE_LINK1"/>
      <w:r w:rsidR="00B2742E" w:rsidRPr="00CB5705">
        <w:rPr>
          <w:b/>
          <w:bCs/>
        </w:rPr>
        <w:t>–</w:t>
      </w:r>
      <w:bookmarkEnd w:id="1"/>
      <w:r w:rsidRPr="00CB5705">
        <w:rPr>
          <w:b/>
          <w:bCs/>
        </w:rPr>
        <w:t>D)</w:t>
      </w:r>
      <w:r w:rsidRPr="00816272">
        <w:t xml:space="preserve"> Volcano plots showing DEGs for EtOH vs. Control </w:t>
      </w:r>
      <w:r w:rsidRPr="00CB5705">
        <w:rPr>
          <w:b/>
          <w:bCs/>
        </w:rPr>
        <w:t>(B)</w:t>
      </w:r>
      <w:r w:rsidRPr="00816272">
        <w:t xml:space="preserve">, </w:t>
      </w:r>
      <w:proofErr w:type="spellStart"/>
      <w:r w:rsidRPr="00816272">
        <w:t>EtOH+DHM</w:t>
      </w:r>
      <w:proofErr w:type="spellEnd"/>
      <w:r w:rsidRPr="00816272">
        <w:t xml:space="preserve"> vs. EtOH </w:t>
      </w:r>
      <w:r w:rsidRPr="00CB5705">
        <w:rPr>
          <w:b/>
          <w:bCs/>
        </w:rPr>
        <w:t>(C)</w:t>
      </w:r>
      <w:r w:rsidRPr="00816272">
        <w:t xml:space="preserve"> and </w:t>
      </w:r>
      <w:proofErr w:type="spellStart"/>
      <w:r w:rsidRPr="00816272">
        <w:t>EtOH+Silybin</w:t>
      </w:r>
      <w:proofErr w:type="spellEnd"/>
      <w:r w:rsidRPr="00816272">
        <w:t xml:space="preserve"> vs. EtOH </w:t>
      </w:r>
      <w:r w:rsidRPr="00CB5705">
        <w:rPr>
          <w:b/>
          <w:bCs/>
        </w:rPr>
        <w:t>(D)</w:t>
      </w:r>
      <w:r w:rsidRPr="00816272">
        <w:t xml:space="preserve">. Numbers of upregulated (red) and downregulated (blue) genes are indicated. </w:t>
      </w:r>
      <w:r w:rsidRPr="00CB5705">
        <w:rPr>
          <w:b/>
          <w:bCs/>
        </w:rPr>
        <w:t>(E)</w:t>
      </w:r>
      <w:r w:rsidRPr="00816272">
        <w:t xml:space="preserve"> Hierarchical clustering heatmap of top DEGs across all experimental groups, showing global expression patterns. </w:t>
      </w:r>
      <w:r w:rsidRPr="00CB5705">
        <w:rPr>
          <w:b/>
          <w:bCs/>
        </w:rPr>
        <w:t>(F</w:t>
      </w:r>
      <w:r w:rsidR="00B2742E" w:rsidRPr="00CB5705">
        <w:rPr>
          <w:b/>
          <w:bCs/>
        </w:rPr>
        <w:t>–</w:t>
      </w:r>
      <w:r w:rsidRPr="00CB5705">
        <w:rPr>
          <w:b/>
          <w:bCs/>
        </w:rPr>
        <w:t>H)</w:t>
      </w:r>
      <w:r w:rsidRPr="00816272">
        <w:t xml:space="preserve"> </w:t>
      </w:r>
      <w:r w:rsidR="00BD25B7" w:rsidRPr="00BD25B7">
        <w:t xml:space="preserve">GSEA plots highlighting ribosome-related pathway changes. Alcohol exposure was associated with negative enrichment of the ribosome pathway </w:t>
      </w:r>
      <w:r w:rsidR="00BD25B7" w:rsidRPr="00BD25B7">
        <w:rPr>
          <w:b/>
          <w:bCs/>
        </w:rPr>
        <w:t>(F)</w:t>
      </w:r>
      <w:r w:rsidR="00BD25B7" w:rsidRPr="00BD25B7">
        <w:t xml:space="preserve">, whereas DHM </w:t>
      </w:r>
      <w:r w:rsidR="00BD25B7" w:rsidRPr="00BD25B7">
        <w:rPr>
          <w:b/>
          <w:bCs/>
        </w:rPr>
        <w:t>(G)</w:t>
      </w:r>
      <w:r w:rsidR="00BD25B7" w:rsidRPr="00BD25B7">
        <w:t xml:space="preserve"> and Silybin </w:t>
      </w:r>
      <w:r w:rsidR="00BD25B7" w:rsidRPr="00BD25B7">
        <w:rPr>
          <w:b/>
          <w:bCs/>
        </w:rPr>
        <w:t>(H)</w:t>
      </w:r>
      <w:r w:rsidR="00BD25B7" w:rsidRPr="00BD25B7">
        <w:t xml:space="preserve"> showed positive enrichment of this pathway.</w:t>
      </w:r>
      <w:r w:rsidRPr="00816272">
        <w:t xml:space="preserve"> </w:t>
      </w:r>
      <w:r w:rsidRPr="00CB5705">
        <w:rPr>
          <w:b/>
          <w:bCs/>
        </w:rPr>
        <w:t>(I</w:t>
      </w:r>
      <w:r w:rsidR="00B2742E" w:rsidRPr="00CB5705">
        <w:rPr>
          <w:b/>
          <w:bCs/>
        </w:rPr>
        <w:t>–</w:t>
      </w:r>
      <w:r w:rsidRPr="00CB5705">
        <w:rPr>
          <w:b/>
          <w:bCs/>
        </w:rPr>
        <w:t>K)</w:t>
      </w:r>
      <w:r w:rsidRPr="00816272">
        <w:t xml:space="preserve"> Additional GSEA plots for selected pathways: DHM upregulated thermogenesis </w:t>
      </w:r>
      <w:r w:rsidRPr="00CB5705">
        <w:rPr>
          <w:b/>
          <w:bCs/>
        </w:rPr>
        <w:t>(I)</w:t>
      </w:r>
      <w:r w:rsidRPr="00816272">
        <w:t xml:space="preserve">, whereas Silybin downregulated 2-oxocarboxylic acid metabolism </w:t>
      </w:r>
      <w:r w:rsidRPr="00CB5705">
        <w:rPr>
          <w:b/>
          <w:bCs/>
        </w:rPr>
        <w:t>(J)</w:t>
      </w:r>
      <w:r w:rsidRPr="00816272">
        <w:t xml:space="preserve"> and upregulated protein processing in the endoplasmic reticulum </w:t>
      </w:r>
      <w:r w:rsidRPr="00CB5705">
        <w:rPr>
          <w:b/>
          <w:bCs/>
        </w:rPr>
        <w:t>(K)</w:t>
      </w:r>
      <w:r w:rsidRPr="00816272">
        <w:t>.</w:t>
      </w:r>
      <w:bookmarkEnd w:id="0"/>
      <w:r w:rsidR="003D24D7">
        <w:rPr>
          <w:rFonts w:hint="eastAsia"/>
        </w:rPr>
        <w:t xml:space="preserve"> </w:t>
      </w:r>
      <w:r w:rsidR="003D24D7" w:rsidRPr="003D24D7">
        <w:t>NES, normalized enrichment score; FDR, false discovery rate.</w:t>
      </w:r>
    </w:p>
    <w:p w14:paraId="6979EDF5" w14:textId="2DDD93EF" w:rsidR="00357DE7" w:rsidRPr="0086478F" w:rsidRDefault="00C441B0" w:rsidP="00357DE7">
      <w:pPr>
        <w:spacing w:line="276" w:lineRule="auto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77209259" wp14:editId="50E4CE54">
            <wp:extent cx="5262880" cy="2434590"/>
            <wp:effectExtent l="0" t="0" r="0" b="38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243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65896" w14:textId="4286A435" w:rsidR="00357DE7" w:rsidRDefault="00357DE7" w:rsidP="003D24D7">
      <w:pPr>
        <w:spacing w:line="276" w:lineRule="auto"/>
      </w:pPr>
      <w:r w:rsidRPr="00847D91">
        <w:rPr>
          <w:b/>
          <w:bCs/>
        </w:rPr>
        <w:t>Supplementary Figure 3. Quality control and differential metabolite screening for serum metabolomics.</w:t>
      </w:r>
      <w:r w:rsidRPr="00C7676E">
        <w:t xml:space="preserve"> </w:t>
      </w:r>
      <w:r w:rsidRPr="00CB5705">
        <w:rPr>
          <w:b/>
          <w:bCs/>
        </w:rPr>
        <w:t>(A)</w:t>
      </w:r>
      <w:r w:rsidRPr="00C7676E">
        <w:t xml:space="preserve"> Quality control (QC) correlation plot showing high reproducibility among QC samples (r &gt; 0.99). </w:t>
      </w:r>
      <w:r w:rsidRPr="00CB5705">
        <w:rPr>
          <w:b/>
          <w:bCs/>
        </w:rPr>
        <w:t>(B</w:t>
      </w:r>
      <w:r w:rsidR="003D24D7" w:rsidRPr="00CB5705">
        <w:rPr>
          <w:b/>
          <w:bCs/>
        </w:rPr>
        <w:t>–</w:t>
      </w:r>
      <w:r w:rsidRPr="00CB5705">
        <w:rPr>
          <w:b/>
          <w:bCs/>
        </w:rPr>
        <w:t>D)</w:t>
      </w:r>
      <w:r w:rsidRPr="00C7676E">
        <w:t xml:space="preserve"> Volcano plots for EtOH vs. Control </w:t>
      </w:r>
      <w:r w:rsidRPr="00CB5705">
        <w:rPr>
          <w:b/>
          <w:bCs/>
        </w:rPr>
        <w:t>(B)</w:t>
      </w:r>
      <w:r w:rsidRPr="00C7676E">
        <w:t xml:space="preserve">, </w:t>
      </w:r>
      <w:proofErr w:type="spellStart"/>
      <w:r w:rsidRPr="00C7676E">
        <w:t>EtOH+DHM</w:t>
      </w:r>
      <w:proofErr w:type="spellEnd"/>
      <w:r w:rsidRPr="00C7676E">
        <w:t xml:space="preserve"> vs. EtOH </w:t>
      </w:r>
      <w:r w:rsidRPr="00CB5705">
        <w:rPr>
          <w:b/>
          <w:bCs/>
        </w:rPr>
        <w:t>(C)</w:t>
      </w:r>
      <w:r w:rsidRPr="00C7676E">
        <w:t xml:space="preserve"> and </w:t>
      </w:r>
      <w:proofErr w:type="spellStart"/>
      <w:r w:rsidRPr="00C7676E">
        <w:t>EtOH+Silybin</w:t>
      </w:r>
      <w:proofErr w:type="spellEnd"/>
      <w:r w:rsidRPr="00C7676E">
        <w:t xml:space="preserve"> vs. EtOH </w:t>
      </w:r>
      <w:r w:rsidRPr="00CB5705">
        <w:rPr>
          <w:b/>
          <w:bCs/>
        </w:rPr>
        <w:t>(D)</w:t>
      </w:r>
      <w:r w:rsidRPr="00C7676E">
        <w:t xml:space="preserve">. </w:t>
      </w:r>
      <w:r w:rsidR="003D24D7" w:rsidRPr="003D24D7">
        <w:t>Red and blue dots represent metabolites increased or decreased in the first group of each comparison</w:t>
      </w:r>
      <w:r w:rsidRPr="00C7676E">
        <w:t xml:space="preserve">, respectively (VIP &gt; 1.0, </w:t>
      </w:r>
      <w:r w:rsidR="00DC5F8D">
        <w:rPr>
          <w:rFonts w:hint="eastAsia"/>
        </w:rPr>
        <w:t>P</w:t>
      </w:r>
      <w:r w:rsidRPr="00C7676E">
        <w:t xml:space="preserve"> &lt; 0.05). </w:t>
      </w:r>
      <w:r w:rsidRPr="00CB5705">
        <w:rPr>
          <w:b/>
          <w:bCs/>
        </w:rPr>
        <w:t>(E)</w:t>
      </w:r>
      <w:r w:rsidRPr="00C7676E">
        <w:t xml:space="preserve"> Orthogonal projections to latent structures-discriminant analysis (OPLS-DA) score plot showing distinct metabolic separation between groups. </w:t>
      </w:r>
      <w:r w:rsidRPr="00CB5705">
        <w:rPr>
          <w:b/>
          <w:bCs/>
        </w:rPr>
        <w:t>(F,G)</w:t>
      </w:r>
      <w:r w:rsidRPr="00C7676E">
        <w:t xml:space="preserve"> Gene set enrichment analysis (GSEA) for metabolomics data. DHM intervention enriched the bile secretion pathway </w:t>
      </w:r>
      <w:r w:rsidRPr="00CB5705">
        <w:rPr>
          <w:b/>
          <w:bCs/>
        </w:rPr>
        <w:t>(F)</w:t>
      </w:r>
      <w:r w:rsidRPr="00C7676E">
        <w:t xml:space="preserve">, whereas Silybin was associated with broader metabolic pathways </w:t>
      </w:r>
      <w:r w:rsidRPr="00CB5705">
        <w:rPr>
          <w:b/>
          <w:bCs/>
        </w:rPr>
        <w:t>(G)</w:t>
      </w:r>
      <w:r w:rsidRPr="00C7676E">
        <w:t>.</w:t>
      </w:r>
    </w:p>
    <w:p w14:paraId="3554B7EC" w14:textId="6266ACDC" w:rsidR="00357DE7" w:rsidRDefault="00904F10" w:rsidP="00357DE7">
      <w:pPr>
        <w:spacing w:line="276" w:lineRule="auto"/>
      </w:pPr>
      <w:r>
        <w:rPr>
          <w:noProof/>
        </w:rPr>
        <w:lastRenderedPageBreak/>
        <w:drawing>
          <wp:inline distT="0" distB="0" distL="0" distR="0" wp14:anchorId="337FA315" wp14:editId="56940722">
            <wp:extent cx="5273675" cy="6400800"/>
            <wp:effectExtent l="0" t="0" r="317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C9336" w14:textId="212F3F0A" w:rsidR="00920926" w:rsidRDefault="00357DE7" w:rsidP="00357DE7">
      <w:pPr>
        <w:spacing w:line="276" w:lineRule="auto"/>
      </w:pPr>
      <w:r w:rsidRPr="00847D91">
        <w:rPr>
          <w:b/>
          <w:bCs/>
        </w:rPr>
        <w:t xml:space="preserve">Supplementary Figure 4. Supplementary jejunal transcriptomic analyses associated with Figure </w:t>
      </w:r>
      <w:r w:rsidR="003D24D7">
        <w:rPr>
          <w:rFonts w:hint="eastAsia"/>
          <w:b/>
          <w:bCs/>
        </w:rPr>
        <w:t>5</w:t>
      </w:r>
      <w:r w:rsidRPr="00847D91">
        <w:rPr>
          <w:b/>
          <w:bCs/>
        </w:rPr>
        <w:t xml:space="preserve">. </w:t>
      </w:r>
      <w:r w:rsidRPr="00CB5705">
        <w:rPr>
          <w:b/>
          <w:bCs/>
        </w:rPr>
        <w:t>(A</w:t>
      </w:r>
      <w:r w:rsidR="003D24D7" w:rsidRPr="00CB5705">
        <w:rPr>
          <w:b/>
          <w:bCs/>
        </w:rPr>
        <w:t>–</w:t>
      </w:r>
      <w:r w:rsidRPr="00CB5705">
        <w:rPr>
          <w:b/>
          <w:bCs/>
        </w:rPr>
        <w:t>C)</w:t>
      </w:r>
      <w:r w:rsidRPr="00C7676E">
        <w:t xml:space="preserve"> Volcano plots showing differentially expressed genes in EtOH vs. Control </w:t>
      </w:r>
      <w:r w:rsidRPr="00CB5705">
        <w:rPr>
          <w:b/>
          <w:bCs/>
        </w:rPr>
        <w:t>(A)</w:t>
      </w:r>
      <w:r w:rsidRPr="00C7676E">
        <w:t xml:space="preserve">, </w:t>
      </w:r>
      <w:proofErr w:type="spellStart"/>
      <w:r w:rsidRPr="00C7676E">
        <w:t>EtOH+DHM</w:t>
      </w:r>
      <w:proofErr w:type="spellEnd"/>
      <w:r w:rsidRPr="00C7676E">
        <w:t xml:space="preserve"> vs. EtOH </w:t>
      </w:r>
      <w:r w:rsidRPr="00CB5705">
        <w:rPr>
          <w:b/>
          <w:bCs/>
        </w:rPr>
        <w:t>(B)</w:t>
      </w:r>
      <w:r w:rsidRPr="00C7676E">
        <w:t xml:space="preserve"> and </w:t>
      </w:r>
      <w:proofErr w:type="spellStart"/>
      <w:r w:rsidRPr="00C7676E">
        <w:t>EtOH+Silybin</w:t>
      </w:r>
      <w:proofErr w:type="spellEnd"/>
      <w:r w:rsidRPr="00C7676E">
        <w:t xml:space="preserve"> vs. EtOH </w:t>
      </w:r>
      <w:r w:rsidRPr="00CB5705">
        <w:rPr>
          <w:b/>
          <w:bCs/>
        </w:rPr>
        <w:t>(C)</w:t>
      </w:r>
      <w:r w:rsidRPr="00C7676E">
        <w:t xml:space="preserve"> comparisons. </w:t>
      </w:r>
      <w:r w:rsidRPr="00CB5705">
        <w:rPr>
          <w:b/>
          <w:bCs/>
        </w:rPr>
        <w:t>(D)</w:t>
      </w:r>
      <w:r w:rsidRPr="00C7676E">
        <w:t xml:space="preserve"> GSEA showing enrichment of the retinol metabolism pathway in the EtOH group compared with the Control group. </w:t>
      </w:r>
      <w:r w:rsidRPr="00CB5705">
        <w:rPr>
          <w:b/>
          <w:bCs/>
        </w:rPr>
        <w:t>(E)</w:t>
      </w:r>
      <w:r w:rsidRPr="00C7676E">
        <w:t xml:space="preserve"> Global heatmap of jejunal transcriptomic profiles across all experimental groups. </w:t>
      </w:r>
      <w:r w:rsidRPr="00CB5705">
        <w:rPr>
          <w:b/>
          <w:bCs/>
        </w:rPr>
        <w:t>(F)</w:t>
      </w:r>
      <w:r w:rsidRPr="00C7676E">
        <w:t xml:space="preserve"> KEGG enrichment analysis of differentially expressed genes in the EtOH vs. Control comparison. </w:t>
      </w:r>
      <w:r w:rsidRPr="00CB5705">
        <w:rPr>
          <w:b/>
          <w:bCs/>
        </w:rPr>
        <w:t>(G,H)</w:t>
      </w:r>
      <w:r w:rsidRPr="00C7676E">
        <w:t xml:space="preserve"> GSEA showing enrichment of the DNA replication pathway in the </w:t>
      </w:r>
      <w:proofErr w:type="spellStart"/>
      <w:r w:rsidRPr="00C7676E">
        <w:t>EtOH+DHM</w:t>
      </w:r>
      <w:proofErr w:type="spellEnd"/>
      <w:r w:rsidRPr="00C7676E">
        <w:t xml:space="preserve"> group </w:t>
      </w:r>
      <w:r w:rsidRPr="00CB5705">
        <w:rPr>
          <w:b/>
          <w:bCs/>
        </w:rPr>
        <w:t>(G)</w:t>
      </w:r>
      <w:r w:rsidRPr="00C7676E">
        <w:t xml:space="preserve"> and suppression of the oxidative phosphorylation pathway in the </w:t>
      </w:r>
      <w:proofErr w:type="spellStart"/>
      <w:r w:rsidRPr="00C7676E">
        <w:t>EtOH+Silybin</w:t>
      </w:r>
      <w:proofErr w:type="spellEnd"/>
      <w:r w:rsidRPr="00C7676E">
        <w:t xml:space="preserve"> group </w:t>
      </w:r>
      <w:r w:rsidRPr="00CB5705">
        <w:rPr>
          <w:b/>
          <w:bCs/>
        </w:rPr>
        <w:t>(H)</w:t>
      </w:r>
      <w:r w:rsidRPr="00C7676E">
        <w:t xml:space="preserve">, compared with the EtOH group. </w:t>
      </w:r>
      <w:r w:rsidRPr="00CB5705">
        <w:rPr>
          <w:b/>
          <w:bCs/>
        </w:rPr>
        <w:t>(I,J)</w:t>
      </w:r>
      <w:r w:rsidRPr="00C7676E">
        <w:t xml:space="preserve"> GSEA showing suppression of the chemical carcinogenesis pathway in the </w:t>
      </w:r>
      <w:proofErr w:type="spellStart"/>
      <w:r w:rsidRPr="00C7676E">
        <w:t>EtOH+DHM</w:t>
      </w:r>
      <w:proofErr w:type="spellEnd"/>
      <w:r w:rsidRPr="00C7676E">
        <w:t xml:space="preserve"> group </w:t>
      </w:r>
      <w:r w:rsidRPr="00CB5705">
        <w:rPr>
          <w:b/>
          <w:bCs/>
        </w:rPr>
        <w:t>(I)</w:t>
      </w:r>
      <w:r w:rsidRPr="00C7676E">
        <w:t xml:space="preserve"> and </w:t>
      </w:r>
      <w:proofErr w:type="spellStart"/>
      <w:r w:rsidRPr="00C7676E">
        <w:t>EtOH+Silybin</w:t>
      </w:r>
      <w:proofErr w:type="spellEnd"/>
      <w:r w:rsidRPr="00C7676E">
        <w:t xml:space="preserve"> group </w:t>
      </w:r>
      <w:r w:rsidRPr="00CB5705">
        <w:rPr>
          <w:b/>
          <w:bCs/>
        </w:rPr>
        <w:t>(J)</w:t>
      </w:r>
      <w:r w:rsidRPr="00C7676E">
        <w:t xml:space="preserve">, compared with the EtOH group. </w:t>
      </w:r>
      <w:r w:rsidRPr="00C7676E">
        <w:lastRenderedPageBreak/>
        <w:t xml:space="preserve">Differentially expressed genes were identified based on </w:t>
      </w:r>
      <w:r w:rsidR="00BD25B7">
        <w:rPr>
          <w:rFonts w:hint="eastAsia"/>
        </w:rPr>
        <w:t>P</w:t>
      </w:r>
      <w:r w:rsidR="003D24D7">
        <w:t>-value</w:t>
      </w:r>
      <w:r w:rsidRPr="00C7676E">
        <w:t xml:space="preserve"> and fold</w:t>
      </w:r>
      <w:r w:rsidR="003D24D7">
        <w:rPr>
          <w:rFonts w:hint="eastAsia"/>
        </w:rPr>
        <w:t>-</w:t>
      </w:r>
      <w:r w:rsidRPr="00C7676E">
        <w:t>change thresholds as described in Methods. NES, normalized enrichment score; FDR, false discovery rate.</w:t>
      </w:r>
      <w:r w:rsidR="00920926">
        <w:rPr>
          <w:rFonts w:hint="eastAsia"/>
        </w:rPr>
        <w:t xml:space="preserve"> </w:t>
      </w:r>
      <w:r w:rsidR="00920926" w:rsidRPr="00CB5705">
        <w:rPr>
          <w:b/>
          <w:bCs/>
        </w:rPr>
        <w:t>(</w:t>
      </w:r>
      <w:r w:rsidR="00920926" w:rsidRPr="00CB5705">
        <w:rPr>
          <w:rFonts w:hint="eastAsia"/>
          <w:b/>
          <w:bCs/>
        </w:rPr>
        <w:t>K</w:t>
      </w:r>
      <w:r w:rsidR="003D24D7" w:rsidRPr="00CB5705">
        <w:rPr>
          <w:b/>
          <w:bCs/>
        </w:rPr>
        <w:t>–</w:t>
      </w:r>
      <w:r w:rsidR="00920926" w:rsidRPr="00CB5705">
        <w:rPr>
          <w:rFonts w:hint="eastAsia"/>
          <w:b/>
          <w:bCs/>
        </w:rPr>
        <w:t>N</w:t>
      </w:r>
      <w:r w:rsidR="00920926" w:rsidRPr="00CB5705">
        <w:rPr>
          <w:b/>
          <w:bCs/>
        </w:rPr>
        <w:t>)</w:t>
      </w:r>
      <w:r w:rsidR="00920926" w:rsidRPr="00C7676E">
        <w:t xml:space="preserve"> </w:t>
      </w:r>
      <w:r w:rsidR="00901F37">
        <w:rPr>
          <w:rFonts w:hint="eastAsia"/>
        </w:rPr>
        <w:t>R</w:t>
      </w:r>
      <w:r w:rsidR="00920926" w:rsidRPr="00920926">
        <w:t xml:space="preserve">elative mRNA expression of selected genes, including </w:t>
      </w:r>
      <w:r w:rsidR="003D24D7">
        <w:rPr>
          <w:rFonts w:hint="eastAsia"/>
          <w:i/>
          <w:iCs/>
        </w:rPr>
        <w:t>Rh</w:t>
      </w:r>
      <w:r w:rsidR="00920926" w:rsidRPr="00920926">
        <w:rPr>
          <w:i/>
          <w:iCs/>
        </w:rPr>
        <w:t>obtb1</w:t>
      </w:r>
      <w:r w:rsidR="00920926" w:rsidRPr="00920926">
        <w:t xml:space="preserve"> </w:t>
      </w:r>
      <w:r w:rsidR="00920926" w:rsidRPr="00CB5705">
        <w:rPr>
          <w:b/>
          <w:bCs/>
        </w:rPr>
        <w:t>(K)</w:t>
      </w:r>
      <w:r w:rsidR="00920926" w:rsidRPr="00920926">
        <w:t xml:space="preserve">, </w:t>
      </w:r>
      <w:r w:rsidR="003D24D7">
        <w:rPr>
          <w:rFonts w:hint="eastAsia"/>
          <w:i/>
          <w:iCs/>
        </w:rPr>
        <w:t>Sg</w:t>
      </w:r>
      <w:r w:rsidR="00920926" w:rsidRPr="00920926">
        <w:rPr>
          <w:i/>
          <w:iCs/>
        </w:rPr>
        <w:t>k1</w:t>
      </w:r>
      <w:r w:rsidR="00920926" w:rsidRPr="00920926">
        <w:t xml:space="preserve"> </w:t>
      </w:r>
      <w:r w:rsidR="00920926" w:rsidRPr="00CB5705">
        <w:rPr>
          <w:b/>
          <w:bCs/>
        </w:rPr>
        <w:t>(L)</w:t>
      </w:r>
      <w:r w:rsidR="00920926" w:rsidRPr="00920926">
        <w:t xml:space="preserve">, </w:t>
      </w:r>
      <w:r w:rsidR="003D24D7">
        <w:rPr>
          <w:rFonts w:hint="eastAsia"/>
          <w:i/>
          <w:iCs/>
        </w:rPr>
        <w:t>Cd</w:t>
      </w:r>
      <w:r w:rsidR="00920926" w:rsidRPr="00920926">
        <w:rPr>
          <w:i/>
          <w:iCs/>
        </w:rPr>
        <w:t>kn1a</w:t>
      </w:r>
      <w:r w:rsidR="00920926" w:rsidRPr="00920926">
        <w:t xml:space="preserve"> </w:t>
      </w:r>
      <w:r w:rsidR="00920926" w:rsidRPr="00CB5705">
        <w:rPr>
          <w:b/>
          <w:bCs/>
        </w:rPr>
        <w:t>(M)</w:t>
      </w:r>
      <w:r w:rsidR="00920926" w:rsidRPr="00920926">
        <w:t xml:space="preserve">, and </w:t>
      </w:r>
      <w:r w:rsidR="003D24D7">
        <w:rPr>
          <w:rFonts w:hint="eastAsia"/>
          <w:i/>
          <w:iCs/>
        </w:rPr>
        <w:t>Re</w:t>
      </w:r>
      <w:r w:rsidR="00920926" w:rsidRPr="00920926">
        <w:rPr>
          <w:i/>
          <w:iCs/>
        </w:rPr>
        <w:t>g3g</w:t>
      </w:r>
      <w:r w:rsidR="00920926" w:rsidRPr="00920926">
        <w:t xml:space="preserve"> </w:t>
      </w:r>
      <w:r w:rsidR="00920926" w:rsidRPr="00CB5705">
        <w:rPr>
          <w:b/>
          <w:bCs/>
        </w:rPr>
        <w:t>(N)</w:t>
      </w:r>
      <w:r w:rsidR="00920926" w:rsidRPr="00920926">
        <w:t>, was measured by quantitative real-time PCR in the mouse jejun</w:t>
      </w:r>
      <w:r w:rsidR="003D24D7">
        <w:rPr>
          <w:rFonts w:hint="eastAsia"/>
        </w:rPr>
        <w:t>al</w:t>
      </w:r>
      <w:r w:rsidR="00920926">
        <w:rPr>
          <w:rFonts w:hint="eastAsia"/>
        </w:rPr>
        <w:t xml:space="preserve"> </w:t>
      </w:r>
      <w:r w:rsidR="00920926" w:rsidRPr="00920926">
        <w:t>tissues.</w:t>
      </w:r>
      <w:r w:rsidR="00944180">
        <w:rPr>
          <w:rFonts w:hint="eastAsia"/>
        </w:rPr>
        <w:t xml:space="preserve"> </w:t>
      </w:r>
      <w:r w:rsidR="00944180" w:rsidRPr="00C7676E">
        <w:t xml:space="preserve">Data are presented as mean ± SEM. Statistical significance was evaluated using one-way ANOVA followed by </w:t>
      </w:r>
      <w:r w:rsidR="003D24D7">
        <w:rPr>
          <w:rFonts w:hint="eastAsia"/>
        </w:rPr>
        <w:t xml:space="preserve">the </w:t>
      </w:r>
      <w:r w:rsidR="00944180" w:rsidRPr="00C7676E">
        <w:t xml:space="preserve">Bonferroni post hoc test for selected comparisons. Exact </w:t>
      </w:r>
      <w:r w:rsidR="00BD25B7">
        <w:rPr>
          <w:rFonts w:hint="eastAsia"/>
        </w:rPr>
        <w:t>P</w:t>
      </w:r>
      <w:r w:rsidR="003D24D7">
        <w:t>-values</w:t>
      </w:r>
      <w:r w:rsidR="00944180" w:rsidRPr="00C7676E">
        <w:t xml:space="preserve"> are indicated in the figures.</w:t>
      </w:r>
    </w:p>
    <w:p w14:paraId="4B48544B" w14:textId="77777777" w:rsidR="00A224B1" w:rsidRDefault="00A224B1">
      <w:pPr>
        <w:widowControl/>
        <w:spacing w:after="160" w:line="278" w:lineRule="auto"/>
        <w:jc w:val="left"/>
      </w:pPr>
      <w:r>
        <w:br w:type="page"/>
      </w:r>
    </w:p>
    <w:p w14:paraId="6227CE1A" w14:textId="7D707215" w:rsidR="00357DE7" w:rsidRDefault="00BF5A73" w:rsidP="00357DE7">
      <w:pPr>
        <w:spacing w:line="276" w:lineRule="auto"/>
      </w:pPr>
      <w:r>
        <w:rPr>
          <w:noProof/>
        </w:rPr>
        <w:lastRenderedPageBreak/>
        <w:drawing>
          <wp:inline distT="0" distB="0" distL="0" distR="0" wp14:anchorId="793B6AF3" wp14:editId="6DC25A7F">
            <wp:extent cx="5273675" cy="7719060"/>
            <wp:effectExtent l="0" t="0" r="317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771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0B0EF" w14:textId="0F5EB6BD" w:rsidR="00C54688" w:rsidRDefault="00357DE7" w:rsidP="00CB5705">
      <w:pPr>
        <w:spacing w:line="276" w:lineRule="auto"/>
      </w:pPr>
      <w:r w:rsidRPr="0054201D">
        <w:rPr>
          <w:b/>
          <w:bCs/>
        </w:rPr>
        <w:t xml:space="preserve">Supplementary Figure 5. </w:t>
      </w:r>
      <w:r w:rsidR="00BD25B7" w:rsidRPr="00BD25B7">
        <w:rPr>
          <w:b/>
          <w:bCs/>
        </w:rPr>
        <w:t xml:space="preserve">Supplementary microbiome profiling, </w:t>
      </w:r>
      <w:proofErr w:type="spellStart"/>
      <w:r w:rsidR="00BD25B7" w:rsidRPr="00BD25B7">
        <w:rPr>
          <w:b/>
          <w:bCs/>
        </w:rPr>
        <w:t>LEfSe</w:t>
      </w:r>
      <w:proofErr w:type="spellEnd"/>
      <w:r w:rsidR="00BD25B7" w:rsidRPr="00BD25B7">
        <w:rPr>
          <w:b/>
          <w:bCs/>
        </w:rPr>
        <w:t xml:space="preserve"> analysis and key genus-level abundance patterns in middle-aged alcohol-fed mice.</w:t>
      </w:r>
      <w:r w:rsidRPr="00C7676E">
        <w:t xml:space="preserve"> </w:t>
      </w:r>
      <w:r w:rsidRPr="00CB5705">
        <w:rPr>
          <w:b/>
          <w:bCs/>
        </w:rPr>
        <w:t>(A,B)</w:t>
      </w:r>
      <w:r w:rsidRPr="00C7676E">
        <w:t xml:space="preserve"> Simpson alpha diversity (A) and rarefaction curves </w:t>
      </w:r>
      <w:r w:rsidRPr="00CB5705">
        <w:rPr>
          <w:b/>
          <w:bCs/>
        </w:rPr>
        <w:t>(B)</w:t>
      </w:r>
      <w:r w:rsidRPr="00C7676E">
        <w:t xml:space="preserve">. </w:t>
      </w:r>
      <w:r w:rsidRPr="00CB5705">
        <w:rPr>
          <w:b/>
          <w:bCs/>
        </w:rPr>
        <w:t>(C)</w:t>
      </w:r>
      <w:r w:rsidRPr="00C7676E">
        <w:t xml:space="preserve"> Phylum-level microbial composition across groups. </w:t>
      </w:r>
      <w:r w:rsidRPr="00CB5705">
        <w:rPr>
          <w:b/>
          <w:bCs/>
        </w:rPr>
        <w:t>(D,E)</w:t>
      </w:r>
      <w:r w:rsidRPr="00C7676E">
        <w:t xml:space="preserve"> </w:t>
      </w:r>
      <w:proofErr w:type="spellStart"/>
      <w:r w:rsidRPr="00C7676E">
        <w:t>LEfSe</w:t>
      </w:r>
      <w:proofErr w:type="spellEnd"/>
      <w:r w:rsidRPr="00C7676E">
        <w:t xml:space="preserve"> analysis identifying discriminative bacterial taxa between </w:t>
      </w:r>
      <w:proofErr w:type="spellStart"/>
      <w:r w:rsidRPr="00C7676E">
        <w:t>EtOH+DHM</w:t>
      </w:r>
      <w:proofErr w:type="spellEnd"/>
      <w:r w:rsidRPr="00C7676E">
        <w:t xml:space="preserve"> vs. EtOH </w:t>
      </w:r>
      <w:r w:rsidRPr="00CB5705">
        <w:rPr>
          <w:b/>
          <w:bCs/>
        </w:rPr>
        <w:t>(D)</w:t>
      </w:r>
      <w:r w:rsidRPr="00C7676E">
        <w:t xml:space="preserve"> and </w:t>
      </w:r>
      <w:proofErr w:type="spellStart"/>
      <w:r w:rsidRPr="00C7676E">
        <w:t>EtOH+Silybin</w:t>
      </w:r>
      <w:proofErr w:type="spellEnd"/>
      <w:r w:rsidRPr="00C7676E">
        <w:t xml:space="preserve"> vs. EtOH </w:t>
      </w:r>
      <w:r w:rsidRPr="00086123">
        <w:rPr>
          <w:b/>
          <w:bCs/>
        </w:rPr>
        <w:t>(E)</w:t>
      </w:r>
      <w:r w:rsidRPr="00C7676E">
        <w:t xml:space="preserve">. Taxa with LDA score &gt; 2 are displayed. Red bars indicate taxa </w:t>
      </w:r>
      <w:r w:rsidRPr="00C7676E">
        <w:lastRenderedPageBreak/>
        <w:t xml:space="preserve">enriched in EtOH groups, whereas blue bars indicate taxa enriched after intervention. </w:t>
      </w:r>
      <w:r w:rsidRPr="00CB5705">
        <w:rPr>
          <w:b/>
          <w:bCs/>
        </w:rPr>
        <w:t xml:space="preserve">(F,G) </w:t>
      </w:r>
      <w:r w:rsidRPr="00C7676E">
        <w:t xml:space="preserve">Cladograms showing phylogenetic distributions of differentially enriched microbial taxa identified by </w:t>
      </w:r>
      <w:proofErr w:type="spellStart"/>
      <w:r w:rsidRPr="00C7676E">
        <w:t>LEfSe</w:t>
      </w:r>
      <w:proofErr w:type="spellEnd"/>
      <w:r w:rsidRPr="00C7676E">
        <w:t xml:space="preserve"> in DHM-treated </w:t>
      </w:r>
      <w:r w:rsidRPr="00CB5705">
        <w:rPr>
          <w:b/>
          <w:bCs/>
        </w:rPr>
        <w:t>(F)</w:t>
      </w:r>
      <w:r w:rsidRPr="00C7676E">
        <w:t xml:space="preserve"> and Silybin-treated </w:t>
      </w:r>
      <w:r w:rsidRPr="00CB5705">
        <w:rPr>
          <w:b/>
          <w:bCs/>
        </w:rPr>
        <w:t>(G)</w:t>
      </w:r>
      <w:r w:rsidRPr="00C7676E">
        <w:t xml:space="preserve"> mice relative to EtOH controls. Differentially enriched clades are highlighted according to group-specific abundance patterns.</w:t>
      </w:r>
      <w:r w:rsidR="00CB5705">
        <w:rPr>
          <w:rFonts w:hint="eastAsia"/>
        </w:rPr>
        <w:t xml:space="preserve"> </w:t>
      </w:r>
      <w:r w:rsidR="00CB5705" w:rsidRPr="00CB5705">
        <w:rPr>
          <w:b/>
          <w:bCs/>
        </w:rPr>
        <w:t>(H–K)</w:t>
      </w:r>
      <w:r w:rsidR="00CB5705" w:rsidRPr="00CB5705">
        <w:t xml:space="preserve"> Log-transformed relative abundance of selected genera, including </w:t>
      </w:r>
      <w:proofErr w:type="spellStart"/>
      <w:r w:rsidR="00CB5705" w:rsidRPr="00CB5705">
        <w:rPr>
          <w:i/>
          <w:iCs/>
        </w:rPr>
        <w:t>Faecalibaculum</w:t>
      </w:r>
      <w:proofErr w:type="spellEnd"/>
      <w:r w:rsidR="00CB5705" w:rsidRPr="00CB5705">
        <w:t xml:space="preserve"> </w:t>
      </w:r>
      <w:r w:rsidR="00CB5705" w:rsidRPr="00CB5705">
        <w:rPr>
          <w:b/>
          <w:bCs/>
        </w:rPr>
        <w:t>(H)</w:t>
      </w:r>
      <w:r w:rsidR="00CB5705" w:rsidRPr="00CB5705">
        <w:t xml:space="preserve">, </w:t>
      </w:r>
      <w:proofErr w:type="spellStart"/>
      <w:r w:rsidR="00CB5705" w:rsidRPr="00CB5705">
        <w:rPr>
          <w:i/>
          <w:iCs/>
        </w:rPr>
        <w:t>Akkermansia</w:t>
      </w:r>
      <w:proofErr w:type="spellEnd"/>
      <w:r w:rsidR="00CB5705" w:rsidRPr="00CB5705">
        <w:t xml:space="preserve"> </w:t>
      </w:r>
      <w:r w:rsidR="00CB5705" w:rsidRPr="00CB5705">
        <w:rPr>
          <w:b/>
          <w:bCs/>
        </w:rPr>
        <w:t>(I)</w:t>
      </w:r>
      <w:r w:rsidR="00CB5705" w:rsidRPr="00CB5705">
        <w:t xml:space="preserve">, Lachnospiraceae_NK4A136_group </w:t>
      </w:r>
      <w:r w:rsidR="00CB5705" w:rsidRPr="00CB5705">
        <w:rPr>
          <w:b/>
          <w:bCs/>
        </w:rPr>
        <w:t>(J)</w:t>
      </w:r>
      <w:r w:rsidR="00CB5705" w:rsidRPr="00CB5705">
        <w:t xml:space="preserve"> and </w:t>
      </w:r>
      <w:r w:rsidR="00CB5705" w:rsidRPr="00CB5705">
        <w:rPr>
          <w:i/>
          <w:iCs/>
        </w:rPr>
        <w:t>Escherichia-Shigella</w:t>
      </w:r>
      <w:r w:rsidR="00CB5705" w:rsidRPr="00CB5705">
        <w:t xml:space="preserve"> </w:t>
      </w:r>
      <w:r w:rsidR="00CB5705" w:rsidRPr="00CB5705">
        <w:rPr>
          <w:b/>
          <w:bCs/>
        </w:rPr>
        <w:t>(K)</w:t>
      </w:r>
      <w:r w:rsidR="00CB5705" w:rsidRPr="00CB5705">
        <w:t xml:space="preserve">. </w:t>
      </w:r>
      <w:r w:rsidR="00086123" w:rsidRPr="00086123">
        <w:t>Data are presented as mean ± SEM.</w:t>
      </w:r>
    </w:p>
    <w:p w14:paraId="0B34E50A" w14:textId="77777777" w:rsidR="00C25386" w:rsidRDefault="00C25386" w:rsidP="00CB5705">
      <w:pPr>
        <w:spacing w:line="276" w:lineRule="auto"/>
      </w:pPr>
    </w:p>
    <w:p w14:paraId="5A5E842E" w14:textId="77777777" w:rsidR="00E82F94" w:rsidRDefault="00E82F94" w:rsidP="00CB5705">
      <w:pPr>
        <w:spacing w:line="276" w:lineRule="auto"/>
      </w:pPr>
    </w:p>
    <w:p w14:paraId="11B01B7E" w14:textId="5E04045F" w:rsidR="00C54688" w:rsidRPr="00357DE7" w:rsidRDefault="00C54688" w:rsidP="00730803">
      <w:pPr>
        <w:widowControl/>
        <w:spacing w:after="160" w:line="278" w:lineRule="auto"/>
        <w:jc w:val="left"/>
        <w:rPr>
          <w:rFonts w:hint="eastAsia"/>
        </w:rPr>
      </w:pPr>
    </w:p>
    <w:sectPr w:rsidR="00C54688" w:rsidRPr="00357DE7" w:rsidSect="00357DE7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61E07" w14:textId="77777777" w:rsidR="00DC00D6" w:rsidRDefault="00DC00D6" w:rsidP="00C25386">
      <w:r>
        <w:separator/>
      </w:r>
    </w:p>
  </w:endnote>
  <w:endnote w:type="continuationSeparator" w:id="0">
    <w:p w14:paraId="1BF956C1" w14:textId="77777777" w:rsidR="00DC00D6" w:rsidRDefault="00DC00D6" w:rsidP="00C25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73059" w14:textId="77777777" w:rsidR="00DC00D6" w:rsidRDefault="00DC00D6" w:rsidP="00C25386">
      <w:r>
        <w:separator/>
      </w:r>
    </w:p>
  </w:footnote>
  <w:footnote w:type="continuationSeparator" w:id="0">
    <w:p w14:paraId="12CE5A0A" w14:textId="77777777" w:rsidR="00DC00D6" w:rsidRDefault="00DC00D6" w:rsidP="00C253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690"/>
    <w:rsid w:val="00004AC8"/>
    <w:rsid w:val="00011EF8"/>
    <w:rsid w:val="00017FD8"/>
    <w:rsid w:val="00052C14"/>
    <w:rsid w:val="00086123"/>
    <w:rsid w:val="000C1582"/>
    <w:rsid w:val="000F082F"/>
    <w:rsid w:val="00176DEF"/>
    <w:rsid w:val="00197F68"/>
    <w:rsid w:val="001A5723"/>
    <w:rsid w:val="002343C5"/>
    <w:rsid w:val="00286560"/>
    <w:rsid w:val="00287E7D"/>
    <w:rsid w:val="002C11FA"/>
    <w:rsid w:val="002F092F"/>
    <w:rsid w:val="00357DE7"/>
    <w:rsid w:val="003B4F12"/>
    <w:rsid w:val="003C0EE6"/>
    <w:rsid w:val="003D24D7"/>
    <w:rsid w:val="00520ECA"/>
    <w:rsid w:val="005F5468"/>
    <w:rsid w:val="00617550"/>
    <w:rsid w:val="00640CAA"/>
    <w:rsid w:val="006A37F7"/>
    <w:rsid w:val="00730803"/>
    <w:rsid w:val="00775FF9"/>
    <w:rsid w:val="007D2183"/>
    <w:rsid w:val="007E66DC"/>
    <w:rsid w:val="00802AFA"/>
    <w:rsid w:val="00901F37"/>
    <w:rsid w:val="00904F10"/>
    <w:rsid w:val="00920926"/>
    <w:rsid w:val="00944180"/>
    <w:rsid w:val="009C13B7"/>
    <w:rsid w:val="00A224B1"/>
    <w:rsid w:val="00A97D05"/>
    <w:rsid w:val="00AB044B"/>
    <w:rsid w:val="00B138F7"/>
    <w:rsid w:val="00B22CA4"/>
    <w:rsid w:val="00B2742E"/>
    <w:rsid w:val="00B27CDB"/>
    <w:rsid w:val="00B35674"/>
    <w:rsid w:val="00B651CD"/>
    <w:rsid w:val="00BD25B7"/>
    <w:rsid w:val="00BF5A73"/>
    <w:rsid w:val="00C07A61"/>
    <w:rsid w:val="00C12135"/>
    <w:rsid w:val="00C25386"/>
    <w:rsid w:val="00C4415C"/>
    <w:rsid w:val="00C441B0"/>
    <w:rsid w:val="00C54688"/>
    <w:rsid w:val="00C576F9"/>
    <w:rsid w:val="00C5794E"/>
    <w:rsid w:val="00C75CB6"/>
    <w:rsid w:val="00CB5690"/>
    <w:rsid w:val="00CB5705"/>
    <w:rsid w:val="00CE7E06"/>
    <w:rsid w:val="00CF58E5"/>
    <w:rsid w:val="00D03822"/>
    <w:rsid w:val="00DC00D6"/>
    <w:rsid w:val="00DC5F8D"/>
    <w:rsid w:val="00E10442"/>
    <w:rsid w:val="00E16EF2"/>
    <w:rsid w:val="00E53933"/>
    <w:rsid w:val="00E82F94"/>
    <w:rsid w:val="00F04039"/>
    <w:rsid w:val="00F74A29"/>
    <w:rsid w:val="00FA3875"/>
    <w:rsid w:val="00FF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C90A9B"/>
  <w15:chartTrackingRefBased/>
  <w15:docId w15:val="{7DF80125-2210-424B-97C3-5D9A6790B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688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5690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5690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5690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5690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5690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5690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5690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5690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5690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569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B56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B56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B569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B5690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B569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B569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B569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B569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B569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CB56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5690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CB569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5690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CB569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5690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CB569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B56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CB569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B5690"/>
    <w:rPr>
      <w:b/>
      <w:bCs/>
      <w:smallCaps/>
      <w:color w:val="0F4761" w:themeColor="accent1" w:themeShade="BF"/>
      <w:spacing w:val="5"/>
    </w:rPr>
  </w:style>
  <w:style w:type="character" w:styleId="ae">
    <w:name w:val="line number"/>
    <w:basedOn w:val="a0"/>
    <w:uiPriority w:val="99"/>
    <w:semiHidden/>
    <w:unhideWhenUsed/>
    <w:rsid w:val="00357DE7"/>
  </w:style>
  <w:style w:type="character" w:styleId="af">
    <w:name w:val="annotation reference"/>
    <w:basedOn w:val="a0"/>
    <w:uiPriority w:val="99"/>
    <w:semiHidden/>
    <w:unhideWhenUsed/>
    <w:rsid w:val="00011EF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11EF8"/>
    <w:rPr>
      <w:sz w:val="20"/>
      <w:szCs w:val="20"/>
    </w:rPr>
  </w:style>
  <w:style w:type="character" w:customStyle="1" w:styleId="af1">
    <w:name w:val="批注文字 字符"/>
    <w:basedOn w:val="a0"/>
    <w:link w:val="af0"/>
    <w:uiPriority w:val="99"/>
    <w:semiHidden/>
    <w:rsid w:val="00011EF8"/>
    <w:rPr>
      <w:rFonts w:ascii="Times New Roman" w:eastAsia="宋体" w:hAnsi="Times New Roman" w:cs="Times New Roman"/>
      <w:sz w:val="20"/>
      <w:szCs w:val="20"/>
      <w14:ligatures w14:val="none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11EF8"/>
    <w:rPr>
      <w:b/>
      <w:bCs/>
    </w:rPr>
  </w:style>
  <w:style w:type="character" w:customStyle="1" w:styleId="af3">
    <w:name w:val="批注主题 字符"/>
    <w:basedOn w:val="af1"/>
    <w:link w:val="af2"/>
    <w:uiPriority w:val="99"/>
    <w:semiHidden/>
    <w:rsid w:val="00011EF8"/>
    <w:rPr>
      <w:rFonts w:ascii="Times New Roman" w:eastAsia="宋体" w:hAnsi="Times New Roman" w:cs="Times New Roman"/>
      <w:b/>
      <w:bCs/>
      <w:sz w:val="20"/>
      <w:szCs w:val="20"/>
      <w14:ligatures w14:val="none"/>
    </w:rPr>
  </w:style>
  <w:style w:type="paragraph" w:styleId="af4">
    <w:name w:val="header"/>
    <w:basedOn w:val="a"/>
    <w:link w:val="af5"/>
    <w:uiPriority w:val="99"/>
    <w:unhideWhenUsed/>
    <w:rsid w:val="00C2538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5">
    <w:name w:val="页眉 字符"/>
    <w:basedOn w:val="a0"/>
    <w:link w:val="af4"/>
    <w:uiPriority w:val="99"/>
    <w:rsid w:val="00C25386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f6">
    <w:name w:val="footer"/>
    <w:basedOn w:val="a"/>
    <w:link w:val="af7"/>
    <w:uiPriority w:val="99"/>
    <w:unhideWhenUsed/>
    <w:rsid w:val="00C253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7">
    <w:name w:val="页脚 字符"/>
    <w:basedOn w:val="a0"/>
    <w:link w:val="af6"/>
    <w:uiPriority w:val="99"/>
    <w:rsid w:val="00C25386"/>
    <w:rPr>
      <w:rFonts w:ascii="Times New Roman" w:eastAsia="宋体" w:hAnsi="Times New Roman" w:cs="Times New Roman"/>
      <w:sz w:val="18"/>
      <w:szCs w:val="18"/>
      <w14:ligatures w14:val="none"/>
    </w:rPr>
  </w:style>
  <w:style w:type="table" w:styleId="21">
    <w:name w:val="Plain Table 2"/>
    <w:basedOn w:val="a1"/>
    <w:uiPriority w:val="42"/>
    <w:rsid w:val="00C25386"/>
    <w:pPr>
      <w:spacing w:after="0" w:line="240" w:lineRule="auto"/>
    </w:pPr>
    <w:rPr>
      <w:sz w:val="21"/>
      <w:szCs w:val="22"/>
      <w14:ligatures w14:val="none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6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01197-2E01-4DDB-B250-E9005CC3E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754</Words>
  <Characters>4300</Characters>
  <Application>Microsoft Office Word</Application>
  <DocSecurity>0</DocSecurity>
  <Lines>35</Lines>
  <Paragraphs>10</Paragraphs>
  <ScaleCrop>false</ScaleCrop>
  <Company/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Jiajun LEI</dc:creator>
  <cp:keywords/>
  <dc:description/>
  <cp:lastModifiedBy>Jiajun LEI</cp:lastModifiedBy>
  <cp:revision>6</cp:revision>
  <dcterms:created xsi:type="dcterms:W3CDTF">2026-06-04T06:23:00Z</dcterms:created>
  <dcterms:modified xsi:type="dcterms:W3CDTF">2026-07-01T02:04:00Z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039d04bb-e146-4905-be29-4fcec3e2883c</vt:lpwstr>
  </property>
</Properties>
</file>