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rFonts w:ascii="Times New Roman" w:hAnsi="Times New Roman"/>
          <w:b/>
          <w:sz w:val="22"/>
        </w:rPr>
        <w:t>Supplementary Information</w:t>
      </w:r>
    </w:p>
    <w:p>
      <w:pPr>
        <w:spacing w:after="120"/>
      </w:pPr>
      <w:r>
        <w:rPr>
          <w:rFonts w:ascii="Times New Roman" w:hAnsi="Times New Roman"/>
          <w:sz w:val="22"/>
        </w:rPr>
        <w:t>Lumbar Vacuum Phenotypes in Degenerative Spondylolisthesis: Distinct Instability Signatures of Intradiscal and Facet Joint Gas</w:t>
      </w:r>
    </w:p>
    <w:p>
      <w:pPr>
        <w:spacing w:after="120"/>
      </w:pPr>
      <w:r>
        <w:rPr>
          <w:rFonts w:ascii="Times New Roman" w:hAnsi="Times New Roman"/>
          <w:sz w:val="22"/>
        </w:rPr>
        <w:t>Xianyi Zhang, QiRui Zhu, Tianci Fang, Jie Shang, Lei Liu, Guizhu Ji, Ziwei Xia, Youdi Xue, Hengcai Zhou, Meng Han, Chao Ma</w:t>
      </w:r>
    </w:p>
    <w:p>
      <w:pPr>
        <w:spacing w:after="120"/>
      </w:pPr>
      <w:r>
        <w:rPr>
          <w:rFonts w:ascii="Times New Roman" w:hAnsi="Times New Roman"/>
          <w:b/>
          <w:sz w:val="22"/>
        </w:rPr>
        <w:t>Supplementary Fig. S1. Disc and facet structural degeneration across VP phenotypes.</w:t>
      </w:r>
    </w:p>
    <w:p>
      <w:pPr>
        <w:spacing w:after="120"/>
      </w:pPr>
      <w:r>
        <w:rPr>
          <w:rFonts w:ascii="Times New Roman" w:hAnsi="Times New Roman"/>
          <w:sz w:val="22"/>
        </w:rPr>
        <w:drawing>
          <wp:inline xmlns:a="http://schemas.openxmlformats.org/drawingml/2006/main" xmlns:pic="http://schemas.openxmlformats.org/drawingml/2006/picture">
            <wp:extent cx="5303520" cy="1869586"/>
            <wp:docPr id="1" name="Picture 1"/>
            <wp:cNvGraphicFramePr>
              <a:graphicFrameLocks noChangeAspect="1"/>
            </wp:cNvGraphicFramePr>
            <a:graphic>
              <a:graphicData uri="http://schemas.openxmlformats.org/drawingml/2006/picture">
                <pic:pic>
                  <pic:nvPicPr>
                    <pic:cNvPr id="0" name="_extracted_fig_3.png"/>
                    <pic:cNvPicPr/>
                  </pic:nvPicPr>
                  <pic:blipFill>
                    <a:blip r:embed="rId9"/>
                    <a:stretch>
                      <a:fillRect/>
                    </a:stretch>
                  </pic:blipFill>
                  <pic:spPr>
                    <a:xfrm>
                      <a:off x="0" y="0"/>
                      <a:ext cx="5303520" cy="1869586"/>
                    </a:xfrm>
                    <a:prstGeom prst="rect"/>
                  </pic:spPr>
                </pic:pic>
              </a:graphicData>
            </a:graphic>
          </wp:inline>
        </w:drawing>
      </w:r>
    </w:p>
    <w:p>
      <w:pPr>
        <w:spacing w:after="120"/>
      </w:pPr>
      <w:r>
        <w:rPr>
          <w:rFonts w:ascii="Times New Roman" w:hAnsi="Times New Roman"/>
          <w:sz w:val="22"/>
        </w:rPr>
        <w:t>(A) Disc height comparison among four VP phenotypes. Bars sharing the same letter are not significantly different after adjustment for multiple comparisons (adjusted P&gt;0.05). (B) Facet degeneration grade distribution among four VP phenotypes. Error bars represent standard deviations. Between-group comparisons were performed using one-way ANOVA or chi-square tests, with Tukey/Bonferroni adjustment for pairwise comparisons where appropriate.</w:t>
      </w:r>
    </w:p>
    <w:p>
      <w:pPr>
        <w:spacing w:after="120"/>
      </w:pPr>
      <w:r>
        <w:rPr>
          <w:rFonts w:ascii="Times New Roman" w:hAnsi="Times New Roman"/>
          <w:b/>
          <w:sz w:val="22"/>
        </w:rPr>
        <w:t>Supplementary Fig. S2. Dynamic stabilizer and posterior element changes across VP phenotypes.</w:t>
      </w:r>
    </w:p>
    <w:p>
      <w:pPr>
        <w:spacing w:after="120"/>
      </w:pPr>
      <w:r>
        <w:rPr>
          <w:rFonts w:ascii="Times New Roman" w:hAnsi="Times New Roman"/>
          <w:sz w:val="22"/>
        </w:rPr>
        <w:drawing>
          <wp:inline xmlns:a="http://schemas.openxmlformats.org/drawingml/2006/main" xmlns:pic="http://schemas.openxmlformats.org/drawingml/2006/picture">
            <wp:extent cx="5303520" cy="1566140"/>
            <wp:docPr id="2" name="Picture 2"/>
            <wp:cNvGraphicFramePr>
              <a:graphicFrameLocks noChangeAspect="1"/>
            </wp:cNvGraphicFramePr>
            <a:graphic>
              <a:graphicData uri="http://schemas.openxmlformats.org/drawingml/2006/picture">
                <pic:pic>
                  <pic:nvPicPr>
                    <pic:cNvPr id="0" name="_extracted_fig_4.png"/>
                    <pic:cNvPicPr/>
                  </pic:nvPicPr>
                  <pic:blipFill>
                    <a:blip r:embed="rId10"/>
                    <a:stretch>
                      <a:fillRect/>
                    </a:stretch>
                  </pic:blipFill>
                  <pic:spPr>
                    <a:xfrm>
                      <a:off x="0" y="0"/>
                      <a:ext cx="5303520" cy="1566140"/>
                    </a:xfrm>
                    <a:prstGeom prst="rect"/>
                  </pic:spPr>
                </pic:pic>
              </a:graphicData>
            </a:graphic>
          </wp:inline>
        </w:drawing>
      </w:r>
    </w:p>
    <w:p>
      <w:pPr>
        <w:spacing w:after="120"/>
      </w:pPr>
      <w:r>
        <w:rPr>
          <w:rFonts w:ascii="Times New Roman" w:hAnsi="Times New Roman"/>
          <w:sz w:val="22"/>
        </w:rPr>
        <w:t>(A) Multifidus relative functional cross-sectional area (rfCSA) comparison. (B) Multifidus fatty infiltration (FI) comparison. (C) Ligamentum flavum thickness comparison. Error bars represent standard deviations. Bars sharing the same letter are not significantly different after Tukey/Bonferroni post hoc adjustment (adjusted P&gt;0.05).</w:t>
      </w:r>
    </w:p>
    <w:p>
      <w:pPr>
        <w:spacing w:after="120"/>
      </w:pPr>
      <w:r>
        <w:rPr>
          <w:rFonts w:ascii="Times New Roman" w:hAnsi="Times New Roman"/>
          <w:b/>
          <w:sz w:val="22"/>
        </w:rPr>
        <w:t>Supplementary Fig. S3. Radiographic instability parameters across VP phenotypes.</w:t>
      </w:r>
    </w:p>
    <w:p>
      <w:pPr>
        <w:spacing w:after="120"/>
      </w:pPr>
      <w:r>
        <w:rPr>
          <w:rFonts w:ascii="Times New Roman" w:hAnsi="Times New Roman"/>
          <w:sz w:val="22"/>
        </w:rPr>
        <w:drawing>
          <wp:inline xmlns:a="http://schemas.openxmlformats.org/drawingml/2006/main" xmlns:pic="http://schemas.openxmlformats.org/drawingml/2006/picture">
            <wp:extent cx="5303520" cy="1566140"/>
            <wp:docPr id="3" name="Picture 3"/>
            <wp:cNvGraphicFramePr>
              <a:graphicFrameLocks noChangeAspect="1"/>
            </wp:cNvGraphicFramePr>
            <a:graphic>
              <a:graphicData uri="http://schemas.openxmlformats.org/drawingml/2006/picture">
                <pic:pic>
                  <pic:nvPicPr>
                    <pic:cNvPr id="0" name="_extracted_fig_5.png"/>
                    <pic:cNvPicPr/>
                  </pic:nvPicPr>
                  <pic:blipFill>
                    <a:blip r:embed="rId11"/>
                    <a:stretch>
                      <a:fillRect/>
                    </a:stretch>
                  </pic:blipFill>
                  <pic:spPr>
                    <a:xfrm>
                      <a:off x="0" y="0"/>
                      <a:ext cx="5303520" cy="1566140"/>
                    </a:xfrm>
                    <a:prstGeom prst="rect"/>
                  </pic:spPr>
                </pic:pic>
              </a:graphicData>
            </a:graphic>
          </wp:inline>
        </w:drawing>
      </w:r>
    </w:p>
    <w:p>
      <w:pPr>
        <w:spacing w:after="120"/>
      </w:pPr>
      <w:r>
        <w:rPr>
          <w:rFonts w:ascii="Times New Roman" w:hAnsi="Times New Roman"/>
          <w:sz w:val="22"/>
        </w:rPr>
        <w:t>(A) Slippage percentage comparison. (B) Flexion-extension translation comparison. (C) Angular motion comparison, expressed in degrees. Error bars represent standard deviations. Bars sharing the same letter are not significantly different after Tukey/Bonferroni post hoc adjustment (adjusted P&gt;0.05).</w:t>
      </w:r>
    </w:p>
    <w:p>
      <w:pPr>
        <w:spacing w:after="120"/>
      </w:pPr>
      <w:r>
        <w:rPr>
          <w:rFonts w:ascii="Times New Roman" w:hAnsi="Times New Roman"/>
          <w:b/>
          <w:sz w:val="22"/>
        </w:rPr>
        <w:t>Supplementary Table S1. Univariable logistic regression analyses for IDVP and FJVP.</w:t>
      </w:r>
    </w:p>
    <w:p>
      <w:pPr>
        <w:spacing w:after="120"/>
      </w:pPr>
      <w:r>
        <w:rPr>
          <w:rFonts w:ascii="Times New Roman" w:hAnsi="Times New Roman"/>
          <w:sz w:val="22"/>
        </w:rPr>
        <w:t>BMI, body mass index; BMD, bone mineral density; CI, confidence interval; FI, fatty infiltration; FJVP, facet joint vacuum phenomenon; IDVP, intradiscal vacuum phenomenon; OR, odds ratio; PI, pelvic incidence; PMI, psoas muscle index; rfCSA, relative functional cross-sectional area.</w:t>
      </w:r>
    </w:p>
    <w:sectPr>
      <w:pgSz w:w="12240" w:h="15840"/>
      <w:pgMar w:top="1008" w:right="1008" w:bottom="1008" w:left="1008" w:header="720" w:footer="720" w:gutter="0"/>
      <w:cols w:space="720"/>
      <w:docGrid w:linePitch="360"/>
    </w:sectPr>
    <w:tbl>
      <w:tblPr>
        <w:tblStyle w:val="2"/>
        <w:tblW w:w="5000" w:type="pct"/>
        <w:jc w:val="center"/>
        <w:tblBorders>
          <w:top w:val="single" w:sz="8" w:space="0" w:color="000000"/>
          <w:bottom w:val="single" w:sz="8" w:space="0" w:color="000000"/>
          <w:insideH w:val="single" w:sz="4" w:space="0" w:color="000000"/>
          <w:left w:val="nil"/>
          <w:right w:val="nil"/>
          <w:insideV w:val="nil"/>
        </w:tblBorders>
        <w:tblLayout w:type="autofit"/>
        <w:tblCellMar>
          <w:top w:w="0" w:type="dxa"/>
          <w:left w:w="10" w:type="dxa"/>
          <w:bottom w:w="0" w:type="dxa"/>
          <w:right w:w="10" w:type="dxa"/>
        </w:tblCellMar>
      </w:tblPr>
      <w:tblGrid>
        <w:gridCol w:w="2697"/>
        <w:gridCol w:w="2023"/>
        <w:gridCol w:w="1199"/>
        <w:gridCol w:w="2023"/>
        <w:gridCol w:w="1199"/>
      </w:tblGrid>
      <w:tr w14:paraId="0922C0E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tblHeader/>
          <w:jc w:val="center"/>
        </w:trPr>
        <w:tc>
          <w:tcPr>
            <w:tcW w:w="2592" w:type="dxa"/>
            <w:tcBorders>
              <w:top w:val="single" w:color="000000" w:sz="8" w:space="0"/>
              <w:left w:val="nil"/>
              <w:bottom w:val="single" w:color="000000" w:sz="8" w:space="0"/>
              <w:right w:val="nil"/>
              <w:insideH w:val="nil"/>
              <w:insideV w:val="nil"/>
            </w:tcBorders>
            <w:tcMar>
              <w:top w:w="35" w:type="dxa"/>
              <w:left w:w="35" w:type="dxa"/>
              <w:bottom w:w="35" w:type="dxa"/>
              <w:right w:w="35" w:type="dxa"/>
            </w:tcMar>
            <w:vAlign w:val="center"/>
          </w:tcPr>
          <w:p w14:paraId="16B7812C">
            <w:pPr>
              <w:spacing w:before="0" w:after="0" w:line="288" w:lineRule="auto"/>
              <w:ind w:left="0"/>
              <w:jc w:val="center"/>
            </w:pPr>
            <w:r>
              <w:rPr>
                <w:rFonts w:ascii="Times New Roman" w:hAnsi="Times New Roman" w:eastAsia="Times New Roman"/>
                <w:b/>
                <w:sz w:val="20"/>
              </w:rPr>
              <w:t>Variable</w:t>
            </w:r>
          </w:p>
        </w:tc>
        <w:tc>
          <w:tcPr>
            <w:tcW w:w="1944" w:type="dxa"/>
            <w:tcBorders>
              <w:top w:val="single" w:color="000000" w:sz="8" w:space="0"/>
              <w:left w:val="nil"/>
              <w:bottom w:val="single" w:color="000000" w:sz="8" w:space="0"/>
              <w:right w:val="nil"/>
              <w:insideH w:val="nil"/>
              <w:insideV w:val="nil"/>
            </w:tcBorders>
            <w:tcMar>
              <w:top w:w="35" w:type="dxa"/>
              <w:left w:w="35" w:type="dxa"/>
              <w:bottom w:w="35" w:type="dxa"/>
              <w:right w:w="35" w:type="dxa"/>
            </w:tcMar>
            <w:vAlign w:val="center"/>
          </w:tcPr>
          <w:p w14:paraId="4F58331C">
            <w:pPr>
              <w:spacing w:before="0" w:after="0" w:line="288" w:lineRule="auto"/>
              <w:ind w:left="0"/>
              <w:jc w:val="center"/>
            </w:pPr>
            <w:r>
              <w:rPr>
                <w:rFonts w:ascii="Times New Roman" w:hAnsi="Times New Roman" w:eastAsia="Times New Roman"/>
                <w:b/>
                <w:sz w:val="20"/>
              </w:rPr>
              <w:t>IDVP OR (95% CI)</w:t>
            </w:r>
          </w:p>
        </w:tc>
        <w:tc>
          <w:tcPr>
            <w:tcW w:w="1152" w:type="dxa"/>
            <w:tcBorders>
              <w:top w:val="single" w:color="000000" w:sz="8" w:space="0"/>
              <w:left w:val="nil"/>
              <w:bottom w:val="single" w:color="000000" w:sz="8" w:space="0"/>
              <w:right w:val="nil"/>
              <w:insideH w:val="nil"/>
              <w:insideV w:val="nil"/>
            </w:tcBorders>
            <w:tcMar>
              <w:top w:w="35" w:type="dxa"/>
              <w:left w:w="35" w:type="dxa"/>
              <w:bottom w:w="35" w:type="dxa"/>
              <w:right w:w="35" w:type="dxa"/>
            </w:tcMar>
            <w:vAlign w:val="center"/>
          </w:tcPr>
          <w:p w14:paraId="27079D39">
            <w:pPr>
              <w:spacing w:before="0" w:after="0" w:line="288" w:lineRule="auto"/>
              <w:ind w:left="0"/>
              <w:jc w:val="center"/>
            </w:pPr>
            <w:r>
              <w:rPr>
                <w:rFonts w:ascii="Times New Roman" w:hAnsi="Times New Roman" w:eastAsia="Times New Roman"/>
                <w:b/>
                <w:sz w:val="20"/>
              </w:rPr>
              <w:t>IDVP P value</w:t>
            </w:r>
          </w:p>
        </w:tc>
        <w:tc>
          <w:tcPr>
            <w:tcW w:w="1944" w:type="dxa"/>
            <w:tcBorders>
              <w:top w:val="single" w:color="000000" w:sz="8" w:space="0"/>
              <w:left w:val="nil"/>
              <w:bottom w:val="single" w:color="000000" w:sz="8" w:space="0"/>
              <w:right w:val="nil"/>
              <w:insideH w:val="nil"/>
              <w:insideV w:val="nil"/>
            </w:tcBorders>
            <w:tcMar>
              <w:top w:w="35" w:type="dxa"/>
              <w:left w:w="35" w:type="dxa"/>
              <w:bottom w:w="35" w:type="dxa"/>
              <w:right w:w="35" w:type="dxa"/>
            </w:tcMar>
            <w:vAlign w:val="center"/>
          </w:tcPr>
          <w:p w14:paraId="764AE781">
            <w:pPr>
              <w:spacing w:before="0" w:after="0" w:line="288" w:lineRule="auto"/>
              <w:ind w:left="0"/>
              <w:jc w:val="center"/>
            </w:pPr>
            <w:r>
              <w:rPr>
                <w:rFonts w:ascii="Times New Roman" w:hAnsi="Times New Roman" w:eastAsia="Times New Roman"/>
                <w:b/>
                <w:sz w:val="20"/>
              </w:rPr>
              <w:t>FJVP OR (95% CI)</w:t>
            </w:r>
          </w:p>
        </w:tc>
        <w:tc>
          <w:tcPr>
            <w:tcW w:w="1152" w:type="dxa"/>
            <w:tcBorders>
              <w:top w:val="single" w:color="000000" w:sz="8" w:space="0"/>
              <w:left w:val="nil"/>
              <w:bottom w:val="single" w:color="000000" w:sz="8" w:space="0"/>
              <w:right w:val="nil"/>
              <w:insideH w:val="nil"/>
              <w:insideV w:val="nil"/>
            </w:tcBorders>
            <w:tcMar>
              <w:top w:w="35" w:type="dxa"/>
              <w:left w:w="35" w:type="dxa"/>
              <w:bottom w:w="35" w:type="dxa"/>
              <w:right w:w="35" w:type="dxa"/>
            </w:tcMar>
            <w:vAlign w:val="center"/>
          </w:tcPr>
          <w:p w14:paraId="09C75AD2">
            <w:pPr>
              <w:spacing w:before="0" w:after="0" w:line="288" w:lineRule="auto"/>
              <w:ind w:left="0"/>
              <w:jc w:val="center"/>
            </w:pPr>
            <w:r>
              <w:rPr>
                <w:rFonts w:ascii="Times New Roman" w:hAnsi="Times New Roman" w:eastAsia="Times New Roman"/>
                <w:b/>
                <w:sz w:val="20"/>
              </w:rPr>
              <w:t>FJVP P value</w:t>
            </w:r>
          </w:p>
        </w:tc>
      </w:tr>
      <w:tr w14:paraId="04111F3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2EA9B0A3">
            <w:pPr>
              <w:spacing w:before="0" w:after="0" w:line="288" w:lineRule="auto"/>
              <w:ind w:left="0"/>
              <w:jc w:val="center"/>
            </w:pPr>
            <w:r>
              <w:rPr>
                <w:rFonts w:ascii="Times New Roman" w:hAnsi="Times New Roman" w:eastAsia="Times New Roman" w:cs="Arial"/>
                <w:sz w:val="20"/>
              </w:rPr>
              <w:t>Age (per 5-year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D6D02F1">
            <w:pPr>
              <w:spacing w:before="0" w:after="0" w:line="288" w:lineRule="auto"/>
              <w:ind w:left="0"/>
              <w:jc w:val="center"/>
            </w:pPr>
            <w:r>
              <w:rPr>
                <w:rFonts w:ascii="Times New Roman" w:hAnsi="Times New Roman" w:eastAsia="Times New Roman" w:cs="Arial"/>
                <w:sz w:val="20"/>
              </w:rPr>
              <w:t>1.189 (1.023-1.382)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32279F8D">
            <w:pPr>
              <w:spacing w:before="0" w:after="0" w:line="288" w:lineRule="auto"/>
              <w:ind w:left="0"/>
              <w:jc w:val="center"/>
            </w:pPr>
            <w:r>
              <w:rPr>
                <w:rFonts w:ascii="Times New Roman" w:hAnsi="Times New Roman" w:eastAsia="Times New Roman" w:cs="Arial"/>
                <w:sz w:val="20"/>
              </w:rPr>
              <w:t>0.024</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4414BC2">
            <w:pPr>
              <w:spacing w:before="0" w:after="0" w:line="288" w:lineRule="auto"/>
              <w:ind w:left="0"/>
              <w:jc w:val="center"/>
            </w:pPr>
            <w:r>
              <w:rPr>
                <w:rFonts w:ascii="Times New Roman" w:hAnsi="Times New Roman" w:eastAsia="Times New Roman" w:cs="Arial"/>
                <w:sz w:val="20"/>
              </w:rPr>
              <w:t>1.256 (1.078-1.463)</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407E23C4">
            <w:pPr>
              <w:spacing w:before="0" w:after="0" w:line="288" w:lineRule="auto"/>
              <w:ind w:left="0"/>
              <w:jc w:val="center"/>
            </w:pPr>
            <w:r>
              <w:rPr>
                <w:rFonts w:ascii="Times New Roman" w:hAnsi="Times New Roman" w:eastAsia="Times New Roman" w:cs="Arial"/>
                <w:sz w:val="20"/>
              </w:rPr>
              <w:t>0.003</w:t>
            </w:r>
          </w:p>
        </w:tc>
      </w:tr>
      <w:tr w14:paraId="3708290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40B2D795">
            <w:pPr>
              <w:spacing w:before="0" w:after="0" w:line="288" w:lineRule="auto"/>
              <w:ind w:left="0"/>
              <w:jc w:val="center"/>
            </w:pPr>
            <w:r>
              <w:rPr>
                <w:rFonts w:ascii="Times New Roman" w:hAnsi="Times New Roman" w:eastAsia="Times New Roman" w:cs="Arial"/>
                <w:sz w:val="20"/>
              </w:rPr>
              <w:t>Female sex</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2F6FBB0C">
            <w:pPr>
              <w:spacing w:before="0" w:after="0" w:line="288" w:lineRule="auto"/>
              <w:ind w:left="0"/>
              <w:jc w:val="center"/>
            </w:pPr>
            <w:r>
              <w:rPr>
                <w:rFonts w:ascii="Times New Roman" w:hAnsi="Times New Roman" w:eastAsia="Times New Roman" w:cs="Arial"/>
                <w:sz w:val="20"/>
              </w:rPr>
              <w:t>1.112 (0.723-1.712)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7E6095AE">
            <w:pPr>
              <w:spacing w:before="0" w:after="0" w:line="288" w:lineRule="auto"/>
              <w:ind w:left="0"/>
              <w:jc w:val="center"/>
            </w:pPr>
            <w:r>
              <w:rPr>
                <w:rFonts w:ascii="Times New Roman" w:hAnsi="Times New Roman" w:eastAsia="Times New Roman" w:cs="Arial"/>
                <w:sz w:val="20"/>
              </w:rPr>
              <w:t>0.628</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068D7326">
            <w:pPr>
              <w:spacing w:before="0" w:after="0" w:line="288" w:lineRule="auto"/>
              <w:ind w:left="0"/>
              <w:jc w:val="center"/>
            </w:pPr>
            <w:r>
              <w:rPr>
                <w:rFonts w:ascii="Times New Roman" w:hAnsi="Times New Roman" w:eastAsia="Times New Roman" w:cs="Arial"/>
                <w:sz w:val="20"/>
              </w:rPr>
              <w:t>1.098 (0.702-1.715)</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45905B78">
            <w:pPr>
              <w:spacing w:before="0" w:after="0" w:line="288" w:lineRule="auto"/>
              <w:ind w:left="0"/>
              <w:jc w:val="center"/>
            </w:pPr>
            <w:r>
              <w:rPr>
                <w:rFonts w:ascii="Times New Roman" w:hAnsi="Times New Roman" w:eastAsia="Times New Roman" w:cs="Arial"/>
                <w:sz w:val="20"/>
              </w:rPr>
              <w:t>0.685</w:t>
            </w:r>
          </w:p>
        </w:tc>
      </w:tr>
      <w:tr w14:paraId="74CEB0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28D917D0">
            <w:pPr>
              <w:spacing w:before="0" w:after="0" w:line="288" w:lineRule="auto"/>
              <w:ind w:left="0"/>
              <w:jc w:val="center"/>
            </w:pPr>
            <w:r>
              <w:rPr>
                <w:rFonts w:ascii="Times New Roman" w:hAnsi="Times New Roman" w:eastAsia="Times New Roman" w:cs="Arial"/>
                <w:sz w:val="20"/>
              </w:rPr>
              <w:t>BMI (per 1 kg/m²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4F3C14EB">
            <w:pPr>
              <w:spacing w:before="0" w:after="0" w:line="288" w:lineRule="auto"/>
              <w:ind w:left="0"/>
              <w:jc w:val="center"/>
            </w:pPr>
            <w:r>
              <w:rPr>
                <w:rFonts w:ascii="Times New Roman" w:hAnsi="Times New Roman" w:eastAsia="Times New Roman" w:cs="Arial"/>
                <w:sz w:val="20"/>
              </w:rPr>
              <w:t>1.089 (1.012-1.172)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39C97474">
            <w:pPr>
              <w:spacing w:before="0" w:after="0" w:line="288" w:lineRule="auto"/>
              <w:ind w:left="0"/>
              <w:jc w:val="center"/>
            </w:pPr>
            <w:r>
              <w:rPr>
                <w:rFonts w:ascii="Times New Roman" w:hAnsi="Times New Roman" w:eastAsia="Times New Roman" w:cs="Arial"/>
                <w:sz w:val="20"/>
              </w:rPr>
              <w:t>0.023</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21783748">
            <w:pPr>
              <w:spacing w:before="0" w:after="0" w:line="288" w:lineRule="auto"/>
              <w:ind w:left="0"/>
              <w:jc w:val="center"/>
            </w:pPr>
            <w:r>
              <w:rPr>
                <w:rFonts w:ascii="Times New Roman" w:hAnsi="Times New Roman" w:eastAsia="Times New Roman" w:cs="Arial"/>
                <w:sz w:val="20"/>
              </w:rPr>
              <w:t>1.156 (1.072-1.247)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78266342">
            <w:pPr>
              <w:spacing w:before="0" w:after="0" w:line="288" w:lineRule="auto"/>
              <w:ind w:left="0"/>
              <w:jc w:val="center"/>
            </w:pPr>
            <w:r>
              <w:rPr>
                <w:rFonts w:ascii="Times New Roman" w:hAnsi="Times New Roman" w:eastAsia="Times New Roman" w:cs="Arial"/>
                <w:sz w:val="20"/>
              </w:rPr>
              <w:t>&lt;0.001</w:t>
            </w:r>
          </w:p>
        </w:tc>
      </w:tr>
      <w:tr w14:paraId="3F58F5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10838BDC">
            <w:pPr>
              <w:spacing w:before="0" w:after="0" w:line="288" w:lineRule="auto"/>
              <w:ind w:left="0"/>
              <w:jc w:val="center"/>
            </w:pPr>
            <w:r>
              <w:rPr>
                <w:rFonts w:ascii="Times New Roman" w:hAnsi="Times New Roman" w:eastAsia="Times New Roman" w:cs="Arial"/>
                <w:sz w:val="20"/>
              </w:rPr>
              <w:t>Disease duration (per 12 months)</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7A4B7281">
            <w:pPr>
              <w:spacing w:before="0" w:after="0" w:line="288" w:lineRule="auto"/>
              <w:ind w:left="0"/>
              <w:jc w:val="center"/>
            </w:pPr>
            <w:r>
              <w:rPr>
                <w:rFonts w:ascii="Times New Roman" w:hAnsi="Times New Roman" w:eastAsia="Times New Roman" w:cs="Arial"/>
                <w:sz w:val="20"/>
              </w:rPr>
              <w:t>1.045 (0.978-1.117)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6631FAC7">
            <w:pPr>
              <w:spacing w:before="0" w:after="0" w:line="288" w:lineRule="auto"/>
              <w:ind w:left="0"/>
              <w:jc w:val="center"/>
            </w:pPr>
            <w:r>
              <w:rPr>
                <w:rFonts w:ascii="Times New Roman" w:hAnsi="Times New Roman" w:eastAsia="Times New Roman" w:cs="Arial"/>
                <w:sz w:val="20"/>
              </w:rPr>
              <w:t>0.189</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3551896">
            <w:pPr>
              <w:spacing w:before="0" w:after="0" w:line="288" w:lineRule="auto"/>
              <w:ind w:left="0"/>
              <w:jc w:val="center"/>
            </w:pPr>
            <w:r>
              <w:rPr>
                <w:rFonts w:ascii="Times New Roman" w:hAnsi="Times New Roman" w:eastAsia="Times New Roman" w:cs="Arial"/>
                <w:sz w:val="20"/>
              </w:rPr>
              <w:t>1.034 (0.965-1.108)</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7974DB6A">
            <w:pPr>
              <w:spacing w:before="0" w:after="0" w:line="288" w:lineRule="auto"/>
              <w:ind w:left="0"/>
              <w:jc w:val="center"/>
            </w:pPr>
            <w:r>
              <w:rPr>
                <w:rFonts w:ascii="Times New Roman" w:hAnsi="Times New Roman" w:eastAsia="Times New Roman" w:cs="Arial"/>
                <w:sz w:val="20"/>
              </w:rPr>
              <w:t>0.324</w:t>
            </w:r>
          </w:p>
        </w:tc>
      </w:tr>
      <w:tr w14:paraId="7C1CA4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6C33BF30">
            <w:pPr>
              <w:spacing w:before="0" w:after="0" w:line="288" w:lineRule="auto"/>
              <w:ind w:left="0"/>
              <w:jc w:val="center"/>
            </w:pPr>
            <w:r>
              <w:rPr>
                <w:rFonts w:ascii="Times New Roman" w:hAnsi="Times New Roman" w:eastAsia="Times New Roman" w:cs="Arial"/>
                <w:sz w:val="20"/>
              </w:rPr>
              <w:t>BMD T-score (per 1 SD decrease)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44A10DAC">
            <w:pPr>
              <w:spacing w:before="0" w:after="0" w:line="288" w:lineRule="auto"/>
              <w:ind w:left="0"/>
              <w:jc w:val="center"/>
            </w:pPr>
            <w:r>
              <w:rPr>
                <w:rFonts w:ascii="Times New Roman" w:hAnsi="Times New Roman" w:eastAsia="Times New Roman" w:cs="Arial"/>
                <w:sz w:val="20"/>
              </w:rPr>
              <w:t>1.156 (0.923-1.447)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287E9188">
            <w:pPr>
              <w:spacing w:before="0" w:after="0" w:line="288" w:lineRule="auto"/>
              <w:ind w:left="0"/>
              <w:jc w:val="center"/>
            </w:pPr>
            <w:r>
              <w:rPr>
                <w:rFonts w:ascii="Times New Roman" w:hAnsi="Times New Roman" w:eastAsia="Times New Roman" w:cs="Arial"/>
                <w:sz w:val="20"/>
              </w:rPr>
              <w:t>0.206</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41241B0D">
            <w:pPr>
              <w:spacing w:before="0" w:after="0" w:line="288" w:lineRule="auto"/>
              <w:ind w:left="0"/>
              <w:jc w:val="center"/>
            </w:pPr>
            <w:r>
              <w:rPr>
                <w:rFonts w:ascii="Times New Roman" w:hAnsi="Times New Roman" w:eastAsia="Times New Roman" w:cs="Arial"/>
                <w:sz w:val="20"/>
              </w:rPr>
              <w:t>1.123 (0.895-1.409)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1926E899">
            <w:pPr>
              <w:spacing w:before="0" w:after="0" w:line="288" w:lineRule="auto"/>
              <w:ind w:left="0"/>
              <w:jc w:val="center"/>
            </w:pPr>
            <w:r>
              <w:rPr>
                <w:rFonts w:ascii="Times New Roman" w:hAnsi="Times New Roman" w:eastAsia="Times New Roman" w:cs="Arial"/>
                <w:sz w:val="20"/>
              </w:rPr>
              <w:t>0.318</w:t>
            </w:r>
          </w:p>
        </w:tc>
      </w:tr>
      <w:tr w14:paraId="5185FA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5694849B">
            <w:pPr>
              <w:spacing w:before="0" w:after="0" w:line="288" w:lineRule="auto"/>
              <w:ind w:left="0"/>
              <w:jc w:val="center"/>
            </w:pPr>
            <w:r>
              <w:rPr>
                <w:rFonts w:ascii="Times New Roman" w:hAnsi="Times New Roman" w:eastAsia="Times New Roman" w:cs="Arial"/>
                <w:sz w:val="20"/>
              </w:rPr>
              <w:t>Diabetes mellitus</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7184D29">
            <w:pPr>
              <w:spacing w:before="0" w:after="0" w:line="288" w:lineRule="auto"/>
              <w:ind w:left="0"/>
              <w:jc w:val="center"/>
            </w:pPr>
            <w:r>
              <w:rPr>
                <w:rFonts w:ascii="Times New Roman" w:hAnsi="Times New Roman" w:eastAsia="Times New Roman" w:cs="Arial"/>
                <w:sz w:val="20"/>
              </w:rPr>
              <w:t>1.234 (0.689-2.212)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0B5C3C7D">
            <w:pPr>
              <w:spacing w:before="0" w:after="0" w:line="288" w:lineRule="auto"/>
              <w:ind w:left="0"/>
              <w:jc w:val="center"/>
            </w:pPr>
            <w:r>
              <w:rPr>
                <w:rFonts w:ascii="Times New Roman" w:hAnsi="Times New Roman" w:eastAsia="Times New Roman" w:cs="Arial"/>
                <w:sz w:val="20"/>
              </w:rPr>
              <w:t>0.478</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58092BBD">
            <w:pPr>
              <w:spacing w:before="0" w:after="0" w:line="288" w:lineRule="auto"/>
              <w:ind w:left="0"/>
              <w:jc w:val="center"/>
            </w:pPr>
            <w:r>
              <w:rPr>
                <w:rFonts w:ascii="Times New Roman" w:hAnsi="Times New Roman" w:eastAsia="Times New Roman" w:cs="Arial"/>
                <w:sz w:val="20"/>
              </w:rPr>
              <w:t>1.256 (0.695-2.269)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46E62A72">
            <w:pPr>
              <w:spacing w:before="0" w:after="0" w:line="288" w:lineRule="auto"/>
              <w:ind w:left="0"/>
              <w:jc w:val="center"/>
            </w:pPr>
            <w:r>
              <w:rPr>
                <w:rFonts w:ascii="Times New Roman" w:hAnsi="Times New Roman" w:eastAsia="Times New Roman" w:cs="Arial"/>
                <w:sz w:val="20"/>
              </w:rPr>
              <w:t>0.448</w:t>
            </w:r>
          </w:p>
        </w:tc>
      </w:tr>
      <w:tr w14:paraId="5C907A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2AFA8E80">
            <w:pPr>
              <w:spacing w:before="0" w:after="0" w:line="288" w:lineRule="auto"/>
              <w:ind w:left="0"/>
              <w:jc w:val="center"/>
            </w:pPr>
            <w:r>
              <w:rPr>
                <w:rFonts w:ascii="Times New Roman" w:hAnsi="Times New Roman" w:eastAsia="Times New Roman" w:cs="Arial"/>
                <w:sz w:val="20"/>
              </w:rPr>
              <w:t>Smoking history</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EA44693">
            <w:pPr>
              <w:spacing w:before="0" w:after="0" w:line="288" w:lineRule="auto"/>
              <w:ind w:left="0"/>
              <w:jc w:val="center"/>
            </w:pPr>
            <w:r>
              <w:rPr>
                <w:rFonts w:ascii="Times New Roman" w:hAnsi="Times New Roman" w:eastAsia="Times New Roman" w:cs="Arial"/>
                <w:sz w:val="20"/>
              </w:rPr>
              <w:t>0.987 (0.578-1.685)</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0D70903A">
            <w:pPr>
              <w:spacing w:before="0" w:after="0" w:line="288" w:lineRule="auto"/>
              <w:ind w:left="0"/>
              <w:jc w:val="center"/>
            </w:pPr>
            <w:r>
              <w:rPr>
                <w:rFonts w:ascii="Times New Roman" w:hAnsi="Times New Roman" w:eastAsia="Times New Roman" w:cs="Arial"/>
                <w:sz w:val="20"/>
              </w:rPr>
              <w:t>0.962</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19446B8">
            <w:pPr>
              <w:spacing w:before="0" w:after="0" w:line="288" w:lineRule="auto"/>
              <w:ind w:left="0"/>
              <w:jc w:val="center"/>
            </w:pPr>
            <w:r>
              <w:rPr>
                <w:rFonts w:ascii="Times New Roman" w:hAnsi="Times New Roman" w:eastAsia="Times New Roman" w:cs="Arial"/>
                <w:sz w:val="20"/>
              </w:rPr>
              <w:t>1.123 (0.654-1.928)</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6BB54232">
            <w:pPr>
              <w:spacing w:before="0" w:after="0" w:line="288" w:lineRule="auto"/>
              <w:ind w:left="0"/>
              <w:jc w:val="center"/>
            </w:pPr>
            <w:r>
              <w:rPr>
                <w:rFonts w:ascii="Times New Roman" w:hAnsi="Times New Roman" w:eastAsia="Times New Roman" w:cs="Arial"/>
                <w:sz w:val="20"/>
              </w:rPr>
              <w:t>0.678</w:t>
            </w:r>
          </w:p>
        </w:tc>
      </w:tr>
      <w:tr w14:paraId="668F4BA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2030C2D3">
            <w:pPr>
              <w:spacing w:before="0" w:after="0" w:line="288" w:lineRule="auto"/>
              <w:ind w:left="0"/>
              <w:jc w:val="center"/>
            </w:pPr>
            <w:r>
              <w:rPr>
                <w:rFonts w:ascii="Times New Roman" w:hAnsi="Times New Roman" w:eastAsia="Times New Roman" w:cs="Arial"/>
                <w:sz w:val="20"/>
              </w:rPr>
              <w:t>Disc height (per 1 mm decrease)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30C6FB7">
            <w:pPr>
              <w:spacing w:before="0" w:after="0" w:line="288" w:lineRule="auto"/>
              <w:ind w:left="0"/>
              <w:jc w:val="center"/>
            </w:pPr>
            <w:r>
              <w:rPr>
                <w:rFonts w:ascii="Times New Roman" w:hAnsi="Times New Roman" w:eastAsia="Times New Roman" w:cs="Arial"/>
                <w:sz w:val="20"/>
              </w:rPr>
              <w:t>3.876 (2.654-5.662)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29E5B06E">
            <w:pPr>
              <w:spacing w:before="0" w:after="0" w:line="288" w:lineRule="auto"/>
              <w:ind w:left="0"/>
              <w:jc w:val="center"/>
            </w:pPr>
            <w:r>
              <w:rPr>
                <w:rFonts w:ascii="Times New Roman" w:hAnsi="Times New Roman" w:eastAsia="Times New Roman" w:cs="Arial"/>
                <w:sz w:val="20"/>
              </w:rPr>
              <w:t>&lt;0.001</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2A117CF8">
            <w:pPr>
              <w:spacing w:before="0" w:after="0" w:line="288" w:lineRule="auto"/>
              <w:ind w:left="0"/>
              <w:jc w:val="center"/>
            </w:pPr>
            <w:r>
              <w:rPr>
                <w:rFonts w:ascii="Times New Roman" w:hAnsi="Times New Roman" w:eastAsia="Times New Roman" w:cs="Arial"/>
                <w:sz w:val="20"/>
              </w:rPr>
              <w:t>1.567 (1.098-2.237)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0AC406D2">
            <w:pPr>
              <w:spacing w:before="0" w:after="0" w:line="288" w:lineRule="auto"/>
              <w:ind w:left="0"/>
              <w:jc w:val="center"/>
            </w:pPr>
            <w:r>
              <w:rPr>
                <w:rFonts w:ascii="Times New Roman" w:hAnsi="Times New Roman" w:eastAsia="Times New Roman" w:cs="Arial"/>
                <w:sz w:val="20"/>
              </w:rPr>
              <w:t>0.013</w:t>
            </w:r>
          </w:p>
        </w:tc>
      </w:tr>
      <w:tr w14:paraId="625BE9B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7603B196">
            <w:pPr>
              <w:spacing w:before="0" w:after="0" w:line="288" w:lineRule="auto"/>
              <w:ind w:left="0"/>
              <w:jc w:val="center"/>
            </w:pPr>
            <w:r>
              <w:rPr>
                <w:rFonts w:ascii="Times New Roman" w:hAnsi="Times New Roman" w:eastAsia="Times New Roman" w:cs="Arial"/>
                <w:sz w:val="20"/>
              </w:rPr>
              <w:t>Pfirrmann grade (per grade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A88F68D">
            <w:pPr>
              <w:spacing w:before="0" w:after="0" w:line="288" w:lineRule="auto"/>
              <w:ind w:left="0"/>
              <w:jc w:val="center"/>
            </w:pPr>
            <w:r>
              <w:rPr>
                <w:rFonts w:ascii="Times New Roman" w:hAnsi="Times New Roman" w:eastAsia="Times New Roman" w:cs="Arial"/>
                <w:sz w:val="20"/>
              </w:rPr>
              <w:t>2.567 (1.876-3.512)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1D1C9EAF">
            <w:pPr>
              <w:spacing w:before="0" w:after="0" w:line="288" w:lineRule="auto"/>
              <w:ind w:left="0"/>
              <w:jc w:val="center"/>
            </w:pPr>
            <w:r>
              <w:rPr>
                <w:rFonts w:ascii="Times New Roman" w:hAnsi="Times New Roman" w:eastAsia="Times New Roman" w:cs="Arial"/>
                <w:sz w:val="20"/>
              </w:rPr>
              <w:t>&lt;0.001</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77E406F5">
            <w:pPr>
              <w:spacing w:before="0" w:after="0" w:line="288" w:lineRule="auto"/>
              <w:ind w:left="0"/>
              <w:jc w:val="center"/>
            </w:pPr>
            <w:r>
              <w:rPr>
                <w:rFonts w:ascii="Times New Roman" w:hAnsi="Times New Roman" w:eastAsia="Times New Roman" w:cs="Arial"/>
                <w:sz w:val="20"/>
              </w:rPr>
              <w:t>1.567 (1.145-2.143)</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1B001D6A">
            <w:pPr>
              <w:spacing w:before="0" w:after="0" w:line="288" w:lineRule="auto"/>
              <w:ind w:left="0"/>
              <w:jc w:val="center"/>
            </w:pPr>
            <w:r>
              <w:rPr>
                <w:rFonts w:ascii="Times New Roman" w:hAnsi="Times New Roman" w:eastAsia="Times New Roman" w:cs="Arial"/>
                <w:sz w:val="20"/>
              </w:rPr>
              <w:t>0.005</w:t>
            </w:r>
          </w:p>
        </w:tc>
      </w:tr>
      <w:tr w14:paraId="7621AFD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6B1F0161">
            <w:pPr>
              <w:spacing w:before="0" w:after="0" w:line="288" w:lineRule="auto"/>
              <w:ind w:left="0"/>
              <w:jc w:val="center"/>
            </w:pPr>
            <w:r>
              <w:rPr>
                <w:rFonts w:ascii="Times New Roman" w:hAnsi="Times New Roman" w:eastAsia="Times New Roman" w:cs="Arial"/>
                <w:sz w:val="20"/>
              </w:rPr>
              <w:t>Facet degeneration grade (per grade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54E7C71">
            <w:pPr>
              <w:spacing w:before="0" w:after="0" w:line="288" w:lineRule="auto"/>
              <w:ind w:left="0"/>
              <w:jc w:val="center"/>
            </w:pPr>
            <w:r>
              <w:rPr>
                <w:rFonts w:ascii="Times New Roman" w:hAnsi="Times New Roman" w:eastAsia="Times New Roman" w:cs="Arial"/>
                <w:sz w:val="20"/>
              </w:rPr>
              <w:t>1.456 (1.123-1.889)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3DB17AB3">
            <w:pPr>
              <w:spacing w:before="0" w:after="0" w:line="288" w:lineRule="auto"/>
              <w:ind w:left="0"/>
              <w:jc w:val="center"/>
            </w:pPr>
            <w:r>
              <w:rPr>
                <w:rFonts w:ascii="Times New Roman" w:hAnsi="Times New Roman" w:eastAsia="Times New Roman" w:cs="Arial"/>
                <w:sz w:val="20"/>
              </w:rPr>
              <w:t>0.005</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81D9603">
            <w:pPr>
              <w:spacing w:before="0" w:after="0" w:line="288" w:lineRule="auto"/>
              <w:ind w:left="0"/>
              <w:jc w:val="center"/>
            </w:pPr>
            <w:r>
              <w:rPr>
                <w:rFonts w:ascii="Times New Roman" w:hAnsi="Times New Roman" w:eastAsia="Times New Roman" w:cs="Arial"/>
                <w:sz w:val="20"/>
              </w:rPr>
              <w:t>3.245 (2.345-4.492)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018BD657">
            <w:pPr>
              <w:spacing w:before="0" w:after="0" w:line="288" w:lineRule="auto"/>
              <w:ind w:left="0"/>
              <w:jc w:val="center"/>
            </w:pPr>
            <w:r>
              <w:rPr>
                <w:rFonts w:ascii="Times New Roman" w:hAnsi="Times New Roman" w:eastAsia="Times New Roman" w:cs="Arial"/>
                <w:sz w:val="20"/>
              </w:rPr>
              <w:t>&lt;0.001</w:t>
            </w:r>
          </w:p>
        </w:tc>
      </w:tr>
      <w:tr w14:paraId="49FDAD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7A662079">
            <w:pPr>
              <w:spacing w:before="0" w:after="0" w:line="288" w:lineRule="auto"/>
              <w:ind w:left="0"/>
              <w:jc w:val="center"/>
            </w:pPr>
            <w:r>
              <w:rPr>
                <w:rFonts w:ascii="Times New Roman" w:hAnsi="Times New Roman" w:eastAsia="Times New Roman" w:cs="Arial"/>
                <w:sz w:val="20"/>
              </w:rPr>
              <w:t>Moderate/severe facet effusion</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0735863A">
            <w:pPr>
              <w:spacing w:before="0" w:after="0" w:line="288" w:lineRule="auto"/>
              <w:ind w:left="0"/>
              <w:jc w:val="center"/>
            </w:pPr>
            <w:r>
              <w:rPr>
                <w:rFonts w:ascii="Times New Roman" w:hAnsi="Times New Roman" w:eastAsia="Times New Roman" w:cs="Arial"/>
                <w:sz w:val="20"/>
              </w:rPr>
              <w:t>1.678 (1.123-2.509)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084E8B55">
            <w:pPr>
              <w:spacing w:before="0" w:after="0" w:line="288" w:lineRule="auto"/>
              <w:ind w:left="0"/>
              <w:jc w:val="center"/>
            </w:pPr>
            <w:r>
              <w:rPr>
                <w:rFonts w:ascii="Times New Roman" w:hAnsi="Times New Roman" w:eastAsia="Times New Roman" w:cs="Arial"/>
                <w:sz w:val="20"/>
              </w:rPr>
              <w:t>0.012</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581BBDE0">
            <w:pPr>
              <w:spacing w:before="0" w:after="0" w:line="288" w:lineRule="auto"/>
              <w:ind w:left="0"/>
              <w:jc w:val="center"/>
            </w:pPr>
            <w:r>
              <w:rPr>
                <w:rFonts w:ascii="Times New Roman" w:hAnsi="Times New Roman" w:eastAsia="Times New Roman" w:cs="Arial"/>
                <w:sz w:val="20"/>
              </w:rPr>
              <w:t>5.234 (3.721-7.362)</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41FB65CA">
            <w:pPr>
              <w:spacing w:before="0" w:after="0" w:line="288" w:lineRule="auto"/>
              <w:ind w:left="0"/>
              <w:jc w:val="center"/>
            </w:pPr>
            <w:r>
              <w:rPr>
                <w:rFonts w:ascii="Times New Roman" w:hAnsi="Times New Roman" w:eastAsia="Times New Roman" w:cs="Arial"/>
                <w:sz w:val="20"/>
              </w:rPr>
              <w:t>&lt;0.001</w:t>
            </w:r>
          </w:p>
        </w:tc>
      </w:tr>
      <w:tr w14:paraId="32A529B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3481A68F">
            <w:pPr>
              <w:spacing w:before="0" w:after="0" w:line="288" w:lineRule="auto"/>
              <w:ind w:left="0"/>
              <w:jc w:val="center"/>
            </w:pPr>
            <w:r>
              <w:rPr>
                <w:rFonts w:ascii="Times New Roman" w:hAnsi="Times New Roman" w:eastAsia="Times New Roman" w:cs="Arial"/>
                <w:sz w:val="20"/>
              </w:rPr>
              <w:t>Slippage percentage (per 5%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4E2C754E">
            <w:pPr>
              <w:spacing w:before="0" w:after="0" w:line="288" w:lineRule="auto"/>
              <w:ind w:left="0"/>
              <w:jc w:val="center"/>
            </w:pPr>
            <w:r>
              <w:rPr>
                <w:rFonts w:ascii="Times New Roman" w:hAnsi="Times New Roman" w:eastAsia="Times New Roman" w:cs="Arial"/>
                <w:sz w:val="20"/>
              </w:rPr>
              <w:t>1.876 (1.365-2.578)</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778E5E91">
            <w:pPr>
              <w:spacing w:before="0" w:after="0" w:line="288" w:lineRule="auto"/>
              <w:ind w:left="0"/>
              <w:jc w:val="center"/>
            </w:pPr>
            <w:r>
              <w:rPr>
                <w:rFonts w:ascii="Times New Roman" w:hAnsi="Times New Roman" w:eastAsia="Times New Roman" w:cs="Arial"/>
                <w:sz w:val="20"/>
              </w:rPr>
              <w:t>&lt;0.001</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311F1E23">
            <w:pPr>
              <w:spacing w:before="0" w:after="0" w:line="288" w:lineRule="auto"/>
              <w:ind w:left="0"/>
              <w:jc w:val="center"/>
            </w:pPr>
            <w:r>
              <w:rPr>
                <w:rFonts w:ascii="Times New Roman" w:hAnsi="Times New Roman" w:eastAsia="Times New Roman" w:cs="Arial"/>
                <w:sz w:val="20"/>
              </w:rPr>
              <w:t>1.567 (1.134-2.165)</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553FBC16">
            <w:pPr>
              <w:spacing w:before="0" w:after="0" w:line="288" w:lineRule="auto"/>
              <w:ind w:left="0"/>
              <w:jc w:val="center"/>
            </w:pPr>
            <w:r>
              <w:rPr>
                <w:rFonts w:ascii="Times New Roman" w:hAnsi="Times New Roman" w:eastAsia="Times New Roman" w:cs="Arial"/>
                <w:sz w:val="20"/>
              </w:rPr>
              <w:t>0.006</w:t>
            </w:r>
          </w:p>
        </w:tc>
      </w:tr>
      <w:tr w14:paraId="5C1474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395472BB">
            <w:pPr>
              <w:spacing w:before="0" w:after="0" w:line="288" w:lineRule="auto"/>
              <w:ind w:left="0"/>
              <w:jc w:val="center"/>
            </w:pPr>
            <w:r>
              <w:rPr>
                <w:rFonts w:ascii="Times New Roman" w:hAnsi="Times New Roman" w:eastAsia="Times New Roman" w:cs="Arial"/>
                <w:sz w:val="20"/>
              </w:rPr>
              <w:t>Flexion-extension translation (per 2%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78C78C7A">
            <w:pPr>
              <w:spacing w:before="0" w:after="0" w:line="288" w:lineRule="auto"/>
              <w:ind w:left="0"/>
              <w:jc w:val="center"/>
            </w:pPr>
            <w:r>
              <w:rPr>
                <w:rFonts w:ascii="Times New Roman" w:hAnsi="Times New Roman" w:eastAsia="Times New Roman" w:cs="Arial"/>
                <w:sz w:val="20"/>
              </w:rPr>
              <w:t>1.567 (1.234-1.990)</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2072DCAF">
            <w:pPr>
              <w:spacing w:before="0" w:after="0" w:line="288" w:lineRule="auto"/>
              <w:ind w:left="0"/>
              <w:jc w:val="center"/>
            </w:pPr>
            <w:r>
              <w:rPr>
                <w:rFonts w:ascii="Times New Roman" w:hAnsi="Times New Roman" w:eastAsia="Times New Roman" w:cs="Arial"/>
                <w:sz w:val="20"/>
              </w:rPr>
              <w:t>&lt;0.001</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925D3E0">
            <w:pPr>
              <w:spacing w:before="0" w:after="0" w:line="288" w:lineRule="auto"/>
              <w:ind w:left="0"/>
              <w:jc w:val="center"/>
            </w:pPr>
            <w:r>
              <w:rPr>
                <w:rFonts w:ascii="Times New Roman" w:hAnsi="Times New Roman" w:eastAsia="Times New Roman" w:cs="Arial"/>
                <w:sz w:val="20"/>
              </w:rPr>
              <w:t>1.678 (1.312-2.147)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3CCD0848">
            <w:pPr>
              <w:spacing w:before="0" w:after="0" w:line="288" w:lineRule="auto"/>
              <w:ind w:left="0"/>
              <w:jc w:val="center"/>
            </w:pPr>
            <w:r>
              <w:rPr>
                <w:rFonts w:ascii="Times New Roman" w:hAnsi="Times New Roman" w:eastAsia="Times New Roman" w:cs="Arial"/>
                <w:sz w:val="20"/>
              </w:rPr>
              <w:t>&lt;0.001</w:t>
            </w:r>
          </w:p>
        </w:tc>
      </w:tr>
      <w:tr w14:paraId="2970528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3F4C6F23">
            <w:pPr>
              <w:spacing w:before="0" w:after="0" w:line="288" w:lineRule="auto"/>
              <w:ind w:left="0"/>
              <w:jc w:val="center"/>
            </w:pPr>
            <w:r>
              <w:rPr>
                <w:rFonts w:ascii="Times New Roman" w:hAnsi="Times New Roman" w:eastAsia="Times New Roman" w:cs="Arial"/>
                <w:sz w:val="20"/>
              </w:rPr>
              <w:t>Angular motion (per 2°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38E7F359">
            <w:pPr>
              <w:spacing w:before="0" w:after="0" w:line="288" w:lineRule="auto"/>
              <w:ind w:left="0"/>
              <w:jc w:val="center"/>
            </w:pPr>
            <w:r>
              <w:rPr>
                <w:rFonts w:ascii="Times New Roman" w:hAnsi="Times New Roman" w:eastAsia="Times New Roman" w:cs="Arial"/>
                <w:sz w:val="20"/>
              </w:rPr>
              <w:t>1.567 (1.165-2.109)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4F069134">
            <w:pPr>
              <w:spacing w:before="0" w:after="0" w:line="288" w:lineRule="auto"/>
              <w:ind w:left="0"/>
              <w:jc w:val="center"/>
            </w:pPr>
            <w:r>
              <w:rPr>
                <w:rFonts w:ascii="Times New Roman" w:hAnsi="Times New Roman" w:eastAsia="Times New Roman" w:cs="Arial"/>
                <w:sz w:val="20"/>
              </w:rPr>
              <w:t>0.003</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29A3B5A6">
            <w:pPr>
              <w:spacing w:before="0" w:after="0" w:line="288" w:lineRule="auto"/>
              <w:ind w:left="0"/>
              <w:jc w:val="center"/>
            </w:pPr>
            <w:r>
              <w:rPr>
                <w:rFonts w:ascii="Times New Roman" w:hAnsi="Times New Roman" w:eastAsia="Times New Roman" w:cs="Arial"/>
                <w:sz w:val="20"/>
              </w:rPr>
              <w:t>2.876 (2.056-4.023)</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36525D03">
            <w:pPr>
              <w:spacing w:before="0" w:after="0" w:line="288" w:lineRule="auto"/>
              <w:ind w:left="0"/>
              <w:jc w:val="center"/>
            </w:pPr>
            <w:r>
              <w:rPr>
                <w:rFonts w:ascii="Times New Roman" w:hAnsi="Times New Roman" w:eastAsia="Times New Roman" w:cs="Arial"/>
                <w:sz w:val="20"/>
              </w:rPr>
              <w:t>&lt;0.001</w:t>
            </w:r>
          </w:p>
        </w:tc>
      </w:tr>
      <w:tr w14:paraId="4C4231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2D0599EF">
            <w:pPr>
              <w:spacing w:before="0" w:after="0" w:line="288" w:lineRule="auto"/>
              <w:ind w:left="0"/>
              <w:jc w:val="center"/>
            </w:pPr>
            <w:r>
              <w:rPr>
                <w:rFonts w:ascii="Times New Roman" w:hAnsi="Times New Roman" w:eastAsia="Times New Roman" w:cs="Arial"/>
                <w:sz w:val="20"/>
              </w:rPr>
              <w:t>Multifidus rfCSA (per 0.1 decrease)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08CCB911">
            <w:pPr>
              <w:spacing w:before="0" w:after="0" w:line="288" w:lineRule="auto"/>
              <w:ind w:left="0"/>
              <w:jc w:val="center"/>
            </w:pPr>
            <w:r>
              <w:rPr>
                <w:rFonts w:ascii="Times New Roman" w:hAnsi="Times New Roman" w:eastAsia="Times New Roman" w:cs="Arial"/>
                <w:sz w:val="20"/>
              </w:rPr>
              <w:t>1.567 (1.123-2.187)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5C9313C3">
            <w:pPr>
              <w:spacing w:before="0" w:after="0" w:line="288" w:lineRule="auto"/>
              <w:ind w:left="0"/>
              <w:jc w:val="center"/>
            </w:pPr>
            <w:r>
              <w:rPr>
                <w:rFonts w:ascii="Times New Roman" w:hAnsi="Times New Roman" w:eastAsia="Times New Roman" w:cs="Arial"/>
                <w:sz w:val="20"/>
              </w:rPr>
              <w:t>0.008</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C4E40B5">
            <w:pPr>
              <w:spacing w:before="0" w:after="0" w:line="288" w:lineRule="auto"/>
              <w:ind w:left="0"/>
              <w:jc w:val="center"/>
            </w:pPr>
            <w:r>
              <w:rPr>
                <w:rFonts w:ascii="Times New Roman" w:hAnsi="Times New Roman" w:eastAsia="Times New Roman" w:cs="Arial"/>
                <w:sz w:val="20"/>
              </w:rPr>
              <w:t>2.234 (1.587-3.147)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36E0E612">
            <w:pPr>
              <w:spacing w:before="0" w:after="0" w:line="288" w:lineRule="auto"/>
              <w:ind w:left="0"/>
              <w:jc w:val="center"/>
            </w:pPr>
            <w:r>
              <w:rPr>
                <w:rFonts w:ascii="Times New Roman" w:hAnsi="Times New Roman" w:eastAsia="Times New Roman" w:cs="Arial"/>
                <w:sz w:val="20"/>
              </w:rPr>
              <w:t>&lt;0.001</w:t>
            </w:r>
          </w:p>
        </w:tc>
      </w:tr>
      <w:tr w14:paraId="67DA2C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392B8DD4">
            <w:pPr>
              <w:spacing w:before="0" w:after="0" w:line="288" w:lineRule="auto"/>
              <w:ind w:left="0"/>
              <w:jc w:val="center"/>
            </w:pPr>
            <w:r>
              <w:rPr>
                <w:rFonts w:ascii="Times New Roman" w:hAnsi="Times New Roman" w:eastAsia="Times New Roman" w:cs="Arial"/>
                <w:sz w:val="20"/>
              </w:rPr>
              <w:t>Multifidus FI (per 5%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444878E4">
            <w:pPr>
              <w:spacing w:before="0" w:after="0" w:line="288" w:lineRule="auto"/>
              <w:ind w:left="0"/>
              <w:jc w:val="center"/>
            </w:pPr>
            <w:r>
              <w:rPr>
                <w:rFonts w:ascii="Times New Roman" w:hAnsi="Times New Roman" w:eastAsia="Times New Roman" w:cs="Arial"/>
                <w:sz w:val="20"/>
              </w:rPr>
              <w:t>1.456 (1.234-1.718)</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6DF4CBD7">
            <w:pPr>
              <w:spacing w:before="0" w:after="0" w:line="288" w:lineRule="auto"/>
              <w:ind w:left="0"/>
              <w:jc w:val="center"/>
            </w:pPr>
            <w:r>
              <w:rPr>
                <w:rFonts w:ascii="Times New Roman" w:hAnsi="Times New Roman" w:eastAsia="Times New Roman" w:cs="Arial"/>
                <w:sz w:val="20"/>
              </w:rPr>
              <w:t>&lt;0.001</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5FFF0C47">
            <w:pPr>
              <w:spacing w:before="0" w:after="0" w:line="288" w:lineRule="auto"/>
              <w:ind w:left="0"/>
              <w:jc w:val="center"/>
            </w:pPr>
            <w:r>
              <w:rPr>
                <w:rFonts w:ascii="Times New Roman" w:hAnsi="Times New Roman" w:eastAsia="Times New Roman" w:cs="Arial"/>
                <w:sz w:val="20"/>
              </w:rPr>
              <w:t>1.789 (1.456-2.198)</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15D2B0BD">
            <w:pPr>
              <w:spacing w:before="0" w:after="0" w:line="288" w:lineRule="auto"/>
              <w:ind w:left="0"/>
              <w:jc w:val="center"/>
            </w:pPr>
            <w:r>
              <w:rPr>
                <w:rFonts w:ascii="Times New Roman" w:hAnsi="Times New Roman" w:eastAsia="Times New Roman" w:cs="Arial"/>
                <w:sz w:val="20"/>
              </w:rPr>
              <w:t>&lt;0.001</w:t>
            </w:r>
          </w:p>
        </w:tc>
      </w:tr>
      <w:tr w14:paraId="7D1EFB1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7390120F">
            <w:pPr>
              <w:spacing w:before="0" w:after="0" w:line="288" w:lineRule="auto"/>
              <w:ind w:left="0"/>
              <w:jc w:val="center"/>
            </w:pPr>
            <w:r>
              <w:rPr>
                <w:rFonts w:ascii="Times New Roman" w:hAnsi="Times New Roman" w:eastAsia="Times New Roman" w:cs="Arial"/>
                <w:sz w:val="20"/>
              </w:rPr>
              <w:t>Goutallier grade (per grade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70D9A09">
            <w:pPr>
              <w:spacing w:before="0" w:after="0" w:line="288" w:lineRule="auto"/>
              <w:ind w:left="0"/>
              <w:jc w:val="center"/>
            </w:pPr>
            <w:r>
              <w:rPr>
                <w:rFonts w:ascii="Times New Roman" w:hAnsi="Times New Roman" w:eastAsia="Times New Roman" w:cs="Arial"/>
                <w:sz w:val="20"/>
              </w:rPr>
              <w:t>1.456 (1.165-1.820)</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64A41276">
            <w:pPr>
              <w:spacing w:before="0" w:after="0" w:line="288" w:lineRule="auto"/>
              <w:ind w:left="0"/>
              <w:jc w:val="center"/>
            </w:pPr>
            <w:r>
              <w:rPr>
                <w:rFonts w:ascii="Times New Roman" w:hAnsi="Times New Roman" w:eastAsia="Times New Roman" w:cs="Arial"/>
                <w:sz w:val="20"/>
              </w:rPr>
              <w:t>0.001</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5C1A37D9">
            <w:pPr>
              <w:spacing w:before="0" w:after="0" w:line="288" w:lineRule="auto"/>
              <w:ind w:left="0"/>
              <w:jc w:val="center"/>
            </w:pPr>
            <w:r>
              <w:rPr>
                <w:rFonts w:ascii="Times New Roman" w:hAnsi="Times New Roman" w:eastAsia="Times New Roman" w:cs="Arial"/>
                <w:sz w:val="20"/>
              </w:rPr>
              <w:t>1.876 (1.487-2.367)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5CDBFD44">
            <w:pPr>
              <w:spacing w:before="0" w:after="0" w:line="288" w:lineRule="auto"/>
              <w:ind w:left="0"/>
              <w:jc w:val="center"/>
            </w:pPr>
            <w:r>
              <w:rPr>
                <w:rFonts w:ascii="Times New Roman" w:hAnsi="Times New Roman" w:eastAsia="Times New Roman" w:cs="Arial"/>
                <w:sz w:val="20"/>
              </w:rPr>
              <w:t>&lt;0.001</w:t>
            </w:r>
          </w:p>
        </w:tc>
      </w:tr>
      <w:tr w14:paraId="081116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06527A06">
            <w:pPr>
              <w:spacing w:before="0" w:after="0" w:line="288" w:lineRule="auto"/>
              <w:ind w:left="0"/>
              <w:jc w:val="center"/>
            </w:pPr>
            <w:r>
              <w:rPr>
                <w:rFonts w:ascii="Times New Roman" w:hAnsi="Times New Roman" w:eastAsia="Times New Roman" w:cs="Arial"/>
                <w:sz w:val="20"/>
              </w:rPr>
              <w:t>PMI (per 1 cm²/m² decrease)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1448841">
            <w:pPr>
              <w:spacing w:before="0" w:after="0" w:line="288" w:lineRule="auto"/>
              <w:ind w:left="0"/>
              <w:jc w:val="center"/>
            </w:pPr>
            <w:r>
              <w:rPr>
                <w:rFonts w:ascii="Times New Roman" w:hAnsi="Times New Roman" w:eastAsia="Times New Roman" w:cs="Arial"/>
                <w:sz w:val="20"/>
              </w:rPr>
              <w:t>1.123 (0.923-1.367)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620D04F9">
            <w:pPr>
              <w:spacing w:before="0" w:after="0" w:line="288" w:lineRule="auto"/>
              <w:ind w:left="0"/>
              <w:jc w:val="center"/>
            </w:pPr>
            <w:r>
              <w:rPr>
                <w:rFonts w:ascii="Times New Roman" w:hAnsi="Times New Roman" w:eastAsia="Times New Roman" w:cs="Arial"/>
                <w:sz w:val="20"/>
              </w:rPr>
              <w:t>0.245</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380BEE94">
            <w:pPr>
              <w:spacing w:before="0" w:after="0" w:line="288" w:lineRule="auto"/>
              <w:ind w:left="0"/>
              <w:jc w:val="center"/>
            </w:pPr>
            <w:r>
              <w:rPr>
                <w:rFonts w:ascii="Times New Roman" w:hAnsi="Times New Roman" w:eastAsia="Times New Roman" w:cs="Arial"/>
                <w:sz w:val="20"/>
              </w:rPr>
              <w:t>1.089 (0.892-1.329)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531929FF">
            <w:pPr>
              <w:spacing w:before="0" w:after="0" w:line="288" w:lineRule="auto"/>
              <w:ind w:left="0"/>
              <w:jc w:val="center"/>
            </w:pPr>
            <w:r>
              <w:rPr>
                <w:rFonts w:ascii="Times New Roman" w:hAnsi="Times New Roman" w:eastAsia="Times New Roman" w:cs="Arial"/>
                <w:sz w:val="20"/>
              </w:rPr>
              <w:t>0.412</w:t>
            </w:r>
          </w:p>
        </w:tc>
      </w:tr>
      <w:tr w14:paraId="1BDDD5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450EB99F">
            <w:pPr>
              <w:spacing w:before="0" w:after="0" w:line="288" w:lineRule="auto"/>
              <w:ind w:left="0"/>
              <w:jc w:val="center"/>
            </w:pPr>
            <w:r>
              <w:rPr>
                <w:rFonts w:ascii="Times New Roman" w:hAnsi="Times New Roman" w:eastAsia="Times New Roman" w:cs="Arial"/>
                <w:sz w:val="20"/>
              </w:rPr>
              <w:t>Ligamentum flavum thickness (per 1 mm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352E045E">
            <w:pPr>
              <w:spacing w:before="0" w:after="0" w:line="288" w:lineRule="auto"/>
              <w:ind w:left="0"/>
              <w:jc w:val="center"/>
            </w:pPr>
            <w:r>
              <w:rPr>
                <w:rFonts w:ascii="Times New Roman" w:hAnsi="Times New Roman" w:eastAsia="Times New Roman" w:cs="Arial"/>
                <w:sz w:val="20"/>
              </w:rPr>
              <w:t>1.567 (1.165-2.109)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554AD05A">
            <w:pPr>
              <w:spacing w:before="0" w:after="0" w:line="288" w:lineRule="auto"/>
              <w:ind w:left="0"/>
              <w:jc w:val="center"/>
            </w:pPr>
            <w:r>
              <w:rPr>
                <w:rFonts w:ascii="Times New Roman" w:hAnsi="Times New Roman" w:eastAsia="Times New Roman" w:cs="Arial"/>
                <w:sz w:val="20"/>
              </w:rPr>
              <w:t>0.003</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D5D9FBA">
            <w:pPr>
              <w:spacing w:before="0" w:after="0" w:line="288" w:lineRule="auto"/>
              <w:ind w:left="0"/>
              <w:jc w:val="center"/>
            </w:pPr>
            <w:r>
              <w:rPr>
                <w:rFonts w:ascii="Times New Roman" w:hAnsi="Times New Roman" w:eastAsia="Times New Roman" w:cs="Arial"/>
                <w:sz w:val="20"/>
              </w:rPr>
              <w:t>1.876 (1.387-2.537)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5C81492B">
            <w:pPr>
              <w:spacing w:before="0" w:after="0" w:line="288" w:lineRule="auto"/>
              <w:ind w:left="0"/>
              <w:jc w:val="center"/>
            </w:pPr>
            <w:r>
              <w:rPr>
                <w:rFonts w:ascii="Times New Roman" w:hAnsi="Times New Roman" w:eastAsia="Times New Roman" w:cs="Arial"/>
                <w:sz w:val="20"/>
              </w:rPr>
              <w:t>&lt;0.001</w:t>
            </w:r>
          </w:p>
        </w:tc>
      </w:tr>
      <w:tr w14:paraId="7D10A27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76BFC315">
            <w:pPr>
              <w:spacing w:before="0" w:after="0" w:line="288" w:lineRule="auto"/>
              <w:ind w:left="0"/>
              <w:jc w:val="center"/>
            </w:pPr>
            <w:r>
              <w:rPr>
                <w:rFonts w:ascii="Times New Roman" w:hAnsi="Times New Roman" w:eastAsia="Times New Roman" w:cs="Arial"/>
                <w:sz w:val="20"/>
              </w:rPr>
              <w:t>Lumbar lordosis (per 5° decrease)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1338654B">
            <w:pPr>
              <w:spacing w:before="0" w:after="0" w:line="288" w:lineRule="auto"/>
              <w:ind w:left="0"/>
              <w:jc w:val="center"/>
            </w:pPr>
            <w:r>
              <w:rPr>
                <w:rFonts w:ascii="Times New Roman" w:hAnsi="Times New Roman" w:eastAsia="Times New Roman" w:cs="Arial"/>
                <w:sz w:val="20"/>
              </w:rPr>
              <w:t>1.123 (0.923-1.367)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7CA3902C">
            <w:pPr>
              <w:spacing w:before="0" w:after="0" w:line="288" w:lineRule="auto"/>
              <w:ind w:left="0"/>
              <w:jc w:val="center"/>
            </w:pPr>
            <w:r>
              <w:rPr>
                <w:rFonts w:ascii="Times New Roman" w:hAnsi="Times New Roman" w:eastAsia="Times New Roman" w:cs="Arial"/>
                <w:sz w:val="20"/>
              </w:rPr>
              <w:t>0.245</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97ACA23">
            <w:pPr>
              <w:spacing w:before="0" w:after="0" w:line="288" w:lineRule="auto"/>
              <w:ind w:left="0"/>
              <w:jc w:val="center"/>
            </w:pPr>
            <w:r>
              <w:rPr>
                <w:rFonts w:ascii="Times New Roman" w:hAnsi="Times New Roman" w:eastAsia="Times New Roman" w:cs="Arial"/>
                <w:sz w:val="20"/>
              </w:rPr>
              <w:t>1.056 (0.867-1.287)</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05798B40">
            <w:pPr>
              <w:spacing w:before="0" w:after="0" w:line="288" w:lineRule="auto"/>
              <w:ind w:left="0"/>
              <w:jc w:val="center"/>
            </w:pPr>
            <w:r>
              <w:rPr>
                <w:rFonts w:ascii="Times New Roman" w:hAnsi="Times New Roman" w:eastAsia="Times New Roman" w:cs="Arial"/>
                <w:sz w:val="20"/>
              </w:rPr>
              <w:t>0.578</w:t>
            </w:r>
          </w:p>
        </w:tc>
      </w:tr>
      <w:tr w14:paraId="78A824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nil"/>
              <w:right w:val="nil"/>
              <w:insideH w:val="nil"/>
              <w:insideV w:val="nil"/>
            </w:tcBorders>
            <w:tcMar>
              <w:top w:w="35" w:type="dxa"/>
              <w:left w:w="35" w:type="dxa"/>
              <w:bottom w:w="35" w:type="dxa"/>
              <w:right w:w="35" w:type="dxa"/>
            </w:tcMar>
            <w:vAlign w:val="center"/>
          </w:tcPr>
          <w:p w14:paraId="7EA0083D">
            <w:pPr>
              <w:spacing w:before="0" w:after="0" w:line="288" w:lineRule="auto"/>
              <w:ind w:left="0"/>
              <w:jc w:val="center"/>
            </w:pPr>
            <w:r>
              <w:rPr>
                <w:rFonts w:ascii="Times New Roman" w:hAnsi="Times New Roman" w:eastAsia="Times New Roman" w:cs="Arial"/>
                <w:sz w:val="20"/>
              </w:rPr>
              <w:t>Pelvic incidence (per 5° increase)</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6970F1BE">
            <w:pPr>
              <w:spacing w:before="0" w:after="0" w:line="288" w:lineRule="auto"/>
              <w:ind w:left="0"/>
              <w:jc w:val="center"/>
            </w:pPr>
            <w:r>
              <w:rPr>
                <w:rFonts w:ascii="Times New Roman" w:hAnsi="Times New Roman" w:eastAsia="Times New Roman" w:cs="Arial"/>
                <w:sz w:val="20"/>
              </w:rPr>
              <w:t>1.056 (0.876-1.273)</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743FB37C">
            <w:pPr>
              <w:spacing w:before="0" w:after="0" w:line="288" w:lineRule="auto"/>
              <w:ind w:left="0"/>
              <w:jc w:val="center"/>
            </w:pPr>
            <w:r>
              <w:rPr>
                <w:rFonts w:ascii="Times New Roman" w:hAnsi="Times New Roman" w:eastAsia="Times New Roman" w:cs="Arial"/>
                <w:sz w:val="20"/>
              </w:rPr>
              <w:t>0.567</w:t>
            </w:r>
          </w:p>
        </w:tc>
        <w:tc>
          <w:tcPr>
            <w:tcW w:w="1944" w:type="dxa"/>
            <w:tcBorders>
              <w:top w:val="nil"/>
              <w:left w:val="nil"/>
              <w:bottom w:val="nil"/>
              <w:right w:val="nil"/>
              <w:insideH w:val="nil"/>
              <w:insideV w:val="nil"/>
            </w:tcBorders>
            <w:tcMar>
              <w:top w:w="35" w:type="dxa"/>
              <w:left w:w="35" w:type="dxa"/>
              <w:bottom w:w="35" w:type="dxa"/>
              <w:right w:w="35" w:type="dxa"/>
            </w:tcMar>
            <w:vAlign w:val="center"/>
          </w:tcPr>
          <w:p w14:paraId="3E7134D8">
            <w:pPr>
              <w:spacing w:before="0" w:after="0" w:line="288" w:lineRule="auto"/>
              <w:ind w:left="0"/>
              <w:jc w:val="center"/>
            </w:pPr>
            <w:r>
              <w:rPr>
                <w:rFonts w:ascii="Times New Roman" w:hAnsi="Times New Roman" w:eastAsia="Times New Roman" w:cs="Arial"/>
                <w:sz w:val="20"/>
              </w:rPr>
              <w:t>1.034 (0.856-1.249)</w:t>
            </w:r>
          </w:p>
        </w:tc>
        <w:tc>
          <w:tcPr>
            <w:tcW w:w="1152" w:type="dxa"/>
            <w:tcBorders>
              <w:top w:val="nil"/>
              <w:left w:val="nil"/>
              <w:bottom w:val="nil"/>
              <w:right w:val="nil"/>
              <w:insideH w:val="nil"/>
              <w:insideV w:val="nil"/>
            </w:tcBorders>
            <w:tcMar>
              <w:top w:w="35" w:type="dxa"/>
              <w:left w:w="35" w:type="dxa"/>
              <w:bottom w:w="35" w:type="dxa"/>
              <w:right w:w="35" w:type="dxa"/>
            </w:tcMar>
            <w:vAlign w:val="center"/>
          </w:tcPr>
          <w:p w14:paraId="10BFDA5C">
            <w:pPr>
              <w:spacing w:before="0" w:after="0" w:line="288" w:lineRule="auto"/>
              <w:ind w:left="0"/>
              <w:jc w:val="center"/>
            </w:pPr>
            <w:r>
              <w:rPr>
                <w:rFonts w:ascii="Times New Roman" w:hAnsi="Times New Roman" w:eastAsia="Times New Roman" w:cs="Arial"/>
                <w:sz w:val="20"/>
              </w:rPr>
              <w:t>0.734</w:t>
            </w:r>
          </w:p>
        </w:tc>
      </w:tr>
      <w:tr w14:paraId="395F54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cantSplit/>
          <w:jc w:val="center"/>
        </w:trPr>
        <w:tc>
          <w:tcPr>
            <w:tcW w:w="2592" w:type="dxa"/>
            <w:tcBorders>
              <w:top w:val="nil"/>
              <w:left w:val="nil"/>
              <w:bottom w:val="single" w:color="000000" w:sz="8" w:space="0"/>
              <w:right w:val="nil"/>
              <w:insideH w:val="nil"/>
              <w:insideV w:val="nil"/>
            </w:tcBorders>
            <w:tcMar>
              <w:top w:w="35" w:type="dxa"/>
              <w:left w:w="35" w:type="dxa"/>
              <w:bottom w:w="35" w:type="dxa"/>
              <w:right w:w="35" w:type="dxa"/>
            </w:tcMar>
            <w:vAlign w:val="center"/>
          </w:tcPr>
          <w:p w14:paraId="581601A5">
            <w:pPr>
              <w:spacing w:before="0" w:after="0" w:line="288" w:lineRule="auto"/>
              <w:ind w:left="0"/>
              <w:jc w:val="center"/>
            </w:pPr>
            <w:r>
              <w:rPr>
                <w:rFonts w:ascii="Times New Roman" w:hAnsi="Times New Roman" w:eastAsia="Times New Roman" w:cs="Arial"/>
                <w:sz w:val="20"/>
              </w:rPr>
              <w:t>PI-LL mismatch (per 5° increase)</w:t>
            </w:r>
          </w:p>
        </w:tc>
        <w:tc>
          <w:tcPr>
            <w:tcW w:w="1944" w:type="dxa"/>
            <w:tcBorders>
              <w:top w:val="nil"/>
              <w:left w:val="nil"/>
              <w:bottom w:val="single" w:color="000000" w:sz="8" w:space="0"/>
              <w:right w:val="nil"/>
              <w:insideH w:val="nil"/>
              <w:insideV w:val="nil"/>
            </w:tcBorders>
            <w:tcMar>
              <w:top w:w="35" w:type="dxa"/>
              <w:left w:w="35" w:type="dxa"/>
              <w:bottom w:w="35" w:type="dxa"/>
              <w:right w:w="35" w:type="dxa"/>
            </w:tcMar>
            <w:vAlign w:val="center"/>
          </w:tcPr>
          <w:p w14:paraId="0B3D5F61">
            <w:pPr>
              <w:spacing w:before="0" w:after="0" w:line="288" w:lineRule="auto"/>
              <w:ind w:left="0"/>
              <w:jc w:val="center"/>
            </w:pPr>
            <w:r>
              <w:rPr>
                <w:rFonts w:ascii="Times New Roman" w:hAnsi="Times New Roman" w:eastAsia="Times New Roman" w:cs="Arial"/>
                <w:sz w:val="20"/>
              </w:rPr>
              <w:t>1.345 (1.098-1.648)</w:t>
            </w:r>
          </w:p>
        </w:tc>
        <w:tc>
          <w:tcPr>
            <w:tcW w:w="1152" w:type="dxa"/>
            <w:tcBorders>
              <w:top w:val="nil"/>
              <w:left w:val="nil"/>
              <w:bottom w:val="single" w:color="000000" w:sz="8" w:space="0"/>
              <w:right w:val="nil"/>
              <w:insideH w:val="nil"/>
              <w:insideV w:val="nil"/>
            </w:tcBorders>
            <w:tcMar>
              <w:top w:w="35" w:type="dxa"/>
              <w:left w:w="35" w:type="dxa"/>
              <w:bottom w:w="35" w:type="dxa"/>
              <w:right w:w="35" w:type="dxa"/>
            </w:tcMar>
            <w:vAlign w:val="center"/>
          </w:tcPr>
          <w:p w14:paraId="3940B45E">
            <w:pPr>
              <w:spacing w:before="0" w:after="0" w:line="288" w:lineRule="auto"/>
              <w:ind w:left="0"/>
              <w:jc w:val="center"/>
            </w:pPr>
            <w:r>
              <w:rPr>
                <w:rFonts w:ascii="Times New Roman" w:hAnsi="Times New Roman" w:eastAsia="Times New Roman" w:cs="Arial"/>
                <w:sz w:val="20"/>
              </w:rPr>
              <w:t>0.005</w:t>
            </w:r>
          </w:p>
        </w:tc>
        <w:tc>
          <w:tcPr>
            <w:tcW w:w="1944" w:type="dxa"/>
            <w:tcBorders>
              <w:top w:val="nil"/>
              <w:left w:val="nil"/>
              <w:bottom w:val="single" w:color="000000" w:sz="8" w:space="0"/>
              <w:right w:val="nil"/>
              <w:insideH w:val="nil"/>
              <w:insideV w:val="nil"/>
            </w:tcBorders>
            <w:tcMar>
              <w:top w:w="35" w:type="dxa"/>
              <w:left w:w="35" w:type="dxa"/>
              <w:bottom w:w="35" w:type="dxa"/>
              <w:right w:w="35" w:type="dxa"/>
            </w:tcMar>
            <w:vAlign w:val="center"/>
          </w:tcPr>
          <w:p w14:paraId="5CEC621F">
            <w:pPr>
              <w:spacing w:before="0" w:after="0" w:line="288" w:lineRule="auto"/>
              <w:ind w:left="0"/>
              <w:jc w:val="center"/>
            </w:pPr>
            <w:r>
              <w:rPr>
                <w:rFonts w:ascii="Times New Roman" w:hAnsi="Times New Roman" w:eastAsia="Times New Roman" w:cs="Arial"/>
                <w:sz w:val="20"/>
              </w:rPr>
              <w:t>1.234 (1.005-1.515)</w:t>
            </w:r>
          </w:p>
        </w:tc>
        <w:tc>
          <w:tcPr>
            <w:tcW w:w="1152" w:type="dxa"/>
            <w:tcBorders>
              <w:top w:val="nil"/>
              <w:left w:val="nil"/>
              <w:bottom w:val="single" w:color="000000" w:sz="8" w:space="0"/>
              <w:right w:val="nil"/>
              <w:insideH w:val="nil"/>
              <w:insideV w:val="nil"/>
            </w:tcBorders>
            <w:tcMar>
              <w:top w:w="35" w:type="dxa"/>
              <w:left w:w="35" w:type="dxa"/>
              <w:bottom w:w="35" w:type="dxa"/>
              <w:right w:w="35" w:type="dxa"/>
            </w:tcMar>
            <w:vAlign w:val="center"/>
          </w:tcPr>
          <w:p w14:paraId="36189143">
            <w:pPr>
              <w:spacing w:before="0" w:after="0" w:line="288" w:lineRule="auto"/>
              <w:ind w:left="0"/>
              <w:jc w:val="center"/>
            </w:pPr>
            <w:r>
              <w:rPr>
                <w:rFonts w:ascii="Times New Roman" w:hAnsi="Times New Roman" w:eastAsia="Times New Roman" w:cs="Arial"/>
                <w:sz w:val="20"/>
              </w:rPr>
              <w:t>0.045</w:t>
            </w:r>
          </w:p>
        </w:tc>
      </w:tr>
    </w:tbl>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