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C25C" w14:textId="77777777" w:rsidR="004F4B40" w:rsidRDefault="004F4B40" w:rsidP="004F4B40">
      <w:pPr>
        <w:spacing w:before="240" w:after="240"/>
        <w:jc w:val="both"/>
      </w:pPr>
    </w:p>
    <w:p w14:paraId="7AF40DF9" w14:textId="77777777" w:rsidR="004F4B40" w:rsidRDefault="004F4B40" w:rsidP="004F4B40">
      <w:pPr>
        <w:spacing w:line="240" w:lineRule="auto"/>
        <w:jc w:val="center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bCs/>
          <w:sz w:val="32"/>
          <w:szCs w:val="32"/>
        </w:rPr>
        <w:t>CARE CHECKLIST</w:t>
      </w:r>
    </w:p>
    <w:p w14:paraId="7FC8FF64" w14:textId="77777777" w:rsidR="004F4B40" w:rsidRDefault="004F4B40" w:rsidP="004F4B40">
      <w:pPr>
        <w:spacing w:line="240" w:lineRule="auto"/>
        <w:jc w:val="center"/>
        <w:rPr>
          <w:rFonts w:ascii="Liberation Sans" w:eastAsia="Liberation Sans" w:hAnsi="Liberation Sans" w:cs="Liberation Sans"/>
          <w:sz w:val="19"/>
          <w:szCs w:val="19"/>
        </w:rPr>
      </w:pPr>
    </w:p>
    <w:p w14:paraId="5CFA9BEF" w14:textId="77777777" w:rsidR="004F4B40" w:rsidRDefault="004F4B40" w:rsidP="004F4B40">
      <w:pPr>
        <w:spacing w:line="240" w:lineRule="auto"/>
        <w:jc w:val="center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sz w:val="19"/>
          <w:szCs w:val="19"/>
        </w:rPr>
        <w:t>Manuscript: When COVID-19 Coagulopathy Masks Thrombotic Thrombocytopenic Purpura: An Atypical Presentation with Multifocal Cerebral Infarction - A Case Report</w:t>
      </w:r>
    </w:p>
    <w:p w14:paraId="153CFC5D" w14:textId="77777777" w:rsidR="004F4B40" w:rsidRDefault="004F4B40" w:rsidP="004F4B40">
      <w:pPr>
        <w:spacing w:before="80" w:after="120" w:line="240" w:lineRule="auto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i/>
          <w:iCs/>
          <w:sz w:val="17"/>
          <w:szCs w:val="17"/>
        </w:rPr>
        <w:t>Line references correspond to the authors’ latest manuscript with continuous line numbering (lines 1-371). “X” indicates that the item is reported; “N/A” means not applicable or not available.</w:t>
      </w:r>
    </w:p>
    <w:tbl>
      <w:tblPr>
        <w:tblW w:w="10800" w:type="dxa"/>
        <w:jc w:val="center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4" w:space="0" w:color="B7C3D0"/>
          <w:insideV w:val="single" w:sz="4" w:space="0" w:color="B7C3D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680"/>
        <w:gridCol w:w="6080"/>
        <w:gridCol w:w="760"/>
        <w:gridCol w:w="1600"/>
      </w:tblGrid>
      <w:tr w:rsidR="004F4B40" w14:paraId="45DE8F68" w14:textId="77777777" w:rsidTr="00655EB6">
        <w:trPr>
          <w:tblHeader/>
          <w:jc w:val="center"/>
        </w:trPr>
        <w:tc>
          <w:tcPr>
            <w:tcW w:w="1680" w:type="dxa"/>
            <w:shd w:val="clear" w:color="auto" w:fill="1F4E79"/>
            <w:tcMar>
              <w:top w:w="85" w:type="dxa"/>
              <w:bottom w:w="85" w:type="dxa"/>
            </w:tcMar>
            <w:vAlign w:val="center"/>
          </w:tcPr>
          <w:p w14:paraId="5FAA3BC6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7"/>
                <w:szCs w:val="17"/>
              </w:rPr>
              <w:t>Topic</w:t>
            </w:r>
          </w:p>
        </w:tc>
        <w:tc>
          <w:tcPr>
            <w:tcW w:w="680" w:type="dxa"/>
            <w:shd w:val="clear" w:color="auto" w:fill="1F4E79"/>
            <w:tcMar>
              <w:top w:w="85" w:type="dxa"/>
              <w:bottom w:w="85" w:type="dxa"/>
            </w:tcMar>
            <w:vAlign w:val="center"/>
          </w:tcPr>
          <w:p w14:paraId="20C3F96B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7"/>
                <w:szCs w:val="17"/>
              </w:rPr>
              <w:t>Item</w:t>
            </w:r>
          </w:p>
        </w:tc>
        <w:tc>
          <w:tcPr>
            <w:tcW w:w="6080" w:type="dxa"/>
            <w:shd w:val="clear" w:color="auto" w:fill="1F4E79"/>
            <w:tcMar>
              <w:top w:w="85" w:type="dxa"/>
              <w:bottom w:w="85" w:type="dxa"/>
            </w:tcMar>
            <w:vAlign w:val="center"/>
          </w:tcPr>
          <w:p w14:paraId="19443339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7"/>
                <w:szCs w:val="17"/>
              </w:rPr>
              <w:t>CARE checklist item</w:t>
            </w:r>
          </w:p>
        </w:tc>
        <w:tc>
          <w:tcPr>
            <w:tcW w:w="760" w:type="dxa"/>
            <w:shd w:val="clear" w:color="auto" w:fill="1F4E79"/>
            <w:tcMar>
              <w:top w:w="85" w:type="dxa"/>
              <w:bottom w:w="85" w:type="dxa"/>
            </w:tcMar>
            <w:vAlign w:val="center"/>
          </w:tcPr>
          <w:p w14:paraId="686DD1C5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7"/>
                <w:szCs w:val="17"/>
              </w:rPr>
              <w:t>Check</w:t>
            </w:r>
          </w:p>
        </w:tc>
        <w:tc>
          <w:tcPr>
            <w:tcW w:w="1600" w:type="dxa"/>
            <w:shd w:val="clear" w:color="auto" w:fill="1F4E79"/>
            <w:tcMar>
              <w:top w:w="85" w:type="dxa"/>
              <w:bottom w:w="85" w:type="dxa"/>
            </w:tcMar>
            <w:vAlign w:val="center"/>
          </w:tcPr>
          <w:p w14:paraId="58155805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7"/>
                <w:szCs w:val="17"/>
              </w:rPr>
              <w:t>Reported on line(s)</w:t>
            </w:r>
          </w:p>
        </w:tc>
      </w:tr>
      <w:tr w:rsidR="004F4B40" w14:paraId="74C13D04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6306F9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Title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B358910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1FD7EDCD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The diagnosis or intervention of primary focus followed by the words “case report.”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39CA93C9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2B945658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2-3</w:t>
            </w:r>
          </w:p>
        </w:tc>
      </w:tr>
      <w:tr w:rsidR="004F4B40" w14:paraId="312BD3F5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344EB47F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Key Words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4A6F314C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2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26C2FD30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Two to five key words that identify diagnoses or interventions in this case report, including “case report.”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2177E658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FCC718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5-6</w:t>
            </w:r>
          </w:p>
        </w:tc>
      </w:tr>
      <w:tr w:rsidR="004F4B40" w14:paraId="0613A6F6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96F3345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Abstract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3A0ED308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3a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5C2A23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Introduction: What is unique about this case and what does it add to the scientific literature?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6D5D651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48BE66D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38-45 and 53-55</w:t>
            </w:r>
          </w:p>
        </w:tc>
      </w:tr>
      <w:tr w:rsidR="004F4B40" w14:paraId="3C8A59D9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3AF8EA28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Abstract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7A3BE29C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3b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667171F5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The patient’s main concerns and/or important clinical findings.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292DA470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570A2DC2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40-45</w:t>
            </w:r>
          </w:p>
        </w:tc>
      </w:tr>
      <w:tr w:rsidR="004F4B40" w14:paraId="38F052FB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22A5A2AA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Abstract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475E1C83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3c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0078B5BF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The main diagnoses, therapeutic interventions, and outcomes.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31E0FFEF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1FC7395C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41-48</w:t>
            </w:r>
          </w:p>
        </w:tc>
      </w:tr>
      <w:tr w:rsidR="004F4B40" w14:paraId="5FE8205C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76AC2D20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Abstract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464C2726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3d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7286C6D3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Conclusion: What are the main take-away lessons from this case?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37868DAE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3FF61DF5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48-55</w:t>
            </w:r>
          </w:p>
        </w:tc>
      </w:tr>
      <w:tr w:rsidR="004F4B40" w14:paraId="6E08C5D1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72E59E3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Introduction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83B4BF4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4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15DDBE7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One or two paragraphs summarizing why this case is unique; references may be included.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6E08137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1DCA1EB5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57-74</w:t>
            </w:r>
          </w:p>
        </w:tc>
      </w:tr>
      <w:tr w:rsidR="004F4B40" w14:paraId="13B3D7B2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199C86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Patient Information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3A908FA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5a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6CA538E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De-identified patient-specific information.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AF46EA3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E454D5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76-79</w:t>
            </w:r>
          </w:p>
        </w:tc>
      </w:tr>
      <w:tr w:rsidR="004F4B40" w14:paraId="3A51CFF6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75669523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Patient Information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7B7458DF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5b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3982584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Primary concerns and symptoms of the patient.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5881599C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755789E3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77-79</w:t>
            </w:r>
          </w:p>
        </w:tc>
      </w:tr>
      <w:tr w:rsidR="004F4B40" w14:paraId="7B96041E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6FA3EC00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Patient Information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7EA1C1D2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5c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1E957F04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Medical, family, and psychosocial history, including relevant genetic information.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68367B51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0D25BB7B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76-79 (medical history; family/genetic history not reported)</w:t>
            </w:r>
          </w:p>
        </w:tc>
      </w:tr>
      <w:tr w:rsidR="004F4B40" w14:paraId="199E6A60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4528FA12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Patient Information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500E5217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5d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5070161E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Relevant past interventions and their outcomes.</w:t>
            </w:r>
          </w:p>
        </w:tc>
        <w:tc>
          <w:tcPr>
            <w:tcW w:w="760" w:type="dxa"/>
            <w:shd w:val="clear" w:color="auto" w:fill="F2F2F2"/>
            <w:tcMar>
              <w:top w:w="75" w:type="dxa"/>
              <w:bottom w:w="75" w:type="dxa"/>
            </w:tcMar>
            <w:vAlign w:val="center"/>
          </w:tcPr>
          <w:p w14:paraId="770D6DF6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59407A3D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Not applicable</w:t>
            </w:r>
          </w:p>
        </w:tc>
      </w:tr>
      <w:tr w:rsidR="004F4B40" w14:paraId="1D1D5ED2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D63B42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Clinical Findings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2502F664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6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DB3130C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Significant physical examination findings and important clinical findings.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59EEA074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328E6DF7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80-86, 117-154, and 159-175</w:t>
            </w:r>
          </w:p>
        </w:tc>
      </w:tr>
      <w:tr w:rsidR="004F4B40" w14:paraId="7D324B89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ACB59B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Timeline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363D502B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7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9394C2C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Historical and current information from this episode of care organized chronologically as a timeline.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562C29EC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75118D3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76-86, 87-102, 117-185, and 231-245</w:t>
            </w:r>
          </w:p>
        </w:tc>
      </w:tr>
      <w:tr w:rsidR="004F4B40" w14:paraId="5D79F3AD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D88D4C3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Diagnostic Assessment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5556F868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8a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4849722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Diagnostic methods, such as physical examination, laboratory testing, imaging, or surveys.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DA6B5A9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2F940B15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80-86, 87-102, 117-175, and 235-240</w:t>
            </w:r>
          </w:p>
        </w:tc>
      </w:tr>
      <w:tr w:rsidR="004F4B40" w14:paraId="042D2B99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2A8625E4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Diagnostic Assessment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776860D6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8b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7A57D6BE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Diagnostic challenges, such as access to testing, financial, or cultural factors.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16D63189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323707A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237-238, 256-263, 272-282, and 298-303</w:t>
            </w:r>
          </w:p>
        </w:tc>
      </w:tr>
      <w:tr w:rsidR="004F4B40" w14:paraId="40484E14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53EE3A3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Diagnostic Assessment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753C1B35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8c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1DECA82F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Diagnosis, including other diagnoses considered.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1AFCC428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6DFDE508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178-185 and 239-240</w:t>
            </w:r>
          </w:p>
        </w:tc>
      </w:tr>
      <w:tr w:rsidR="004F4B40" w14:paraId="0559247B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30E83DF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Diagnostic Assessment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589D16DF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8d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1D835E6D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Prognostic characteristics, where applicable.</w:t>
            </w:r>
          </w:p>
        </w:tc>
        <w:tc>
          <w:tcPr>
            <w:tcW w:w="760" w:type="dxa"/>
            <w:shd w:val="clear" w:color="auto" w:fill="F2F2F2"/>
            <w:tcMar>
              <w:top w:w="75" w:type="dxa"/>
              <w:bottom w:w="75" w:type="dxa"/>
            </w:tcMar>
            <w:vAlign w:val="center"/>
          </w:tcPr>
          <w:p w14:paraId="53CA4746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121D33CE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Not applicable</w:t>
            </w:r>
          </w:p>
        </w:tc>
      </w:tr>
      <w:tr w:rsidR="004F4B40" w14:paraId="0E01C1F7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47D93077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Therapeutic Intervention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2251E64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9a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150BE86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Types of therapeutic intervention, such as pharmacologic, surgical, preventive, or self-care.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4DE8312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756F4FF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181 and 231-243</w:t>
            </w:r>
          </w:p>
        </w:tc>
      </w:tr>
      <w:tr w:rsidR="004F4B40" w14:paraId="75E63429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747AE6B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lastRenderedPageBreak/>
              <w:t>Therapeutic Intervention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29F1C6FC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9b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3B6B768E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Administration of therapeutic interventions, including dosage, strength, frequency, or duration.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24B00A97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1093170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231-243 (including five days of plasma exchange at line 240)</w:t>
            </w:r>
          </w:p>
        </w:tc>
      </w:tr>
      <w:tr w:rsidR="004F4B40" w14:paraId="34D602B0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1B6C0EF2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Therapeutic Intervention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1B860BBE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9c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007D49D9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Changes in therapeutic interventions, with explanations.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6186CACB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0B1EBA19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178-185 and 237-243</w:t>
            </w:r>
          </w:p>
        </w:tc>
      </w:tr>
      <w:tr w:rsidR="004F4B40" w14:paraId="05B1E66E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1131D6DB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Follow-up and Outcomes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400C5CE3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10a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35543553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Clinician- and patient-assessed outcomes, if available.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A8E8837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490CA8BB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240-245</w:t>
            </w:r>
          </w:p>
        </w:tc>
      </w:tr>
      <w:tr w:rsidR="004F4B40" w14:paraId="50EC07CD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14E1AAEF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Follow-up and Outcomes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3067434E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10b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048DCED2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Important follow-up diagnostic and other test results.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4F440CB4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00A83AFF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87-102 and 239-245</w:t>
            </w:r>
          </w:p>
        </w:tc>
      </w:tr>
      <w:tr w:rsidR="004F4B40" w14:paraId="4BD65064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09F42209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Follow-up and Outcomes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75CA7B0C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10c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73DF7C02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Intervention adherence and tolerability, including how this was assessed.</w:t>
            </w:r>
          </w:p>
        </w:tc>
        <w:tc>
          <w:tcPr>
            <w:tcW w:w="760" w:type="dxa"/>
            <w:shd w:val="clear" w:color="auto" w:fill="F2F2F2"/>
            <w:tcMar>
              <w:top w:w="75" w:type="dxa"/>
              <w:bottom w:w="75" w:type="dxa"/>
            </w:tcMar>
            <w:vAlign w:val="center"/>
          </w:tcPr>
          <w:p w14:paraId="5FA55448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649F3C39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Not applicable / not reported</w:t>
            </w:r>
          </w:p>
        </w:tc>
      </w:tr>
      <w:tr w:rsidR="004F4B40" w14:paraId="3FF727F8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77D6E59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Follow-up and Outcomes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0A31D255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10d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345EB4A9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Adverse and unanticipated events.</w:t>
            </w:r>
          </w:p>
        </w:tc>
        <w:tc>
          <w:tcPr>
            <w:tcW w:w="760" w:type="dxa"/>
            <w:shd w:val="clear" w:color="auto" w:fill="F2F2F2"/>
            <w:tcMar>
              <w:top w:w="75" w:type="dxa"/>
              <w:bottom w:w="75" w:type="dxa"/>
            </w:tcMar>
            <w:vAlign w:val="center"/>
          </w:tcPr>
          <w:p w14:paraId="3045908F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77C79DA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Not applicable / none reported</w:t>
            </w:r>
          </w:p>
        </w:tc>
      </w:tr>
      <w:tr w:rsidR="004F4B40" w14:paraId="62EDA6FA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7C51FF3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Discussion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3067725D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11a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0B9B1F66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A scientific discussion of the strengths and limitations associated with this case report.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591035B7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5DE98705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256-263, 272-282, and 298-303 (diagnostic limitations/challenges)</w:t>
            </w:r>
          </w:p>
        </w:tc>
      </w:tr>
      <w:tr w:rsidR="004F4B40" w14:paraId="2BE24B7B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522BAEB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Discussion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70D9AF63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11b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6A2A692A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Discussion of the relevant medical literature, with references.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7811685D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4EDDBE8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247-292</w:t>
            </w:r>
          </w:p>
        </w:tc>
      </w:tr>
      <w:tr w:rsidR="004F4B40" w14:paraId="39E49CC8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237687C0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Discussion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154290F7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11c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35C020C2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The scientific rationale for the conclusions, including assessment of possible causes.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26B581D4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1C426335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247-303</w:t>
            </w:r>
          </w:p>
        </w:tc>
      </w:tr>
      <w:tr w:rsidR="004F4B40" w14:paraId="15848374" w14:textId="77777777" w:rsidTr="00655EB6">
        <w:trPr>
          <w:jc w:val="center"/>
        </w:trPr>
        <w:tc>
          <w:tcPr>
            <w:tcW w:w="1680" w:type="dxa"/>
            <w:tcMar>
              <w:top w:w="75" w:type="dxa"/>
              <w:bottom w:w="75" w:type="dxa"/>
            </w:tcMar>
            <w:vAlign w:val="center"/>
          </w:tcPr>
          <w:p w14:paraId="125F64CC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Discussion</w:t>
            </w:r>
          </w:p>
        </w:tc>
        <w:tc>
          <w:tcPr>
            <w:tcW w:w="680" w:type="dxa"/>
            <w:tcMar>
              <w:top w:w="75" w:type="dxa"/>
              <w:bottom w:w="75" w:type="dxa"/>
            </w:tcMar>
            <w:vAlign w:val="center"/>
          </w:tcPr>
          <w:p w14:paraId="70AAAC2A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11d</w:t>
            </w:r>
          </w:p>
        </w:tc>
        <w:tc>
          <w:tcPr>
            <w:tcW w:w="6080" w:type="dxa"/>
            <w:tcMar>
              <w:top w:w="75" w:type="dxa"/>
              <w:bottom w:w="75" w:type="dxa"/>
            </w:tcMar>
            <w:vAlign w:val="center"/>
          </w:tcPr>
          <w:p w14:paraId="5E9BC117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The primary take-away lessons of this case report, without references, in a one-paragraph conclusion.</w:t>
            </w:r>
          </w:p>
        </w:tc>
        <w:tc>
          <w:tcPr>
            <w:tcW w:w="760" w:type="dxa"/>
            <w:tcMar>
              <w:top w:w="75" w:type="dxa"/>
              <w:bottom w:w="75" w:type="dxa"/>
            </w:tcMar>
            <w:vAlign w:val="center"/>
          </w:tcPr>
          <w:p w14:paraId="184B76AF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tcMar>
              <w:top w:w="75" w:type="dxa"/>
              <w:bottom w:w="75" w:type="dxa"/>
            </w:tcMar>
            <w:vAlign w:val="center"/>
          </w:tcPr>
          <w:p w14:paraId="2214DD8F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306-314</w:t>
            </w:r>
          </w:p>
        </w:tc>
      </w:tr>
      <w:tr w:rsidR="004F4B40" w14:paraId="17EDB07B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17B3BE14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Patient Perspective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658FBCEF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12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56501B74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The patient’s perspective on the treatment(s) received.</w:t>
            </w:r>
          </w:p>
        </w:tc>
        <w:tc>
          <w:tcPr>
            <w:tcW w:w="760" w:type="dxa"/>
            <w:shd w:val="clear" w:color="auto" w:fill="F2F2F2"/>
            <w:tcMar>
              <w:top w:w="75" w:type="dxa"/>
              <w:bottom w:w="75" w:type="dxa"/>
            </w:tcMar>
            <w:vAlign w:val="center"/>
          </w:tcPr>
          <w:p w14:paraId="5A3A09EE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7F9BD2AA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Not available / not reported</w:t>
            </w:r>
          </w:p>
        </w:tc>
      </w:tr>
      <w:tr w:rsidR="004F4B40" w14:paraId="4F642604" w14:textId="77777777" w:rsidTr="00655EB6">
        <w:trPr>
          <w:jc w:val="center"/>
        </w:trPr>
        <w:tc>
          <w:tcPr>
            <w:tcW w:w="1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149827BE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Informed Consent</w:t>
            </w:r>
          </w:p>
        </w:tc>
        <w:tc>
          <w:tcPr>
            <w:tcW w:w="6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2C395B52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13</w:t>
            </w:r>
          </w:p>
        </w:tc>
        <w:tc>
          <w:tcPr>
            <w:tcW w:w="608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2F713494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7"/>
                <w:szCs w:val="17"/>
              </w:rPr>
              <w:t>Did the patient give informed consent? Provide the consent form only if requested.</w:t>
            </w:r>
          </w:p>
        </w:tc>
        <w:tc>
          <w:tcPr>
            <w:tcW w:w="76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24FAD8CD" w14:textId="77777777" w:rsidR="004F4B40" w:rsidRDefault="004F4B40" w:rsidP="00655EB6">
            <w:pPr>
              <w:spacing w:line="240" w:lineRule="auto"/>
              <w:jc w:val="center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EAF2F8"/>
            <w:tcMar>
              <w:top w:w="75" w:type="dxa"/>
              <w:bottom w:w="75" w:type="dxa"/>
            </w:tcMar>
            <w:vAlign w:val="center"/>
          </w:tcPr>
          <w:p w14:paraId="465BEB71" w14:textId="77777777" w:rsidR="004F4B40" w:rsidRDefault="004F4B40" w:rsidP="00655EB6">
            <w:pPr>
              <w:spacing w:line="240" w:lineRule="auto"/>
              <w:rPr>
                <w:rFonts w:ascii="Liberation Sans" w:eastAsia="Liberation Sans" w:hAnsi="Liberation Sans" w:cs="Liberation Sans"/>
                <w:sz w:val="19"/>
                <w:szCs w:val="19"/>
              </w:rPr>
            </w:pPr>
            <w:r>
              <w:rPr>
                <w:rFonts w:ascii="Liberation Sans" w:eastAsia="Liberation Sans" w:hAnsi="Liberation Sans" w:cs="Liberation Sans"/>
                <w:sz w:val="16"/>
                <w:szCs w:val="16"/>
              </w:rPr>
              <w:t>Lines 321-323</w:t>
            </w:r>
          </w:p>
        </w:tc>
      </w:tr>
    </w:tbl>
    <w:p w14:paraId="50134ABC" w14:textId="77777777" w:rsidR="004F4B40" w:rsidRDefault="004F4B40" w:rsidP="004F4B40">
      <w:pPr>
        <w:spacing w:before="120" w:line="240" w:lineRule="auto"/>
        <w:rPr>
          <w:rFonts w:ascii="Liberation Sans" w:eastAsia="Liberation Sans" w:hAnsi="Liberation Sans" w:cs="Liberation Sans"/>
          <w:sz w:val="19"/>
          <w:szCs w:val="19"/>
        </w:rPr>
      </w:pPr>
    </w:p>
    <w:p w14:paraId="0F26DBA0" w14:textId="77777777" w:rsidR="004F4B40" w:rsidRDefault="004F4B40" w:rsidP="004F4B40">
      <w:pPr>
        <w:jc w:val="both"/>
      </w:pPr>
    </w:p>
    <w:p w14:paraId="60C44DFC" w14:textId="77777777" w:rsidR="00E023F9" w:rsidRDefault="00E023F9"/>
    <w:sectPr w:rsidR="00E023F9" w:rsidSect="004F4B40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40"/>
    <w:rsid w:val="000C4033"/>
    <w:rsid w:val="00173ED8"/>
    <w:rsid w:val="002F50B1"/>
    <w:rsid w:val="004B42CB"/>
    <w:rsid w:val="004F4B40"/>
    <w:rsid w:val="005F2B46"/>
    <w:rsid w:val="006E1731"/>
    <w:rsid w:val="00713B53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DE314"/>
  <w15:chartTrackingRefBased/>
  <w15:docId w15:val="{538589DD-71E0-44B9-AE9F-34A1F149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B4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B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B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B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B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B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B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B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B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B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4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B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4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B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4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B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4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B4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F4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2026-08-12T10:26:00Z</dcterms:created>
  <dcterms:modified xsi:type="dcterms:W3CDTF">2026-08-12T10:26:00Z</dcterms:modified>
</cp:coreProperties>
</file>