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B5984" w14:textId="1CAAA31F" w:rsidR="00A34D0E" w:rsidRPr="00756461" w:rsidRDefault="00A34D0E" w:rsidP="00A34D0E">
      <w:pPr>
        <w:spacing w:after="120"/>
        <w:jc w:val="both"/>
        <w:rPr>
          <w:rFonts w:ascii="Arial" w:hAnsi="Arial" w:cs="Arial"/>
          <w:b/>
          <w:bCs/>
        </w:rPr>
      </w:pPr>
      <w:r>
        <w:rPr>
          <w:rFonts w:ascii="Arial" w:hAnsi="Arial" w:cs="Arial"/>
          <w:b/>
          <w:bCs/>
          <w:color w:val="000000" w:themeColor="text1"/>
        </w:rPr>
        <w:t>Table S1: Search terms</w:t>
      </w:r>
    </w:p>
    <w:tbl>
      <w:tblPr>
        <w:tblW w:w="5000" w:type="pct"/>
        <w:tblCellMar>
          <w:top w:w="15" w:type="dxa"/>
          <w:left w:w="15" w:type="dxa"/>
          <w:bottom w:w="15" w:type="dxa"/>
          <w:right w:w="15" w:type="dxa"/>
        </w:tblCellMar>
        <w:tblLook w:val="04A0" w:firstRow="1" w:lastRow="0" w:firstColumn="1" w:lastColumn="0" w:noHBand="0" w:noVBand="1"/>
      </w:tblPr>
      <w:tblGrid>
        <w:gridCol w:w="2016"/>
        <w:gridCol w:w="8174"/>
      </w:tblGrid>
      <w:tr w:rsidR="00A34D0E" w:rsidRPr="00756461" w14:paraId="30337783" w14:textId="77777777" w:rsidTr="00C81EA7">
        <w:trPr>
          <w:trHeight w:val="57"/>
        </w:trPr>
        <w:tc>
          <w:tcPr>
            <w:tcW w:w="989" w:type="pct"/>
            <w:tcBorders>
              <w:top w:val="single" w:sz="6" w:space="0" w:color="000000"/>
              <w:left w:val="single" w:sz="6" w:space="0" w:color="000000"/>
              <w:bottom w:val="single" w:sz="6" w:space="0" w:color="000000"/>
              <w:right w:val="single" w:sz="6" w:space="0" w:color="000000"/>
            </w:tcBorders>
            <w:shd w:val="clear" w:color="auto" w:fill="A5C9EB" w:themeFill="text2" w:themeFillTint="40"/>
            <w:tcMar>
              <w:top w:w="40" w:type="dxa"/>
              <w:left w:w="40" w:type="dxa"/>
              <w:bottom w:w="40" w:type="dxa"/>
              <w:right w:w="40" w:type="dxa"/>
            </w:tcMar>
            <w:vAlign w:val="bottom"/>
            <w:hideMark/>
          </w:tcPr>
          <w:p w14:paraId="2755FD63" w14:textId="77777777" w:rsidR="00A34D0E" w:rsidRPr="00756461" w:rsidRDefault="00A34D0E" w:rsidP="00C81EA7">
            <w:pPr>
              <w:spacing w:after="120"/>
              <w:jc w:val="both"/>
              <w:rPr>
                <w:rFonts w:ascii="Arial" w:hAnsi="Arial" w:cs="Arial"/>
                <w:b/>
                <w:bCs/>
                <w:sz w:val="20"/>
                <w:szCs w:val="20"/>
              </w:rPr>
            </w:pPr>
            <w:r>
              <w:rPr>
                <w:rFonts w:ascii="Arial" w:hAnsi="Arial" w:cs="Arial"/>
                <w:b/>
                <w:bCs/>
                <w:sz w:val="20"/>
                <w:szCs w:val="20"/>
              </w:rPr>
              <w:t>Area</w:t>
            </w:r>
          </w:p>
        </w:tc>
        <w:tc>
          <w:tcPr>
            <w:tcW w:w="4011" w:type="pct"/>
            <w:tcBorders>
              <w:top w:val="single" w:sz="6" w:space="0" w:color="000000"/>
              <w:left w:val="single" w:sz="6" w:space="0" w:color="000000"/>
              <w:bottom w:val="single" w:sz="6" w:space="0" w:color="000000"/>
              <w:right w:val="single" w:sz="6" w:space="0" w:color="000000"/>
            </w:tcBorders>
            <w:shd w:val="clear" w:color="auto" w:fill="A5C9EB" w:themeFill="text2" w:themeFillTint="40"/>
            <w:tcMar>
              <w:top w:w="40" w:type="dxa"/>
              <w:left w:w="40" w:type="dxa"/>
              <w:bottom w:w="40" w:type="dxa"/>
              <w:right w:w="40" w:type="dxa"/>
            </w:tcMar>
            <w:vAlign w:val="bottom"/>
            <w:hideMark/>
          </w:tcPr>
          <w:p w14:paraId="28E6901D" w14:textId="77777777" w:rsidR="00A34D0E" w:rsidRPr="00756461" w:rsidRDefault="00A34D0E" w:rsidP="00C81EA7">
            <w:pPr>
              <w:spacing w:after="120"/>
              <w:jc w:val="both"/>
              <w:rPr>
                <w:rFonts w:ascii="Arial" w:hAnsi="Arial" w:cs="Arial"/>
                <w:b/>
                <w:bCs/>
                <w:sz w:val="20"/>
                <w:szCs w:val="20"/>
              </w:rPr>
            </w:pPr>
            <w:r>
              <w:rPr>
                <w:rFonts w:ascii="Arial" w:hAnsi="Arial" w:cs="Arial"/>
                <w:b/>
                <w:bCs/>
                <w:sz w:val="20"/>
                <w:szCs w:val="20"/>
              </w:rPr>
              <w:t>Search terms</w:t>
            </w:r>
          </w:p>
        </w:tc>
      </w:tr>
      <w:tr w:rsidR="00A34D0E" w:rsidRPr="00756461" w14:paraId="1BF05A14" w14:textId="77777777" w:rsidTr="00C81EA7">
        <w:trPr>
          <w:trHeight w:val="57"/>
        </w:trPr>
        <w:tc>
          <w:tcPr>
            <w:tcW w:w="989"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17CA14D" w14:textId="77777777" w:rsidR="00A34D0E" w:rsidRPr="00756461" w:rsidRDefault="00A34D0E" w:rsidP="00C81EA7">
            <w:pPr>
              <w:spacing w:after="120"/>
              <w:jc w:val="both"/>
              <w:rPr>
                <w:rFonts w:ascii="Arial" w:hAnsi="Arial" w:cs="Arial"/>
                <w:b/>
                <w:bCs/>
                <w:sz w:val="20"/>
                <w:szCs w:val="20"/>
              </w:rPr>
            </w:pPr>
            <w:r>
              <w:rPr>
                <w:rFonts w:ascii="Arial" w:hAnsi="Arial" w:cs="Arial"/>
                <w:b/>
                <w:bCs/>
                <w:sz w:val="20"/>
                <w:szCs w:val="20"/>
              </w:rPr>
              <w:t>Population (P)</w:t>
            </w:r>
          </w:p>
        </w:tc>
        <w:tc>
          <w:tcPr>
            <w:tcW w:w="4011"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544D01A" w14:textId="77777777" w:rsidR="00A34D0E" w:rsidRPr="00756461" w:rsidRDefault="00A34D0E" w:rsidP="00C81EA7">
            <w:pPr>
              <w:spacing w:after="120"/>
              <w:jc w:val="both"/>
              <w:rPr>
                <w:rFonts w:ascii="Arial" w:hAnsi="Arial" w:cs="Arial"/>
                <w:b/>
                <w:bCs/>
                <w:sz w:val="20"/>
                <w:szCs w:val="20"/>
              </w:rPr>
            </w:pPr>
            <w:r>
              <w:rPr>
                <w:rFonts w:ascii="Arial" w:hAnsi="Arial" w:cs="Arial"/>
                <w:sz w:val="20"/>
                <w:szCs w:val="20"/>
              </w:rPr>
              <w:t xml:space="preserve">"stillbirth*” </w:t>
            </w:r>
            <w:r>
              <w:rPr>
                <w:rFonts w:ascii="Arial" w:hAnsi="Arial" w:cs="Arial"/>
                <w:b/>
                <w:bCs/>
                <w:sz w:val="20"/>
                <w:szCs w:val="20"/>
              </w:rPr>
              <w:t>OR</w:t>
            </w:r>
            <w:r>
              <w:rPr>
                <w:rFonts w:ascii="Arial" w:hAnsi="Arial" w:cs="Arial"/>
                <w:sz w:val="20"/>
                <w:szCs w:val="20"/>
              </w:rPr>
              <w:t xml:space="preserve"> “Neonatal death*” </w:t>
            </w:r>
            <w:r>
              <w:rPr>
                <w:rFonts w:ascii="Arial" w:hAnsi="Arial" w:cs="Arial"/>
                <w:b/>
                <w:bCs/>
                <w:sz w:val="20"/>
                <w:szCs w:val="20"/>
              </w:rPr>
              <w:t>OR</w:t>
            </w:r>
            <w:r>
              <w:rPr>
                <w:rFonts w:ascii="Arial" w:hAnsi="Arial" w:cs="Arial"/>
                <w:sz w:val="20"/>
                <w:szCs w:val="20"/>
              </w:rPr>
              <w:t xml:space="preserve"> “Neonatal mortality”, “Neonatal loss” </w:t>
            </w:r>
            <w:r>
              <w:rPr>
                <w:rFonts w:ascii="Arial" w:hAnsi="Arial" w:cs="Arial"/>
                <w:b/>
                <w:bCs/>
                <w:sz w:val="20"/>
                <w:szCs w:val="20"/>
              </w:rPr>
              <w:t>OR</w:t>
            </w:r>
            <w:r>
              <w:rPr>
                <w:rFonts w:ascii="Arial" w:hAnsi="Arial" w:cs="Arial"/>
                <w:sz w:val="20"/>
                <w:szCs w:val="20"/>
              </w:rPr>
              <w:t xml:space="preserve"> “</w:t>
            </w:r>
            <w:proofErr w:type="gramStart"/>
            <w:r>
              <w:rPr>
                <w:rFonts w:ascii="Arial" w:hAnsi="Arial" w:cs="Arial"/>
                <w:sz w:val="20"/>
                <w:szCs w:val="20"/>
              </w:rPr>
              <w:t>f?etal</w:t>
            </w:r>
            <w:proofErr w:type="gramEnd"/>
            <w:r>
              <w:rPr>
                <w:rFonts w:ascii="Arial" w:hAnsi="Arial" w:cs="Arial"/>
                <w:sz w:val="20"/>
                <w:szCs w:val="20"/>
              </w:rPr>
              <w:t xml:space="preserve"> death” </w:t>
            </w:r>
            <w:r>
              <w:rPr>
                <w:rFonts w:ascii="Arial" w:hAnsi="Arial" w:cs="Arial"/>
                <w:b/>
                <w:bCs/>
                <w:sz w:val="20"/>
                <w:szCs w:val="20"/>
              </w:rPr>
              <w:t>OR</w:t>
            </w:r>
            <w:r>
              <w:rPr>
                <w:rFonts w:ascii="Arial" w:hAnsi="Arial" w:cs="Arial"/>
                <w:sz w:val="20"/>
                <w:szCs w:val="20"/>
              </w:rPr>
              <w:t xml:space="preserve"> “</w:t>
            </w:r>
            <w:proofErr w:type="gramStart"/>
            <w:r>
              <w:rPr>
                <w:rFonts w:ascii="Arial" w:hAnsi="Arial" w:cs="Arial"/>
                <w:sz w:val="20"/>
                <w:szCs w:val="20"/>
              </w:rPr>
              <w:t>f?etal</w:t>
            </w:r>
            <w:proofErr w:type="gramEnd"/>
            <w:r>
              <w:rPr>
                <w:rFonts w:ascii="Arial" w:hAnsi="Arial" w:cs="Arial"/>
                <w:sz w:val="20"/>
                <w:szCs w:val="20"/>
              </w:rPr>
              <w:t xml:space="preserve"> loss” </w:t>
            </w:r>
            <w:r>
              <w:rPr>
                <w:rFonts w:ascii="Arial" w:hAnsi="Arial" w:cs="Arial"/>
                <w:b/>
                <w:bCs/>
                <w:sz w:val="20"/>
                <w:szCs w:val="20"/>
              </w:rPr>
              <w:t>OR</w:t>
            </w:r>
            <w:r>
              <w:rPr>
                <w:rFonts w:ascii="Arial" w:hAnsi="Arial" w:cs="Arial"/>
                <w:sz w:val="20"/>
                <w:szCs w:val="20"/>
              </w:rPr>
              <w:t xml:space="preserve"> “intrauterine </w:t>
            </w:r>
            <w:proofErr w:type="gramStart"/>
            <w:r>
              <w:rPr>
                <w:rFonts w:ascii="Arial" w:hAnsi="Arial" w:cs="Arial"/>
                <w:sz w:val="20"/>
                <w:szCs w:val="20"/>
              </w:rPr>
              <w:t>f?etal</w:t>
            </w:r>
            <w:proofErr w:type="gramEnd"/>
            <w:r>
              <w:rPr>
                <w:rFonts w:ascii="Arial" w:hAnsi="Arial" w:cs="Arial"/>
                <w:sz w:val="20"/>
                <w:szCs w:val="20"/>
              </w:rPr>
              <w:t xml:space="preserve"> demise" </w:t>
            </w:r>
            <w:r>
              <w:rPr>
                <w:rFonts w:ascii="Arial" w:hAnsi="Arial" w:cs="Arial"/>
                <w:b/>
                <w:bCs/>
                <w:sz w:val="20"/>
                <w:szCs w:val="20"/>
              </w:rPr>
              <w:t>OR</w:t>
            </w:r>
            <w:r>
              <w:rPr>
                <w:rFonts w:ascii="Arial" w:hAnsi="Arial" w:cs="Arial"/>
                <w:sz w:val="20"/>
                <w:szCs w:val="20"/>
              </w:rPr>
              <w:t xml:space="preserve"> “intrauterine </w:t>
            </w:r>
            <w:proofErr w:type="gramStart"/>
            <w:r>
              <w:rPr>
                <w:rFonts w:ascii="Arial" w:hAnsi="Arial" w:cs="Arial"/>
                <w:sz w:val="20"/>
                <w:szCs w:val="20"/>
              </w:rPr>
              <w:t>f?etal</w:t>
            </w:r>
            <w:proofErr w:type="gramEnd"/>
            <w:r>
              <w:rPr>
                <w:rFonts w:ascii="Arial" w:hAnsi="Arial" w:cs="Arial"/>
                <w:sz w:val="20"/>
                <w:szCs w:val="20"/>
              </w:rPr>
              <w:t xml:space="preserve"> loss” </w:t>
            </w:r>
            <w:r>
              <w:rPr>
                <w:rFonts w:ascii="Arial" w:hAnsi="Arial" w:cs="Arial"/>
                <w:b/>
                <w:bCs/>
                <w:sz w:val="20"/>
                <w:szCs w:val="20"/>
              </w:rPr>
              <w:t>OR</w:t>
            </w:r>
            <w:r>
              <w:rPr>
                <w:rFonts w:ascii="Arial" w:hAnsi="Arial" w:cs="Arial"/>
                <w:sz w:val="20"/>
                <w:szCs w:val="20"/>
              </w:rPr>
              <w:t xml:space="preserve"> “Perinatal loss” </w:t>
            </w:r>
            <w:r>
              <w:rPr>
                <w:rFonts w:ascii="Arial" w:hAnsi="Arial" w:cs="Arial"/>
                <w:b/>
                <w:bCs/>
                <w:sz w:val="20"/>
                <w:szCs w:val="20"/>
              </w:rPr>
              <w:t xml:space="preserve">OR </w:t>
            </w:r>
            <w:r>
              <w:rPr>
                <w:rFonts w:ascii="Arial" w:hAnsi="Arial" w:cs="Arial"/>
                <w:sz w:val="20"/>
                <w:szCs w:val="20"/>
              </w:rPr>
              <w:t xml:space="preserve">“Perinatal death” </w:t>
            </w:r>
            <w:r>
              <w:rPr>
                <w:rFonts w:ascii="Arial" w:hAnsi="Arial" w:cs="Arial"/>
                <w:b/>
                <w:bCs/>
                <w:sz w:val="20"/>
                <w:szCs w:val="20"/>
              </w:rPr>
              <w:t>OR</w:t>
            </w:r>
            <w:r>
              <w:rPr>
                <w:rFonts w:ascii="Arial" w:hAnsi="Arial" w:cs="Arial"/>
                <w:sz w:val="20"/>
                <w:szCs w:val="20"/>
              </w:rPr>
              <w:t xml:space="preserve"> “Late </w:t>
            </w:r>
            <w:proofErr w:type="gramStart"/>
            <w:r>
              <w:rPr>
                <w:rFonts w:ascii="Arial" w:hAnsi="Arial" w:cs="Arial"/>
                <w:sz w:val="20"/>
                <w:szCs w:val="20"/>
              </w:rPr>
              <w:t>f?etal</w:t>
            </w:r>
            <w:proofErr w:type="gramEnd"/>
            <w:r>
              <w:rPr>
                <w:rFonts w:ascii="Arial" w:hAnsi="Arial" w:cs="Arial"/>
                <w:sz w:val="20"/>
                <w:szCs w:val="20"/>
              </w:rPr>
              <w:t xml:space="preserve"> loss”</w:t>
            </w:r>
          </w:p>
        </w:tc>
      </w:tr>
      <w:tr w:rsidR="00A34D0E" w:rsidRPr="00756461" w14:paraId="3FE7ED4D" w14:textId="77777777" w:rsidTr="00C81EA7">
        <w:trPr>
          <w:trHeight w:val="57"/>
        </w:trPr>
        <w:tc>
          <w:tcPr>
            <w:tcW w:w="989"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EBC6291" w14:textId="77777777" w:rsidR="00A34D0E" w:rsidRPr="00756461" w:rsidRDefault="00A34D0E" w:rsidP="00C81EA7">
            <w:pPr>
              <w:spacing w:after="120"/>
              <w:jc w:val="both"/>
              <w:rPr>
                <w:rFonts w:ascii="Arial" w:hAnsi="Arial" w:cs="Arial"/>
                <w:sz w:val="20"/>
                <w:szCs w:val="20"/>
              </w:rPr>
            </w:pPr>
            <w:r>
              <w:rPr>
                <w:rFonts w:ascii="Arial" w:hAnsi="Arial" w:cs="Arial"/>
                <w:b/>
                <w:bCs/>
                <w:sz w:val="20"/>
                <w:szCs w:val="20"/>
              </w:rPr>
              <w:t>Concept (C)</w:t>
            </w:r>
          </w:p>
        </w:tc>
        <w:tc>
          <w:tcPr>
            <w:tcW w:w="4011"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C1E4272" w14:textId="77777777" w:rsidR="00A34D0E" w:rsidRPr="00756461" w:rsidRDefault="00A34D0E" w:rsidP="00C81EA7">
            <w:pPr>
              <w:spacing w:after="120"/>
              <w:jc w:val="both"/>
              <w:rPr>
                <w:rFonts w:ascii="Arial" w:hAnsi="Arial" w:cs="Arial"/>
                <w:sz w:val="20"/>
                <w:szCs w:val="20"/>
                <w:cs/>
              </w:rPr>
            </w:pPr>
            <w:r>
              <w:rPr>
                <w:rFonts w:ascii="Arial" w:hAnsi="Arial" w:cs="Arial"/>
                <w:sz w:val="20"/>
                <w:szCs w:val="20"/>
              </w:rPr>
              <w:t xml:space="preserve">“Artificial intelligen*” </w:t>
            </w:r>
            <w:r>
              <w:rPr>
                <w:rFonts w:ascii="Arial" w:hAnsi="Arial" w:cs="Arial"/>
                <w:b/>
                <w:bCs/>
                <w:sz w:val="20"/>
                <w:szCs w:val="20"/>
              </w:rPr>
              <w:t>OR</w:t>
            </w:r>
            <w:r>
              <w:rPr>
                <w:rFonts w:ascii="Arial" w:hAnsi="Arial" w:cs="Arial"/>
                <w:sz w:val="20"/>
                <w:szCs w:val="20"/>
              </w:rPr>
              <w:t xml:space="preserve"> “AI” </w:t>
            </w:r>
            <w:r>
              <w:rPr>
                <w:rFonts w:ascii="Arial" w:hAnsi="Arial" w:cs="Arial"/>
                <w:b/>
                <w:bCs/>
                <w:sz w:val="20"/>
                <w:szCs w:val="20"/>
              </w:rPr>
              <w:t>OR</w:t>
            </w:r>
            <w:r>
              <w:rPr>
                <w:rFonts w:ascii="Arial" w:hAnsi="Arial" w:cs="Arial"/>
                <w:sz w:val="20"/>
                <w:szCs w:val="20"/>
              </w:rPr>
              <w:t xml:space="preserve"> “Machine learning” </w:t>
            </w:r>
            <w:r>
              <w:rPr>
                <w:rFonts w:ascii="Arial" w:hAnsi="Arial" w:cs="Arial"/>
                <w:b/>
                <w:bCs/>
                <w:sz w:val="20"/>
                <w:szCs w:val="20"/>
              </w:rPr>
              <w:t>OR</w:t>
            </w:r>
            <w:r>
              <w:rPr>
                <w:rFonts w:ascii="Arial" w:hAnsi="Arial" w:cs="Arial"/>
                <w:sz w:val="20"/>
                <w:szCs w:val="20"/>
              </w:rPr>
              <w:t xml:space="preserve"> “Deep learning” </w:t>
            </w:r>
            <w:r>
              <w:rPr>
                <w:rFonts w:ascii="Arial" w:hAnsi="Arial" w:cs="Arial"/>
                <w:b/>
                <w:bCs/>
                <w:sz w:val="20"/>
                <w:szCs w:val="20"/>
              </w:rPr>
              <w:t>OR</w:t>
            </w:r>
            <w:r>
              <w:rPr>
                <w:rFonts w:ascii="Arial" w:hAnsi="Arial" w:cs="Arial"/>
                <w:sz w:val="20"/>
                <w:szCs w:val="20"/>
              </w:rPr>
              <w:t xml:space="preserve"> “Predictive model*” </w:t>
            </w:r>
            <w:r>
              <w:rPr>
                <w:rFonts w:ascii="Arial" w:hAnsi="Arial" w:cs="Arial"/>
                <w:b/>
                <w:bCs/>
                <w:sz w:val="20"/>
                <w:szCs w:val="20"/>
              </w:rPr>
              <w:t xml:space="preserve">OR </w:t>
            </w:r>
            <w:r>
              <w:rPr>
                <w:rFonts w:ascii="Arial" w:hAnsi="Arial" w:cs="Arial"/>
                <w:sz w:val="20"/>
                <w:szCs w:val="20"/>
              </w:rPr>
              <w:t xml:space="preserve">“Mathematic model*” </w:t>
            </w:r>
            <w:r>
              <w:rPr>
                <w:rFonts w:ascii="Arial" w:hAnsi="Arial" w:cs="Arial"/>
                <w:b/>
                <w:bCs/>
                <w:sz w:val="20"/>
                <w:szCs w:val="20"/>
              </w:rPr>
              <w:t>OR</w:t>
            </w:r>
            <w:r>
              <w:rPr>
                <w:rFonts w:ascii="Arial" w:hAnsi="Arial" w:cs="Arial"/>
                <w:sz w:val="20"/>
                <w:szCs w:val="20"/>
              </w:rPr>
              <w:t xml:space="preserve"> “Statistical model*” OR “Classical model*”</w:t>
            </w:r>
          </w:p>
        </w:tc>
      </w:tr>
      <w:tr w:rsidR="00A34D0E" w:rsidRPr="00756461" w14:paraId="429B7CD2" w14:textId="77777777" w:rsidTr="00C81EA7">
        <w:trPr>
          <w:trHeight w:val="57"/>
        </w:trPr>
        <w:tc>
          <w:tcPr>
            <w:tcW w:w="989"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F876D4D" w14:textId="77777777" w:rsidR="00A34D0E" w:rsidRPr="00756461" w:rsidRDefault="00A34D0E" w:rsidP="00C81EA7">
            <w:pPr>
              <w:spacing w:after="120"/>
              <w:jc w:val="both"/>
              <w:rPr>
                <w:rFonts w:ascii="Arial" w:hAnsi="Arial" w:cs="Arial"/>
                <w:sz w:val="20"/>
                <w:szCs w:val="20"/>
              </w:rPr>
            </w:pPr>
            <w:r>
              <w:rPr>
                <w:rFonts w:ascii="Arial" w:hAnsi="Arial" w:cs="Arial"/>
                <w:b/>
                <w:bCs/>
                <w:sz w:val="20"/>
                <w:szCs w:val="20"/>
              </w:rPr>
              <w:t xml:space="preserve"> Context (C)</w:t>
            </w:r>
          </w:p>
        </w:tc>
        <w:tc>
          <w:tcPr>
            <w:tcW w:w="4011"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9790401" w14:textId="77777777" w:rsidR="00A34D0E" w:rsidRPr="00756461" w:rsidRDefault="00A34D0E" w:rsidP="00C81EA7">
            <w:pPr>
              <w:spacing w:after="120"/>
              <w:jc w:val="both"/>
              <w:rPr>
                <w:rFonts w:ascii="Arial" w:hAnsi="Arial" w:cs="Arial"/>
                <w:sz w:val="20"/>
                <w:szCs w:val="20"/>
              </w:rPr>
            </w:pPr>
            <w:proofErr w:type="gramStart"/>
            <w:r>
              <w:rPr>
                <w:rFonts w:ascii="Arial" w:hAnsi="Arial" w:cs="Arial"/>
                <w:sz w:val="20"/>
                <w:szCs w:val="20"/>
              </w:rPr>
              <w:t>“ ”</w:t>
            </w:r>
            <w:proofErr w:type="gramEnd"/>
            <w:r>
              <w:rPr>
                <w:rFonts w:ascii="Arial" w:hAnsi="Arial" w:cs="Arial"/>
                <w:sz w:val="20"/>
                <w:szCs w:val="20"/>
              </w:rPr>
              <w:t xml:space="preserve"> </w:t>
            </w:r>
            <w:r>
              <w:rPr>
                <w:rFonts w:ascii="Arial" w:hAnsi="Arial" w:cs="Arial"/>
                <w:b/>
                <w:bCs/>
                <w:sz w:val="20"/>
                <w:szCs w:val="20"/>
              </w:rPr>
              <w:t xml:space="preserve">OR </w:t>
            </w:r>
            <w:r>
              <w:rPr>
                <w:rFonts w:ascii="Arial" w:hAnsi="Arial" w:cs="Arial"/>
                <w:sz w:val="20"/>
                <w:szCs w:val="20"/>
              </w:rPr>
              <w:t xml:space="preserve">“Global” </w:t>
            </w:r>
            <w:r>
              <w:rPr>
                <w:rFonts w:ascii="Arial" w:hAnsi="Arial" w:cs="Arial"/>
                <w:b/>
                <w:bCs/>
                <w:sz w:val="20"/>
                <w:szCs w:val="20"/>
              </w:rPr>
              <w:t>OR</w:t>
            </w:r>
            <w:r>
              <w:rPr>
                <w:rFonts w:ascii="Arial" w:hAnsi="Arial" w:cs="Arial"/>
                <w:sz w:val="20"/>
                <w:szCs w:val="20"/>
              </w:rPr>
              <w:t xml:space="preserve"> “All countries”</w:t>
            </w:r>
          </w:p>
        </w:tc>
      </w:tr>
      <w:tr w:rsidR="00A34D0E" w:rsidRPr="00756461" w14:paraId="271ABF21" w14:textId="77777777" w:rsidTr="00C81EA7">
        <w:trPr>
          <w:trHeight w:val="57"/>
        </w:trPr>
        <w:tc>
          <w:tcPr>
            <w:tcW w:w="5000" w:type="pct"/>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21051B0" w14:textId="77777777" w:rsidR="00A34D0E" w:rsidRPr="00756461" w:rsidRDefault="00A34D0E" w:rsidP="00C81EA7">
            <w:pPr>
              <w:spacing w:after="120"/>
              <w:jc w:val="both"/>
              <w:rPr>
                <w:rFonts w:ascii="Arial" w:hAnsi="Arial" w:cs="Arial"/>
                <w:sz w:val="20"/>
                <w:szCs w:val="20"/>
              </w:rPr>
            </w:pPr>
            <w:r>
              <w:rPr>
                <w:rFonts w:ascii="Arial" w:hAnsi="Arial" w:cs="Arial"/>
                <w:sz w:val="20"/>
                <w:szCs w:val="20"/>
              </w:rPr>
              <w:t xml:space="preserve">The terms from each category will be combined with </w:t>
            </w:r>
            <w:r>
              <w:rPr>
                <w:rFonts w:ascii="Arial" w:hAnsi="Arial" w:cs="Arial"/>
                <w:b/>
                <w:bCs/>
                <w:sz w:val="20"/>
                <w:szCs w:val="20"/>
              </w:rPr>
              <w:t xml:space="preserve">AND </w:t>
            </w:r>
            <w:r>
              <w:rPr>
                <w:rFonts w:ascii="Arial" w:hAnsi="Arial" w:cs="Arial"/>
                <w:sz w:val="20"/>
                <w:szCs w:val="20"/>
              </w:rPr>
              <w:t>command</w:t>
            </w:r>
          </w:p>
        </w:tc>
      </w:tr>
      <w:tr w:rsidR="00A34D0E" w:rsidRPr="00756461" w14:paraId="346C05EF" w14:textId="77777777" w:rsidTr="00C81EA7">
        <w:trPr>
          <w:trHeight w:val="57"/>
        </w:trPr>
        <w:tc>
          <w:tcPr>
            <w:tcW w:w="5000" w:type="pct"/>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E8DD164" w14:textId="77777777" w:rsidR="00A34D0E" w:rsidRPr="00756461" w:rsidRDefault="00A34D0E" w:rsidP="00A34D0E">
            <w:pPr>
              <w:rPr>
                <w:rFonts w:ascii="Arial" w:eastAsia="Times New Roman" w:hAnsi="Arial" w:cs="Arial"/>
                <w:szCs w:val="24"/>
                <w:lang w:eastAsia="en-GB"/>
              </w:rPr>
            </w:pPr>
            <w:r>
              <w:rPr>
                <w:rFonts w:ascii="Arial" w:eastAsia="Times New Roman" w:hAnsi="Arial" w:cs="Arial"/>
                <w:b/>
                <w:bCs/>
                <w:color w:val="000000"/>
                <w:lang w:eastAsia="en-GB"/>
              </w:rPr>
              <w:t>Ovid MEDLINE(R), Embase, and Global Health &lt;10 Dec 2025&gt;</w:t>
            </w:r>
          </w:p>
          <w:p w14:paraId="61A6D12D" w14:textId="77777777" w:rsidR="00A34D0E" w:rsidRPr="00756461" w:rsidRDefault="00A34D0E" w:rsidP="00A34D0E">
            <w:pPr>
              <w:rPr>
                <w:rFonts w:ascii="Arial" w:eastAsia="Times New Roman" w:hAnsi="Arial" w:cs="Arial"/>
                <w:szCs w:val="24"/>
                <w:lang w:eastAsia="en-GB"/>
              </w:rPr>
            </w:pPr>
            <w:r>
              <w:rPr>
                <w:rFonts w:ascii="Arial" w:eastAsia="Times New Roman" w:hAnsi="Arial" w:cs="Arial"/>
                <w:color w:val="000000"/>
                <w:lang w:eastAsia="en-GB"/>
              </w:rPr>
              <w:t>1</w:t>
            </w:r>
            <w:r>
              <w:rPr>
                <w:rFonts w:ascii="Arial" w:eastAsia="Times New Roman" w:hAnsi="Arial" w:cs="Arial"/>
                <w:color w:val="000000"/>
                <w:lang w:eastAsia="en-GB"/>
              </w:rPr>
              <w:tab/>
              <w:t>("stillbirth*" or "Neonatal death*" or "Neonatal mortality, Neonatal loss" or "</w:t>
            </w:r>
            <w:proofErr w:type="gramStart"/>
            <w:r>
              <w:rPr>
                <w:rFonts w:ascii="Arial" w:eastAsia="Times New Roman" w:hAnsi="Arial" w:cs="Arial"/>
                <w:color w:val="000000"/>
                <w:lang w:eastAsia="en-GB"/>
              </w:rPr>
              <w:t>f?etal</w:t>
            </w:r>
            <w:proofErr w:type="gramEnd"/>
            <w:r>
              <w:rPr>
                <w:rFonts w:ascii="Arial" w:eastAsia="Times New Roman" w:hAnsi="Arial" w:cs="Arial"/>
                <w:color w:val="000000"/>
                <w:lang w:eastAsia="en-GB"/>
              </w:rPr>
              <w:t xml:space="preserve"> death" or "</w:t>
            </w:r>
            <w:proofErr w:type="gramStart"/>
            <w:r>
              <w:rPr>
                <w:rFonts w:ascii="Arial" w:eastAsia="Times New Roman" w:hAnsi="Arial" w:cs="Arial"/>
                <w:color w:val="000000"/>
                <w:lang w:eastAsia="en-GB"/>
              </w:rPr>
              <w:t>f?etal</w:t>
            </w:r>
            <w:proofErr w:type="gramEnd"/>
            <w:r>
              <w:rPr>
                <w:rFonts w:ascii="Arial" w:eastAsia="Times New Roman" w:hAnsi="Arial" w:cs="Arial"/>
                <w:color w:val="000000"/>
                <w:lang w:eastAsia="en-GB"/>
              </w:rPr>
              <w:t xml:space="preserve"> loss" or "intrauterine </w:t>
            </w:r>
            <w:proofErr w:type="gramStart"/>
            <w:r>
              <w:rPr>
                <w:rFonts w:ascii="Arial" w:eastAsia="Times New Roman" w:hAnsi="Arial" w:cs="Arial"/>
                <w:color w:val="000000"/>
                <w:lang w:eastAsia="en-GB"/>
              </w:rPr>
              <w:t>f?etal</w:t>
            </w:r>
            <w:proofErr w:type="gramEnd"/>
            <w:r>
              <w:rPr>
                <w:rFonts w:ascii="Arial" w:eastAsia="Times New Roman" w:hAnsi="Arial" w:cs="Arial"/>
                <w:color w:val="000000"/>
                <w:lang w:eastAsia="en-GB"/>
              </w:rPr>
              <w:t xml:space="preserve"> demise" or "intrauterine </w:t>
            </w:r>
            <w:proofErr w:type="gramStart"/>
            <w:r>
              <w:rPr>
                <w:rFonts w:ascii="Arial" w:eastAsia="Times New Roman" w:hAnsi="Arial" w:cs="Arial"/>
                <w:color w:val="000000"/>
                <w:lang w:eastAsia="en-GB"/>
              </w:rPr>
              <w:t>f?etal</w:t>
            </w:r>
            <w:proofErr w:type="gramEnd"/>
            <w:r>
              <w:rPr>
                <w:rFonts w:ascii="Arial" w:eastAsia="Times New Roman" w:hAnsi="Arial" w:cs="Arial"/>
                <w:color w:val="000000"/>
                <w:lang w:eastAsia="en-GB"/>
              </w:rPr>
              <w:t xml:space="preserve"> loss" or "Perinatal loss" or "Perinatal death" or "Late </w:t>
            </w:r>
            <w:proofErr w:type="gramStart"/>
            <w:r>
              <w:rPr>
                <w:rFonts w:ascii="Arial" w:eastAsia="Times New Roman" w:hAnsi="Arial" w:cs="Arial"/>
                <w:color w:val="000000"/>
                <w:lang w:eastAsia="en-GB"/>
              </w:rPr>
              <w:t>f?etal</w:t>
            </w:r>
            <w:proofErr w:type="gramEnd"/>
            <w:r>
              <w:rPr>
                <w:rFonts w:ascii="Arial" w:eastAsia="Times New Roman" w:hAnsi="Arial" w:cs="Arial"/>
                <w:color w:val="000000"/>
                <w:lang w:eastAsia="en-GB"/>
              </w:rPr>
              <w:t xml:space="preserve"> loss").mp. [mp=ti, ab, hw, tn, ot, dm, mf, dv, kf, fx, dq, bt, nm, ox, px, rx, an, ui, sy, ux, mx]</w:t>
            </w:r>
            <w:r>
              <w:rPr>
                <w:rFonts w:ascii="Arial" w:eastAsia="Times New Roman" w:hAnsi="Arial" w:cs="Arial"/>
                <w:color w:val="000000"/>
                <w:lang w:eastAsia="en-GB"/>
              </w:rPr>
              <w:tab/>
            </w:r>
            <w:r>
              <w:rPr>
                <w:rFonts w:ascii="Arial" w:eastAsia="Times New Roman" w:hAnsi="Arial" w:cs="Arial"/>
                <w:b/>
                <w:bCs/>
                <w:color w:val="000000"/>
                <w:lang w:eastAsia="en-GB"/>
              </w:rPr>
              <w:t>130761</w:t>
            </w:r>
          </w:p>
          <w:p w14:paraId="57B3A21C" w14:textId="77777777" w:rsidR="00A34D0E" w:rsidRPr="00756461" w:rsidRDefault="00A34D0E" w:rsidP="00A34D0E">
            <w:pPr>
              <w:rPr>
                <w:rFonts w:ascii="Arial" w:eastAsia="Times New Roman" w:hAnsi="Arial" w:cs="Arial"/>
                <w:szCs w:val="24"/>
                <w:lang w:eastAsia="en-GB"/>
              </w:rPr>
            </w:pPr>
            <w:r>
              <w:rPr>
                <w:rFonts w:ascii="Arial" w:eastAsia="Times New Roman" w:hAnsi="Arial" w:cs="Arial"/>
                <w:color w:val="000000"/>
                <w:lang w:eastAsia="en-GB"/>
              </w:rPr>
              <w:t>2</w:t>
            </w:r>
            <w:r>
              <w:rPr>
                <w:rFonts w:ascii="Arial" w:eastAsia="Times New Roman" w:hAnsi="Arial" w:cs="Arial"/>
                <w:color w:val="000000"/>
                <w:lang w:eastAsia="en-GB"/>
              </w:rPr>
              <w:tab/>
              <w:t>("Artificial intelligen*" or "AI" or "Machine learning" or "Deep learning" or "Predictive model*" or "Mathematic model*" or "Statistical model*" or "Classical model*").mp. [mp=ti, ab, hw, tn, ot, dm, mf, dv, kf, fx, dq, bt, nm, ox, px, rx, an, ui, sy, ux, mx]</w:t>
            </w:r>
            <w:r>
              <w:rPr>
                <w:rFonts w:ascii="Arial" w:eastAsia="Times New Roman" w:hAnsi="Arial" w:cs="Arial"/>
                <w:color w:val="000000"/>
                <w:lang w:eastAsia="en-GB"/>
              </w:rPr>
              <w:tab/>
            </w:r>
            <w:r>
              <w:rPr>
                <w:rFonts w:ascii="Arial" w:eastAsia="Times New Roman" w:hAnsi="Arial" w:cs="Arial"/>
                <w:b/>
                <w:bCs/>
                <w:color w:val="000000"/>
                <w:lang w:eastAsia="en-GB"/>
              </w:rPr>
              <w:t>1307885</w:t>
            </w:r>
          </w:p>
          <w:p w14:paraId="215EE231" w14:textId="77777777" w:rsidR="00A34D0E" w:rsidRPr="00756461" w:rsidRDefault="00A34D0E" w:rsidP="00A34D0E">
            <w:pPr>
              <w:rPr>
                <w:rFonts w:ascii="Arial" w:eastAsia="Times New Roman" w:hAnsi="Arial" w:cs="Arial"/>
                <w:szCs w:val="24"/>
                <w:lang w:eastAsia="en-GB"/>
              </w:rPr>
            </w:pPr>
            <w:r>
              <w:rPr>
                <w:rFonts w:ascii="Arial" w:eastAsia="Times New Roman" w:hAnsi="Arial" w:cs="Arial"/>
                <w:color w:val="000000"/>
                <w:lang w:eastAsia="en-GB"/>
              </w:rPr>
              <w:t>3</w:t>
            </w:r>
            <w:r>
              <w:rPr>
                <w:rFonts w:ascii="Arial" w:eastAsia="Times New Roman" w:hAnsi="Arial" w:cs="Arial"/>
                <w:color w:val="000000"/>
                <w:lang w:eastAsia="en-GB"/>
              </w:rPr>
              <w:tab/>
              <w:t>1 and 2</w:t>
            </w:r>
            <w:r>
              <w:rPr>
                <w:rFonts w:ascii="Arial" w:eastAsia="Times New Roman" w:hAnsi="Arial" w:cs="Arial"/>
                <w:color w:val="000000"/>
                <w:lang w:eastAsia="en-GB"/>
              </w:rPr>
              <w:tab/>
              <w:t>1463</w:t>
            </w:r>
          </w:p>
          <w:p w14:paraId="5018395B" w14:textId="77777777" w:rsidR="00A34D0E" w:rsidRPr="00756461" w:rsidRDefault="00A34D0E" w:rsidP="00A34D0E">
            <w:pPr>
              <w:rPr>
                <w:rFonts w:ascii="Arial" w:eastAsia="Times New Roman" w:hAnsi="Arial" w:cs="Arial"/>
                <w:szCs w:val="24"/>
                <w:lang w:eastAsia="en-GB"/>
              </w:rPr>
            </w:pPr>
            <w:r>
              <w:rPr>
                <w:rFonts w:ascii="Arial" w:eastAsia="Times New Roman" w:hAnsi="Arial" w:cs="Arial"/>
                <w:color w:val="000000"/>
                <w:lang w:eastAsia="en-GB"/>
              </w:rPr>
              <w:t>Limit search to 2010-2025</w:t>
            </w:r>
            <w:r>
              <w:rPr>
                <w:rFonts w:ascii="Arial" w:eastAsia="Times New Roman" w:hAnsi="Arial" w:cs="Arial"/>
                <w:b/>
                <w:bCs/>
                <w:color w:val="000000"/>
                <w:lang w:eastAsia="en-GB"/>
              </w:rPr>
              <w:tab/>
              <w:t>1157</w:t>
            </w:r>
          </w:p>
          <w:p w14:paraId="6CB9DC15" w14:textId="77777777" w:rsidR="00A34D0E" w:rsidRPr="00756461" w:rsidRDefault="00A34D0E" w:rsidP="00A34D0E">
            <w:pPr>
              <w:rPr>
                <w:rFonts w:ascii="Arial" w:eastAsia="Times New Roman" w:hAnsi="Arial" w:cs="Arial"/>
                <w:b/>
                <w:bCs/>
                <w:color w:val="000000"/>
                <w:sz w:val="4"/>
                <w:szCs w:val="4"/>
                <w:lang w:eastAsia="en-GB"/>
              </w:rPr>
            </w:pPr>
          </w:p>
          <w:p w14:paraId="4C5D43CE" w14:textId="2C9BB6A0" w:rsidR="00A34D0E" w:rsidRPr="00756461" w:rsidRDefault="00A34D0E" w:rsidP="00A34D0E">
            <w:pPr>
              <w:rPr>
                <w:rFonts w:ascii="Arial" w:eastAsia="Times New Roman" w:hAnsi="Arial" w:cs="Arial"/>
                <w:szCs w:val="24"/>
                <w:lang w:eastAsia="en-GB"/>
              </w:rPr>
            </w:pPr>
            <w:r>
              <w:rPr>
                <w:rFonts w:ascii="Arial" w:eastAsia="Times New Roman" w:hAnsi="Arial" w:cs="Arial"/>
                <w:b/>
                <w:bCs/>
                <w:color w:val="000000"/>
                <w:lang w:eastAsia="en-GB"/>
              </w:rPr>
              <w:t>Scopus &lt;10 Dec 2025&gt;</w:t>
            </w:r>
          </w:p>
          <w:p w14:paraId="30FF1752" w14:textId="77777777" w:rsidR="00A34D0E" w:rsidRPr="00756461" w:rsidRDefault="00A34D0E" w:rsidP="00A34D0E">
            <w:pPr>
              <w:rPr>
                <w:rFonts w:ascii="Arial" w:eastAsia="Times New Roman" w:hAnsi="Arial" w:cs="Arial"/>
                <w:szCs w:val="24"/>
                <w:lang w:eastAsia="en-GB"/>
              </w:rPr>
            </w:pPr>
            <w:r>
              <w:rPr>
                <w:rFonts w:ascii="Arial" w:eastAsia="Times New Roman" w:hAnsi="Arial" w:cs="Arial"/>
                <w:color w:val="000000"/>
                <w:lang w:eastAsia="en-GB"/>
              </w:rPr>
              <w:t>"stillbirth*" OR "Neonatal death*" OR "Neonatal mortality, Neonatal loss" OR "</w:t>
            </w:r>
            <w:proofErr w:type="gramStart"/>
            <w:r>
              <w:rPr>
                <w:rFonts w:ascii="Arial" w:eastAsia="Times New Roman" w:hAnsi="Arial" w:cs="Arial"/>
                <w:color w:val="000000"/>
                <w:lang w:eastAsia="en-GB"/>
              </w:rPr>
              <w:t>f?etal</w:t>
            </w:r>
            <w:proofErr w:type="gramEnd"/>
            <w:r>
              <w:rPr>
                <w:rFonts w:ascii="Arial" w:eastAsia="Times New Roman" w:hAnsi="Arial" w:cs="Arial"/>
                <w:color w:val="000000"/>
                <w:lang w:eastAsia="en-GB"/>
              </w:rPr>
              <w:t xml:space="preserve"> death" OR "</w:t>
            </w:r>
            <w:proofErr w:type="gramStart"/>
            <w:r>
              <w:rPr>
                <w:rFonts w:ascii="Arial" w:eastAsia="Times New Roman" w:hAnsi="Arial" w:cs="Arial"/>
                <w:color w:val="000000"/>
                <w:lang w:eastAsia="en-GB"/>
              </w:rPr>
              <w:t>f?etal</w:t>
            </w:r>
            <w:proofErr w:type="gramEnd"/>
            <w:r>
              <w:rPr>
                <w:rFonts w:ascii="Arial" w:eastAsia="Times New Roman" w:hAnsi="Arial" w:cs="Arial"/>
                <w:color w:val="000000"/>
                <w:lang w:eastAsia="en-GB"/>
              </w:rPr>
              <w:t xml:space="preserve"> loss" OR "intrauterine </w:t>
            </w:r>
            <w:proofErr w:type="gramStart"/>
            <w:r>
              <w:rPr>
                <w:rFonts w:ascii="Arial" w:eastAsia="Times New Roman" w:hAnsi="Arial" w:cs="Arial"/>
                <w:color w:val="000000"/>
                <w:lang w:eastAsia="en-GB"/>
              </w:rPr>
              <w:t>f?etal</w:t>
            </w:r>
            <w:proofErr w:type="gramEnd"/>
            <w:r>
              <w:rPr>
                <w:rFonts w:ascii="Arial" w:eastAsia="Times New Roman" w:hAnsi="Arial" w:cs="Arial"/>
                <w:color w:val="000000"/>
                <w:lang w:eastAsia="en-GB"/>
              </w:rPr>
              <w:t xml:space="preserve"> demise" OR "intrauterine </w:t>
            </w:r>
            <w:proofErr w:type="gramStart"/>
            <w:r>
              <w:rPr>
                <w:rFonts w:ascii="Arial" w:eastAsia="Times New Roman" w:hAnsi="Arial" w:cs="Arial"/>
                <w:color w:val="000000"/>
                <w:lang w:eastAsia="en-GB"/>
              </w:rPr>
              <w:t>f?etal</w:t>
            </w:r>
            <w:proofErr w:type="gramEnd"/>
            <w:r>
              <w:rPr>
                <w:rFonts w:ascii="Arial" w:eastAsia="Times New Roman" w:hAnsi="Arial" w:cs="Arial"/>
                <w:color w:val="000000"/>
                <w:lang w:eastAsia="en-GB"/>
              </w:rPr>
              <w:t xml:space="preserve"> loss" OR "Perinatal loss" OR "Perinatal death" OR "Late </w:t>
            </w:r>
            <w:proofErr w:type="gramStart"/>
            <w:r>
              <w:rPr>
                <w:rFonts w:ascii="Arial" w:eastAsia="Times New Roman" w:hAnsi="Arial" w:cs="Arial"/>
                <w:color w:val="000000"/>
                <w:lang w:eastAsia="en-GB"/>
              </w:rPr>
              <w:t>f?etal</w:t>
            </w:r>
            <w:proofErr w:type="gramEnd"/>
            <w:r>
              <w:rPr>
                <w:rFonts w:ascii="Arial" w:eastAsia="Times New Roman" w:hAnsi="Arial" w:cs="Arial"/>
                <w:color w:val="000000"/>
                <w:lang w:eastAsia="en-GB"/>
              </w:rPr>
              <w:t xml:space="preserve"> loss"</w:t>
            </w:r>
          </w:p>
          <w:p w14:paraId="452E6454" w14:textId="77777777" w:rsidR="00A34D0E" w:rsidRPr="00756461" w:rsidRDefault="00A34D0E" w:rsidP="00A34D0E">
            <w:pPr>
              <w:rPr>
                <w:rFonts w:ascii="Arial" w:eastAsia="Times New Roman" w:hAnsi="Arial" w:cs="Arial"/>
                <w:szCs w:val="24"/>
                <w:lang w:eastAsia="en-GB"/>
              </w:rPr>
            </w:pPr>
            <w:r>
              <w:rPr>
                <w:rFonts w:ascii="Arial" w:eastAsia="Times New Roman" w:hAnsi="Arial" w:cs="Arial"/>
                <w:b/>
                <w:bCs/>
                <w:color w:val="000000"/>
                <w:lang w:eastAsia="en-GB"/>
              </w:rPr>
              <w:t>AND</w:t>
            </w:r>
          </w:p>
          <w:p w14:paraId="1FCBC58E" w14:textId="77777777" w:rsidR="00A34D0E" w:rsidRPr="00756461" w:rsidRDefault="00A34D0E" w:rsidP="00A34D0E">
            <w:pPr>
              <w:rPr>
                <w:rFonts w:ascii="Arial" w:eastAsia="Times New Roman" w:hAnsi="Arial" w:cs="Arial"/>
                <w:szCs w:val="24"/>
                <w:lang w:eastAsia="en-GB"/>
              </w:rPr>
            </w:pPr>
            <w:r>
              <w:rPr>
                <w:rFonts w:ascii="Arial" w:eastAsia="Times New Roman" w:hAnsi="Arial" w:cs="Arial"/>
                <w:color w:val="000000"/>
                <w:lang w:eastAsia="en-GB"/>
              </w:rPr>
              <w:t>"Artificial intelligen*" OR "AI" OR "Machine learning" OR "Deep learning" OR "Predictive model*" OR "Mathematic model*" OR "Statistical model*" OR "Classical model*"</w:t>
            </w:r>
          </w:p>
          <w:p w14:paraId="6766A6A9" w14:textId="77777777" w:rsidR="00A34D0E" w:rsidRPr="00756461" w:rsidRDefault="00A34D0E" w:rsidP="00A34D0E">
            <w:pPr>
              <w:rPr>
                <w:rFonts w:ascii="Arial" w:eastAsia="Times New Roman" w:hAnsi="Arial" w:cs="Arial"/>
                <w:szCs w:val="24"/>
                <w:lang w:eastAsia="en-GB"/>
              </w:rPr>
            </w:pPr>
            <w:r>
              <w:rPr>
                <w:rFonts w:ascii="Arial" w:eastAsia="Times New Roman" w:hAnsi="Arial" w:cs="Arial"/>
                <w:color w:val="000000"/>
                <w:lang w:eastAsia="en-GB"/>
              </w:rPr>
              <w:t>Limit search to 2010-2025</w:t>
            </w:r>
            <w:r>
              <w:rPr>
                <w:rFonts w:ascii="Arial" w:eastAsia="Times New Roman" w:hAnsi="Arial" w:cs="Arial"/>
                <w:color w:val="000000"/>
                <w:lang w:eastAsia="en-GB"/>
              </w:rPr>
              <w:tab/>
            </w:r>
            <w:r>
              <w:rPr>
                <w:rFonts w:ascii="Arial" w:eastAsia="Times New Roman" w:hAnsi="Arial" w:cs="Arial"/>
                <w:b/>
                <w:bCs/>
                <w:color w:val="000000"/>
                <w:lang w:eastAsia="en-GB"/>
              </w:rPr>
              <w:t>123</w:t>
            </w:r>
          </w:p>
          <w:p w14:paraId="0D6F1AE3" w14:textId="77777777" w:rsidR="00A34D0E" w:rsidRPr="00756461" w:rsidRDefault="00A34D0E" w:rsidP="00A34D0E">
            <w:pPr>
              <w:rPr>
                <w:rFonts w:ascii="Arial" w:eastAsia="Times New Roman" w:hAnsi="Arial" w:cs="Arial"/>
                <w:b/>
                <w:bCs/>
                <w:color w:val="212121"/>
                <w:sz w:val="4"/>
                <w:szCs w:val="4"/>
                <w:shd w:val="clear" w:color="auto" w:fill="FFFFFF"/>
                <w:lang w:eastAsia="en-GB"/>
              </w:rPr>
            </w:pPr>
          </w:p>
          <w:p w14:paraId="68148592" w14:textId="313D082B" w:rsidR="00A34D0E" w:rsidRPr="00756461" w:rsidRDefault="00A34D0E" w:rsidP="00A34D0E">
            <w:pPr>
              <w:rPr>
                <w:rFonts w:ascii="Arial" w:eastAsia="Times New Roman" w:hAnsi="Arial" w:cs="Arial"/>
                <w:szCs w:val="24"/>
                <w:lang w:eastAsia="en-GB"/>
              </w:rPr>
            </w:pPr>
            <w:r>
              <w:rPr>
                <w:rFonts w:ascii="Arial" w:eastAsia="Times New Roman" w:hAnsi="Arial" w:cs="Arial"/>
                <w:b/>
                <w:bCs/>
                <w:color w:val="212121"/>
                <w:shd w:val="clear" w:color="auto" w:fill="FFFFFF"/>
                <w:lang w:eastAsia="en-GB"/>
              </w:rPr>
              <w:t xml:space="preserve">Web of Science </w:t>
            </w:r>
            <w:r>
              <w:rPr>
                <w:rFonts w:ascii="Arial" w:eastAsia="Times New Roman" w:hAnsi="Arial" w:cs="Arial"/>
                <w:b/>
                <w:bCs/>
                <w:color w:val="000000"/>
                <w:lang w:eastAsia="en-GB"/>
              </w:rPr>
              <w:t>&lt;10 Dec 2025&gt;</w:t>
            </w:r>
          </w:p>
          <w:p w14:paraId="76552C9E" w14:textId="77777777" w:rsidR="00A34D0E" w:rsidRPr="00756461" w:rsidRDefault="00A34D0E" w:rsidP="00A34D0E">
            <w:pPr>
              <w:rPr>
                <w:rFonts w:ascii="Arial" w:eastAsia="Times New Roman" w:hAnsi="Arial" w:cs="Arial"/>
                <w:szCs w:val="24"/>
                <w:lang w:eastAsia="en-GB"/>
              </w:rPr>
            </w:pPr>
            <w:r>
              <w:rPr>
                <w:rFonts w:ascii="Arial" w:eastAsia="Times New Roman" w:hAnsi="Arial" w:cs="Arial"/>
                <w:color w:val="212121"/>
                <w:shd w:val="clear" w:color="auto" w:fill="FFFFFF"/>
                <w:lang w:eastAsia="en-GB"/>
              </w:rPr>
              <w:t>(Topic)"stillbirth*” OR “Neonatal death*” OR “Neonatal mortality”, “Neonatal loss” OR “</w:t>
            </w:r>
            <w:proofErr w:type="gramStart"/>
            <w:r>
              <w:rPr>
                <w:rFonts w:ascii="Arial" w:eastAsia="Times New Roman" w:hAnsi="Arial" w:cs="Arial"/>
                <w:color w:val="212121"/>
                <w:shd w:val="clear" w:color="auto" w:fill="FFFFFF"/>
                <w:lang w:eastAsia="en-GB"/>
              </w:rPr>
              <w:t>f?etal</w:t>
            </w:r>
            <w:proofErr w:type="gramEnd"/>
            <w:r>
              <w:rPr>
                <w:rFonts w:ascii="Arial" w:eastAsia="Times New Roman" w:hAnsi="Arial" w:cs="Arial"/>
                <w:color w:val="212121"/>
                <w:shd w:val="clear" w:color="auto" w:fill="FFFFFF"/>
                <w:lang w:eastAsia="en-GB"/>
              </w:rPr>
              <w:t xml:space="preserve"> death” OR “</w:t>
            </w:r>
            <w:proofErr w:type="gramStart"/>
            <w:r>
              <w:rPr>
                <w:rFonts w:ascii="Arial" w:eastAsia="Times New Roman" w:hAnsi="Arial" w:cs="Arial"/>
                <w:color w:val="212121"/>
                <w:shd w:val="clear" w:color="auto" w:fill="FFFFFF"/>
                <w:lang w:eastAsia="en-GB"/>
              </w:rPr>
              <w:t>f?etal</w:t>
            </w:r>
            <w:proofErr w:type="gramEnd"/>
            <w:r>
              <w:rPr>
                <w:rFonts w:ascii="Arial" w:eastAsia="Times New Roman" w:hAnsi="Arial" w:cs="Arial"/>
                <w:color w:val="212121"/>
                <w:shd w:val="clear" w:color="auto" w:fill="FFFFFF"/>
                <w:lang w:eastAsia="en-GB"/>
              </w:rPr>
              <w:t xml:space="preserve"> loss” OR “intrauterine </w:t>
            </w:r>
            <w:proofErr w:type="gramStart"/>
            <w:r>
              <w:rPr>
                <w:rFonts w:ascii="Arial" w:eastAsia="Times New Roman" w:hAnsi="Arial" w:cs="Arial"/>
                <w:color w:val="212121"/>
                <w:shd w:val="clear" w:color="auto" w:fill="FFFFFF"/>
                <w:lang w:eastAsia="en-GB"/>
              </w:rPr>
              <w:t>f?etal</w:t>
            </w:r>
            <w:proofErr w:type="gramEnd"/>
            <w:r>
              <w:rPr>
                <w:rFonts w:ascii="Arial" w:eastAsia="Times New Roman" w:hAnsi="Arial" w:cs="Arial"/>
                <w:color w:val="212121"/>
                <w:shd w:val="clear" w:color="auto" w:fill="FFFFFF"/>
                <w:lang w:eastAsia="en-GB"/>
              </w:rPr>
              <w:t xml:space="preserve"> demise" OR “intrauterine </w:t>
            </w:r>
            <w:proofErr w:type="gramStart"/>
            <w:r>
              <w:rPr>
                <w:rFonts w:ascii="Arial" w:eastAsia="Times New Roman" w:hAnsi="Arial" w:cs="Arial"/>
                <w:color w:val="212121"/>
                <w:shd w:val="clear" w:color="auto" w:fill="FFFFFF"/>
                <w:lang w:eastAsia="en-GB"/>
              </w:rPr>
              <w:t>f?etal</w:t>
            </w:r>
            <w:proofErr w:type="gramEnd"/>
            <w:r>
              <w:rPr>
                <w:rFonts w:ascii="Arial" w:eastAsia="Times New Roman" w:hAnsi="Arial" w:cs="Arial"/>
                <w:color w:val="212121"/>
                <w:shd w:val="clear" w:color="auto" w:fill="FFFFFF"/>
                <w:lang w:eastAsia="en-GB"/>
              </w:rPr>
              <w:t xml:space="preserve"> loss” OR “Perinatal loss” OR “Perinatal death” OR “Late </w:t>
            </w:r>
            <w:proofErr w:type="gramStart"/>
            <w:r>
              <w:rPr>
                <w:rFonts w:ascii="Arial" w:eastAsia="Times New Roman" w:hAnsi="Arial" w:cs="Arial"/>
                <w:color w:val="212121"/>
                <w:shd w:val="clear" w:color="auto" w:fill="FFFFFF"/>
                <w:lang w:eastAsia="en-GB"/>
              </w:rPr>
              <w:t>f?etal</w:t>
            </w:r>
            <w:proofErr w:type="gramEnd"/>
            <w:r>
              <w:rPr>
                <w:rFonts w:ascii="Arial" w:eastAsia="Times New Roman" w:hAnsi="Arial" w:cs="Arial"/>
                <w:color w:val="212121"/>
                <w:shd w:val="clear" w:color="auto" w:fill="FFFFFF"/>
                <w:lang w:eastAsia="en-GB"/>
              </w:rPr>
              <w:t xml:space="preserve"> loss”</w:t>
            </w:r>
          </w:p>
          <w:p w14:paraId="3C9DAFE5" w14:textId="77777777" w:rsidR="00A34D0E" w:rsidRPr="00756461" w:rsidRDefault="00A34D0E" w:rsidP="00A34D0E">
            <w:pPr>
              <w:rPr>
                <w:rFonts w:ascii="Arial" w:eastAsia="Times New Roman" w:hAnsi="Arial" w:cs="Arial"/>
                <w:szCs w:val="24"/>
                <w:lang w:eastAsia="en-GB"/>
              </w:rPr>
            </w:pPr>
            <w:r>
              <w:rPr>
                <w:rFonts w:ascii="Arial" w:eastAsia="Times New Roman" w:hAnsi="Arial" w:cs="Arial"/>
                <w:b/>
                <w:bCs/>
                <w:color w:val="212121"/>
                <w:shd w:val="clear" w:color="auto" w:fill="FFFFFF"/>
                <w:lang w:eastAsia="en-GB"/>
              </w:rPr>
              <w:t>AND</w:t>
            </w:r>
          </w:p>
          <w:p w14:paraId="0871BFD5" w14:textId="77777777" w:rsidR="00A34D0E" w:rsidRPr="00756461" w:rsidRDefault="00A34D0E" w:rsidP="00A34D0E">
            <w:pPr>
              <w:rPr>
                <w:rFonts w:ascii="Arial" w:eastAsia="Times New Roman" w:hAnsi="Arial" w:cs="Arial"/>
                <w:szCs w:val="24"/>
                <w:lang w:eastAsia="en-GB"/>
              </w:rPr>
            </w:pPr>
            <w:r>
              <w:rPr>
                <w:rFonts w:ascii="Arial" w:eastAsia="Times New Roman" w:hAnsi="Arial" w:cs="Arial"/>
                <w:color w:val="212121"/>
                <w:shd w:val="clear" w:color="auto" w:fill="FFFFFF"/>
                <w:lang w:eastAsia="en-GB"/>
              </w:rPr>
              <w:t>(Topic) “Artificial intelligen*” OR “AI” OR “Machine learning” OR “Deep learning” OR “Predictive model*” OR “Mathematic model*” OR “Statistical model*” OR “Classical model*”</w:t>
            </w:r>
          </w:p>
          <w:p w14:paraId="25A1349C" w14:textId="1D63F0FF" w:rsidR="00A34D0E" w:rsidRPr="00756461" w:rsidRDefault="00A34D0E" w:rsidP="00A34D0E">
            <w:pPr>
              <w:rPr>
                <w:rFonts w:ascii="Arial" w:eastAsia="Times New Roman" w:hAnsi="Arial" w:cs="Arial"/>
                <w:szCs w:val="24"/>
                <w:lang w:eastAsia="en-GB"/>
              </w:rPr>
            </w:pPr>
            <w:r>
              <w:rPr>
                <w:rFonts w:ascii="Arial" w:eastAsia="Times New Roman" w:hAnsi="Arial" w:cs="Arial"/>
                <w:color w:val="212121"/>
                <w:shd w:val="clear" w:color="auto" w:fill="FFFFFF"/>
                <w:lang w:eastAsia="en-GB"/>
              </w:rPr>
              <w:t>Filters: 2010-2025</w:t>
            </w:r>
            <w:r>
              <w:rPr>
                <w:rFonts w:ascii="Arial" w:eastAsia="Times New Roman" w:hAnsi="Arial" w:cs="Arial"/>
                <w:color w:val="212121"/>
                <w:shd w:val="clear" w:color="auto" w:fill="FFFFFF"/>
                <w:lang w:eastAsia="en-GB"/>
              </w:rPr>
              <w:tab/>
            </w:r>
            <w:r>
              <w:rPr>
                <w:rFonts w:ascii="Arial" w:eastAsia="Times New Roman" w:hAnsi="Arial" w:cs="Arial"/>
                <w:b/>
                <w:bCs/>
                <w:color w:val="212121"/>
                <w:shd w:val="clear" w:color="auto" w:fill="FFFFFF"/>
                <w:lang w:eastAsia="en-GB"/>
              </w:rPr>
              <w:t>50</w:t>
            </w:r>
          </w:p>
        </w:tc>
      </w:tr>
    </w:tbl>
    <w:p w14:paraId="00AE734C" w14:textId="77777777" w:rsidR="00A34D0E" w:rsidRPr="00756461" w:rsidRDefault="00A34D0E" w:rsidP="00A34D0E">
      <w:pPr>
        <w:rPr>
          <w:rFonts w:ascii="Arial" w:eastAsia="Times New Roman" w:hAnsi="Arial" w:cs="Arial"/>
          <w:b/>
          <w:bCs/>
          <w:color w:val="000000"/>
          <w:lang w:eastAsia="en-GB"/>
        </w:rPr>
      </w:pPr>
    </w:p>
    <w:p w14:paraId="7EE67A68" w14:textId="77777777" w:rsidR="00A34D0E" w:rsidRPr="00756461" w:rsidRDefault="00A34D0E" w:rsidP="00CC351E">
      <w:pPr>
        <w:rPr>
          <w:rFonts w:ascii="Arial" w:hAnsi="Arial" w:cs="Arial"/>
          <w:sz w:val="26"/>
        </w:rPr>
        <w:sectPr w:rsidR="00A34D0E" w:rsidRPr="00756461" w:rsidSect="00A34D0E">
          <w:pgSz w:w="11906" w:h="16838"/>
          <w:pgMar w:top="850" w:right="850" w:bottom="850" w:left="850" w:header="720" w:footer="720" w:gutter="0"/>
          <w:cols w:space="720"/>
          <w:docGrid w:linePitch="360"/>
        </w:sectPr>
      </w:pPr>
    </w:p>
    <w:p w14:paraId="7840052E" w14:textId="7B1E0C39" w:rsidR="00306FE2" w:rsidRPr="00756461" w:rsidRDefault="00306FE2" w:rsidP="00306FE2">
      <w:pPr>
        <w:spacing w:after="0" w:line="240" w:lineRule="auto"/>
        <w:rPr>
          <w:rFonts w:ascii="Arial" w:hAnsi="Arial" w:cs="Arial"/>
          <w:b/>
        </w:rPr>
      </w:pPr>
      <w:r>
        <w:rPr>
          <w:rFonts w:ascii="Arial" w:hAnsi="Arial" w:cs="Arial"/>
          <w:b/>
        </w:rPr>
        <w:lastRenderedPageBreak/>
        <w:t>Table S2: Study quality assessment using TRIPOD+AI assessment and PROBAST+AI assessment (Separate file)</w:t>
      </w:r>
    </w:p>
    <w:p w14:paraId="3FA356A6" w14:textId="77777777" w:rsidR="00306FE2" w:rsidRPr="00756461" w:rsidRDefault="00306FE2">
      <w:pPr>
        <w:spacing w:after="160" w:line="278" w:lineRule="auto"/>
        <w:rPr>
          <w:rFonts w:ascii="Arial" w:hAnsi="Arial" w:cs="Arial"/>
          <w:sz w:val="26"/>
        </w:rPr>
      </w:pPr>
      <w:r>
        <w:rPr>
          <w:rFonts w:ascii="Arial" w:hAnsi="Arial" w:cs="Arial"/>
          <w:sz w:val="26"/>
        </w:rPr>
        <w:br w:type="page"/>
      </w:r>
    </w:p>
    <w:p w14:paraId="3C735091" w14:textId="72B8A164" w:rsidR="00CC351E" w:rsidRPr="00756461" w:rsidRDefault="00B253BD" w:rsidP="00CC351E">
      <w:pPr>
        <w:rPr>
          <w:rFonts w:ascii="Arial" w:hAnsi="Arial" w:cs="Arial"/>
          <w:b/>
          <w:bCs/>
        </w:rPr>
      </w:pPr>
      <w:r>
        <w:rPr>
          <w:rFonts w:ascii="Arial" w:hAnsi="Arial" w:cs="Arial"/>
          <w:b/>
          <w:bCs/>
        </w:rPr>
        <w:lastRenderedPageBreak/>
        <w:t>Table S3: Detailed characteristics of all included studies (n=93)</w:t>
      </w:r>
    </w:p>
    <w:tbl>
      <w:tblPr>
        <w:tblW w:w="15427" w:type="dxa"/>
        <w:tblLayout w:type="fixed"/>
        <w:tblLook w:val="04A0" w:firstRow="1" w:lastRow="0" w:firstColumn="1" w:lastColumn="0" w:noHBand="0" w:noVBand="1"/>
      </w:tblPr>
      <w:tblGrid>
        <w:gridCol w:w="926"/>
        <w:gridCol w:w="1054"/>
        <w:gridCol w:w="742"/>
        <w:gridCol w:w="786"/>
        <w:gridCol w:w="786"/>
        <w:gridCol w:w="1051"/>
        <w:gridCol w:w="851"/>
        <w:gridCol w:w="851"/>
        <w:gridCol w:w="425"/>
        <w:gridCol w:w="425"/>
        <w:gridCol w:w="992"/>
        <w:gridCol w:w="851"/>
        <w:gridCol w:w="817"/>
        <w:gridCol w:w="742"/>
        <w:gridCol w:w="851"/>
        <w:gridCol w:w="1134"/>
        <w:gridCol w:w="841"/>
        <w:gridCol w:w="860"/>
        <w:gridCol w:w="442"/>
      </w:tblGrid>
      <w:tr w:rsidR="00871B31" w:rsidRPr="00756461" w14:paraId="2C95FD76" w14:textId="77777777" w:rsidTr="00BC1F31">
        <w:trPr>
          <w:trHeight w:val="397"/>
          <w:tblHeader/>
        </w:trPr>
        <w:tc>
          <w:tcPr>
            <w:tcW w:w="926" w:type="dxa"/>
            <w:tcBorders>
              <w:top w:val="single" w:sz="4" w:space="0" w:color="888888"/>
              <w:left w:val="single" w:sz="4" w:space="0" w:color="888888"/>
              <w:bottom w:val="single" w:sz="4" w:space="0" w:color="888888"/>
              <w:right w:val="single" w:sz="4" w:space="0" w:color="888888"/>
            </w:tcBorders>
            <w:shd w:val="clear" w:color="auto" w:fill="C1E4F5" w:themeFill="accent1" w:themeFillTint="33"/>
          </w:tcPr>
          <w:p w14:paraId="5CD9FB2D" w14:textId="77777777" w:rsidR="00871B31" w:rsidRPr="00756461" w:rsidRDefault="00871B31" w:rsidP="00BC1F31">
            <w:pPr>
              <w:spacing w:after="0" w:line="240" w:lineRule="auto"/>
              <w:jc w:val="center"/>
              <w:rPr>
                <w:rFonts w:ascii="Arial" w:hAnsi="Arial" w:cs="Arial"/>
                <w:sz w:val="12"/>
                <w:szCs w:val="12"/>
              </w:rPr>
            </w:pPr>
            <w:r>
              <w:rPr>
                <w:rFonts w:ascii="Arial" w:hAnsi="Arial" w:cs="Arial"/>
                <w:b/>
                <w:sz w:val="12"/>
                <w:szCs w:val="12"/>
              </w:rPr>
              <w:t>Author / Year</w:t>
            </w:r>
          </w:p>
        </w:tc>
        <w:tc>
          <w:tcPr>
            <w:tcW w:w="1054" w:type="dxa"/>
            <w:tcBorders>
              <w:top w:val="single" w:sz="4" w:space="0" w:color="888888"/>
              <w:left w:val="single" w:sz="4" w:space="0" w:color="888888"/>
              <w:bottom w:val="single" w:sz="4" w:space="0" w:color="888888"/>
              <w:right w:val="single" w:sz="4" w:space="0" w:color="888888"/>
            </w:tcBorders>
            <w:shd w:val="clear" w:color="auto" w:fill="C1E4F5" w:themeFill="accent1" w:themeFillTint="33"/>
          </w:tcPr>
          <w:p w14:paraId="3185D905" w14:textId="77777777" w:rsidR="00871B31" w:rsidRPr="00756461" w:rsidRDefault="00871B31" w:rsidP="00BC1F31">
            <w:pPr>
              <w:spacing w:after="0" w:line="240" w:lineRule="auto"/>
              <w:jc w:val="center"/>
              <w:rPr>
                <w:rFonts w:ascii="Arial" w:hAnsi="Arial" w:cs="Arial"/>
                <w:sz w:val="12"/>
                <w:szCs w:val="12"/>
              </w:rPr>
            </w:pPr>
            <w:r>
              <w:rPr>
                <w:rFonts w:ascii="Arial" w:hAnsi="Arial" w:cs="Arial"/>
                <w:b/>
                <w:sz w:val="12"/>
                <w:szCs w:val="12"/>
              </w:rPr>
              <w:t>Design</w:t>
            </w:r>
          </w:p>
        </w:tc>
        <w:tc>
          <w:tcPr>
            <w:tcW w:w="742" w:type="dxa"/>
            <w:tcBorders>
              <w:top w:val="single" w:sz="4" w:space="0" w:color="888888"/>
              <w:left w:val="single" w:sz="4" w:space="0" w:color="888888"/>
              <w:bottom w:val="single" w:sz="4" w:space="0" w:color="888888"/>
              <w:right w:val="single" w:sz="4" w:space="0" w:color="888888"/>
            </w:tcBorders>
            <w:shd w:val="clear" w:color="auto" w:fill="C1E4F5" w:themeFill="accent1" w:themeFillTint="33"/>
          </w:tcPr>
          <w:p w14:paraId="76E36F54" w14:textId="77777777" w:rsidR="00871B31" w:rsidRPr="00756461" w:rsidRDefault="00871B31" w:rsidP="00BC1F31">
            <w:pPr>
              <w:spacing w:after="0" w:line="240" w:lineRule="auto"/>
              <w:jc w:val="center"/>
              <w:rPr>
                <w:rFonts w:ascii="Arial" w:hAnsi="Arial" w:cs="Arial"/>
                <w:sz w:val="12"/>
                <w:szCs w:val="12"/>
              </w:rPr>
            </w:pPr>
            <w:r>
              <w:rPr>
                <w:rFonts w:ascii="Arial" w:hAnsi="Arial" w:cs="Arial"/>
                <w:b/>
                <w:sz w:val="12"/>
                <w:szCs w:val="12"/>
              </w:rPr>
              <w:t>Location</w:t>
            </w:r>
          </w:p>
        </w:tc>
        <w:tc>
          <w:tcPr>
            <w:tcW w:w="786" w:type="dxa"/>
            <w:tcBorders>
              <w:top w:val="single" w:sz="4" w:space="0" w:color="888888"/>
              <w:left w:val="single" w:sz="4" w:space="0" w:color="888888"/>
              <w:bottom w:val="single" w:sz="4" w:space="0" w:color="888888"/>
              <w:right w:val="single" w:sz="4" w:space="0" w:color="888888"/>
            </w:tcBorders>
            <w:shd w:val="clear" w:color="auto" w:fill="C1E4F5" w:themeFill="accent1" w:themeFillTint="33"/>
          </w:tcPr>
          <w:p w14:paraId="0E32D38B" w14:textId="77777777" w:rsidR="00871B31" w:rsidRPr="00756461" w:rsidRDefault="00871B31" w:rsidP="00BC1F31">
            <w:pPr>
              <w:spacing w:after="0" w:line="240" w:lineRule="auto"/>
              <w:jc w:val="center"/>
              <w:rPr>
                <w:rFonts w:ascii="Arial" w:hAnsi="Arial" w:cs="Arial"/>
                <w:sz w:val="12"/>
                <w:szCs w:val="12"/>
              </w:rPr>
            </w:pPr>
            <w:r>
              <w:rPr>
                <w:rFonts w:ascii="Arial" w:hAnsi="Arial" w:cs="Arial"/>
                <w:b/>
                <w:sz w:val="12"/>
                <w:szCs w:val="12"/>
              </w:rPr>
              <w:t>Outcome</w:t>
            </w:r>
          </w:p>
        </w:tc>
        <w:tc>
          <w:tcPr>
            <w:tcW w:w="786" w:type="dxa"/>
            <w:tcBorders>
              <w:top w:val="single" w:sz="4" w:space="0" w:color="888888"/>
              <w:left w:val="single" w:sz="4" w:space="0" w:color="888888"/>
              <w:bottom w:val="single" w:sz="4" w:space="0" w:color="888888"/>
              <w:right w:val="single" w:sz="4" w:space="0" w:color="888888"/>
            </w:tcBorders>
            <w:shd w:val="clear" w:color="auto" w:fill="C1E4F5" w:themeFill="accent1" w:themeFillTint="33"/>
          </w:tcPr>
          <w:p w14:paraId="4EEA2FDF" w14:textId="77777777" w:rsidR="00871B31" w:rsidRPr="00756461" w:rsidRDefault="00871B31" w:rsidP="00BC1F31">
            <w:pPr>
              <w:spacing w:after="0" w:line="240" w:lineRule="auto"/>
              <w:jc w:val="center"/>
              <w:rPr>
                <w:rFonts w:ascii="Arial" w:hAnsi="Arial" w:cs="Arial"/>
                <w:sz w:val="12"/>
                <w:szCs w:val="12"/>
              </w:rPr>
            </w:pPr>
            <w:r>
              <w:rPr>
                <w:rFonts w:ascii="Arial" w:hAnsi="Arial" w:cs="Arial"/>
                <w:b/>
                <w:sz w:val="12"/>
                <w:szCs w:val="12"/>
              </w:rPr>
              <w:t>Objective</w:t>
            </w:r>
          </w:p>
        </w:tc>
        <w:tc>
          <w:tcPr>
            <w:tcW w:w="1051" w:type="dxa"/>
            <w:tcBorders>
              <w:top w:val="single" w:sz="4" w:space="0" w:color="888888"/>
              <w:left w:val="single" w:sz="4" w:space="0" w:color="888888"/>
              <w:bottom w:val="single" w:sz="4" w:space="0" w:color="888888"/>
              <w:right w:val="single" w:sz="4" w:space="0" w:color="888888"/>
            </w:tcBorders>
            <w:shd w:val="clear" w:color="auto" w:fill="C1E4F5" w:themeFill="accent1" w:themeFillTint="33"/>
          </w:tcPr>
          <w:p w14:paraId="093B5695" w14:textId="77777777" w:rsidR="00871B31" w:rsidRPr="00756461" w:rsidRDefault="00871B31" w:rsidP="00BC1F31">
            <w:pPr>
              <w:spacing w:after="0" w:line="240" w:lineRule="auto"/>
              <w:jc w:val="center"/>
              <w:rPr>
                <w:rFonts w:ascii="Arial" w:hAnsi="Arial" w:cs="Arial"/>
                <w:sz w:val="12"/>
                <w:szCs w:val="12"/>
              </w:rPr>
            </w:pPr>
            <w:r>
              <w:rPr>
                <w:rFonts w:ascii="Arial" w:hAnsi="Arial" w:cs="Arial"/>
                <w:b/>
                <w:sz w:val="12"/>
                <w:szCs w:val="12"/>
              </w:rPr>
              <w:t>Predictor types</w:t>
            </w:r>
            <w:r>
              <w:rPr>
                <w:rFonts w:ascii="Arial" w:hAnsi="Arial" w:cs="Arial"/>
                <w:b/>
                <w:sz w:val="12"/>
                <w:szCs w:val="12"/>
              </w:rPr>
              <w:br/>
              <w:t>(with named predictors)</w:t>
            </w:r>
          </w:p>
        </w:tc>
        <w:tc>
          <w:tcPr>
            <w:tcW w:w="851" w:type="dxa"/>
            <w:tcBorders>
              <w:top w:val="single" w:sz="4" w:space="0" w:color="888888"/>
              <w:left w:val="single" w:sz="4" w:space="0" w:color="888888"/>
              <w:bottom w:val="single" w:sz="4" w:space="0" w:color="888888"/>
              <w:right w:val="single" w:sz="4" w:space="0" w:color="888888"/>
            </w:tcBorders>
            <w:shd w:val="clear" w:color="auto" w:fill="C1E4F5" w:themeFill="accent1" w:themeFillTint="33"/>
          </w:tcPr>
          <w:p w14:paraId="44753A11" w14:textId="77777777" w:rsidR="00871B31" w:rsidRPr="00756461" w:rsidRDefault="00871B31" w:rsidP="00BC1F31">
            <w:pPr>
              <w:spacing w:after="0" w:line="240" w:lineRule="auto"/>
              <w:jc w:val="center"/>
              <w:rPr>
                <w:rFonts w:ascii="Arial" w:hAnsi="Arial" w:cs="Arial"/>
                <w:b/>
                <w:sz w:val="12"/>
                <w:szCs w:val="12"/>
              </w:rPr>
            </w:pPr>
            <w:r>
              <w:rPr>
                <w:rFonts w:ascii="Arial" w:hAnsi="Arial" w:cs="Arial"/>
                <w:b/>
                <w:sz w:val="12"/>
                <w:szCs w:val="12"/>
              </w:rPr>
              <w:t xml:space="preserve">Database </w:t>
            </w:r>
          </w:p>
          <w:p w14:paraId="604170E5" w14:textId="77777777" w:rsidR="00871B31" w:rsidRPr="00756461" w:rsidRDefault="00871B31" w:rsidP="00BC1F31">
            <w:pPr>
              <w:spacing w:after="0" w:line="240" w:lineRule="auto"/>
              <w:jc w:val="center"/>
              <w:rPr>
                <w:rFonts w:ascii="Arial" w:hAnsi="Arial" w:cs="Arial"/>
                <w:sz w:val="12"/>
                <w:szCs w:val="12"/>
              </w:rPr>
            </w:pPr>
            <w:r>
              <w:rPr>
                <w:rFonts w:ascii="Arial" w:hAnsi="Arial" w:cs="Arial"/>
                <w:b/>
                <w:sz w:val="12"/>
                <w:szCs w:val="12"/>
              </w:rPr>
              <w:t>/ Source</w:t>
            </w:r>
          </w:p>
        </w:tc>
        <w:tc>
          <w:tcPr>
            <w:tcW w:w="851" w:type="dxa"/>
            <w:tcBorders>
              <w:top w:val="single" w:sz="4" w:space="0" w:color="888888"/>
              <w:left w:val="single" w:sz="4" w:space="0" w:color="888888"/>
              <w:bottom w:val="single" w:sz="4" w:space="0" w:color="888888"/>
              <w:right w:val="single" w:sz="4" w:space="0" w:color="888888"/>
            </w:tcBorders>
            <w:shd w:val="clear" w:color="auto" w:fill="C1E4F5" w:themeFill="accent1" w:themeFillTint="33"/>
          </w:tcPr>
          <w:p w14:paraId="4994EF69" w14:textId="77777777" w:rsidR="00871B31" w:rsidRPr="00756461" w:rsidRDefault="00871B31" w:rsidP="00BC1F31">
            <w:pPr>
              <w:spacing w:after="0" w:line="240" w:lineRule="auto"/>
              <w:jc w:val="center"/>
              <w:rPr>
                <w:rFonts w:ascii="Arial" w:hAnsi="Arial" w:cs="Arial"/>
                <w:sz w:val="12"/>
                <w:szCs w:val="12"/>
              </w:rPr>
            </w:pPr>
            <w:r>
              <w:rPr>
                <w:rFonts w:ascii="Arial" w:hAnsi="Arial" w:cs="Arial"/>
                <w:b/>
                <w:sz w:val="12"/>
                <w:szCs w:val="12"/>
              </w:rPr>
              <w:t>Classical</w:t>
            </w:r>
          </w:p>
        </w:tc>
        <w:tc>
          <w:tcPr>
            <w:tcW w:w="425" w:type="dxa"/>
            <w:tcBorders>
              <w:top w:val="single" w:sz="4" w:space="0" w:color="888888"/>
              <w:left w:val="single" w:sz="4" w:space="0" w:color="888888"/>
              <w:bottom w:val="single" w:sz="4" w:space="0" w:color="888888"/>
              <w:right w:val="single" w:sz="4" w:space="0" w:color="888888"/>
            </w:tcBorders>
            <w:shd w:val="clear" w:color="auto" w:fill="C1E4F5" w:themeFill="accent1" w:themeFillTint="33"/>
          </w:tcPr>
          <w:p w14:paraId="71B17066" w14:textId="77777777" w:rsidR="00871B31" w:rsidRPr="00756461" w:rsidRDefault="00871B31" w:rsidP="00BC1F31">
            <w:pPr>
              <w:spacing w:after="0" w:line="240" w:lineRule="auto"/>
              <w:jc w:val="center"/>
              <w:rPr>
                <w:rFonts w:ascii="Arial" w:hAnsi="Arial" w:cs="Arial"/>
                <w:sz w:val="12"/>
                <w:szCs w:val="12"/>
              </w:rPr>
            </w:pPr>
            <w:r>
              <w:rPr>
                <w:rFonts w:ascii="Arial" w:hAnsi="Arial" w:cs="Arial"/>
                <w:b/>
                <w:sz w:val="12"/>
                <w:szCs w:val="12"/>
              </w:rPr>
              <w:t>ML</w:t>
            </w:r>
          </w:p>
        </w:tc>
        <w:tc>
          <w:tcPr>
            <w:tcW w:w="425" w:type="dxa"/>
            <w:tcBorders>
              <w:top w:val="single" w:sz="4" w:space="0" w:color="888888"/>
              <w:left w:val="single" w:sz="4" w:space="0" w:color="888888"/>
              <w:bottom w:val="single" w:sz="4" w:space="0" w:color="888888"/>
              <w:right w:val="single" w:sz="4" w:space="0" w:color="888888"/>
            </w:tcBorders>
            <w:shd w:val="clear" w:color="auto" w:fill="C1E4F5" w:themeFill="accent1" w:themeFillTint="33"/>
          </w:tcPr>
          <w:p w14:paraId="3F31F06A" w14:textId="77777777" w:rsidR="00871B31" w:rsidRPr="00756461" w:rsidRDefault="00871B31" w:rsidP="00BC1F31">
            <w:pPr>
              <w:spacing w:after="0" w:line="240" w:lineRule="auto"/>
              <w:jc w:val="center"/>
              <w:rPr>
                <w:rFonts w:ascii="Arial" w:hAnsi="Arial" w:cs="Arial"/>
                <w:sz w:val="12"/>
                <w:szCs w:val="12"/>
              </w:rPr>
            </w:pPr>
            <w:r>
              <w:rPr>
                <w:rFonts w:ascii="Arial" w:hAnsi="Arial" w:cs="Arial"/>
                <w:b/>
                <w:sz w:val="12"/>
                <w:szCs w:val="12"/>
              </w:rPr>
              <w:t>AI</w:t>
            </w:r>
          </w:p>
        </w:tc>
        <w:tc>
          <w:tcPr>
            <w:tcW w:w="992" w:type="dxa"/>
            <w:tcBorders>
              <w:top w:val="single" w:sz="4" w:space="0" w:color="888888"/>
              <w:left w:val="single" w:sz="4" w:space="0" w:color="888888"/>
              <w:bottom w:val="single" w:sz="4" w:space="0" w:color="888888"/>
              <w:right w:val="single" w:sz="4" w:space="0" w:color="888888"/>
            </w:tcBorders>
            <w:shd w:val="clear" w:color="auto" w:fill="C1E4F5" w:themeFill="accent1" w:themeFillTint="33"/>
          </w:tcPr>
          <w:p w14:paraId="79E0F9FB" w14:textId="77777777" w:rsidR="00871B31" w:rsidRPr="00756461" w:rsidRDefault="00871B31" w:rsidP="00BC1F31">
            <w:pPr>
              <w:spacing w:after="0" w:line="240" w:lineRule="auto"/>
              <w:jc w:val="center"/>
              <w:rPr>
                <w:rFonts w:ascii="Arial" w:hAnsi="Arial" w:cs="Arial"/>
                <w:sz w:val="12"/>
                <w:szCs w:val="12"/>
              </w:rPr>
            </w:pPr>
            <w:r>
              <w:rPr>
                <w:rFonts w:ascii="Arial" w:hAnsi="Arial" w:cs="Arial"/>
                <w:b/>
                <w:sz w:val="12"/>
                <w:szCs w:val="12"/>
              </w:rPr>
              <w:t>Model performance</w:t>
            </w:r>
          </w:p>
        </w:tc>
        <w:tc>
          <w:tcPr>
            <w:tcW w:w="851" w:type="dxa"/>
            <w:tcBorders>
              <w:top w:val="single" w:sz="4" w:space="0" w:color="888888"/>
              <w:left w:val="single" w:sz="4" w:space="0" w:color="888888"/>
              <w:bottom w:val="single" w:sz="4" w:space="0" w:color="888888"/>
              <w:right w:val="single" w:sz="4" w:space="0" w:color="888888"/>
            </w:tcBorders>
            <w:shd w:val="clear" w:color="auto" w:fill="C1E4F5" w:themeFill="accent1" w:themeFillTint="33"/>
          </w:tcPr>
          <w:p w14:paraId="46E30C77" w14:textId="77777777" w:rsidR="00871B31" w:rsidRPr="00756461" w:rsidRDefault="00871B31" w:rsidP="00BC1F31">
            <w:pPr>
              <w:spacing w:after="0" w:line="240" w:lineRule="auto"/>
              <w:jc w:val="center"/>
              <w:rPr>
                <w:rFonts w:ascii="Arial" w:hAnsi="Arial" w:cs="Arial"/>
                <w:sz w:val="12"/>
                <w:szCs w:val="12"/>
              </w:rPr>
            </w:pPr>
            <w:r>
              <w:rPr>
                <w:rFonts w:ascii="Arial" w:hAnsi="Arial" w:cs="Arial"/>
                <w:b/>
                <w:sz w:val="12"/>
                <w:szCs w:val="12"/>
              </w:rPr>
              <w:t>Reported matrices</w:t>
            </w:r>
          </w:p>
        </w:tc>
        <w:tc>
          <w:tcPr>
            <w:tcW w:w="817" w:type="dxa"/>
            <w:tcBorders>
              <w:top w:val="single" w:sz="4" w:space="0" w:color="888888"/>
              <w:left w:val="single" w:sz="4" w:space="0" w:color="888888"/>
              <w:bottom w:val="single" w:sz="4" w:space="0" w:color="888888"/>
              <w:right w:val="single" w:sz="4" w:space="0" w:color="888888"/>
            </w:tcBorders>
            <w:shd w:val="clear" w:color="auto" w:fill="C1E4F5" w:themeFill="accent1" w:themeFillTint="33"/>
          </w:tcPr>
          <w:p w14:paraId="0F621BDB" w14:textId="77777777" w:rsidR="00871B31" w:rsidRPr="00756461" w:rsidRDefault="00871B31" w:rsidP="00BC1F31">
            <w:pPr>
              <w:spacing w:after="0" w:line="240" w:lineRule="auto"/>
              <w:jc w:val="center"/>
              <w:rPr>
                <w:rFonts w:ascii="Arial" w:hAnsi="Arial" w:cs="Arial"/>
                <w:sz w:val="12"/>
                <w:szCs w:val="12"/>
              </w:rPr>
            </w:pPr>
            <w:r>
              <w:rPr>
                <w:rFonts w:ascii="Arial" w:hAnsi="Arial" w:cs="Arial"/>
                <w:b/>
                <w:sz w:val="12"/>
                <w:szCs w:val="12"/>
              </w:rPr>
              <w:t>Model validation</w:t>
            </w:r>
          </w:p>
        </w:tc>
        <w:tc>
          <w:tcPr>
            <w:tcW w:w="742" w:type="dxa"/>
            <w:tcBorders>
              <w:top w:val="single" w:sz="4" w:space="0" w:color="888888"/>
              <w:left w:val="single" w:sz="4" w:space="0" w:color="888888"/>
              <w:bottom w:val="single" w:sz="4" w:space="0" w:color="888888"/>
              <w:right w:val="single" w:sz="4" w:space="0" w:color="888888"/>
            </w:tcBorders>
            <w:shd w:val="clear" w:color="auto" w:fill="C1E4F5" w:themeFill="accent1" w:themeFillTint="33"/>
          </w:tcPr>
          <w:p w14:paraId="41D3663E" w14:textId="77777777" w:rsidR="00871B31" w:rsidRPr="00756461" w:rsidRDefault="00871B31" w:rsidP="00BC1F31">
            <w:pPr>
              <w:spacing w:after="0" w:line="240" w:lineRule="auto"/>
              <w:jc w:val="center"/>
              <w:rPr>
                <w:rFonts w:ascii="Arial" w:hAnsi="Arial" w:cs="Arial"/>
                <w:sz w:val="12"/>
                <w:szCs w:val="12"/>
              </w:rPr>
            </w:pPr>
            <w:r>
              <w:rPr>
                <w:rFonts w:ascii="Arial" w:hAnsi="Arial" w:cs="Arial"/>
                <w:b/>
                <w:sz w:val="12"/>
                <w:szCs w:val="12"/>
              </w:rPr>
              <w:t>Sample size</w:t>
            </w:r>
          </w:p>
        </w:tc>
        <w:tc>
          <w:tcPr>
            <w:tcW w:w="851" w:type="dxa"/>
            <w:tcBorders>
              <w:top w:val="single" w:sz="4" w:space="0" w:color="888888"/>
              <w:left w:val="single" w:sz="4" w:space="0" w:color="888888"/>
              <w:bottom w:val="single" w:sz="4" w:space="0" w:color="888888"/>
              <w:right w:val="single" w:sz="4" w:space="0" w:color="888888"/>
            </w:tcBorders>
            <w:shd w:val="clear" w:color="auto" w:fill="C1E4F5" w:themeFill="accent1" w:themeFillTint="33"/>
          </w:tcPr>
          <w:p w14:paraId="66062F83" w14:textId="77777777" w:rsidR="00871B31" w:rsidRPr="00756461" w:rsidRDefault="00871B31" w:rsidP="00BC1F31">
            <w:pPr>
              <w:spacing w:after="0" w:line="240" w:lineRule="auto"/>
              <w:jc w:val="center"/>
              <w:rPr>
                <w:rFonts w:ascii="Arial" w:hAnsi="Arial" w:cs="Arial"/>
                <w:sz w:val="12"/>
                <w:szCs w:val="12"/>
              </w:rPr>
            </w:pPr>
            <w:r>
              <w:rPr>
                <w:rFonts w:ascii="Arial" w:hAnsi="Arial" w:cs="Arial"/>
                <w:b/>
                <w:sz w:val="12"/>
                <w:szCs w:val="12"/>
              </w:rPr>
              <w:t>Funding</w:t>
            </w:r>
          </w:p>
        </w:tc>
        <w:tc>
          <w:tcPr>
            <w:tcW w:w="1134" w:type="dxa"/>
            <w:tcBorders>
              <w:top w:val="single" w:sz="4" w:space="0" w:color="888888"/>
              <w:left w:val="single" w:sz="4" w:space="0" w:color="888888"/>
              <w:bottom w:val="single" w:sz="4" w:space="0" w:color="888888"/>
              <w:right w:val="single" w:sz="4" w:space="0" w:color="888888"/>
            </w:tcBorders>
            <w:shd w:val="clear" w:color="auto" w:fill="C1E4F5" w:themeFill="accent1" w:themeFillTint="33"/>
          </w:tcPr>
          <w:p w14:paraId="1659B060" w14:textId="77777777" w:rsidR="00871B31" w:rsidRPr="00756461" w:rsidRDefault="00871B31" w:rsidP="00BC1F31">
            <w:pPr>
              <w:spacing w:after="0" w:line="240" w:lineRule="auto"/>
              <w:jc w:val="center"/>
              <w:rPr>
                <w:rFonts w:ascii="Arial" w:hAnsi="Arial" w:cs="Arial"/>
                <w:b/>
                <w:sz w:val="12"/>
                <w:szCs w:val="12"/>
              </w:rPr>
            </w:pPr>
            <w:r>
              <w:rPr>
                <w:rFonts w:ascii="Arial" w:hAnsi="Arial" w:cs="Arial"/>
                <w:b/>
                <w:sz w:val="12"/>
                <w:szCs w:val="12"/>
              </w:rPr>
              <w:t xml:space="preserve">TRIPOD+AI </w:t>
            </w:r>
          </w:p>
          <w:p w14:paraId="09D0090D" w14:textId="77777777" w:rsidR="00871B31" w:rsidRPr="00756461" w:rsidRDefault="00871B31" w:rsidP="00BC1F31">
            <w:pPr>
              <w:spacing w:after="0" w:line="240" w:lineRule="auto"/>
              <w:jc w:val="center"/>
              <w:rPr>
                <w:rFonts w:ascii="Arial" w:hAnsi="Arial" w:cs="Arial"/>
                <w:b/>
                <w:sz w:val="12"/>
                <w:szCs w:val="12"/>
              </w:rPr>
            </w:pPr>
            <w:r>
              <w:rPr>
                <w:rFonts w:ascii="Arial" w:hAnsi="Arial" w:cs="Arial"/>
                <w:b/>
                <w:sz w:val="12"/>
                <w:szCs w:val="12"/>
              </w:rPr>
              <w:t>(% compliance)</w:t>
            </w:r>
          </w:p>
        </w:tc>
        <w:tc>
          <w:tcPr>
            <w:tcW w:w="841" w:type="dxa"/>
            <w:tcBorders>
              <w:top w:val="single" w:sz="4" w:space="0" w:color="888888"/>
              <w:left w:val="single" w:sz="4" w:space="0" w:color="888888"/>
              <w:bottom w:val="single" w:sz="4" w:space="0" w:color="888888"/>
              <w:right w:val="single" w:sz="4" w:space="0" w:color="888888"/>
            </w:tcBorders>
            <w:shd w:val="clear" w:color="auto" w:fill="C1E4F5" w:themeFill="accent1" w:themeFillTint="33"/>
          </w:tcPr>
          <w:p w14:paraId="0CF7F7B7" w14:textId="77777777" w:rsidR="00871B31" w:rsidRPr="00756461" w:rsidRDefault="00871B31" w:rsidP="00BC1F31">
            <w:pPr>
              <w:spacing w:after="0" w:line="240" w:lineRule="auto"/>
              <w:jc w:val="center"/>
              <w:rPr>
                <w:rFonts w:ascii="Arial" w:hAnsi="Arial" w:cs="Arial"/>
                <w:b/>
                <w:sz w:val="12"/>
                <w:szCs w:val="12"/>
              </w:rPr>
            </w:pPr>
            <w:r>
              <w:rPr>
                <w:rFonts w:ascii="Arial" w:hAnsi="Arial" w:cs="Arial"/>
                <w:b/>
                <w:sz w:val="12"/>
                <w:szCs w:val="12"/>
              </w:rPr>
              <w:t>PROBAST+AI</w:t>
            </w:r>
          </w:p>
        </w:tc>
        <w:tc>
          <w:tcPr>
            <w:tcW w:w="860" w:type="dxa"/>
            <w:tcBorders>
              <w:top w:val="single" w:sz="4" w:space="0" w:color="888888"/>
              <w:left w:val="single" w:sz="4" w:space="0" w:color="888888"/>
              <w:bottom w:val="single" w:sz="4" w:space="0" w:color="888888"/>
              <w:right w:val="single" w:sz="4" w:space="0" w:color="888888"/>
            </w:tcBorders>
            <w:shd w:val="clear" w:color="auto" w:fill="C1E4F5" w:themeFill="accent1" w:themeFillTint="33"/>
          </w:tcPr>
          <w:p w14:paraId="1FE6DF9B" w14:textId="77777777" w:rsidR="00871B31" w:rsidRPr="00756461" w:rsidRDefault="00871B31" w:rsidP="00BC1F31">
            <w:pPr>
              <w:spacing w:after="0" w:line="240" w:lineRule="auto"/>
              <w:jc w:val="center"/>
              <w:rPr>
                <w:rFonts w:ascii="Arial" w:hAnsi="Arial" w:cs="Arial"/>
                <w:b/>
                <w:sz w:val="12"/>
                <w:szCs w:val="12"/>
              </w:rPr>
            </w:pPr>
            <w:r>
              <w:rPr>
                <w:rFonts w:ascii="Arial" w:hAnsi="Arial" w:cs="Arial"/>
                <w:b/>
                <w:sz w:val="12"/>
                <w:szCs w:val="12"/>
              </w:rPr>
              <w:t>Data availability</w:t>
            </w:r>
          </w:p>
        </w:tc>
        <w:tc>
          <w:tcPr>
            <w:tcW w:w="442" w:type="dxa"/>
            <w:tcBorders>
              <w:top w:val="single" w:sz="4" w:space="0" w:color="888888"/>
              <w:left w:val="single" w:sz="4" w:space="0" w:color="888888"/>
              <w:bottom w:val="single" w:sz="4" w:space="0" w:color="888888"/>
              <w:right w:val="single" w:sz="4" w:space="0" w:color="888888"/>
            </w:tcBorders>
            <w:shd w:val="clear" w:color="auto" w:fill="C1E4F5" w:themeFill="accent1" w:themeFillTint="33"/>
          </w:tcPr>
          <w:p w14:paraId="771CF2A8" w14:textId="77777777" w:rsidR="00871B31" w:rsidRPr="00756461" w:rsidRDefault="00871B31" w:rsidP="00BC1F31">
            <w:pPr>
              <w:spacing w:after="0" w:line="240" w:lineRule="auto"/>
              <w:jc w:val="center"/>
              <w:rPr>
                <w:rFonts w:ascii="Arial" w:hAnsi="Arial" w:cs="Arial"/>
                <w:b/>
                <w:sz w:val="12"/>
                <w:szCs w:val="12"/>
              </w:rPr>
            </w:pPr>
            <w:r>
              <w:rPr>
                <w:rFonts w:ascii="Arial" w:hAnsi="Arial" w:cs="Arial"/>
                <w:b/>
                <w:sz w:val="12"/>
                <w:szCs w:val="12"/>
              </w:rPr>
              <w:t>Ref</w:t>
            </w:r>
          </w:p>
        </w:tc>
      </w:tr>
      <w:tr w:rsidR="00871B31" w:rsidRPr="00756461" w14:paraId="043007F4"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1129570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Adane, et al. 2025</w:t>
            </w:r>
          </w:p>
        </w:tc>
        <w:tc>
          <w:tcPr>
            <w:tcW w:w="1054" w:type="dxa"/>
            <w:tcBorders>
              <w:top w:val="single" w:sz="4" w:space="0" w:color="888888"/>
              <w:left w:val="single" w:sz="4" w:space="0" w:color="888888"/>
              <w:bottom w:val="single" w:sz="4" w:space="0" w:color="888888"/>
              <w:right w:val="single" w:sz="4" w:space="0" w:color="888888"/>
            </w:tcBorders>
          </w:tcPr>
          <w:p w14:paraId="79FCAC7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6D7133E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Ethiopia</w:t>
            </w:r>
          </w:p>
        </w:tc>
        <w:tc>
          <w:tcPr>
            <w:tcW w:w="786" w:type="dxa"/>
            <w:tcBorders>
              <w:top w:val="single" w:sz="4" w:space="0" w:color="888888"/>
              <w:left w:val="single" w:sz="4" w:space="0" w:color="888888"/>
              <w:bottom w:val="single" w:sz="4" w:space="0" w:color="888888"/>
              <w:right w:val="single" w:sz="4" w:space="0" w:color="888888"/>
            </w:tcBorders>
          </w:tcPr>
          <w:p w14:paraId="2AE1540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Neonatal mortality</w:t>
            </w:r>
          </w:p>
        </w:tc>
        <w:tc>
          <w:tcPr>
            <w:tcW w:w="786" w:type="dxa"/>
            <w:tcBorders>
              <w:top w:val="single" w:sz="4" w:space="0" w:color="888888"/>
              <w:left w:val="single" w:sz="4" w:space="0" w:color="888888"/>
              <w:bottom w:val="single" w:sz="4" w:space="0" w:color="888888"/>
              <w:right w:val="single" w:sz="4" w:space="0" w:color="888888"/>
            </w:tcBorders>
          </w:tcPr>
          <w:p w14:paraId="2161570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 Model development</w:t>
            </w:r>
            <w:r>
              <w:rPr>
                <w:rFonts w:ascii="Arial" w:hAnsi="Arial" w:cs="Arial"/>
                <w:sz w:val="12"/>
                <w:szCs w:val="12"/>
              </w:rPr>
              <w:br/>
              <w:t>2. Model validation</w:t>
            </w:r>
          </w:p>
        </w:tc>
        <w:tc>
          <w:tcPr>
            <w:tcW w:w="1051" w:type="dxa"/>
            <w:tcBorders>
              <w:top w:val="single" w:sz="4" w:space="0" w:color="888888"/>
              <w:left w:val="single" w:sz="4" w:space="0" w:color="888888"/>
              <w:bottom w:val="single" w:sz="4" w:space="0" w:color="888888"/>
              <w:right w:val="single" w:sz="4" w:space="0" w:color="888888"/>
            </w:tcBorders>
          </w:tcPr>
          <w:p w14:paraId="2E5564A4"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1D02B60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Gravidity</w:t>
            </w:r>
          </w:p>
          <w:p w14:paraId="0C0E0B34"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11D0898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Birth weight</w:t>
            </w:r>
          </w:p>
          <w:p w14:paraId="0837FBE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APGAR score</w:t>
            </w:r>
          </w:p>
          <w:p w14:paraId="66C663F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Amniotic fluid / meconium</w:t>
            </w:r>
          </w:p>
          <w:p w14:paraId="63F5DF4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Perinatal asphyxia</w:t>
            </w:r>
          </w:p>
          <w:p w14:paraId="6A83C437"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Sociodemographic factor</w:t>
            </w:r>
          </w:p>
          <w:p w14:paraId="5C0B63D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Geographic region / residence</w:t>
            </w:r>
          </w:p>
        </w:tc>
        <w:tc>
          <w:tcPr>
            <w:tcW w:w="851" w:type="dxa"/>
            <w:tcBorders>
              <w:top w:val="single" w:sz="4" w:space="0" w:color="888888"/>
              <w:left w:val="single" w:sz="4" w:space="0" w:color="888888"/>
              <w:bottom w:val="single" w:sz="4" w:space="0" w:color="888888"/>
              <w:right w:val="single" w:sz="4" w:space="0" w:color="888888"/>
            </w:tcBorders>
          </w:tcPr>
          <w:p w14:paraId="3C033F7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63A5E5A8"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6E6857CA"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33FCC098"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0275436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final prediction model demonstrated good performance with an Area Under the Curve (AUC) of 0.796. The simplified risk score model had a sensitivity of 80% and a specificity of 66% at an optimal cutoff point. The model was well-calibrated, with a p-value of 0.781</w:t>
            </w:r>
          </w:p>
        </w:tc>
        <w:tc>
          <w:tcPr>
            <w:tcW w:w="851" w:type="dxa"/>
            <w:tcBorders>
              <w:top w:val="single" w:sz="4" w:space="0" w:color="888888"/>
              <w:left w:val="single" w:sz="4" w:space="0" w:color="888888"/>
              <w:bottom w:val="single" w:sz="4" w:space="0" w:color="888888"/>
              <w:right w:val="single" w:sz="4" w:space="0" w:color="888888"/>
            </w:tcBorders>
          </w:tcPr>
          <w:p w14:paraId="67A7015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AUROC</w:t>
            </w:r>
          </w:p>
        </w:tc>
        <w:tc>
          <w:tcPr>
            <w:tcW w:w="817" w:type="dxa"/>
            <w:tcBorders>
              <w:top w:val="single" w:sz="4" w:space="0" w:color="888888"/>
              <w:left w:val="single" w:sz="4" w:space="0" w:color="888888"/>
              <w:bottom w:val="single" w:sz="4" w:space="0" w:color="888888"/>
              <w:right w:val="single" w:sz="4" w:space="0" w:color="888888"/>
            </w:tcBorders>
          </w:tcPr>
          <w:p w14:paraId="0CEB07F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2F9CDF9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845 neonates</w:t>
            </w:r>
          </w:p>
        </w:tc>
        <w:tc>
          <w:tcPr>
            <w:tcW w:w="851" w:type="dxa"/>
            <w:tcBorders>
              <w:top w:val="single" w:sz="4" w:space="0" w:color="888888"/>
              <w:left w:val="single" w:sz="4" w:space="0" w:color="888888"/>
              <w:bottom w:val="single" w:sz="4" w:space="0" w:color="888888"/>
              <w:right w:val="single" w:sz="4" w:space="0" w:color="888888"/>
            </w:tcBorders>
          </w:tcPr>
          <w:p w14:paraId="303AE71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authors state that no financial support was received for the research or publication of the article</w:t>
            </w:r>
          </w:p>
        </w:tc>
        <w:tc>
          <w:tcPr>
            <w:tcW w:w="1134" w:type="dxa"/>
            <w:tcBorders>
              <w:top w:val="single" w:sz="4" w:space="0" w:color="888888"/>
              <w:left w:val="single" w:sz="4" w:space="0" w:color="888888"/>
              <w:bottom w:val="single" w:sz="4" w:space="0" w:color="888888"/>
              <w:right w:val="single" w:sz="4" w:space="0" w:color="888888"/>
            </w:tcBorders>
          </w:tcPr>
          <w:p w14:paraId="5EC1515F"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67.4%</w:t>
            </w:r>
          </w:p>
        </w:tc>
        <w:tc>
          <w:tcPr>
            <w:tcW w:w="841" w:type="dxa"/>
            <w:tcBorders>
              <w:top w:val="single" w:sz="4" w:space="0" w:color="888888"/>
              <w:left w:val="single" w:sz="4" w:space="0" w:color="888888"/>
              <w:bottom w:val="single" w:sz="4" w:space="0" w:color="888888"/>
              <w:right w:val="single" w:sz="4" w:space="0" w:color="888888"/>
            </w:tcBorders>
          </w:tcPr>
          <w:p w14:paraId="395BA3CC"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Unclear risk</w:t>
            </w:r>
            <w:r>
              <w:rPr>
                <w:rFonts w:ascii="Arial" w:hAnsi="Arial" w:cs="Arial"/>
                <w:color w:val="000000"/>
                <w:sz w:val="12"/>
                <w:szCs w:val="12"/>
              </w:rPr>
              <w:br/>
              <w:t>D3: Low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0BA78D5F" w14:textId="77777777" w:rsidR="00871B31" w:rsidRPr="00756461" w:rsidRDefault="00871B31" w:rsidP="00BC1F31">
            <w:pPr>
              <w:spacing w:after="0" w:line="240" w:lineRule="auto"/>
              <w:rPr>
                <w:rFonts w:ascii="Arial" w:hAnsi="Arial" w:cs="Arial"/>
                <w:color w:val="000000"/>
                <w:sz w:val="12"/>
                <w:szCs w:val="12"/>
              </w:rPr>
            </w:pPr>
            <w:r>
              <w:rPr>
                <w:rFonts w:ascii="Arial" w:hAnsi="Arial" w:cs="Arial"/>
                <w:color w:val="000000"/>
                <w:sz w:val="12"/>
                <w:szCs w:val="12"/>
              </w:rPr>
              <w:t>Not publicly available</w:t>
            </w:r>
          </w:p>
          <w:p w14:paraId="35E73B32"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br/>
              <w:t>Available via inquiries to corresponding author</w:t>
            </w:r>
          </w:p>
        </w:tc>
        <w:tc>
          <w:tcPr>
            <w:tcW w:w="442" w:type="dxa"/>
            <w:tcBorders>
              <w:top w:val="single" w:sz="4" w:space="0" w:color="888888"/>
              <w:left w:val="single" w:sz="4" w:space="0" w:color="888888"/>
              <w:bottom w:val="single" w:sz="4" w:space="0" w:color="888888"/>
              <w:right w:val="single" w:sz="4" w:space="0" w:color="888888"/>
            </w:tcBorders>
          </w:tcPr>
          <w:p w14:paraId="02D6C429"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{"citationID":"NbD2TxHJ","properties":{"formattedCitation":"[30]","plainCitation":"[30]","noteIndex":0},"citationItems":[{"id":"b2OWig5M/CthmlRNu","uris":["http://zotero.org/users/18230940/items/6KBZ7N38"],"itemData":{"id":638,"type":"article-journal","abstract":"BackgroundThe World Health Organization reported 2.6 million neonatal deaths in 2016, accounting for nearly 46% of all under-five deaths globally. Ethiopia is among the top 10 countries with the highest neonatal mortality, with an estimated 122,000 newborn deaths annually. This study aimed to develop and validate a risk score to predict neonatal mortality.MethodsWe conducted a retrospective follow-up study among 845 neonates admitted tot Hawassa University Comprehensive Specialized Hospital, Southern Ethiopia. Data were entered into EpiData version 4.6 and analyzed using R version 4.0.5. Variables with p &lt; 0.25 in the bivariable analysis were entered into the multivariable model. A stepwise backward elimination technique with p &lt; 0.1 for the likelihood ratio test to fit the reduced model. Finally, variables with p &lt; 0.05 were considered statistically significant.ResultsOf the 845 neonates included in the study, 130 died, resulting in a neonatal mortality incidence proportion of 15.4% (95% CI: 13%, 17%). Seven variables, namely, residence, primigravida, low birth weight, amniotic fluid status, Apgar score, perinatal asphyxia, and breastfeeding, were included in the model. The AUC of the final reduced validated model was 0.781 (95% CI: 0.73, 0.82). The accuracy of the model was also assessed by calibration and resulted in a p-value of 0.781. The model had a sensitivity and specificity of 80% and 66%, respectively. Decision curve analysis of the model provides a higher net benefit across ranges of threshold probabilities.ConclusionWe constructed and internally validated a prediction model with good performance. This model is feasible and applicable in healthcare settings to reducing neonatal mortality and improving overall maternal and child healthcare.","container-title":"Frontiers in Pediatrics","DOI":"10.3389/fped.2025.1496019","ISSN":"2296-2360","journalAbbreviation":"Front. Pediatr.","language":"English","publisher":"Frontiers","source":"Frontiers","title":"Development and validation of a risk score to predict neonatal mortality among NICU admissions in Southern Ethiopia: a retrospective follow-up study","title-short":"Development and validation of a risk score to predict neonatal mortality among NICU admissions in Southern Ethiopia","URL":"https://www.frontiersin.org/journals/pediatrics/articles/10.3389/fped.2025.1496019/full","volume":"13","author":[{"family":"Adane","given":"Shumet Mebrat"},{"family":"Teshale","given":"Achamyeleh Birhanu"},{"family":"Belay","given":"Daniel Gashaneh"},{"family":"Nigatu","given":"Solomon Gedlu"}],"accessed":{"date-parts":[["2026",2,19]]},"issued":{"date-parts":[["2025",6,12]]}}}],"schema":"https://github.com/citation-style-language/schema/raw/master/csl-citation.json"}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[30]</w:t>
            </w:r>
            <w:r>
              <w:rPr>
                <w:rFonts w:ascii="Arial" w:eastAsia="Times New Roman" w:hAnsi="Arial" w:cs="Arial"/>
                <w:color w:val="000000"/>
                <w:sz w:val="12"/>
                <w:szCs w:val="12"/>
                <w:lang w:eastAsia="en-GB" w:bidi="th-TH"/>
              </w:rPr>
              <w:fldChar w:fldCharType="end"/>
            </w:r>
          </w:p>
        </w:tc>
      </w:tr>
      <w:tr w:rsidR="00871B31" w:rsidRPr="00756461" w14:paraId="0B485563"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41ADD1D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Adebanji, et al. 2024</w:t>
            </w:r>
          </w:p>
        </w:tc>
        <w:tc>
          <w:tcPr>
            <w:tcW w:w="1054" w:type="dxa"/>
            <w:tcBorders>
              <w:top w:val="single" w:sz="4" w:space="0" w:color="888888"/>
              <w:left w:val="single" w:sz="4" w:space="0" w:color="888888"/>
              <w:bottom w:val="single" w:sz="4" w:space="0" w:color="888888"/>
              <w:right w:val="single" w:sz="4" w:space="0" w:color="888888"/>
            </w:tcBorders>
          </w:tcPr>
          <w:p w14:paraId="445715E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5BF051C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Ghana</w:t>
            </w:r>
          </w:p>
        </w:tc>
        <w:tc>
          <w:tcPr>
            <w:tcW w:w="786" w:type="dxa"/>
            <w:tcBorders>
              <w:top w:val="single" w:sz="4" w:space="0" w:color="888888"/>
              <w:left w:val="single" w:sz="4" w:space="0" w:color="888888"/>
              <w:bottom w:val="single" w:sz="4" w:space="0" w:color="888888"/>
              <w:right w:val="single" w:sz="4" w:space="0" w:color="888888"/>
            </w:tcBorders>
          </w:tcPr>
          <w:p w14:paraId="2D7E19B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w:t>
            </w:r>
          </w:p>
        </w:tc>
        <w:tc>
          <w:tcPr>
            <w:tcW w:w="786" w:type="dxa"/>
            <w:tcBorders>
              <w:top w:val="single" w:sz="4" w:space="0" w:color="888888"/>
              <w:left w:val="single" w:sz="4" w:space="0" w:color="888888"/>
              <w:bottom w:val="single" w:sz="4" w:space="0" w:color="888888"/>
              <w:right w:val="single" w:sz="4" w:space="0" w:color="888888"/>
            </w:tcBorders>
          </w:tcPr>
          <w:p w14:paraId="59ADFDF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comparison</w:t>
            </w:r>
          </w:p>
        </w:tc>
        <w:tc>
          <w:tcPr>
            <w:tcW w:w="1051" w:type="dxa"/>
            <w:tcBorders>
              <w:top w:val="single" w:sz="4" w:space="0" w:color="888888"/>
              <w:left w:val="single" w:sz="4" w:space="0" w:color="888888"/>
              <w:bottom w:val="single" w:sz="4" w:space="0" w:color="888888"/>
              <w:right w:val="single" w:sz="4" w:space="0" w:color="888888"/>
            </w:tcBorders>
          </w:tcPr>
          <w:p w14:paraId="02F5B1B3"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26AECAE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education</w:t>
            </w:r>
          </w:p>
          <w:p w14:paraId="1AAA3C6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Parity</w:t>
            </w:r>
          </w:p>
          <w:p w14:paraId="0FDC5FB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Anaemia / haemoglobin</w:t>
            </w:r>
          </w:p>
          <w:p w14:paraId="1451961A"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18F81F0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Gestational age</w:t>
            </w:r>
          </w:p>
          <w:p w14:paraId="01CA9F7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Foetal heart rate / CTG</w:t>
            </w:r>
          </w:p>
        </w:tc>
        <w:tc>
          <w:tcPr>
            <w:tcW w:w="851" w:type="dxa"/>
            <w:tcBorders>
              <w:top w:val="single" w:sz="4" w:space="0" w:color="888888"/>
              <w:left w:val="single" w:sz="4" w:space="0" w:color="888888"/>
              <w:bottom w:val="single" w:sz="4" w:space="0" w:color="888888"/>
              <w:right w:val="single" w:sz="4" w:space="0" w:color="888888"/>
            </w:tcBorders>
          </w:tcPr>
          <w:p w14:paraId="5553745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7DA3E41B"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1372EC3A"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3ADD2FD5"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992" w:type="dxa"/>
            <w:tcBorders>
              <w:top w:val="single" w:sz="4" w:space="0" w:color="888888"/>
              <w:left w:val="single" w:sz="4" w:space="0" w:color="888888"/>
              <w:bottom w:val="single" w:sz="4" w:space="0" w:color="888888"/>
              <w:right w:val="single" w:sz="4" w:space="0" w:color="888888"/>
            </w:tcBorders>
          </w:tcPr>
          <w:p w14:paraId="5280D22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Best model is random forest with AUC of 0.90, Recall (sensitivity): 0.9959</w:t>
            </w:r>
          </w:p>
        </w:tc>
        <w:tc>
          <w:tcPr>
            <w:tcW w:w="851" w:type="dxa"/>
            <w:tcBorders>
              <w:top w:val="single" w:sz="4" w:space="0" w:color="888888"/>
              <w:left w:val="single" w:sz="4" w:space="0" w:color="888888"/>
              <w:bottom w:val="single" w:sz="4" w:space="0" w:color="888888"/>
              <w:right w:val="single" w:sz="4" w:space="0" w:color="888888"/>
            </w:tcBorders>
          </w:tcPr>
          <w:p w14:paraId="330AD87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AUC, Sensitivity </w:t>
            </w:r>
          </w:p>
        </w:tc>
        <w:tc>
          <w:tcPr>
            <w:tcW w:w="817" w:type="dxa"/>
            <w:tcBorders>
              <w:top w:val="single" w:sz="4" w:space="0" w:color="888888"/>
              <w:left w:val="single" w:sz="4" w:space="0" w:color="888888"/>
              <w:bottom w:val="single" w:sz="4" w:space="0" w:color="888888"/>
              <w:right w:val="single" w:sz="4" w:space="0" w:color="888888"/>
            </w:tcBorders>
          </w:tcPr>
          <w:p w14:paraId="422027B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669FD44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6466</w:t>
            </w:r>
          </w:p>
        </w:tc>
        <w:tc>
          <w:tcPr>
            <w:tcW w:w="851" w:type="dxa"/>
            <w:tcBorders>
              <w:top w:val="single" w:sz="4" w:space="0" w:color="888888"/>
              <w:left w:val="single" w:sz="4" w:space="0" w:color="888888"/>
              <w:bottom w:val="single" w:sz="4" w:space="0" w:color="888888"/>
              <w:right w:val="single" w:sz="4" w:space="0" w:color="888888"/>
            </w:tcBorders>
          </w:tcPr>
          <w:p w14:paraId="1C9F378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No specific funding</w:t>
            </w:r>
          </w:p>
        </w:tc>
        <w:tc>
          <w:tcPr>
            <w:tcW w:w="1134" w:type="dxa"/>
            <w:tcBorders>
              <w:top w:val="single" w:sz="4" w:space="0" w:color="888888"/>
              <w:left w:val="single" w:sz="4" w:space="0" w:color="888888"/>
              <w:bottom w:val="single" w:sz="4" w:space="0" w:color="888888"/>
              <w:right w:val="single" w:sz="4" w:space="0" w:color="888888"/>
            </w:tcBorders>
          </w:tcPr>
          <w:p w14:paraId="2322156E"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60.0%</w:t>
            </w:r>
          </w:p>
        </w:tc>
        <w:tc>
          <w:tcPr>
            <w:tcW w:w="841" w:type="dxa"/>
            <w:tcBorders>
              <w:top w:val="single" w:sz="4" w:space="0" w:color="888888"/>
              <w:left w:val="single" w:sz="4" w:space="0" w:color="888888"/>
              <w:bottom w:val="single" w:sz="4" w:space="0" w:color="888888"/>
              <w:right w:val="single" w:sz="4" w:space="0" w:color="888888"/>
            </w:tcBorders>
          </w:tcPr>
          <w:p w14:paraId="6D9CD933"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Unclear risk</w:t>
            </w:r>
            <w:r>
              <w:rPr>
                <w:rFonts w:ascii="Arial" w:hAnsi="Arial" w:cs="Arial"/>
                <w:color w:val="000000"/>
                <w:sz w:val="12"/>
                <w:szCs w:val="12"/>
              </w:rPr>
              <w:br/>
              <w:t>D3: Low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35457B3B"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No information</w:t>
            </w:r>
          </w:p>
        </w:tc>
        <w:tc>
          <w:tcPr>
            <w:tcW w:w="442" w:type="dxa"/>
            <w:tcBorders>
              <w:top w:val="single" w:sz="4" w:space="0" w:color="888888"/>
              <w:left w:val="single" w:sz="4" w:space="0" w:color="888888"/>
              <w:bottom w:val="single" w:sz="4" w:space="0" w:color="888888"/>
              <w:right w:val="single" w:sz="4" w:space="0" w:color="888888"/>
            </w:tcBorders>
          </w:tcPr>
          <w:p w14:paraId="45954A18"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{"citationID":"9eNr1KWg","properties":{"formattedCitation":"[31]","plainCitation":"[31]","noteIndex":0},"citationItems":[{"id":"b2OWig5M/4SOVtcQa","uris":["http://zotero.org/users/18230940/items/CUDFX7DK"],"itemData":{"id":640,"type":"article-journal","abstract":"BACKGROUND: Recent studies reveal that around 1.9 million stillbirths occur annually worldwide, with Sub-Saharan Africa having among the highest cases. Some Sub-Saharan African countries, including Ghana, failed to meet Millennium Development Goal 5 (MDG5) by 2015 and may struggle to meet Sustainable Development Goal 3 (SDG3) despite maternal healthcare interventions. Concerns arise about Ghana's ability to achieve the World Health Organization's neonatal mortality goal of 12 per 1000 live births by 2030. This study aims to identify key factors influencing childbirth outcomes and create a predictive method for high-risk pregnancies.\nMETHODS: We compared four machine learning classifiers (Extreme Gradient Boosting, Random Forest, Logistic Regression, and Artificial Neural Network) in predicting childbirth outcomes using data from a tertiary health facility in Ghana. To address class imbalance, we employed the Synthetic Minority Over-sampling Technique (SMOTE).\nRESULTS: Our findings show that fetal heartbeat, gestation age at birth are the most influential factors on birth outcome (stillbirth or live birth), while there is no significant association with maternal age, number of babies, and type of delivery method. Among the machine learning models considered, Random Forest emerged as the optimal model achieving an accuracy, F1-score, and AUC values of approximately 0.98, 0.99, and 0.90 respectively.\nCONCLUSION: Our study identifies key factors affecting childbirth outcomes and highlights the potential of machine learning for early high-risk pregnancy detection in clinical settings. These findings are crucial for Ghana and other Sub-Saharan African countries striving to meet maternal and neonatal healthcare goals. Further research and policy initiatives can use these results to improve healthcare in the region and work toward the World Health Organization's objectives by 2030.","container-title":"International Journal of Medical Informatics","DOI":"10.1016/j.ijmedinf.2024.105529","ISSN":"1872-8243","journalAbbreviation":"Int J Med Inform","language":"eng","page":"105529","PMID":"38905958","source":"PubMed","title":"Predictive analysis on the factors associated with birth Outcomes: A machine learning perspective","title-short":"Predictive analysis on the factors associated with birth Outcomes","volume":"189","author":[{"family":"Adebanji","given":"Atinuke Olusola"},{"family":"Asare","given":"Clement"},{"family":"Gyamerah","given":"Samuel Asante"}],"issued":{"date-parts":[["2024",9]]}}}],"schema":"https://github.com/citation-style-language/schema/raw/master/csl-citation.json"}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[31]</w:t>
            </w:r>
            <w:r>
              <w:rPr>
                <w:rFonts w:ascii="Arial" w:eastAsia="Times New Roman" w:hAnsi="Arial" w:cs="Arial"/>
                <w:color w:val="000000"/>
                <w:sz w:val="12"/>
                <w:szCs w:val="12"/>
                <w:lang w:eastAsia="en-GB" w:bidi="th-TH"/>
              </w:rPr>
              <w:fldChar w:fldCharType="end"/>
            </w:r>
          </w:p>
        </w:tc>
      </w:tr>
      <w:tr w:rsidR="00871B31" w:rsidRPr="00756461" w14:paraId="4A1402AE"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7100623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Aga 2025</w:t>
            </w:r>
          </w:p>
        </w:tc>
        <w:tc>
          <w:tcPr>
            <w:tcW w:w="1054" w:type="dxa"/>
            <w:tcBorders>
              <w:top w:val="single" w:sz="4" w:space="0" w:color="888888"/>
              <w:left w:val="single" w:sz="4" w:space="0" w:color="888888"/>
              <w:bottom w:val="single" w:sz="4" w:space="0" w:color="888888"/>
              <w:right w:val="single" w:sz="4" w:space="0" w:color="888888"/>
            </w:tcBorders>
          </w:tcPr>
          <w:p w14:paraId="36C410F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1ACB0CA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Ethiopia</w:t>
            </w:r>
          </w:p>
        </w:tc>
        <w:tc>
          <w:tcPr>
            <w:tcW w:w="786" w:type="dxa"/>
            <w:tcBorders>
              <w:top w:val="single" w:sz="4" w:space="0" w:color="888888"/>
              <w:left w:val="single" w:sz="4" w:space="0" w:color="888888"/>
              <w:bottom w:val="single" w:sz="4" w:space="0" w:color="888888"/>
              <w:right w:val="single" w:sz="4" w:space="0" w:color="888888"/>
            </w:tcBorders>
          </w:tcPr>
          <w:p w14:paraId="7AB0218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w:t>
            </w:r>
          </w:p>
        </w:tc>
        <w:tc>
          <w:tcPr>
            <w:tcW w:w="786" w:type="dxa"/>
            <w:tcBorders>
              <w:top w:val="single" w:sz="4" w:space="0" w:color="888888"/>
              <w:left w:val="single" w:sz="4" w:space="0" w:color="888888"/>
              <w:bottom w:val="single" w:sz="4" w:space="0" w:color="888888"/>
              <w:right w:val="single" w:sz="4" w:space="0" w:color="888888"/>
            </w:tcBorders>
          </w:tcPr>
          <w:p w14:paraId="5202215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 Model development</w:t>
            </w:r>
            <w:r>
              <w:rPr>
                <w:rFonts w:ascii="Arial" w:hAnsi="Arial" w:cs="Arial"/>
                <w:sz w:val="12"/>
                <w:szCs w:val="12"/>
              </w:rPr>
              <w:br/>
              <w:t>2. Identify important predictors</w:t>
            </w:r>
          </w:p>
        </w:tc>
        <w:tc>
          <w:tcPr>
            <w:tcW w:w="1051" w:type="dxa"/>
            <w:tcBorders>
              <w:top w:val="single" w:sz="4" w:space="0" w:color="888888"/>
              <w:left w:val="single" w:sz="4" w:space="0" w:color="888888"/>
              <w:bottom w:val="single" w:sz="4" w:space="0" w:color="888888"/>
              <w:right w:val="single" w:sz="4" w:space="0" w:color="888888"/>
            </w:tcBorders>
          </w:tcPr>
          <w:p w14:paraId="36C6BBFC"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01268C2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age</w:t>
            </w:r>
          </w:p>
          <w:p w14:paraId="3EDBE40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body mass index</w:t>
            </w:r>
          </w:p>
          <w:p w14:paraId="14C79FF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Gravidity</w:t>
            </w:r>
          </w:p>
        </w:tc>
        <w:tc>
          <w:tcPr>
            <w:tcW w:w="851" w:type="dxa"/>
            <w:tcBorders>
              <w:top w:val="single" w:sz="4" w:space="0" w:color="888888"/>
              <w:left w:val="single" w:sz="4" w:space="0" w:color="888888"/>
              <w:bottom w:val="single" w:sz="4" w:space="0" w:color="888888"/>
              <w:right w:val="single" w:sz="4" w:space="0" w:color="888888"/>
            </w:tcBorders>
          </w:tcPr>
          <w:p w14:paraId="494F6C6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06FE06A2"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5A512135"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7573DC78"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78DDEF3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Random Forest (RF) model performed the best, achieving 92% accuracy, a 0.95 ROC-AUC, and 0.94 balanced accuracy</w:t>
            </w:r>
          </w:p>
        </w:tc>
        <w:tc>
          <w:tcPr>
            <w:tcW w:w="851" w:type="dxa"/>
            <w:tcBorders>
              <w:top w:val="single" w:sz="4" w:space="0" w:color="888888"/>
              <w:left w:val="single" w:sz="4" w:space="0" w:color="888888"/>
              <w:bottom w:val="single" w:sz="4" w:space="0" w:color="888888"/>
              <w:right w:val="single" w:sz="4" w:space="0" w:color="888888"/>
            </w:tcBorders>
          </w:tcPr>
          <w:p w14:paraId="752EE22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ROC-AUC, Accuracy, Balanced accuracy</w:t>
            </w:r>
          </w:p>
        </w:tc>
        <w:tc>
          <w:tcPr>
            <w:tcW w:w="817" w:type="dxa"/>
            <w:tcBorders>
              <w:top w:val="single" w:sz="4" w:space="0" w:color="888888"/>
              <w:left w:val="single" w:sz="4" w:space="0" w:color="888888"/>
              <w:bottom w:val="single" w:sz="4" w:space="0" w:color="888888"/>
              <w:right w:val="single" w:sz="4" w:space="0" w:color="888888"/>
            </w:tcBorders>
          </w:tcPr>
          <w:p w14:paraId="22A5DB0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4FD0DA6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549 pregnancies </w:t>
            </w:r>
            <w:r>
              <w:rPr>
                <w:rFonts w:ascii="Arial" w:hAnsi="Arial" w:cs="Arial"/>
                <w:sz w:val="12"/>
                <w:szCs w:val="12"/>
              </w:rPr>
              <w:br/>
            </w:r>
          </w:p>
        </w:tc>
        <w:tc>
          <w:tcPr>
            <w:tcW w:w="851" w:type="dxa"/>
            <w:tcBorders>
              <w:top w:val="single" w:sz="4" w:space="0" w:color="888888"/>
              <w:left w:val="single" w:sz="4" w:space="0" w:color="888888"/>
              <w:bottom w:val="single" w:sz="4" w:space="0" w:color="888888"/>
              <w:right w:val="single" w:sz="4" w:space="0" w:color="888888"/>
            </w:tcBorders>
          </w:tcPr>
          <w:p w14:paraId="1A56D3F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authors did not receive any specific grant for this research from public, commercial, or not-for-profit funding agencies</w:t>
            </w:r>
          </w:p>
        </w:tc>
        <w:tc>
          <w:tcPr>
            <w:tcW w:w="1134" w:type="dxa"/>
            <w:tcBorders>
              <w:top w:val="single" w:sz="4" w:space="0" w:color="888888"/>
              <w:left w:val="single" w:sz="4" w:space="0" w:color="888888"/>
              <w:bottom w:val="single" w:sz="4" w:space="0" w:color="888888"/>
              <w:right w:val="single" w:sz="4" w:space="0" w:color="888888"/>
            </w:tcBorders>
          </w:tcPr>
          <w:p w14:paraId="100DA570"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51.0%</w:t>
            </w:r>
          </w:p>
        </w:tc>
        <w:tc>
          <w:tcPr>
            <w:tcW w:w="841" w:type="dxa"/>
            <w:tcBorders>
              <w:top w:val="single" w:sz="4" w:space="0" w:color="888888"/>
              <w:left w:val="single" w:sz="4" w:space="0" w:color="888888"/>
              <w:bottom w:val="single" w:sz="4" w:space="0" w:color="888888"/>
              <w:right w:val="single" w:sz="4" w:space="0" w:color="888888"/>
            </w:tcBorders>
          </w:tcPr>
          <w:p w14:paraId="769067D7"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Unclear risk</w:t>
            </w:r>
            <w:r>
              <w:rPr>
                <w:rFonts w:ascii="Arial" w:hAnsi="Arial" w:cs="Arial"/>
                <w:color w:val="000000"/>
                <w:sz w:val="12"/>
                <w:szCs w:val="12"/>
              </w:rPr>
              <w:br/>
              <w:t>D3: High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1CEC9F1D" w14:textId="77777777" w:rsidR="00871B31" w:rsidRPr="00756461" w:rsidRDefault="00871B31" w:rsidP="00BC1F31">
            <w:pPr>
              <w:spacing w:after="0" w:line="240" w:lineRule="auto"/>
              <w:rPr>
                <w:rFonts w:ascii="Arial" w:hAnsi="Arial" w:cs="Arial"/>
                <w:color w:val="000000"/>
                <w:sz w:val="12"/>
                <w:szCs w:val="12"/>
              </w:rPr>
            </w:pPr>
            <w:r>
              <w:rPr>
                <w:rFonts w:ascii="Arial" w:hAnsi="Arial" w:cs="Arial"/>
                <w:color w:val="000000"/>
                <w:sz w:val="12"/>
                <w:szCs w:val="12"/>
              </w:rPr>
              <w:t>Not publicly available</w:t>
            </w:r>
            <w:r>
              <w:rPr>
                <w:rFonts w:ascii="Arial" w:hAnsi="Arial" w:cs="Arial"/>
                <w:color w:val="000000"/>
                <w:sz w:val="12"/>
                <w:szCs w:val="12"/>
              </w:rPr>
              <w:br/>
            </w:r>
          </w:p>
          <w:p w14:paraId="3CA0E6B0"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Available via inquiries to corresponding author</w:t>
            </w:r>
          </w:p>
        </w:tc>
        <w:tc>
          <w:tcPr>
            <w:tcW w:w="442" w:type="dxa"/>
            <w:tcBorders>
              <w:top w:val="single" w:sz="4" w:space="0" w:color="888888"/>
              <w:left w:val="single" w:sz="4" w:space="0" w:color="888888"/>
              <w:bottom w:val="single" w:sz="4" w:space="0" w:color="888888"/>
              <w:right w:val="single" w:sz="4" w:space="0" w:color="888888"/>
            </w:tcBorders>
          </w:tcPr>
          <w:p w14:paraId="03BECEE6"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{"citationID":"h9CkSk6I","properties":{"formattedCitation":"[32]","plainCitation":"[32]","noteIndex":0},"citationItems":[{"id":"b2OWig5M/7jBZP6am","uris":["http://zotero.org/users/18230940/items/C56MHRBK"],"itemData":{"id":642,"type":"article-journal","abstract":"Background Stillbirth remains a major public health concern, particularly in low-income and middle-income countries. Identifying maternal and obstetric determinants is essential for prevention and targeted interventions. Logistic regression offers a baseline predictive model, while machine learning (ML) methods, such as Random Forest (RF) and Extreme Gradient Boosting, can improve predictive accuracy and highlight key risk factors through feature importance. This study aimed to predict stillbirth and identify influential maternal and obstetric predictors among pregnant women in Ethiopia using ML models.Methods A retrospective cross-sectional study was conducted using maternal and obstetric records from Bishoftu General Hospital, Ethiopia. Predictors included maternal age, weight, gravidity, gestational age at admission and delivery, history of pre-eclampsia, antenatal care visits, pregnancy complications, multiplicity, previous abortion and mode of delivery. Data were split into training (70%) and testing (30%) sets. RF, Gradient Boosting Machines, Support Vector Machines and logistic regression were applied. Model performance was evaluated using accuracy, precision, recall, balanced accuracy and receiver operating characteristic-area under the curve (ROC-AUC). Feature importance and SHapley Additive exPlanations (SHAP) supported interpretability.Results Among 549 pregnancies, 17 stillbirths occurred. RF outperformed other models, achieving 92% accuracy, 0.95 ROC-AUC and 0.94 balanced accuracy. Maternal age was the strongest predictor, followed by mode of labour, maternal weight, gravidity and delivery mode. Pregnancy complications and antenatal care visits showed moderate importance, while history of pre-eclampsia, previous abortion and multiplicity contributed minimally. SHAP analysis confirmed these findings and explained variable-specific effects on risk.Conclusions Maternal age emerged as the dominant determinant of stillbirth, with labour and delivery factors and maternal characteristics also contributing. ML models, particularly RF, effectively identified high-risk pregnancies and provided interpretable predictions through SHAP analysis. These findings underscore the potential of ML to support targeted prenatal care and reduce stillbirth risk in low-resource settings.","container-title":"BMJ Paediatrics Open","DOI":"10.1136/bmjpo-2025-004000","ISSN":"2399-9772","issue":"1","journalAbbreviation":"bmjpo","language":"en","license":"This is an open access article distributed in accordance with the Creative Commons Attribution Non Commercial (CC BY-NC 4.0) license","PMID":"10.1136/bmjpo-2025-004000","publisher":"BMJ Publishing Group Ltd","source":"bmjpaedsopen.bmj.com","title":"Predicting stillbirth and identifying key maternal risk factors using machine learning","URL":"https://bmjpaedsopen.bmj.com/content/9/1/e004000","volume":"9","author":[{"family":"Aga","given":"Merga Abdissa"}],"accessed":{"date-parts":[["2026",2,19]]},"issued":{"date-parts":[["2025",10,28]]}}}],"schema":"https://github.com/citation-style-language/schema/raw/master/csl-citation.json"}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[32]</w:t>
            </w:r>
            <w:r>
              <w:rPr>
                <w:rFonts w:ascii="Arial" w:eastAsia="Times New Roman" w:hAnsi="Arial" w:cs="Arial"/>
                <w:color w:val="000000"/>
                <w:sz w:val="12"/>
                <w:szCs w:val="12"/>
                <w:lang w:eastAsia="en-GB" w:bidi="th-TH"/>
              </w:rPr>
              <w:fldChar w:fldCharType="end"/>
            </w:r>
          </w:p>
        </w:tc>
      </w:tr>
      <w:tr w:rsidR="00871B31" w:rsidRPr="00756461" w14:paraId="449738E8"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7CB79EB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Al Mashrafi et al. 2025</w:t>
            </w:r>
          </w:p>
        </w:tc>
        <w:tc>
          <w:tcPr>
            <w:tcW w:w="1054" w:type="dxa"/>
            <w:tcBorders>
              <w:top w:val="single" w:sz="4" w:space="0" w:color="888888"/>
              <w:left w:val="single" w:sz="4" w:space="0" w:color="888888"/>
              <w:bottom w:val="single" w:sz="4" w:space="0" w:color="888888"/>
              <w:right w:val="single" w:sz="4" w:space="0" w:color="888888"/>
            </w:tcBorders>
          </w:tcPr>
          <w:p w14:paraId="2B515DC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6B86654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Oman</w:t>
            </w:r>
          </w:p>
        </w:tc>
        <w:tc>
          <w:tcPr>
            <w:tcW w:w="786" w:type="dxa"/>
            <w:tcBorders>
              <w:top w:val="single" w:sz="4" w:space="0" w:color="888888"/>
              <w:left w:val="single" w:sz="4" w:space="0" w:color="888888"/>
              <w:bottom w:val="single" w:sz="4" w:space="0" w:color="888888"/>
              <w:right w:val="single" w:sz="4" w:space="0" w:color="888888"/>
            </w:tcBorders>
          </w:tcPr>
          <w:p w14:paraId="1DE8C03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Neonatal mortality</w:t>
            </w:r>
          </w:p>
        </w:tc>
        <w:tc>
          <w:tcPr>
            <w:tcW w:w="786" w:type="dxa"/>
            <w:tcBorders>
              <w:top w:val="single" w:sz="4" w:space="0" w:color="888888"/>
              <w:left w:val="single" w:sz="4" w:space="0" w:color="888888"/>
              <w:bottom w:val="single" w:sz="4" w:space="0" w:color="888888"/>
              <w:right w:val="single" w:sz="4" w:space="0" w:color="888888"/>
            </w:tcBorders>
          </w:tcPr>
          <w:p w14:paraId="0522F36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 Model development</w:t>
            </w:r>
            <w:r>
              <w:rPr>
                <w:rFonts w:ascii="Arial" w:hAnsi="Arial" w:cs="Arial"/>
                <w:sz w:val="12"/>
                <w:szCs w:val="12"/>
              </w:rPr>
              <w:br/>
              <w:t>2. Identify important predictors</w:t>
            </w:r>
          </w:p>
        </w:tc>
        <w:tc>
          <w:tcPr>
            <w:tcW w:w="1051" w:type="dxa"/>
            <w:tcBorders>
              <w:top w:val="single" w:sz="4" w:space="0" w:color="888888"/>
              <w:left w:val="single" w:sz="4" w:space="0" w:color="888888"/>
              <w:bottom w:val="single" w:sz="4" w:space="0" w:color="888888"/>
              <w:right w:val="single" w:sz="4" w:space="0" w:color="888888"/>
            </w:tcBorders>
          </w:tcPr>
          <w:p w14:paraId="28E0355F"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3C6C428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body mass index</w:t>
            </w:r>
          </w:p>
          <w:p w14:paraId="2040CD52"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711196E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APGAR score</w:t>
            </w:r>
          </w:p>
        </w:tc>
        <w:tc>
          <w:tcPr>
            <w:tcW w:w="851" w:type="dxa"/>
            <w:tcBorders>
              <w:top w:val="single" w:sz="4" w:space="0" w:color="888888"/>
              <w:left w:val="single" w:sz="4" w:space="0" w:color="888888"/>
              <w:bottom w:val="single" w:sz="4" w:space="0" w:color="888888"/>
              <w:right w:val="single" w:sz="4" w:space="0" w:color="888888"/>
            </w:tcBorders>
          </w:tcPr>
          <w:p w14:paraId="4AD827F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Population/ Registry</w:t>
            </w:r>
          </w:p>
        </w:tc>
        <w:tc>
          <w:tcPr>
            <w:tcW w:w="851" w:type="dxa"/>
            <w:tcBorders>
              <w:top w:val="single" w:sz="4" w:space="0" w:color="888888"/>
              <w:left w:val="single" w:sz="4" w:space="0" w:color="888888"/>
              <w:bottom w:val="single" w:sz="4" w:space="0" w:color="888888"/>
              <w:right w:val="single" w:sz="4" w:space="0" w:color="888888"/>
            </w:tcBorders>
          </w:tcPr>
          <w:p w14:paraId="6182F4BE"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77F40313"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6726D8E0"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585AF5A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Logistic Regression (LR), Linear Discriminant Analysis (LDA), and Random Forest (RF) were the top-performing models, with an Area Under the Precision-Recall Curve (AUC-PR) </w:t>
            </w:r>
            <w:r>
              <w:rPr>
                <w:rFonts w:ascii="Arial" w:hAnsi="Arial" w:cs="Arial"/>
                <w:sz w:val="12"/>
                <w:szCs w:val="12"/>
              </w:rPr>
              <w:lastRenderedPageBreak/>
              <w:t>above 0.85 and strong Brier scores. Specifically, using the original dataset, LDA achieved an AUC-PR of 0.8650 and a Brier score of 0.1778, while RF had an AUC-PR of 0.8652 and a Brier score of 0.1836</w:t>
            </w:r>
          </w:p>
        </w:tc>
        <w:tc>
          <w:tcPr>
            <w:tcW w:w="851" w:type="dxa"/>
            <w:tcBorders>
              <w:top w:val="single" w:sz="4" w:space="0" w:color="888888"/>
              <w:left w:val="single" w:sz="4" w:space="0" w:color="888888"/>
              <w:bottom w:val="single" w:sz="4" w:space="0" w:color="888888"/>
              <w:right w:val="single" w:sz="4" w:space="0" w:color="888888"/>
            </w:tcBorders>
          </w:tcPr>
          <w:p w14:paraId="348EA6D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AUC-PR, Brier score</w:t>
            </w:r>
          </w:p>
        </w:tc>
        <w:tc>
          <w:tcPr>
            <w:tcW w:w="817" w:type="dxa"/>
            <w:tcBorders>
              <w:top w:val="single" w:sz="4" w:space="0" w:color="888888"/>
              <w:left w:val="single" w:sz="4" w:space="0" w:color="888888"/>
              <w:bottom w:val="single" w:sz="4" w:space="0" w:color="888888"/>
              <w:right w:val="single" w:sz="4" w:space="0" w:color="888888"/>
            </w:tcBorders>
          </w:tcPr>
          <w:p w14:paraId="5FA34F2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1720B58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study included a total of 2,940 neonatal deaths recorded between 2016 and 2024</w:t>
            </w:r>
          </w:p>
        </w:tc>
        <w:tc>
          <w:tcPr>
            <w:tcW w:w="851" w:type="dxa"/>
            <w:tcBorders>
              <w:top w:val="single" w:sz="4" w:space="0" w:color="888888"/>
              <w:left w:val="single" w:sz="4" w:space="0" w:color="888888"/>
              <w:bottom w:val="single" w:sz="4" w:space="0" w:color="888888"/>
              <w:right w:val="single" w:sz="4" w:space="0" w:color="888888"/>
            </w:tcBorders>
          </w:tcPr>
          <w:p w14:paraId="5CE1E45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research received support from the Ministry of Health in Oman and the RMIT International Tuition Fee Scholarship (RRITFS) </w:t>
            </w:r>
          </w:p>
        </w:tc>
        <w:tc>
          <w:tcPr>
            <w:tcW w:w="1134" w:type="dxa"/>
            <w:tcBorders>
              <w:top w:val="single" w:sz="4" w:space="0" w:color="888888"/>
              <w:left w:val="single" w:sz="4" w:space="0" w:color="888888"/>
              <w:bottom w:val="single" w:sz="4" w:space="0" w:color="888888"/>
              <w:right w:val="single" w:sz="4" w:space="0" w:color="888888"/>
            </w:tcBorders>
          </w:tcPr>
          <w:p w14:paraId="6102FDE8"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57.1%</w:t>
            </w:r>
          </w:p>
        </w:tc>
        <w:tc>
          <w:tcPr>
            <w:tcW w:w="841" w:type="dxa"/>
            <w:tcBorders>
              <w:top w:val="single" w:sz="4" w:space="0" w:color="888888"/>
              <w:left w:val="single" w:sz="4" w:space="0" w:color="888888"/>
              <w:bottom w:val="single" w:sz="4" w:space="0" w:color="888888"/>
              <w:right w:val="single" w:sz="4" w:space="0" w:color="888888"/>
            </w:tcBorders>
          </w:tcPr>
          <w:p w14:paraId="4AD38E9D"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Low risk</w:t>
            </w:r>
            <w:r>
              <w:rPr>
                <w:rFonts w:ascii="Arial" w:hAnsi="Arial" w:cs="Arial"/>
                <w:color w:val="000000"/>
                <w:sz w:val="12"/>
                <w:szCs w:val="12"/>
              </w:rPr>
              <w:br/>
              <w:t>D4: Low risk</w:t>
            </w:r>
          </w:p>
        </w:tc>
        <w:tc>
          <w:tcPr>
            <w:tcW w:w="860" w:type="dxa"/>
            <w:tcBorders>
              <w:top w:val="single" w:sz="4" w:space="0" w:color="888888"/>
              <w:left w:val="single" w:sz="4" w:space="0" w:color="888888"/>
              <w:bottom w:val="single" w:sz="4" w:space="0" w:color="888888"/>
              <w:right w:val="single" w:sz="4" w:space="0" w:color="888888"/>
            </w:tcBorders>
          </w:tcPr>
          <w:p w14:paraId="3112F501" w14:textId="77777777" w:rsidR="00871B31" w:rsidRPr="00756461" w:rsidRDefault="00871B31" w:rsidP="00BC1F31">
            <w:pPr>
              <w:spacing w:after="0" w:line="240" w:lineRule="auto"/>
              <w:rPr>
                <w:rFonts w:ascii="Arial" w:hAnsi="Arial" w:cs="Arial"/>
                <w:color w:val="000000"/>
                <w:sz w:val="12"/>
                <w:szCs w:val="12"/>
              </w:rPr>
            </w:pPr>
            <w:r>
              <w:rPr>
                <w:rFonts w:ascii="Arial" w:hAnsi="Arial" w:cs="Arial"/>
                <w:color w:val="000000"/>
                <w:sz w:val="12"/>
                <w:szCs w:val="12"/>
              </w:rPr>
              <w:t>Not publicly available</w:t>
            </w:r>
            <w:r>
              <w:rPr>
                <w:rFonts w:ascii="Arial" w:hAnsi="Arial" w:cs="Arial"/>
                <w:color w:val="000000"/>
                <w:sz w:val="12"/>
                <w:szCs w:val="12"/>
              </w:rPr>
              <w:br/>
            </w:r>
          </w:p>
          <w:p w14:paraId="3F4DE448"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Available via inquiries to corresponding author</w:t>
            </w:r>
          </w:p>
        </w:tc>
        <w:tc>
          <w:tcPr>
            <w:tcW w:w="442" w:type="dxa"/>
            <w:tcBorders>
              <w:top w:val="single" w:sz="4" w:space="0" w:color="888888"/>
              <w:left w:val="single" w:sz="4" w:space="0" w:color="888888"/>
              <w:bottom w:val="single" w:sz="4" w:space="0" w:color="888888"/>
              <w:right w:val="single" w:sz="4" w:space="0" w:color="888888"/>
            </w:tcBorders>
          </w:tcPr>
          <w:p w14:paraId="2A3B6B7C"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{"citationID":"A4HXfoVZ","properties":{"formattedCitation":"[33]","plainCitation":"[33]","noteIndex":0},"citationItems":[{"id":"b2OWig5M/IOfX6HYR","uris":["http://zotero.org/users/18230940/items/QLMBMB3X"],"itemData":{"id":645,"type":"article-journal","abstract":"BACKGROUND: Neonatal mortality is a major issue in global health and is included in the Sustainable Development Goals (SDGs). Early neonatal deaths account for 47% of under-five mortality. Developing a dependable model to predict early neonatal mortality and recognise its related risk factors is essential for child survival and enhancing children’s health outcomes. We utilised various machine learning models to predict early and late neonatal mortality using a comprehensive secondary dataset from Oman.\nMETHODS: Ten different machine learning (ML) models were used to predict early and late neonatal mortality in three distinct setups: using the original local dataset, applying the data-driven approach represented by Synthetic Minority Over-Sampling Technique (SMOTE) to address the imbalanced distribution, and implementing an algorithm-driven approach via cost-sensitive classification. A total of 2,940 de-identified local records on newborn deaths were categorised into early deaths (0–6 days) and late deaths (7–27 days) for model training and testing using a 10-fold cross-validation. Various calibration and discrimination metrics were utilised to assess the models’ performance due to the issue of an imbalanced dataset.\nRESULTS: The analysis revealed that 71.6% of the deaths occurred during the early neonatal period (0–6 days). Logistic Regression (LR), Linear Discriminant Analysis (LDA), and Random Forest (RF) were the top performers across the three scenarios, with AUC-PR (Area Under Precision and Recall Curves) above 0.85 and an exemplary Brier score. However, RF Brier score was more stable across the three setups, especially with SMOTE (Brier=0.1864), compared to the Brier score of LDA (0.2211) and LR (0.2164) indicating an effective calibration. The APGAR (Appearance, Pulse, Grimace, Activity, and Respiration) score at 5 min was identified as the most significant predictor of early and late neonatal mortality.\nCONCLUSION: This study is one of the first to train and evaluate multiple ML algorithms under three different scenarios to predict early and late neonatal mortality and to identify associated risk factors using real data from Oman. The results indicate that RF, LDA and LR performed the best based on their discrimination and calibration performance. The findings have the potential to inform clinical decision-making and prompt timely interventions to enhance survival rates.\nSUPPLEMENTARY INFORMATION: The online version contains supplementary material available at 10.1186/s12889-025-25796-1.","container-title":"BMC public health","DOI":"10.1186/s12889-025-25796-1","ISSN":"1471-2458","issue":"1","journalAbbreviation":"BMC Public Health","language":"eng","page":"47","PMID":"41316155","PMCID":"PMC12771737","source":"PubMed","title":"Predicting early and late neonatal mortality using machine learning models in Oman","volume":"26","author":[{"family":"Al Mashrafi","given":"Sulaiman Salim"},{"family":"Tafakori","given":"Laleh"},{"family":"Abdollahian","given":"Mali"}],"issued":{"date-parts":[["2025",11,29]]}}}],"schema":"https://github.com/citation-style-language/schema/raw/master/csl-citation.json"}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[33]</w:t>
            </w:r>
            <w:r>
              <w:rPr>
                <w:rFonts w:ascii="Arial" w:eastAsia="Times New Roman" w:hAnsi="Arial" w:cs="Arial"/>
                <w:color w:val="000000"/>
                <w:sz w:val="12"/>
                <w:szCs w:val="12"/>
                <w:lang w:eastAsia="en-GB" w:bidi="th-TH"/>
              </w:rPr>
              <w:fldChar w:fldCharType="end"/>
            </w:r>
          </w:p>
        </w:tc>
      </w:tr>
      <w:tr w:rsidR="00871B31" w:rsidRPr="00756461" w14:paraId="096CA327"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786EF35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Al-Fattah, et al. 2024</w:t>
            </w:r>
          </w:p>
        </w:tc>
        <w:tc>
          <w:tcPr>
            <w:tcW w:w="1054" w:type="dxa"/>
            <w:tcBorders>
              <w:top w:val="single" w:sz="4" w:space="0" w:color="888888"/>
              <w:left w:val="single" w:sz="4" w:space="0" w:color="888888"/>
              <w:bottom w:val="single" w:sz="4" w:space="0" w:color="888888"/>
              <w:right w:val="single" w:sz="4" w:space="0" w:color="888888"/>
            </w:tcBorders>
          </w:tcPr>
          <w:p w14:paraId="537A79B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1C9C605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Indonesia</w:t>
            </w:r>
          </w:p>
        </w:tc>
        <w:tc>
          <w:tcPr>
            <w:tcW w:w="786" w:type="dxa"/>
            <w:tcBorders>
              <w:top w:val="single" w:sz="4" w:space="0" w:color="888888"/>
              <w:left w:val="single" w:sz="4" w:space="0" w:color="888888"/>
              <w:bottom w:val="single" w:sz="4" w:space="0" w:color="888888"/>
              <w:right w:val="single" w:sz="4" w:space="0" w:color="888888"/>
            </w:tcBorders>
          </w:tcPr>
          <w:p w14:paraId="36288A9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w:t>
            </w:r>
          </w:p>
        </w:tc>
        <w:tc>
          <w:tcPr>
            <w:tcW w:w="786" w:type="dxa"/>
            <w:tcBorders>
              <w:top w:val="single" w:sz="4" w:space="0" w:color="888888"/>
              <w:left w:val="single" w:sz="4" w:space="0" w:color="888888"/>
              <w:bottom w:val="single" w:sz="4" w:space="0" w:color="888888"/>
              <w:right w:val="single" w:sz="4" w:space="0" w:color="888888"/>
            </w:tcBorders>
          </w:tcPr>
          <w:p w14:paraId="4C59003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development</w:t>
            </w:r>
          </w:p>
        </w:tc>
        <w:tc>
          <w:tcPr>
            <w:tcW w:w="1051" w:type="dxa"/>
            <w:tcBorders>
              <w:top w:val="single" w:sz="4" w:space="0" w:color="888888"/>
              <w:left w:val="single" w:sz="4" w:space="0" w:color="888888"/>
              <w:bottom w:val="single" w:sz="4" w:space="0" w:color="888888"/>
              <w:right w:val="single" w:sz="4" w:space="0" w:color="888888"/>
            </w:tcBorders>
          </w:tcPr>
          <w:p w14:paraId="0D6B385F"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655E52E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Hypertensive disorders of pregnancy</w:t>
            </w:r>
          </w:p>
        </w:tc>
        <w:tc>
          <w:tcPr>
            <w:tcW w:w="851" w:type="dxa"/>
            <w:tcBorders>
              <w:top w:val="single" w:sz="4" w:space="0" w:color="888888"/>
              <w:left w:val="single" w:sz="4" w:space="0" w:color="888888"/>
              <w:bottom w:val="single" w:sz="4" w:space="0" w:color="888888"/>
              <w:right w:val="single" w:sz="4" w:space="0" w:color="888888"/>
            </w:tcBorders>
          </w:tcPr>
          <w:p w14:paraId="6EA033B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12EC3F8F"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0C4F0939"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4F2192FE"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5610F87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Placental dysfunction-related stillbirths (PDRS) = AUC0.984 / Sen 98.5%/ spec 85.7%</w:t>
            </w:r>
            <w:r>
              <w:rPr>
                <w:rFonts w:ascii="Arial" w:hAnsi="Arial" w:cs="Arial"/>
                <w:sz w:val="12"/>
                <w:szCs w:val="12"/>
              </w:rPr>
              <w:br/>
              <w:t xml:space="preserve">• All SB </w:t>
            </w:r>
            <w:proofErr w:type="gramStart"/>
            <w:r>
              <w:rPr>
                <w:rFonts w:ascii="Arial" w:hAnsi="Arial" w:cs="Arial"/>
                <w:sz w:val="12"/>
                <w:szCs w:val="12"/>
              </w:rPr>
              <w:t>=  AUC</w:t>
            </w:r>
            <w:proofErr w:type="gramEnd"/>
            <w:r>
              <w:rPr>
                <w:rFonts w:ascii="Arial" w:hAnsi="Arial" w:cs="Arial"/>
                <w:sz w:val="12"/>
                <w:szCs w:val="12"/>
              </w:rPr>
              <w:t>0.879 / Sen 99.3%/ spec 38.5%</w:t>
            </w:r>
            <w:r>
              <w:rPr>
                <w:rFonts w:ascii="Arial" w:hAnsi="Arial" w:cs="Arial"/>
                <w:sz w:val="12"/>
                <w:szCs w:val="12"/>
              </w:rPr>
              <w:br/>
              <w:t xml:space="preserve">• </w:t>
            </w:r>
            <w:proofErr w:type="gramStart"/>
            <w:r>
              <w:rPr>
                <w:rFonts w:ascii="Arial" w:hAnsi="Arial" w:cs="Arial"/>
                <w:sz w:val="12"/>
                <w:szCs w:val="12"/>
              </w:rPr>
              <w:t>Non-placental</w:t>
            </w:r>
            <w:proofErr w:type="gramEnd"/>
            <w:r>
              <w:rPr>
                <w:rFonts w:ascii="Arial" w:hAnsi="Arial" w:cs="Arial"/>
                <w:sz w:val="12"/>
                <w:szCs w:val="12"/>
              </w:rPr>
              <w:t xml:space="preserve"> dysfunction-related stillbirths (NPDRS) </w:t>
            </w:r>
            <w:proofErr w:type="gramStart"/>
            <w:r>
              <w:rPr>
                <w:rFonts w:ascii="Arial" w:hAnsi="Arial" w:cs="Arial"/>
                <w:sz w:val="12"/>
                <w:szCs w:val="12"/>
              </w:rPr>
              <w:t>=  AUC</w:t>
            </w:r>
            <w:proofErr w:type="gramEnd"/>
            <w:r>
              <w:rPr>
                <w:rFonts w:ascii="Arial" w:hAnsi="Arial" w:cs="Arial"/>
                <w:sz w:val="12"/>
                <w:szCs w:val="12"/>
              </w:rPr>
              <w:t>0.780 / Sen 70.8%/ spec 66.7%</w:t>
            </w:r>
          </w:p>
        </w:tc>
        <w:tc>
          <w:tcPr>
            <w:tcW w:w="851" w:type="dxa"/>
            <w:tcBorders>
              <w:top w:val="single" w:sz="4" w:space="0" w:color="888888"/>
              <w:left w:val="single" w:sz="4" w:space="0" w:color="888888"/>
              <w:bottom w:val="single" w:sz="4" w:space="0" w:color="888888"/>
              <w:right w:val="single" w:sz="4" w:space="0" w:color="888888"/>
            </w:tcBorders>
          </w:tcPr>
          <w:p w14:paraId="641886B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 Sensitivity, Specificity</w:t>
            </w:r>
          </w:p>
        </w:tc>
        <w:tc>
          <w:tcPr>
            <w:tcW w:w="817" w:type="dxa"/>
            <w:tcBorders>
              <w:top w:val="single" w:sz="4" w:space="0" w:color="888888"/>
              <w:left w:val="single" w:sz="4" w:space="0" w:color="888888"/>
              <w:bottom w:val="single" w:sz="4" w:space="0" w:color="888888"/>
              <w:right w:val="single" w:sz="4" w:space="0" w:color="888888"/>
            </w:tcBorders>
          </w:tcPr>
          <w:p w14:paraId="1BF49E4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1269D3E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1643 women</w:t>
            </w:r>
          </w:p>
        </w:tc>
        <w:tc>
          <w:tcPr>
            <w:tcW w:w="851" w:type="dxa"/>
            <w:tcBorders>
              <w:top w:val="single" w:sz="4" w:space="0" w:color="888888"/>
              <w:left w:val="single" w:sz="4" w:space="0" w:color="888888"/>
              <w:bottom w:val="single" w:sz="4" w:space="0" w:color="888888"/>
              <w:right w:val="single" w:sz="4" w:space="0" w:color="888888"/>
            </w:tcBorders>
          </w:tcPr>
          <w:p w14:paraId="00F410C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This research was privately funded by the Indonesian Prenatal Institute.</w:t>
            </w:r>
          </w:p>
        </w:tc>
        <w:tc>
          <w:tcPr>
            <w:tcW w:w="1134" w:type="dxa"/>
            <w:tcBorders>
              <w:top w:val="single" w:sz="4" w:space="0" w:color="888888"/>
              <w:left w:val="single" w:sz="4" w:space="0" w:color="888888"/>
              <w:bottom w:val="single" w:sz="4" w:space="0" w:color="888888"/>
              <w:right w:val="single" w:sz="4" w:space="0" w:color="888888"/>
            </w:tcBorders>
          </w:tcPr>
          <w:p w14:paraId="2E34686D"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55.3%</w:t>
            </w:r>
          </w:p>
        </w:tc>
        <w:tc>
          <w:tcPr>
            <w:tcW w:w="841" w:type="dxa"/>
            <w:tcBorders>
              <w:top w:val="single" w:sz="4" w:space="0" w:color="888888"/>
              <w:left w:val="single" w:sz="4" w:space="0" w:color="888888"/>
              <w:bottom w:val="single" w:sz="4" w:space="0" w:color="888888"/>
              <w:right w:val="single" w:sz="4" w:space="0" w:color="888888"/>
            </w:tcBorders>
          </w:tcPr>
          <w:p w14:paraId="2B96F80A"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Low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59B65FD3" w14:textId="77777777" w:rsidR="00871B31" w:rsidRPr="00756461" w:rsidRDefault="00871B31" w:rsidP="00BC1F31">
            <w:pPr>
              <w:spacing w:after="0" w:line="240" w:lineRule="auto"/>
              <w:rPr>
                <w:rFonts w:ascii="Arial" w:hAnsi="Arial" w:cs="Arial"/>
                <w:color w:val="000000"/>
                <w:sz w:val="12"/>
                <w:szCs w:val="12"/>
              </w:rPr>
            </w:pPr>
            <w:r>
              <w:rPr>
                <w:rFonts w:ascii="Arial" w:hAnsi="Arial" w:cs="Arial"/>
                <w:color w:val="000000"/>
                <w:sz w:val="12"/>
                <w:szCs w:val="12"/>
              </w:rPr>
              <w:t>Not publicly available</w:t>
            </w:r>
          </w:p>
          <w:p w14:paraId="44870F16"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br/>
              <w:t>Available via inquiries to corresponding author</w:t>
            </w:r>
          </w:p>
        </w:tc>
        <w:tc>
          <w:tcPr>
            <w:tcW w:w="442" w:type="dxa"/>
            <w:tcBorders>
              <w:top w:val="single" w:sz="4" w:space="0" w:color="888888"/>
              <w:left w:val="single" w:sz="4" w:space="0" w:color="888888"/>
              <w:bottom w:val="single" w:sz="4" w:space="0" w:color="888888"/>
              <w:right w:val="single" w:sz="4" w:space="0" w:color="888888"/>
            </w:tcBorders>
          </w:tcPr>
          <w:p w14:paraId="0C5A90AB"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{"citationID":"7rQbeUlt","properties":{"formattedCitation":"[34]","plainCitation":"[34]","noteIndex":0},"citationItems":[{"id":"b2OWig5M/wqvx6K8e","uris":["http://zotero.org/users/18230940/items/YV73FU8B"],"itemData":{"id":647,"type":"article-journal","abstract":"OBJECTIVE: To evaluate the accuracy of combined models of maternal biophysical factors, ultrasound, and biochemical markers for predicting stillbirths.\nMETHODS: A retrospective cohort study of pregnant women undergoing first-trimester pre-eclampsia screening at 11-13 gestational weeks was conducted. Maternal characteristics and history, mean arterial pressure (MAP) measurement, uterine artery pulsatility index (UtA-PI) ultrasound, maternal ophthalmic peak ratio Doppler, and placental growth factor (PlGF) serum were collected during the visit. Stillbirth was classified as placental dysfunction-related when it occurred with pre-eclampsia or birth weight &lt;10th percentile. Combined prediction models were developed from significant variables in stillbirths, placental dysfunction-related, and controls. We used the area under the receiver-operating-characteristics curve (AUC), sensitivity, and specificity based on a specific cutoff to evaluate the model's predictive performance by measuring the capacity to distinguish between stillbirths and live births.\nRESULTS: There were 13 (0.79%) cases of stillbirth in 1643 women included in the analysis. The combination of maternal factors, MAP, UtA-PI, and PlGF, significantly contributed to the prediction of stillbirth. This model was a good predictor for all (including controls) types of stillbirth (AUC 0.879, 95% CI: 0.799-0.959, sensitivity of 99.3%, specificity of 38.5%), and an excellent predictor for placental dysfunction-related stillbirth (AUC 0.984, 95% CI: 0.960-1.000, sensitivity of 98.5, specificity of 85.7).\nCONCLUSION: Screening at 11-13weeks' gestation by combining maternal factors, MAP, UtA-PI, and PlGF, can predict a high proportion of stillbirths. Our model has good accuracy for predicting stillbirths, predominantly placental dysfunction-related stillbirths.","container-title":"International Journal of Gynaecology and Obstetrics: The Official Organ of the International Federation of Gynaecology and Obstetrics","DOI":"10.1002/ijgo.15755","ISSN":"1879-3479","issue":"3","journalAbbreviation":"Int J Gynaecol Obstet","language":"eng","page":"1101-1108","PMID":"38961831","source":"PubMed","title":"A prediction model for stillbirth based on first trimester pre-eclampsia combined screening","volume":"167","author":[{"family":"Al-Fattah","given":"Adly Nanda"},{"family":"Mahindra","given":"Muhammad Pradhiki"},{"family":"Yusrika","given":"Mirani Ulfa"},{"family":"Mapindra","given":"Muhammad Pradhika"},{"family":"Marizni","given":"Shinda"},{"family":"Putri","given":"Vania Permata"},{"family":"Besar","given":"Sadina Pramuktini"},{"family":"Widjaja","given":"Felix Firyanto"},{"family":"Kusuma","given":"Raden Aditya"},{"family":"Siassakos","given":"Dimitrios"}],"issued":{"date-parts":[["2024",12]]}}}],"schema":"https://github.com/citation-style-language/schema/raw/master/csl-citation.json"}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[34]</w:t>
            </w:r>
            <w:r>
              <w:rPr>
                <w:rFonts w:ascii="Arial" w:eastAsia="Times New Roman" w:hAnsi="Arial" w:cs="Arial"/>
                <w:color w:val="000000"/>
                <w:sz w:val="12"/>
                <w:szCs w:val="12"/>
                <w:lang w:eastAsia="en-GB" w:bidi="th-TH"/>
              </w:rPr>
              <w:fldChar w:fldCharType="end"/>
            </w:r>
          </w:p>
        </w:tc>
      </w:tr>
      <w:tr w:rsidR="00871B31" w:rsidRPr="00756461" w14:paraId="2BFEA703"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27BBB70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Allotey, et al. 2022</w:t>
            </w:r>
          </w:p>
        </w:tc>
        <w:tc>
          <w:tcPr>
            <w:tcW w:w="1054" w:type="dxa"/>
            <w:tcBorders>
              <w:top w:val="single" w:sz="4" w:space="0" w:color="888888"/>
              <w:left w:val="single" w:sz="4" w:space="0" w:color="888888"/>
              <w:bottom w:val="single" w:sz="4" w:space="0" w:color="888888"/>
              <w:right w:val="single" w:sz="4" w:space="0" w:color="888888"/>
            </w:tcBorders>
          </w:tcPr>
          <w:p w14:paraId="676979A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Meta-analysis</w:t>
            </w:r>
          </w:p>
        </w:tc>
        <w:tc>
          <w:tcPr>
            <w:tcW w:w="742" w:type="dxa"/>
            <w:tcBorders>
              <w:top w:val="single" w:sz="4" w:space="0" w:color="888888"/>
              <w:left w:val="single" w:sz="4" w:space="0" w:color="888888"/>
              <w:bottom w:val="single" w:sz="4" w:space="0" w:color="888888"/>
              <w:right w:val="single" w:sz="4" w:space="0" w:color="888888"/>
            </w:tcBorders>
          </w:tcPr>
          <w:p w14:paraId="546D145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UK and USA</w:t>
            </w:r>
          </w:p>
        </w:tc>
        <w:tc>
          <w:tcPr>
            <w:tcW w:w="786" w:type="dxa"/>
            <w:tcBorders>
              <w:top w:val="single" w:sz="4" w:space="0" w:color="888888"/>
              <w:left w:val="single" w:sz="4" w:space="0" w:color="888888"/>
              <w:bottom w:val="single" w:sz="4" w:space="0" w:color="888888"/>
              <w:right w:val="single" w:sz="4" w:space="0" w:color="888888"/>
            </w:tcBorders>
          </w:tcPr>
          <w:p w14:paraId="77B3616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w:t>
            </w:r>
          </w:p>
        </w:tc>
        <w:tc>
          <w:tcPr>
            <w:tcW w:w="786" w:type="dxa"/>
            <w:tcBorders>
              <w:top w:val="single" w:sz="4" w:space="0" w:color="888888"/>
              <w:left w:val="single" w:sz="4" w:space="0" w:color="888888"/>
              <w:bottom w:val="single" w:sz="4" w:space="0" w:color="888888"/>
              <w:right w:val="single" w:sz="4" w:space="0" w:color="888888"/>
            </w:tcBorders>
          </w:tcPr>
          <w:p w14:paraId="37AC343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External validate exsiting models</w:t>
            </w:r>
          </w:p>
        </w:tc>
        <w:tc>
          <w:tcPr>
            <w:tcW w:w="1051" w:type="dxa"/>
            <w:tcBorders>
              <w:top w:val="single" w:sz="4" w:space="0" w:color="888888"/>
              <w:left w:val="single" w:sz="4" w:space="0" w:color="888888"/>
              <w:bottom w:val="single" w:sz="4" w:space="0" w:color="888888"/>
              <w:right w:val="single" w:sz="4" w:space="0" w:color="888888"/>
            </w:tcBorders>
          </w:tcPr>
          <w:p w14:paraId="645BD142"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3177C26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age (Trudell)</w:t>
            </w:r>
          </w:p>
          <w:p w14:paraId="5A6A5CD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Parity / nulliparity (Trudell, Yerlikaya)</w:t>
            </w:r>
          </w:p>
          <w:p w14:paraId="3D79438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Body mass index (Smith, Trudell)</w:t>
            </w:r>
          </w:p>
          <w:p w14:paraId="7020898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weight (Yerlikaya)</w:t>
            </w:r>
          </w:p>
          <w:p w14:paraId="2B49DB9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Chronic hypertension (Yerlikaya, Trudell)</w:t>
            </w:r>
          </w:p>
          <w:p w14:paraId="4B78E82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Pregestational / pre-existing diabetes (Yerlikaya, Trudell)</w:t>
            </w:r>
          </w:p>
          <w:p w14:paraId="786FB70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Antiphospholipid syndrome or SLE (Yerlikaya)</w:t>
            </w:r>
          </w:p>
          <w:p w14:paraId="70CE4A1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Previous stillbirth (Yerlikaya)</w:t>
            </w:r>
          </w:p>
          <w:p w14:paraId="34FDECAA"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lastRenderedPageBreak/>
              <w:t>Clinical factor</w:t>
            </w:r>
          </w:p>
          <w:p w14:paraId="0C6CFD2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Mean uterine artery pulsatility index (Smith)</w:t>
            </w:r>
          </w:p>
          <w:p w14:paraId="4C39121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Assisted conception (Yerlikaya)</w:t>
            </w:r>
          </w:p>
          <w:p w14:paraId="4476FFE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Smoking in pregnancy (Yerlikaya, Trudell)</w:t>
            </w:r>
          </w:p>
          <w:p w14:paraId="2443FFB6"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Sociodemographic factor</w:t>
            </w:r>
          </w:p>
          <w:p w14:paraId="5FB5A4D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Ethnicity (</w:t>
            </w:r>
            <w:proofErr w:type="gramStart"/>
            <w:r>
              <w:rPr>
                <w:rFonts w:ascii="Arial" w:hAnsi="Arial" w:cs="Arial"/>
                <w:sz w:val="12"/>
                <w:szCs w:val="12"/>
              </w:rPr>
              <w:t>African-American</w:t>
            </w:r>
            <w:proofErr w:type="gramEnd"/>
            <w:r>
              <w:rPr>
                <w:rFonts w:ascii="Arial" w:hAnsi="Arial" w:cs="Arial"/>
                <w:sz w:val="12"/>
                <w:szCs w:val="12"/>
              </w:rPr>
              <w:t xml:space="preserve"> / Afro-Caribbean / Black; Smith, Yerlikaya, Trudell)</w:t>
            </w:r>
          </w:p>
        </w:tc>
        <w:tc>
          <w:tcPr>
            <w:tcW w:w="851" w:type="dxa"/>
            <w:tcBorders>
              <w:top w:val="single" w:sz="4" w:space="0" w:color="888888"/>
              <w:left w:val="single" w:sz="4" w:space="0" w:color="888888"/>
              <w:bottom w:val="single" w:sz="4" w:space="0" w:color="888888"/>
              <w:right w:val="single" w:sz="4" w:space="0" w:color="888888"/>
            </w:tcBorders>
          </w:tcPr>
          <w:p w14:paraId="568176A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International database</w:t>
            </w:r>
          </w:p>
        </w:tc>
        <w:tc>
          <w:tcPr>
            <w:tcW w:w="851" w:type="dxa"/>
            <w:tcBorders>
              <w:top w:val="single" w:sz="4" w:space="0" w:color="888888"/>
              <w:left w:val="single" w:sz="4" w:space="0" w:color="888888"/>
              <w:bottom w:val="single" w:sz="4" w:space="0" w:color="888888"/>
              <w:right w:val="single" w:sz="4" w:space="0" w:color="888888"/>
            </w:tcBorders>
          </w:tcPr>
          <w:p w14:paraId="3FB23831"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332280E0"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4DB6D961"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7ABE4D6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The models showed poor predictive performance: - Discrimination: Summary C-statistics were low, ranging from 0.53 to 0.65 </w:t>
            </w:r>
            <w:r>
              <w:rPr>
                <w:rFonts w:ascii="Arial" w:hAnsi="Arial" w:cs="Arial"/>
                <w:sz w:val="12"/>
                <w:szCs w:val="12"/>
              </w:rPr>
              <w:br/>
              <w:t>7</w:t>
            </w:r>
            <w:r>
              <w:rPr>
                <w:rFonts w:ascii="Arial" w:hAnsi="Arial" w:cs="Arial"/>
                <w:sz w:val="12"/>
                <w:szCs w:val="12"/>
              </w:rPr>
              <w:br/>
              <w:t xml:space="preserve">. - Calibration: Poor calibration, with summary calibration slopes &lt;1, indicative of overfitting during model development </w:t>
            </w:r>
            <w:r>
              <w:rPr>
                <w:rFonts w:ascii="Arial" w:hAnsi="Arial" w:cs="Arial"/>
                <w:sz w:val="12"/>
                <w:szCs w:val="12"/>
              </w:rPr>
              <w:br/>
              <w:t>8</w:t>
            </w:r>
            <w:r>
              <w:rPr>
                <w:rFonts w:ascii="Arial" w:hAnsi="Arial" w:cs="Arial"/>
                <w:sz w:val="12"/>
                <w:szCs w:val="12"/>
              </w:rPr>
              <w:br/>
              <w:t xml:space="preserve">. - Clinical Utility: The models had "little to no clinical utility" as assessed by decision-curve analysis </w:t>
            </w:r>
            <w:r>
              <w:rPr>
                <w:rFonts w:ascii="Arial" w:hAnsi="Arial" w:cs="Arial"/>
                <w:sz w:val="12"/>
                <w:szCs w:val="12"/>
              </w:rPr>
              <w:br/>
            </w:r>
            <w:r>
              <w:rPr>
                <w:rFonts w:ascii="Arial" w:hAnsi="Arial" w:cs="Arial"/>
                <w:sz w:val="12"/>
                <w:szCs w:val="12"/>
              </w:rPr>
              <w:lastRenderedPageBreak/>
              <w:t>9</w:t>
            </w:r>
            <w:r>
              <w:rPr>
                <w:rFonts w:ascii="Arial" w:hAnsi="Arial" w:cs="Arial"/>
                <w:sz w:val="12"/>
                <w:szCs w:val="12"/>
              </w:rPr>
              <w:br/>
              <w:t>. None are recommended for clinical practice</w:t>
            </w:r>
          </w:p>
        </w:tc>
        <w:tc>
          <w:tcPr>
            <w:tcW w:w="851" w:type="dxa"/>
            <w:tcBorders>
              <w:top w:val="single" w:sz="4" w:space="0" w:color="888888"/>
              <w:left w:val="single" w:sz="4" w:space="0" w:color="888888"/>
              <w:bottom w:val="single" w:sz="4" w:space="0" w:color="888888"/>
              <w:right w:val="single" w:sz="4" w:space="0" w:color="888888"/>
            </w:tcBorders>
          </w:tcPr>
          <w:p w14:paraId="71AD641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C-statistic</w:t>
            </w:r>
          </w:p>
        </w:tc>
        <w:tc>
          <w:tcPr>
            <w:tcW w:w="817" w:type="dxa"/>
            <w:tcBorders>
              <w:top w:val="single" w:sz="4" w:space="0" w:color="888888"/>
              <w:left w:val="single" w:sz="4" w:space="0" w:color="888888"/>
              <w:bottom w:val="single" w:sz="4" w:space="0" w:color="888888"/>
              <w:right w:val="single" w:sz="4" w:space="0" w:color="888888"/>
            </w:tcBorders>
          </w:tcPr>
          <w:p w14:paraId="23E53B7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External validation only</w:t>
            </w:r>
          </w:p>
        </w:tc>
        <w:tc>
          <w:tcPr>
            <w:tcW w:w="742" w:type="dxa"/>
            <w:tcBorders>
              <w:top w:val="single" w:sz="4" w:space="0" w:color="888888"/>
              <w:left w:val="single" w:sz="4" w:space="0" w:color="888888"/>
              <w:bottom w:val="single" w:sz="4" w:space="0" w:color="888888"/>
              <w:right w:val="single" w:sz="4" w:space="0" w:color="888888"/>
            </w:tcBorders>
          </w:tcPr>
          <w:p w14:paraId="2C281DB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491,201 pregnant women from 19 cohorts</w:t>
            </w:r>
          </w:p>
        </w:tc>
        <w:tc>
          <w:tcPr>
            <w:tcW w:w="851" w:type="dxa"/>
            <w:tcBorders>
              <w:top w:val="single" w:sz="4" w:space="0" w:color="888888"/>
              <w:left w:val="single" w:sz="4" w:space="0" w:color="888888"/>
              <w:bottom w:val="single" w:sz="4" w:space="0" w:color="888888"/>
              <w:right w:val="single" w:sz="4" w:space="0" w:color="888888"/>
            </w:tcBorders>
          </w:tcPr>
          <w:p w14:paraId="1A0930F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The IPPIC data repository was funded by the National Institute for Health Research (NIHR) Health Technology Assessment Programme. The project was also funded by Sands charity. Additional support came from the NIHR School for Primary Care Research, the UK Medical Research </w:t>
            </w:r>
            <w:r>
              <w:rPr>
                <w:rFonts w:ascii="Arial" w:hAnsi="Arial" w:cs="Arial"/>
                <w:sz w:val="12"/>
                <w:szCs w:val="12"/>
              </w:rPr>
              <w:lastRenderedPageBreak/>
              <w:t xml:space="preserve">Council, Wellcome, and the University of Bristol </w:t>
            </w:r>
          </w:p>
        </w:tc>
        <w:tc>
          <w:tcPr>
            <w:tcW w:w="1134" w:type="dxa"/>
            <w:tcBorders>
              <w:top w:val="single" w:sz="4" w:space="0" w:color="888888"/>
              <w:left w:val="single" w:sz="4" w:space="0" w:color="888888"/>
              <w:bottom w:val="single" w:sz="4" w:space="0" w:color="888888"/>
              <w:right w:val="single" w:sz="4" w:space="0" w:color="888888"/>
            </w:tcBorders>
          </w:tcPr>
          <w:p w14:paraId="6DA7C5F2"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lastRenderedPageBreak/>
              <w:t>68.1%</w:t>
            </w:r>
          </w:p>
        </w:tc>
        <w:tc>
          <w:tcPr>
            <w:tcW w:w="841" w:type="dxa"/>
            <w:tcBorders>
              <w:top w:val="single" w:sz="4" w:space="0" w:color="888888"/>
              <w:left w:val="single" w:sz="4" w:space="0" w:color="888888"/>
              <w:bottom w:val="single" w:sz="4" w:space="0" w:color="888888"/>
              <w:right w:val="single" w:sz="4" w:space="0" w:color="888888"/>
            </w:tcBorders>
          </w:tcPr>
          <w:p w14:paraId="5861D5CA"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Unclear risk</w:t>
            </w:r>
            <w:r>
              <w:rPr>
                <w:rFonts w:ascii="Arial" w:hAnsi="Arial" w:cs="Arial"/>
                <w:color w:val="000000"/>
                <w:sz w:val="12"/>
                <w:szCs w:val="12"/>
              </w:rPr>
              <w:br/>
              <w:t>D3: Unclear risk</w:t>
            </w:r>
            <w:r>
              <w:rPr>
                <w:rFonts w:ascii="Arial" w:hAnsi="Arial" w:cs="Arial"/>
                <w:color w:val="000000"/>
                <w:sz w:val="12"/>
                <w:szCs w:val="12"/>
              </w:rPr>
              <w:br/>
              <w:t>D4: Low risk</w:t>
            </w:r>
          </w:p>
        </w:tc>
        <w:tc>
          <w:tcPr>
            <w:tcW w:w="860" w:type="dxa"/>
            <w:tcBorders>
              <w:top w:val="single" w:sz="4" w:space="0" w:color="888888"/>
              <w:left w:val="single" w:sz="4" w:space="0" w:color="888888"/>
              <w:bottom w:val="single" w:sz="4" w:space="0" w:color="888888"/>
              <w:right w:val="single" w:sz="4" w:space="0" w:color="888888"/>
            </w:tcBorders>
          </w:tcPr>
          <w:p w14:paraId="3C539068"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Not mentioned</w:t>
            </w:r>
          </w:p>
        </w:tc>
        <w:tc>
          <w:tcPr>
            <w:tcW w:w="442" w:type="dxa"/>
            <w:tcBorders>
              <w:top w:val="single" w:sz="4" w:space="0" w:color="888888"/>
              <w:left w:val="single" w:sz="4" w:space="0" w:color="888888"/>
              <w:bottom w:val="single" w:sz="4" w:space="0" w:color="888888"/>
              <w:right w:val="single" w:sz="4" w:space="0" w:color="888888"/>
            </w:tcBorders>
          </w:tcPr>
          <w:p w14:paraId="6CD7C071"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{"citationID":"QA3sGF63","properties":{"formattedCitation":"[35]","plainCitation":"[35]","noteIndex":0},"citationItems":[{"id":"b2OWig5M/cHvcmgV1","uris":["http://zotero.org/users/18230940/items/IU43YRC6"],"itemData":{"id":649,"type":"article-journal","abstract":"OBJECTIVE: Stillbirth is a potentially preventable complication of pregnancy. Identifying women at high risk of stillbirth can guide decisions on the need for closer surveillance and timing of delivery in order to prevent fetal death. Prognostic models have been developed to predict the risk of stillbirth, but none has yet been validated externally. In this study, we externally validated published prediction models for stillbirth using individual participant data (IPD) meta-analysis to assess their predictive performance.\nMETHODS: MEDLINE, EMBASE, DH-DATA and AMED databases were searched from inception to December 2020 to identify studies reporting stillbirth prediction models. Studies that developed or updated prediction models for stillbirth for use at any time during pregnancy were included. IPD from cohorts within the International Prediction of Pregnancy Complications (IPPIC) Network were used to validate externally the identified prediction models whose individual variables were available in the IPD. The risk of bias of the models and cohorts was assessed using the Prediction study Risk Of Bias ASsessment Tool (PROBAST). The discriminative performance of the models was evaluated using the C-statistic, and calibration was assessed using calibration plots, calibration slope and calibration-in-the-large. Performance measures were estimated separately in each cohort, as well as summarized across cohorts using random-effects meta-analysis. Clinical utility was assessed using net benefit.\nRESULTS: Seventeen studies reporting the development of 40 prognostic models for stillbirth were identified. None of the models had been previously validated externally, and the full model equation was reported for only one-fifth (20%, 8/40) of the models. External validation was possible for three of these models, using IPD from 19 cohorts (491201 pregnant women) within the IPPIC Network database. Based on evaluation of the model development studies, all three models had an overall high risk of bias, according to PROBAST. In the IPD meta-analysis, the models had summary C-statistics ranging from 0.53 to 0.65 and summary calibration slopes ranging from 0.40 to 0.88, with risk predictions that were generally too extreme compared with the observed risks. The models had little to no clinical utility, as assessed by net benefit. However, there remained uncertainty in the performance of some models due to small available sample sizes.\nCONCLUSIONS: The three validated stillbirth prediction models showed generally poor and uncertain predictive performance in new data, with limited evidence to support their clinical application. The findings suggest methodological shortcomings in their development, including overfitting. Further research is needed to further validate these and other models, identify stronger prognostic factors and develop more robust prediction models. © 2021 The Authors. Ultrasound in Obstetrics &amp; Gynecology published by John Wiley &amp; Sons Ltd on behalf of International Society of Ultrasound in Obstetrics and Gynecology.","container-title":"Ultrasound in Obstetrics &amp; Gynecology: The Official Journal of the International Society of Ultrasound in Obstetrics and Gynecology","DOI":"10.1002/uog.23757","ISSN":"1469-0705","issue":"2","journalAbbreviation":"Ultrasound Obstet Gynecol","language":"eng","page":"209-219","PMID":"34405928","source":"PubMed","title":"External validation of prognostic models to predict stillbirth using International Prediction of Pregnancy Complications (IPPIC) Network database: individual participant data meta-analysis","title-short":"External validation of prognostic models to predict stillbirth using International Prediction of Pregnancy Complications (IPPIC) Network database","volume":"59","author":[{"family":"Allotey","given":"J."},{"family":"Whittle","given":"R."},{"family":"Snell","given":"K. I. E."},{"family":"Smuk","given":"M."},{"family":"Townsend","given":"R."},{"family":"Dadelszen","given":"P.","non-dropping-particle":"von"},{"family":"Heazell","given":"A. E. P."},{"family":"Magee","given":"L."},{"family":"Smith","given":"G. C. S."},{"family":"Sandall","given":"J."},{"family":"Thilaganathan","given":"B."},{"family":"Zamora","given":"J."},{"family":"Riley","given":"R. D."},{"family":"Khalil","given":"A."},{"family":"Thangaratinam","given":"S."},{"literal":"IPPIC Collaborative Network"}],"issued":{"date-parts":[["2022",2]]}}}],"schema":"https://github.com/citation-style-language/schema/raw/master/csl-citation.json"}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[35]</w:t>
            </w:r>
            <w:r>
              <w:rPr>
                <w:rFonts w:ascii="Arial" w:eastAsia="Times New Roman" w:hAnsi="Arial" w:cs="Arial"/>
                <w:color w:val="000000"/>
                <w:sz w:val="12"/>
                <w:szCs w:val="12"/>
                <w:lang w:eastAsia="en-GB" w:bidi="th-TH"/>
              </w:rPr>
              <w:fldChar w:fldCharType="end"/>
            </w:r>
          </w:p>
        </w:tc>
      </w:tr>
      <w:tr w:rsidR="00871B31" w:rsidRPr="00756461" w14:paraId="20F65E05"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6359F09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Alzakari, et al. 2024</w:t>
            </w:r>
          </w:p>
        </w:tc>
        <w:tc>
          <w:tcPr>
            <w:tcW w:w="1054" w:type="dxa"/>
            <w:tcBorders>
              <w:top w:val="single" w:sz="4" w:space="0" w:color="888888"/>
              <w:left w:val="single" w:sz="4" w:space="0" w:color="888888"/>
              <w:bottom w:val="single" w:sz="4" w:space="0" w:color="888888"/>
              <w:right w:val="single" w:sz="4" w:space="0" w:color="888888"/>
            </w:tcBorders>
          </w:tcPr>
          <w:p w14:paraId="0C6F83C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Secondary analysis</w:t>
            </w:r>
          </w:p>
        </w:tc>
        <w:tc>
          <w:tcPr>
            <w:tcW w:w="742" w:type="dxa"/>
            <w:tcBorders>
              <w:top w:val="single" w:sz="4" w:space="0" w:color="888888"/>
              <w:left w:val="single" w:sz="4" w:space="0" w:color="888888"/>
              <w:bottom w:val="single" w:sz="4" w:space="0" w:color="888888"/>
              <w:right w:val="single" w:sz="4" w:space="0" w:color="888888"/>
            </w:tcBorders>
          </w:tcPr>
          <w:p w14:paraId="2D20637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Saudi Arabia</w:t>
            </w:r>
          </w:p>
        </w:tc>
        <w:tc>
          <w:tcPr>
            <w:tcW w:w="786" w:type="dxa"/>
            <w:tcBorders>
              <w:top w:val="single" w:sz="4" w:space="0" w:color="888888"/>
              <w:left w:val="single" w:sz="4" w:space="0" w:color="888888"/>
              <w:bottom w:val="single" w:sz="4" w:space="0" w:color="888888"/>
              <w:right w:val="single" w:sz="4" w:space="0" w:color="888888"/>
            </w:tcBorders>
          </w:tcPr>
          <w:p w14:paraId="4E944F6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w:t>
            </w:r>
          </w:p>
        </w:tc>
        <w:tc>
          <w:tcPr>
            <w:tcW w:w="786" w:type="dxa"/>
            <w:tcBorders>
              <w:top w:val="single" w:sz="4" w:space="0" w:color="888888"/>
              <w:left w:val="single" w:sz="4" w:space="0" w:color="888888"/>
              <w:bottom w:val="single" w:sz="4" w:space="0" w:color="888888"/>
              <w:right w:val="single" w:sz="4" w:space="0" w:color="888888"/>
            </w:tcBorders>
          </w:tcPr>
          <w:p w14:paraId="2AB607D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comparison</w:t>
            </w:r>
          </w:p>
        </w:tc>
        <w:tc>
          <w:tcPr>
            <w:tcW w:w="1051" w:type="dxa"/>
            <w:tcBorders>
              <w:top w:val="single" w:sz="4" w:space="0" w:color="888888"/>
              <w:left w:val="single" w:sz="4" w:space="0" w:color="888888"/>
              <w:bottom w:val="single" w:sz="4" w:space="0" w:color="888888"/>
              <w:right w:val="single" w:sz="4" w:space="0" w:color="888888"/>
            </w:tcBorders>
          </w:tcPr>
          <w:p w14:paraId="2457A783"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51C20F5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age</w:t>
            </w:r>
          </w:p>
          <w:p w14:paraId="1CD3C37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body mass index</w:t>
            </w:r>
          </w:p>
          <w:p w14:paraId="02FE88E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education</w:t>
            </w:r>
          </w:p>
          <w:p w14:paraId="79D76D4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Infections</w:t>
            </w:r>
          </w:p>
          <w:p w14:paraId="5888D2DA"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140DE8A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Birth weight</w:t>
            </w:r>
          </w:p>
          <w:p w14:paraId="74A371B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Foetal heart rate / CTG</w:t>
            </w:r>
          </w:p>
          <w:p w14:paraId="3D4E368C"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Sociodemographic factor</w:t>
            </w:r>
          </w:p>
          <w:p w14:paraId="7C8F743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Socioeconomic status</w:t>
            </w:r>
          </w:p>
        </w:tc>
        <w:tc>
          <w:tcPr>
            <w:tcW w:w="851" w:type="dxa"/>
            <w:tcBorders>
              <w:top w:val="single" w:sz="4" w:space="0" w:color="888888"/>
              <w:left w:val="single" w:sz="4" w:space="0" w:color="888888"/>
              <w:bottom w:val="single" w:sz="4" w:space="0" w:color="888888"/>
              <w:right w:val="single" w:sz="4" w:space="0" w:color="888888"/>
            </w:tcBorders>
          </w:tcPr>
          <w:p w14:paraId="26698C1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3A310861"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061B54E6"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61949EFE"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992" w:type="dxa"/>
            <w:tcBorders>
              <w:top w:val="single" w:sz="4" w:space="0" w:color="888888"/>
              <w:left w:val="single" w:sz="4" w:space="0" w:color="888888"/>
              <w:bottom w:val="single" w:sz="4" w:space="0" w:color="888888"/>
              <w:right w:val="single" w:sz="4" w:space="0" w:color="888888"/>
            </w:tcBorders>
          </w:tcPr>
          <w:p w14:paraId="1DA4734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The proposed TabPFN model achieved the highest performance across all metrics, with an accuracy of 97.91%, precision of 97.87%, recall of 98.26%, F1-score of 98.05%, Matthews Correlation Coefficient (MCC) of 96.42%, and an Area Under the Curve (AUC) of 98.88% </w:t>
            </w:r>
            <w:r>
              <w:rPr>
                <w:rFonts w:ascii="Arial" w:hAnsi="Arial" w:cs="Arial"/>
                <w:sz w:val="12"/>
                <w:szCs w:val="12"/>
              </w:rPr>
              <w:br/>
              <w:t>5</w:t>
            </w:r>
            <w:r>
              <w:rPr>
                <w:rFonts w:ascii="Arial" w:hAnsi="Arial" w:cs="Arial"/>
                <w:sz w:val="12"/>
                <w:szCs w:val="12"/>
              </w:rPr>
              <w:br/>
              <w:t>. This performance was superior to the other 13 machine learning models evaluated</w:t>
            </w:r>
          </w:p>
        </w:tc>
        <w:tc>
          <w:tcPr>
            <w:tcW w:w="851" w:type="dxa"/>
            <w:tcBorders>
              <w:top w:val="single" w:sz="4" w:space="0" w:color="888888"/>
              <w:left w:val="single" w:sz="4" w:space="0" w:color="888888"/>
              <w:bottom w:val="single" w:sz="4" w:space="0" w:color="888888"/>
              <w:right w:val="single" w:sz="4" w:space="0" w:color="888888"/>
            </w:tcBorders>
          </w:tcPr>
          <w:p w14:paraId="48E65D8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Accuraccy, Precision, Sensitivity, F-1 score, AUC, Matthews Correlation Coefficient (MCC)</w:t>
            </w:r>
          </w:p>
        </w:tc>
        <w:tc>
          <w:tcPr>
            <w:tcW w:w="817" w:type="dxa"/>
            <w:tcBorders>
              <w:top w:val="single" w:sz="4" w:space="0" w:color="888888"/>
              <w:left w:val="single" w:sz="4" w:space="0" w:color="888888"/>
              <w:bottom w:val="single" w:sz="4" w:space="0" w:color="888888"/>
              <w:right w:val="single" w:sz="4" w:space="0" w:color="888888"/>
            </w:tcBorders>
          </w:tcPr>
          <w:p w14:paraId="489FDB5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37AF634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2,126 records</w:t>
            </w:r>
          </w:p>
        </w:tc>
        <w:tc>
          <w:tcPr>
            <w:tcW w:w="851" w:type="dxa"/>
            <w:tcBorders>
              <w:top w:val="single" w:sz="4" w:space="0" w:color="888888"/>
              <w:left w:val="single" w:sz="4" w:space="0" w:color="888888"/>
              <w:bottom w:val="single" w:sz="4" w:space="0" w:color="888888"/>
              <w:right w:val="single" w:sz="4" w:space="0" w:color="888888"/>
            </w:tcBorders>
          </w:tcPr>
          <w:p w14:paraId="5E7FF16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research was supported by the Princess Nourah bint Abdulrahman University Researchers Supporting Project (PNURSP2024R716), the Deanship of Research and Graduate Studies at King Khalid University (grant number RGP1/296/45), and AlMaarefa University, Riyadh, Saudi Arabia</w:t>
            </w:r>
          </w:p>
        </w:tc>
        <w:tc>
          <w:tcPr>
            <w:tcW w:w="1134" w:type="dxa"/>
            <w:tcBorders>
              <w:top w:val="single" w:sz="4" w:space="0" w:color="888888"/>
              <w:left w:val="single" w:sz="4" w:space="0" w:color="888888"/>
              <w:bottom w:val="single" w:sz="4" w:space="0" w:color="888888"/>
              <w:right w:val="single" w:sz="4" w:space="0" w:color="888888"/>
            </w:tcBorders>
          </w:tcPr>
          <w:p w14:paraId="6D5DFEF8"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55.1%</w:t>
            </w:r>
          </w:p>
        </w:tc>
        <w:tc>
          <w:tcPr>
            <w:tcW w:w="841" w:type="dxa"/>
            <w:tcBorders>
              <w:top w:val="single" w:sz="4" w:space="0" w:color="888888"/>
              <w:left w:val="single" w:sz="4" w:space="0" w:color="888888"/>
              <w:bottom w:val="single" w:sz="4" w:space="0" w:color="888888"/>
              <w:right w:val="single" w:sz="4" w:space="0" w:color="888888"/>
            </w:tcBorders>
          </w:tcPr>
          <w:p w14:paraId="4A0B7385"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High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345B7FDF" w14:textId="77777777" w:rsidR="00871B31" w:rsidRPr="00756461" w:rsidRDefault="00871B31" w:rsidP="00BC1F31">
            <w:pPr>
              <w:spacing w:after="0" w:line="240" w:lineRule="auto"/>
              <w:rPr>
                <w:rFonts w:ascii="Arial" w:hAnsi="Arial" w:cs="Arial"/>
                <w:color w:val="000000"/>
                <w:sz w:val="12"/>
                <w:szCs w:val="12"/>
              </w:rPr>
            </w:pPr>
            <w:r>
              <w:rPr>
                <w:rFonts w:ascii="Arial" w:hAnsi="Arial" w:cs="Arial"/>
                <w:color w:val="000000"/>
                <w:sz w:val="12"/>
                <w:szCs w:val="12"/>
              </w:rPr>
              <w:t xml:space="preserve">Not publicly </w:t>
            </w:r>
          </w:p>
          <w:p w14:paraId="35455D96"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br/>
              <w:t>Available via inquiries to corresponding author</w:t>
            </w:r>
          </w:p>
        </w:tc>
        <w:tc>
          <w:tcPr>
            <w:tcW w:w="442" w:type="dxa"/>
            <w:tcBorders>
              <w:top w:val="single" w:sz="4" w:space="0" w:color="888888"/>
              <w:left w:val="single" w:sz="4" w:space="0" w:color="888888"/>
              <w:bottom w:val="single" w:sz="4" w:space="0" w:color="888888"/>
              <w:right w:val="single" w:sz="4" w:space="0" w:color="888888"/>
            </w:tcBorders>
          </w:tcPr>
          <w:p w14:paraId="41241996"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{"citationID":"ZSxCWVvz","properties":{"formattedCitation":"[36]","plainCitation":"[36]","noteIndex":0},"citationItems":[{"id":"b2OWig5M/ppsIjiie","uris":["http://zotero.org/users/18230940/items/KBES3D5F"],"itemData":{"id":652,"type":"article-journal","abstract":"Predictive modeling is becoming increasingly popular in the context of early disease detection. The use of machine learning approaches for predictive modeling can help early detection of diseases thereby enabling medical experts to appropriate medical treatments. Stillbirth prediction is a similar domain where artificial intelligence-based predictive modeling can alleviate this significant global health challenge. Despite advancements in prenatal care, the prevention of stillbirths remains a complex issue requiring further research and interventions. The cardiotocography (CTG) dataset is used in this research work from the UCI machine learning (ML) repository to investigate the efficiency of the proposed approach regarding stillbirth prediction. This research work adopts the Tabular Prior Data Fitted Network (TabPFN) model which was originally designed to solve small tabular classification. TabPFN is used to predict the still or live birth during pregnancy with 97.91% accuracy. To address this life-saving problem with more accurate results and in-depth analysis of ML models, this research work makes use of 13 renowned ML models for performance comparison with the proposed model. The proposed model is evaluated using precision, recall, F-score, Mathews Correlation Coefficient (MCC), and the area under the curve evaluation parameters and the results are 97.87%, 98.26%, 98.05%, 96.42%, and 98.88%, respectively. The results of the proposed model are further evaluated using k-fold cross-validation and its performance comparison with other state-of-the-art studies indicating the superior performance of TabPFN model.","container-title":"SLAS technology","DOI":"10.1016/j.slast.2024.100203","ISSN":"2472-6311","issue":"6","journalAbbreviation":"SLAS Technol","language":"eng","page":"100203","PMID":"39424101","source":"PubMed","title":"Artificial intelligence-driven predictive framework for early detection of still birth","volume":"29","author":[{"family":"Alzakari","given":"Sarah A."},{"family":"Aldrees","given":"Asma"},{"family":"Umer","given":"Muhammad"},{"family":"Cascone","given":"Lucia"},{"family":"Innab","given":"Nisreen"},{"family":"Ashraf","given":"Imran"}],"issued":{"date-parts":[["2024",12]]}}}],"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[36]</w:t>
            </w:r>
            <w:r>
              <w:rPr>
                <w:rFonts w:ascii="Arial" w:eastAsia="Times New Roman" w:hAnsi="Arial" w:cs="Arial"/>
                <w:color w:val="000000"/>
                <w:sz w:val="12"/>
                <w:szCs w:val="12"/>
                <w:lang w:eastAsia="en-GB" w:bidi="th-TH"/>
              </w:rPr>
              <w:fldChar w:fldCharType="end"/>
            </w:r>
          </w:p>
        </w:tc>
      </w:tr>
      <w:tr w:rsidR="00871B31" w:rsidRPr="00756461" w14:paraId="5D57E3A4"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shd w:val="clear" w:color="auto" w:fill="FFFFFF" w:themeFill="background1"/>
          </w:tcPr>
          <w:p w14:paraId="2681A71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ÅmarkI, et al. 2018</w:t>
            </w:r>
          </w:p>
        </w:tc>
        <w:tc>
          <w:tcPr>
            <w:tcW w:w="1054" w:type="dxa"/>
            <w:tcBorders>
              <w:top w:val="single" w:sz="4" w:space="0" w:color="888888"/>
              <w:left w:val="single" w:sz="4" w:space="0" w:color="888888"/>
              <w:bottom w:val="single" w:sz="4" w:space="0" w:color="888888"/>
              <w:right w:val="single" w:sz="4" w:space="0" w:color="888888"/>
            </w:tcBorders>
            <w:shd w:val="clear" w:color="auto" w:fill="FFFFFF" w:themeFill="background1"/>
          </w:tcPr>
          <w:p w14:paraId="56F38C1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shd w:val="clear" w:color="auto" w:fill="FFFFFF" w:themeFill="background1"/>
          </w:tcPr>
          <w:p w14:paraId="585363A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Sweden</w:t>
            </w:r>
          </w:p>
        </w:tc>
        <w:tc>
          <w:tcPr>
            <w:tcW w:w="786" w:type="dxa"/>
            <w:tcBorders>
              <w:top w:val="single" w:sz="4" w:space="0" w:color="888888"/>
              <w:left w:val="single" w:sz="4" w:space="0" w:color="888888"/>
              <w:bottom w:val="single" w:sz="4" w:space="0" w:color="888888"/>
              <w:right w:val="single" w:sz="4" w:space="0" w:color="888888"/>
            </w:tcBorders>
            <w:shd w:val="clear" w:color="auto" w:fill="FFFFFF" w:themeFill="background1"/>
          </w:tcPr>
          <w:p w14:paraId="1222776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w:t>
            </w:r>
          </w:p>
        </w:tc>
        <w:tc>
          <w:tcPr>
            <w:tcW w:w="786" w:type="dxa"/>
            <w:tcBorders>
              <w:top w:val="single" w:sz="4" w:space="0" w:color="888888"/>
              <w:left w:val="single" w:sz="4" w:space="0" w:color="888888"/>
              <w:bottom w:val="single" w:sz="4" w:space="0" w:color="888888"/>
              <w:right w:val="single" w:sz="4" w:space="0" w:color="888888"/>
            </w:tcBorders>
            <w:shd w:val="clear" w:color="auto" w:fill="FFFFFF" w:themeFill="background1"/>
          </w:tcPr>
          <w:p w14:paraId="4F4A6DD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development</w:t>
            </w:r>
          </w:p>
        </w:tc>
        <w:tc>
          <w:tcPr>
            <w:tcW w:w="1051" w:type="dxa"/>
            <w:tcBorders>
              <w:top w:val="single" w:sz="4" w:space="0" w:color="888888"/>
              <w:left w:val="single" w:sz="4" w:space="0" w:color="888888"/>
              <w:bottom w:val="single" w:sz="4" w:space="0" w:color="888888"/>
              <w:right w:val="single" w:sz="4" w:space="0" w:color="888888"/>
            </w:tcBorders>
            <w:shd w:val="clear" w:color="auto" w:fill="FFFFFF" w:themeFill="background1"/>
          </w:tcPr>
          <w:p w14:paraId="75640A38"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19E90CF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age</w:t>
            </w:r>
          </w:p>
          <w:p w14:paraId="1CA42F7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body mass index</w:t>
            </w:r>
          </w:p>
          <w:p w14:paraId="61BE7F4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Parity</w:t>
            </w:r>
          </w:p>
          <w:p w14:paraId="642517A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Smoking / substance use</w:t>
            </w:r>
          </w:p>
        </w:tc>
        <w:tc>
          <w:tcPr>
            <w:tcW w:w="851" w:type="dxa"/>
            <w:tcBorders>
              <w:top w:val="single" w:sz="4" w:space="0" w:color="888888"/>
              <w:left w:val="single" w:sz="4" w:space="0" w:color="888888"/>
              <w:bottom w:val="single" w:sz="4" w:space="0" w:color="888888"/>
              <w:right w:val="single" w:sz="4" w:space="0" w:color="888888"/>
            </w:tcBorders>
            <w:shd w:val="clear" w:color="auto" w:fill="FFFFFF" w:themeFill="background1"/>
          </w:tcPr>
          <w:p w14:paraId="7E09A4E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Population/ Registry</w:t>
            </w:r>
          </w:p>
        </w:tc>
        <w:tc>
          <w:tcPr>
            <w:tcW w:w="851" w:type="dxa"/>
            <w:tcBorders>
              <w:top w:val="single" w:sz="4" w:space="0" w:color="888888"/>
              <w:left w:val="single" w:sz="4" w:space="0" w:color="888888"/>
              <w:bottom w:val="single" w:sz="4" w:space="0" w:color="888888"/>
              <w:right w:val="single" w:sz="4" w:space="0" w:color="888888"/>
            </w:tcBorders>
            <w:shd w:val="clear" w:color="auto" w:fill="FFFFFF" w:themeFill="background1"/>
          </w:tcPr>
          <w:p w14:paraId="530925F0"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shd w:val="clear" w:color="auto" w:fill="FFFFFF" w:themeFill="background1"/>
          </w:tcPr>
          <w:p w14:paraId="21013C2F"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shd w:val="clear" w:color="auto" w:fill="FFFFFF" w:themeFill="background1"/>
          </w:tcPr>
          <w:p w14:paraId="476EA24D"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shd w:val="clear" w:color="auto" w:fill="FFFFFF" w:themeFill="background1"/>
          </w:tcPr>
          <w:p w14:paraId="7A554BE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The final model had an Area Under the Curve (AUC) of 0.69 (95% CI: 0.64–0.74). It achieved a sensitivity of 28% at a fixed specificity of 90% </w:t>
            </w:r>
            <w:r>
              <w:rPr>
                <w:rFonts w:ascii="Arial" w:hAnsi="Arial" w:cs="Arial"/>
                <w:sz w:val="12"/>
                <w:szCs w:val="12"/>
              </w:rPr>
              <w:br/>
              <w:t>7</w:t>
            </w:r>
            <w:r>
              <w:rPr>
                <w:rFonts w:ascii="Arial" w:hAnsi="Arial" w:cs="Arial"/>
                <w:sz w:val="12"/>
                <w:szCs w:val="12"/>
              </w:rPr>
              <w:br/>
              <w:t xml:space="preserve">, meaning it </w:t>
            </w:r>
            <w:r>
              <w:rPr>
                <w:rFonts w:ascii="Arial" w:hAnsi="Arial" w:cs="Arial"/>
                <w:sz w:val="12"/>
                <w:szCs w:val="12"/>
              </w:rPr>
              <w:lastRenderedPageBreak/>
              <w:t xml:space="preserve">could predict 28% of stillbirths with a 10% false-positive rate </w:t>
            </w:r>
          </w:p>
        </w:tc>
        <w:tc>
          <w:tcPr>
            <w:tcW w:w="851" w:type="dxa"/>
            <w:tcBorders>
              <w:top w:val="single" w:sz="4" w:space="0" w:color="888888"/>
              <w:left w:val="single" w:sz="4" w:space="0" w:color="888888"/>
              <w:bottom w:val="single" w:sz="4" w:space="0" w:color="888888"/>
              <w:right w:val="single" w:sz="4" w:space="0" w:color="888888"/>
            </w:tcBorders>
            <w:shd w:val="clear" w:color="auto" w:fill="FFFFFF" w:themeFill="background1"/>
          </w:tcPr>
          <w:p w14:paraId="354D8DE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AUC, Sensitivity, Specificity</w:t>
            </w:r>
          </w:p>
        </w:tc>
        <w:tc>
          <w:tcPr>
            <w:tcW w:w="817" w:type="dxa"/>
            <w:tcBorders>
              <w:top w:val="single" w:sz="4" w:space="0" w:color="888888"/>
              <w:left w:val="single" w:sz="4" w:space="0" w:color="888888"/>
              <w:bottom w:val="single" w:sz="4" w:space="0" w:color="888888"/>
              <w:right w:val="single" w:sz="4" w:space="0" w:color="888888"/>
            </w:tcBorders>
            <w:shd w:val="clear" w:color="auto" w:fill="FFFFFF" w:themeFill="background1"/>
          </w:tcPr>
          <w:p w14:paraId="7B4A68C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shd w:val="clear" w:color="auto" w:fill="FFFFFF" w:themeFill="background1"/>
          </w:tcPr>
          <w:p w14:paraId="70A2968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The final study cohort included 145,319 pregnancies. The predictive model was developed using a sub-cohort of </w:t>
            </w:r>
            <w:r>
              <w:rPr>
                <w:rFonts w:ascii="Arial" w:hAnsi="Arial" w:cs="Arial"/>
                <w:sz w:val="12"/>
                <w:szCs w:val="12"/>
              </w:rPr>
              <w:lastRenderedPageBreak/>
              <w:t>45,859 pregnancies in women with overweight or obesity who did not have pre-gestational diabetes</w:t>
            </w:r>
          </w:p>
        </w:tc>
        <w:tc>
          <w:tcPr>
            <w:tcW w:w="851" w:type="dxa"/>
            <w:tcBorders>
              <w:top w:val="single" w:sz="4" w:space="0" w:color="888888"/>
              <w:left w:val="single" w:sz="4" w:space="0" w:color="888888"/>
              <w:bottom w:val="single" w:sz="4" w:space="0" w:color="888888"/>
              <w:right w:val="single" w:sz="4" w:space="0" w:color="888888"/>
            </w:tcBorders>
            <w:shd w:val="clear" w:color="auto" w:fill="FFFFFF" w:themeFill="background1"/>
          </w:tcPr>
          <w:p w14:paraId="287572D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 xml:space="preserve">The study received support from the Stockholm County Council (ALF project) and the Stockholm City Council </w:t>
            </w:r>
            <w:r>
              <w:rPr>
                <w:rFonts w:ascii="Arial" w:hAnsi="Arial" w:cs="Arial"/>
                <w:sz w:val="12"/>
                <w:szCs w:val="12"/>
              </w:rPr>
              <w:lastRenderedPageBreak/>
              <w:t>(post-doc position)</w:t>
            </w:r>
          </w:p>
        </w:tc>
        <w:tc>
          <w:tcPr>
            <w:tcW w:w="1134" w:type="dxa"/>
            <w:tcBorders>
              <w:top w:val="single" w:sz="4" w:space="0" w:color="888888"/>
              <w:left w:val="single" w:sz="4" w:space="0" w:color="888888"/>
              <w:bottom w:val="single" w:sz="4" w:space="0" w:color="888888"/>
              <w:right w:val="single" w:sz="4" w:space="0" w:color="888888"/>
            </w:tcBorders>
            <w:shd w:val="clear" w:color="auto" w:fill="FFFFFF" w:themeFill="background1"/>
          </w:tcPr>
          <w:p w14:paraId="3CC27133"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lastRenderedPageBreak/>
              <w:t>57.1%</w:t>
            </w:r>
          </w:p>
        </w:tc>
        <w:tc>
          <w:tcPr>
            <w:tcW w:w="841" w:type="dxa"/>
            <w:tcBorders>
              <w:top w:val="single" w:sz="4" w:space="0" w:color="888888"/>
              <w:left w:val="single" w:sz="4" w:space="0" w:color="888888"/>
              <w:bottom w:val="single" w:sz="4" w:space="0" w:color="888888"/>
              <w:right w:val="single" w:sz="4" w:space="0" w:color="888888"/>
            </w:tcBorders>
            <w:shd w:val="clear" w:color="auto" w:fill="FFFFFF" w:themeFill="background1"/>
          </w:tcPr>
          <w:p w14:paraId="0A7D90FD"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Low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shd w:val="clear" w:color="auto" w:fill="FFFFFF" w:themeFill="background1"/>
          </w:tcPr>
          <w:p w14:paraId="0E2FFD20"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 xml:space="preserve">The data can be shared with other researchers on the condition that they obtain formal approval from the Regional Research </w:t>
            </w:r>
            <w:r>
              <w:rPr>
                <w:rFonts w:ascii="Arial" w:hAnsi="Arial" w:cs="Arial"/>
                <w:color w:val="000000"/>
                <w:sz w:val="12"/>
                <w:szCs w:val="12"/>
              </w:rPr>
              <w:lastRenderedPageBreak/>
              <w:t>Ethics Committee</w:t>
            </w:r>
          </w:p>
        </w:tc>
        <w:tc>
          <w:tcPr>
            <w:tcW w:w="442" w:type="dxa"/>
            <w:tcBorders>
              <w:top w:val="single" w:sz="4" w:space="0" w:color="888888"/>
              <w:left w:val="single" w:sz="4" w:space="0" w:color="888888"/>
              <w:bottom w:val="single" w:sz="4" w:space="0" w:color="888888"/>
              <w:right w:val="single" w:sz="4" w:space="0" w:color="888888"/>
            </w:tcBorders>
            <w:shd w:val="clear" w:color="auto" w:fill="FFFFFF" w:themeFill="background1"/>
          </w:tcPr>
          <w:p w14:paraId="620E657A"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lastRenderedPageBreak/>
              <w:fldChar w:fldCharType="begin"/>
            </w:r>
            <w:r>
              <w:rPr>
                <w:rFonts w:ascii="Arial" w:eastAsia="Times New Roman" w:hAnsi="Arial" w:cs="Arial"/>
                <w:color w:val="000000"/>
                <w:sz w:val="12"/>
                <w:szCs w:val="12"/>
                <w:lang w:eastAsia="en-GB" w:bidi="th-TH"/>
              </w:rPr>
              <w:instrText xml:space="preserve"> ADDIN ZOTERO_ITEM CSL_CITATION {"citationID":"vef0EX2Z","properties":{"formattedCitation":"[37]","plainCitation":"[37]","noteIndex":0},"citationItems":[{"id":"b2OWig5M/h6xevYcc","uris":["http://zotero.org/users/18230940/items/H49XTST9"],"itemData":{"id":657,"type":"article-journal","abstract":"Objective To develop a model for prediction of stillbirth after the 28th gestational week in singleton pregnancies of women with overweight or obesity. Method This is a register-based cohort study. The first trimester screening database including data from 2006 until 2015 was cross-linked with the Swedish Medical Birth Register and the Swedish Register of Total Population. The final study cohort comprised 145,319 pregnancies, out of which 45,859 pregnancies were complicated by overweight or obesity and without pre-gestational diabetes. There were in total 282 stillbirths. Prediction models for stillbirth in pregnancies with overweight or obesity were constructed based on maternal characteristics, pregnancy complications and biochemical markers. Receiver Operating Characteristic (ROC) and area under curve (AUC) were calculated, based on logistic regression analyses. Results The prevalence of stillbirth was 1.6/1000 births and 2.6/1000 births in normal weight and overweight/obese women, respectively. The final predictive model had an AUC of 0.69 (95% CI: 0.64–0.74) with a sensitivity of 28% at a 90% fixed specificity. Conclusions It is possible to predict 28% of stillbirths in overweight or obese women, at a false positive rate of 10%. In particular, growth-restricted fetuses are at increased risk of stillbirth.","container-title":"PLOS ONE","DOI":"10.1371/journal.pone.0206940","ISSN":"1932-6203","issue":"11","journalAbbreviation":"PLOS ONE","language":"en","page":"e0206940","publisher":"Public Library of Science","source":"PLoS Journals","title":"Prediction of stillbirth in women with overweight or obesity—A register-based cohort study","volume":"13","author":[{"family":"Åmark","given":"H."},{"family":"Westgren","given":"M."},{"family":"Persson","given":"M."}],"issued":{"date-parts":[["2018",11,19]]}}}],"schema":"https://github.com/citation-style-language/schema/raw/master/csl-citation.json"}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[37]</w:t>
            </w:r>
            <w:r>
              <w:rPr>
                <w:rFonts w:ascii="Arial" w:eastAsia="Times New Roman" w:hAnsi="Arial" w:cs="Arial"/>
                <w:color w:val="000000"/>
                <w:sz w:val="12"/>
                <w:szCs w:val="12"/>
                <w:lang w:eastAsia="en-GB" w:bidi="th-TH"/>
              </w:rPr>
              <w:fldChar w:fldCharType="end"/>
            </w:r>
          </w:p>
        </w:tc>
      </w:tr>
      <w:tr w:rsidR="00871B31" w:rsidRPr="00756461" w14:paraId="6D591E3B"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0FC5011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Baker, et al. 2021</w:t>
            </w:r>
          </w:p>
        </w:tc>
        <w:tc>
          <w:tcPr>
            <w:tcW w:w="1054" w:type="dxa"/>
            <w:tcBorders>
              <w:top w:val="single" w:sz="4" w:space="0" w:color="888888"/>
              <w:left w:val="single" w:sz="4" w:space="0" w:color="888888"/>
              <w:bottom w:val="single" w:sz="4" w:space="0" w:color="888888"/>
              <w:right w:val="single" w:sz="4" w:space="0" w:color="888888"/>
            </w:tcBorders>
          </w:tcPr>
          <w:p w14:paraId="13C89D0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123C500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United States</w:t>
            </w:r>
          </w:p>
        </w:tc>
        <w:tc>
          <w:tcPr>
            <w:tcW w:w="786" w:type="dxa"/>
            <w:tcBorders>
              <w:top w:val="single" w:sz="4" w:space="0" w:color="888888"/>
              <w:left w:val="single" w:sz="4" w:space="0" w:color="888888"/>
              <w:bottom w:val="single" w:sz="4" w:space="0" w:color="888888"/>
              <w:right w:val="single" w:sz="4" w:space="0" w:color="888888"/>
            </w:tcBorders>
          </w:tcPr>
          <w:p w14:paraId="2ED6475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Neonatal mortality</w:t>
            </w:r>
          </w:p>
        </w:tc>
        <w:tc>
          <w:tcPr>
            <w:tcW w:w="786" w:type="dxa"/>
            <w:tcBorders>
              <w:top w:val="single" w:sz="4" w:space="0" w:color="888888"/>
              <w:left w:val="single" w:sz="4" w:space="0" w:color="888888"/>
              <w:bottom w:val="single" w:sz="4" w:space="0" w:color="888888"/>
              <w:right w:val="single" w:sz="4" w:space="0" w:color="888888"/>
            </w:tcBorders>
          </w:tcPr>
          <w:p w14:paraId="6D7C0D6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development</w:t>
            </w:r>
          </w:p>
        </w:tc>
        <w:tc>
          <w:tcPr>
            <w:tcW w:w="1051" w:type="dxa"/>
            <w:tcBorders>
              <w:top w:val="single" w:sz="4" w:space="0" w:color="888888"/>
              <w:left w:val="single" w:sz="4" w:space="0" w:color="888888"/>
              <w:bottom w:val="single" w:sz="4" w:space="0" w:color="888888"/>
              <w:right w:val="single" w:sz="4" w:space="0" w:color="888888"/>
            </w:tcBorders>
          </w:tcPr>
          <w:p w14:paraId="4B1A193B"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4346C1E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Gestational age</w:t>
            </w:r>
          </w:p>
        </w:tc>
        <w:tc>
          <w:tcPr>
            <w:tcW w:w="851" w:type="dxa"/>
            <w:tcBorders>
              <w:top w:val="single" w:sz="4" w:space="0" w:color="888888"/>
              <w:left w:val="single" w:sz="4" w:space="0" w:color="888888"/>
              <w:bottom w:val="single" w:sz="4" w:space="0" w:color="888888"/>
              <w:right w:val="single" w:sz="4" w:space="0" w:color="888888"/>
            </w:tcBorders>
          </w:tcPr>
          <w:p w14:paraId="0C8A849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390DEA2D"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65DD9F34"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02318C73"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992" w:type="dxa"/>
            <w:tcBorders>
              <w:top w:val="single" w:sz="4" w:space="0" w:color="888888"/>
              <w:left w:val="single" w:sz="4" w:space="0" w:color="888888"/>
              <w:bottom w:val="single" w:sz="4" w:space="0" w:color="888888"/>
              <w:right w:val="single" w:sz="4" w:space="0" w:color="888888"/>
            </w:tcBorders>
          </w:tcPr>
          <w:p w14:paraId="41E5C33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highest performing model, NAIMS-3 (3-day window), achieved an area under the receiver-operator curve (AUROC) of 0.9336 and an area under the precision-recall curve (AUPRC) of 0.8397336 for predicting mortality risk within a 3-day window is achieved.</w:t>
            </w:r>
          </w:p>
        </w:tc>
        <w:tc>
          <w:tcPr>
            <w:tcW w:w="851" w:type="dxa"/>
            <w:tcBorders>
              <w:top w:val="single" w:sz="4" w:space="0" w:color="888888"/>
              <w:left w:val="single" w:sz="4" w:space="0" w:color="888888"/>
              <w:bottom w:val="single" w:sz="4" w:space="0" w:color="888888"/>
              <w:right w:val="single" w:sz="4" w:space="0" w:color="888888"/>
            </w:tcBorders>
          </w:tcPr>
          <w:p w14:paraId="267FBC2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AUROC, AUPRC</w:t>
            </w:r>
          </w:p>
        </w:tc>
        <w:tc>
          <w:tcPr>
            <w:tcW w:w="817" w:type="dxa"/>
            <w:tcBorders>
              <w:top w:val="single" w:sz="4" w:space="0" w:color="888888"/>
              <w:left w:val="single" w:sz="4" w:space="0" w:color="888888"/>
              <w:bottom w:val="single" w:sz="4" w:space="0" w:color="888888"/>
              <w:right w:val="single" w:sz="4" w:space="0" w:color="888888"/>
            </w:tcBorders>
          </w:tcPr>
          <w:p w14:paraId="0D60F49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5B94EE7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179 patients for the 3-day and 7-day models (NAIMS-3, NAIMS-7) and 181 patients for the 14-day model</w:t>
            </w:r>
          </w:p>
        </w:tc>
        <w:tc>
          <w:tcPr>
            <w:tcW w:w="851" w:type="dxa"/>
            <w:tcBorders>
              <w:top w:val="single" w:sz="4" w:space="0" w:color="888888"/>
              <w:left w:val="single" w:sz="4" w:space="0" w:color="888888"/>
              <w:bottom w:val="single" w:sz="4" w:space="0" w:color="888888"/>
              <w:right w:val="single" w:sz="4" w:space="0" w:color="888888"/>
            </w:tcBorders>
          </w:tcPr>
          <w:p w14:paraId="7B8D5DB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study was supported by the Australian Government Research Training Program Scholarship</w:t>
            </w:r>
          </w:p>
        </w:tc>
        <w:tc>
          <w:tcPr>
            <w:tcW w:w="1134" w:type="dxa"/>
            <w:tcBorders>
              <w:top w:val="single" w:sz="4" w:space="0" w:color="888888"/>
              <w:left w:val="single" w:sz="4" w:space="0" w:color="888888"/>
              <w:bottom w:val="single" w:sz="4" w:space="0" w:color="888888"/>
              <w:right w:val="single" w:sz="4" w:space="0" w:color="888888"/>
            </w:tcBorders>
          </w:tcPr>
          <w:p w14:paraId="79511370"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67.4%</w:t>
            </w:r>
          </w:p>
        </w:tc>
        <w:tc>
          <w:tcPr>
            <w:tcW w:w="841" w:type="dxa"/>
            <w:tcBorders>
              <w:top w:val="single" w:sz="4" w:space="0" w:color="888888"/>
              <w:left w:val="single" w:sz="4" w:space="0" w:color="888888"/>
              <w:bottom w:val="single" w:sz="4" w:space="0" w:color="888888"/>
              <w:right w:val="single" w:sz="4" w:space="0" w:color="888888"/>
            </w:tcBorders>
          </w:tcPr>
          <w:p w14:paraId="3663A780"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Low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281D9E10"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The data is publicly accessible.</w:t>
            </w:r>
          </w:p>
        </w:tc>
        <w:tc>
          <w:tcPr>
            <w:tcW w:w="442" w:type="dxa"/>
            <w:tcBorders>
              <w:top w:val="single" w:sz="4" w:space="0" w:color="888888"/>
              <w:left w:val="single" w:sz="4" w:space="0" w:color="888888"/>
              <w:bottom w:val="single" w:sz="4" w:space="0" w:color="888888"/>
              <w:right w:val="single" w:sz="4" w:space="0" w:color="888888"/>
            </w:tcBorders>
          </w:tcPr>
          <w:p w14:paraId="13458702"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{"citationID":"Dsj8heiY","properties":{"formattedCitation":"[38]","plainCitation":"[38]","noteIndex":0},"citationItems":[{"id":"b2OWig5M/R1iAJlFk","uris":["http://zotero.org/users/18230940/items/T8X9ZA7N"],"itemData":{"id":659,"type":"article-journal","abstract":"Premature birth is the primary risk factor in neonatal deaths, with the majority of extremely premature babies cared for in neonatal intensive care units (NICUs). Mortality risk prediction in this setting can greatly improve patient outcomes and resource utilization. However, existing schemes often require laborious medical testing and calculation, and are typically only calculated once at admission. In this work, we propose a shallow hybrid neural network for the prediction of mortality risk in 3-day, 7-day, and 14-day risk windows using only birthweight, gestational age, sex, and heart rate (HR) and respiratory rate (RR) information from a 12-h window. As such, this scheme is capable of continuously updating mortality risk assessment, enabling analysis of health trends and responses to treatment. The highest performing scheme was the network that considered mortality risk within 3 days, with this scheme outperforming state-of-the-art works in the literature and achieving an area under the receiver-operator curve (AUROC) of 0.9336 with standard deviation of 0.0337 across 5 folds of cross-validation. As such, we conclude that our proposed scheme could readily be used for continuously-updating mortality risk prediction in NICU environments.","container-title":"Computers in Biology and Medicine","DOI":"10.1016/j.compbiomed.2021.104521","ISSN":"1879-0534","journalAbbreviation":"Comput Biol Med","language":"eng","page":"104521","PMID":"34111664","source":"PubMed","title":"Hybridized neural networks for non-invasive and continuous mortality risk assessment in neonates","volume":"134","author":[{"family":"Baker","given":"Stephanie"},{"family":"Xiang","given":"Wei"},{"family":"Atkinson","given":"Ian"}],"issued":{"date-parts":[["2021",7]]}}}],"schema":"https://github.com/citation-style-language/schema/raw/master/csl-citation.json"}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[38]</w:t>
            </w:r>
            <w:r>
              <w:rPr>
                <w:rFonts w:ascii="Arial" w:eastAsia="Times New Roman" w:hAnsi="Arial" w:cs="Arial"/>
                <w:color w:val="000000"/>
                <w:sz w:val="12"/>
                <w:szCs w:val="12"/>
                <w:lang w:eastAsia="en-GB" w:bidi="th-TH"/>
              </w:rPr>
              <w:fldChar w:fldCharType="end"/>
            </w:r>
          </w:p>
        </w:tc>
      </w:tr>
      <w:tr w:rsidR="00871B31" w:rsidRPr="00756461" w14:paraId="0E1CB6C2"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0EE9BAB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Batista, et al. 2021</w:t>
            </w:r>
          </w:p>
        </w:tc>
        <w:tc>
          <w:tcPr>
            <w:tcW w:w="1054" w:type="dxa"/>
            <w:tcBorders>
              <w:top w:val="single" w:sz="4" w:space="0" w:color="888888"/>
              <w:left w:val="single" w:sz="4" w:space="0" w:color="888888"/>
              <w:bottom w:val="single" w:sz="4" w:space="0" w:color="888888"/>
              <w:right w:val="single" w:sz="4" w:space="0" w:color="888888"/>
            </w:tcBorders>
          </w:tcPr>
          <w:p w14:paraId="37ACCCE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7B3EA71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Brazil</w:t>
            </w:r>
          </w:p>
        </w:tc>
        <w:tc>
          <w:tcPr>
            <w:tcW w:w="786" w:type="dxa"/>
            <w:tcBorders>
              <w:top w:val="single" w:sz="4" w:space="0" w:color="888888"/>
              <w:left w:val="single" w:sz="4" w:space="0" w:color="888888"/>
              <w:bottom w:val="single" w:sz="4" w:space="0" w:color="888888"/>
              <w:right w:val="single" w:sz="4" w:space="0" w:color="888888"/>
            </w:tcBorders>
          </w:tcPr>
          <w:p w14:paraId="2D9E0FE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Neonatal mortality </w:t>
            </w:r>
          </w:p>
        </w:tc>
        <w:tc>
          <w:tcPr>
            <w:tcW w:w="786" w:type="dxa"/>
            <w:tcBorders>
              <w:top w:val="single" w:sz="4" w:space="0" w:color="888888"/>
              <w:left w:val="single" w:sz="4" w:space="0" w:color="888888"/>
              <w:bottom w:val="single" w:sz="4" w:space="0" w:color="888888"/>
              <w:right w:val="single" w:sz="4" w:space="0" w:color="888888"/>
            </w:tcBorders>
          </w:tcPr>
          <w:p w14:paraId="23D3E67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development</w:t>
            </w:r>
          </w:p>
        </w:tc>
        <w:tc>
          <w:tcPr>
            <w:tcW w:w="1051" w:type="dxa"/>
            <w:tcBorders>
              <w:top w:val="single" w:sz="4" w:space="0" w:color="888888"/>
              <w:left w:val="single" w:sz="4" w:space="0" w:color="888888"/>
              <w:bottom w:val="single" w:sz="4" w:space="0" w:color="888888"/>
              <w:right w:val="single" w:sz="4" w:space="0" w:color="888888"/>
            </w:tcBorders>
          </w:tcPr>
          <w:p w14:paraId="133CE76E"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2287210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Gestational age</w:t>
            </w:r>
          </w:p>
          <w:p w14:paraId="350B00F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Birth weight</w:t>
            </w:r>
          </w:p>
          <w:p w14:paraId="0231653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APGAR score</w:t>
            </w:r>
          </w:p>
        </w:tc>
        <w:tc>
          <w:tcPr>
            <w:tcW w:w="851" w:type="dxa"/>
            <w:tcBorders>
              <w:top w:val="single" w:sz="4" w:space="0" w:color="888888"/>
              <w:left w:val="single" w:sz="4" w:space="0" w:color="888888"/>
              <w:bottom w:val="single" w:sz="4" w:space="0" w:color="888888"/>
              <w:right w:val="single" w:sz="4" w:space="0" w:color="888888"/>
            </w:tcBorders>
          </w:tcPr>
          <w:p w14:paraId="3C03D1A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Population/ Registry</w:t>
            </w:r>
          </w:p>
        </w:tc>
        <w:tc>
          <w:tcPr>
            <w:tcW w:w="851" w:type="dxa"/>
            <w:tcBorders>
              <w:top w:val="single" w:sz="4" w:space="0" w:color="888888"/>
              <w:left w:val="single" w:sz="4" w:space="0" w:color="888888"/>
              <w:bottom w:val="single" w:sz="4" w:space="0" w:color="888888"/>
              <w:right w:val="single" w:sz="4" w:space="0" w:color="888888"/>
            </w:tcBorders>
          </w:tcPr>
          <w:p w14:paraId="798DFC9B"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5720C576"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1F442326"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992" w:type="dxa"/>
            <w:tcBorders>
              <w:top w:val="single" w:sz="4" w:space="0" w:color="888888"/>
              <w:left w:val="single" w:sz="4" w:space="0" w:color="888888"/>
              <w:bottom w:val="single" w:sz="4" w:space="0" w:color="888888"/>
              <w:right w:val="single" w:sz="4" w:space="0" w:color="888888"/>
            </w:tcBorders>
          </w:tcPr>
          <w:p w14:paraId="1405362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extreme gradient boosting trees (XGBoost) algorithm performed best, achieving an Area Under the Curve (AUC) of 0.971, an F1-score of 0.548, and a precision of 0.729. The model identified over 90% of actual neonatal deaths within the 5% of births with the highest predicted risk</w:t>
            </w:r>
          </w:p>
        </w:tc>
        <w:tc>
          <w:tcPr>
            <w:tcW w:w="851" w:type="dxa"/>
            <w:tcBorders>
              <w:top w:val="single" w:sz="4" w:space="0" w:color="888888"/>
              <w:left w:val="single" w:sz="4" w:space="0" w:color="888888"/>
              <w:bottom w:val="single" w:sz="4" w:space="0" w:color="888888"/>
              <w:right w:val="single" w:sz="4" w:space="0" w:color="888888"/>
            </w:tcBorders>
          </w:tcPr>
          <w:p w14:paraId="26FA7B3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 F-1 score, Precision</w:t>
            </w:r>
          </w:p>
        </w:tc>
        <w:tc>
          <w:tcPr>
            <w:tcW w:w="817" w:type="dxa"/>
            <w:tcBorders>
              <w:top w:val="single" w:sz="4" w:space="0" w:color="888888"/>
              <w:left w:val="single" w:sz="4" w:space="0" w:color="888888"/>
              <w:bottom w:val="single" w:sz="4" w:space="0" w:color="888888"/>
              <w:right w:val="single" w:sz="4" w:space="0" w:color="888888"/>
            </w:tcBorders>
          </w:tcPr>
          <w:p w14:paraId="72559DA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Both internal and external validation</w:t>
            </w:r>
          </w:p>
        </w:tc>
        <w:tc>
          <w:tcPr>
            <w:tcW w:w="742" w:type="dxa"/>
            <w:tcBorders>
              <w:top w:val="single" w:sz="4" w:space="0" w:color="888888"/>
              <w:left w:val="single" w:sz="4" w:space="0" w:color="888888"/>
              <w:bottom w:val="single" w:sz="4" w:space="0" w:color="888888"/>
              <w:right w:val="single" w:sz="4" w:space="0" w:color="888888"/>
            </w:tcBorders>
          </w:tcPr>
          <w:p w14:paraId="598F1EF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final sample included 1,128,162 live births. The training set comprised 941,308 births (2012-2016), and the test set comprised 186,854 births (2017)</w:t>
            </w:r>
          </w:p>
        </w:tc>
        <w:tc>
          <w:tcPr>
            <w:tcW w:w="851" w:type="dxa"/>
            <w:tcBorders>
              <w:top w:val="single" w:sz="4" w:space="0" w:color="888888"/>
              <w:left w:val="single" w:sz="4" w:space="0" w:color="888888"/>
              <w:bottom w:val="single" w:sz="4" w:space="0" w:color="888888"/>
              <w:right w:val="single" w:sz="4" w:space="0" w:color="888888"/>
            </w:tcBorders>
          </w:tcPr>
          <w:p w14:paraId="62A39BD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research was supported by the Bill &amp; Melinda Gates Foundation, the Ministry of Health's Institutional Development Program of the Brazilian National Health System (PROADI-SUS), and FAPESP</w:t>
            </w:r>
          </w:p>
        </w:tc>
        <w:tc>
          <w:tcPr>
            <w:tcW w:w="1134" w:type="dxa"/>
            <w:tcBorders>
              <w:top w:val="single" w:sz="4" w:space="0" w:color="888888"/>
              <w:left w:val="single" w:sz="4" w:space="0" w:color="888888"/>
              <w:bottom w:val="single" w:sz="4" w:space="0" w:color="888888"/>
              <w:right w:val="single" w:sz="4" w:space="0" w:color="888888"/>
            </w:tcBorders>
          </w:tcPr>
          <w:p w14:paraId="399F0E41"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58.0%</w:t>
            </w:r>
          </w:p>
        </w:tc>
        <w:tc>
          <w:tcPr>
            <w:tcW w:w="841" w:type="dxa"/>
            <w:tcBorders>
              <w:top w:val="single" w:sz="4" w:space="0" w:color="888888"/>
              <w:left w:val="single" w:sz="4" w:space="0" w:color="888888"/>
              <w:bottom w:val="single" w:sz="4" w:space="0" w:color="888888"/>
              <w:right w:val="single" w:sz="4" w:space="0" w:color="888888"/>
            </w:tcBorders>
          </w:tcPr>
          <w:p w14:paraId="25F2AA75"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Low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698211FC"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The data is publicly accessible.</w:t>
            </w:r>
          </w:p>
        </w:tc>
        <w:tc>
          <w:tcPr>
            <w:tcW w:w="442" w:type="dxa"/>
            <w:tcBorders>
              <w:top w:val="single" w:sz="4" w:space="0" w:color="888888"/>
              <w:left w:val="single" w:sz="4" w:space="0" w:color="888888"/>
              <w:bottom w:val="single" w:sz="4" w:space="0" w:color="888888"/>
              <w:right w:val="single" w:sz="4" w:space="0" w:color="888888"/>
            </w:tcBorders>
          </w:tcPr>
          <w:p w14:paraId="3DF8D553"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{"citationID":"39NQrYOi","properties":{"formattedCitation":"[39]","plainCitation":"[39]","noteIndex":0},"citationItems":[{"id":"b2OWig5M/FT0B64wZ","uris":["http://zotero.org/users/18230940/items/IXXAU8H9"],"itemData":{"id":662,"type":"article-journal","abstract":"Recent decreases in neonatal mortality have been slower than expected for most countries. This study aims to predict the risk of neonatal mortality using only data routinely available from birth records in the largest city of the Americas.","container-title":"BMC Pediatrics","DOI":"10.1186/s12887-021-02788-9","ISSN":"1471-2431","issue":"1","journalAbbreviation":"BMC Pediatr","language":"en","page":"322","source":"Springer Link","title":"Neonatal mortality prediction with routinely collected data: a machine learning approach","title-short":"Neonatal mortality prediction with routinely collected data","volume":"21","author":[{"family":"Batista","given":"André F. M."},{"family":"Diniz","given":"Carmen S. G."},{"family":"Bonilha","given":"Eliana A."},{"family":"Kawachi","given":"Ichiro"},{"family":"Chiavegatto Filho","given":"Alexandre D. P."}],"issued":{"date-parts":[["2021",7,21]]}}}],"schema":"https://github.com/citation-style-language/schema/raw/master/csl-citation.json"}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[39]</w:t>
            </w:r>
            <w:r>
              <w:rPr>
                <w:rFonts w:ascii="Arial" w:eastAsia="Times New Roman" w:hAnsi="Arial" w:cs="Arial"/>
                <w:color w:val="000000"/>
                <w:sz w:val="12"/>
                <w:szCs w:val="12"/>
                <w:lang w:eastAsia="en-GB" w:bidi="th-TH"/>
              </w:rPr>
              <w:fldChar w:fldCharType="end"/>
            </w:r>
          </w:p>
        </w:tc>
      </w:tr>
      <w:tr w:rsidR="00871B31" w:rsidRPr="00756461" w14:paraId="0D7E0ACA"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7E9BEFA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Bogale D.S., et al. 2022</w:t>
            </w:r>
          </w:p>
        </w:tc>
        <w:tc>
          <w:tcPr>
            <w:tcW w:w="1054" w:type="dxa"/>
            <w:tcBorders>
              <w:top w:val="single" w:sz="4" w:space="0" w:color="888888"/>
              <w:left w:val="single" w:sz="4" w:space="0" w:color="888888"/>
              <w:bottom w:val="single" w:sz="4" w:space="0" w:color="888888"/>
              <w:right w:val="single" w:sz="4" w:space="0" w:color="888888"/>
            </w:tcBorders>
          </w:tcPr>
          <w:p w14:paraId="3F45452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Secondary analysis</w:t>
            </w:r>
          </w:p>
        </w:tc>
        <w:tc>
          <w:tcPr>
            <w:tcW w:w="742" w:type="dxa"/>
            <w:tcBorders>
              <w:top w:val="single" w:sz="4" w:space="0" w:color="888888"/>
              <w:left w:val="single" w:sz="4" w:space="0" w:color="888888"/>
              <w:bottom w:val="single" w:sz="4" w:space="0" w:color="888888"/>
              <w:right w:val="single" w:sz="4" w:space="0" w:color="888888"/>
            </w:tcBorders>
          </w:tcPr>
          <w:p w14:paraId="5F7A328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Ethiopia</w:t>
            </w:r>
          </w:p>
        </w:tc>
        <w:tc>
          <w:tcPr>
            <w:tcW w:w="786" w:type="dxa"/>
            <w:tcBorders>
              <w:top w:val="single" w:sz="4" w:space="0" w:color="888888"/>
              <w:left w:val="single" w:sz="4" w:space="0" w:color="888888"/>
              <w:bottom w:val="single" w:sz="4" w:space="0" w:color="888888"/>
              <w:right w:val="single" w:sz="4" w:space="0" w:color="888888"/>
            </w:tcBorders>
          </w:tcPr>
          <w:p w14:paraId="6DF1EEB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w:t>
            </w:r>
          </w:p>
        </w:tc>
        <w:tc>
          <w:tcPr>
            <w:tcW w:w="786" w:type="dxa"/>
            <w:tcBorders>
              <w:top w:val="single" w:sz="4" w:space="0" w:color="888888"/>
              <w:left w:val="single" w:sz="4" w:space="0" w:color="888888"/>
              <w:bottom w:val="single" w:sz="4" w:space="0" w:color="888888"/>
              <w:right w:val="single" w:sz="4" w:space="0" w:color="888888"/>
            </w:tcBorders>
          </w:tcPr>
          <w:p w14:paraId="7560A63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development</w:t>
            </w:r>
          </w:p>
        </w:tc>
        <w:tc>
          <w:tcPr>
            <w:tcW w:w="1051" w:type="dxa"/>
            <w:tcBorders>
              <w:top w:val="single" w:sz="4" w:space="0" w:color="888888"/>
              <w:left w:val="single" w:sz="4" w:space="0" w:color="888888"/>
              <w:bottom w:val="single" w:sz="4" w:space="0" w:color="888888"/>
              <w:right w:val="single" w:sz="4" w:space="0" w:color="888888"/>
            </w:tcBorders>
          </w:tcPr>
          <w:p w14:paraId="17D693C9"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1DF031D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age</w:t>
            </w:r>
          </w:p>
          <w:p w14:paraId="22B55C0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education</w:t>
            </w:r>
          </w:p>
          <w:p w14:paraId="229743B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Anaemia / haemoglobin</w:t>
            </w:r>
          </w:p>
          <w:p w14:paraId="200E9E6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 xml:space="preserve">  - Smoking / substance use</w:t>
            </w:r>
          </w:p>
          <w:p w14:paraId="6BDF88B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Interpregnancy interval</w:t>
            </w:r>
          </w:p>
          <w:p w14:paraId="798DCB1E"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Sociodemographic factor</w:t>
            </w:r>
          </w:p>
          <w:p w14:paraId="4FB645E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Socioeconomic status</w:t>
            </w:r>
          </w:p>
          <w:p w14:paraId="1EA42FB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Marital status</w:t>
            </w:r>
          </w:p>
          <w:p w14:paraId="1BC865C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Geographic region / residence</w:t>
            </w:r>
          </w:p>
          <w:p w14:paraId="71F5C11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Health insurance</w:t>
            </w:r>
          </w:p>
        </w:tc>
        <w:tc>
          <w:tcPr>
            <w:tcW w:w="851" w:type="dxa"/>
            <w:tcBorders>
              <w:top w:val="single" w:sz="4" w:space="0" w:color="888888"/>
              <w:left w:val="single" w:sz="4" w:space="0" w:color="888888"/>
              <w:bottom w:val="single" w:sz="4" w:space="0" w:color="888888"/>
              <w:right w:val="single" w:sz="4" w:space="0" w:color="888888"/>
            </w:tcBorders>
          </w:tcPr>
          <w:p w14:paraId="7BFD468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Population/ Registry</w:t>
            </w:r>
          </w:p>
        </w:tc>
        <w:tc>
          <w:tcPr>
            <w:tcW w:w="851" w:type="dxa"/>
            <w:tcBorders>
              <w:top w:val="single" w:sz="4" w:space="0" w:color="888888"/>
              <w:left w:val="single" w:sz="4" w:space="0" w:color="888888"/>
              <w:bottom w:val="single" w:sz="4" w:space="0" w:color="888888"/>
              <w:right w:val="single" w:sz="4" w:space="0" w:color="888888"/>
            </w:tcBorders>
          </w:tcPr>
          <w:p w14:paraId="3E8690B7"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4B6A8BD4"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51832B91"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302B349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The Gradient Boosting model achieved the highest performance: Accuracy: 90.24%, Precision: </w:t>
            </w:r>
            <w:r>
              <w:rPr>
                <w:rFonts w:ascii="Arial" w:hAnsi="Arial" w:cs="Arial"/>
                <w:sz w:val="12"/>
                <w:szCs w:val="12"/>
              </w:rPr>
              <w:lastRenderedPageBreak/>
              <w:t>87.24%, Recall: 99.72%, F1-Score: 92.80%, ROC: 96.96%.</w:t>
            </w:r>
          </w:p>
        </w:tc>
        <w:tc>
          <w:tcPr>
            <w:tcW w:w="851" w:type="dxa"/>
            <w:tcBorders>
              <w:top w:val="single" w:sz="4" w:space="0" w:color="888888"/>
              <w:left w:val="single" w:sz="4" w:space="0" w:color="888888"/>
              <w:bottom w:val="single" w:sz="4" w:space="0" w:color="888888"/>
              <w:right w:val="single" w:sz="4" w:space="0" w:color="888888"/>
            </w:tcBorders>
          </w:tcPr>
          <w:p w14:paraId="048C5ED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Accuracy, Precision, Sensitivity, F-1 score, ROC</w:t>
            </w:r>
          </w:p>
        </w:tc>
        <w:tc>
          <w:tcPr>
            <w:tcW w:w="817" w:type="dxa"/>
            <w:tcBorders>
              <w:top w:val="single" w:sz="4" w:space="0" w:color="888888"/>
              <w:left w:val="single" w:sz="4" w:space="0" w:color="888888"/>
              <w:bottom w:val="single" w:sz="4" w:space="0" w:color="888888"/>
              <w:right w:val="single" w:sz="4" w:space="0" w:color="888888"/>
            </w:tcBorders>
          </w:tcPr>
          <w:p w14:paraId="181E3DF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5B3CC00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The raw data contained 109,531 instances. After applying the SMOTE </w:t>
            </w:r>
            <w:r>
              <w:rPr>
                <w:rFonts w:ascii="Arial" w:hAnsi="Arial" w:cs="Arial"/>
                <w:sz w:val="12"/>
                <w:szCs w:val="12"/>
              </w:rPr>
              <w:lastRenderedPageBreak/>
              <w:t xml:space="preserve">technique to balance the dataset, it accounted for 148,659 instances </w:t>
            </w:r>
          </w:p>
        </w:tc>
        <w:tc>
          <w:tcPr>
            <w:tcW w:w="851" w:type="dxa"/>
            <w:tcBorders>
              <w:top w:val="single" w:sz="4" w:space="0" w:color="888888"/>
              <w:left w:val="single" w:sz="4" w:space="0" w:color="888888"/>
              <w:bottom w:val="single" w:sz="4" w:space="0" w:color="888888"/>
              <w:right w:val="single" w:sz="4" w:space="0" w:color="888888"/>
            </w:tcBorders>
          </w:tcPr>
          <w:p w14:paraId="449F40A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 xml:space="preserve">The research was supported by the University of Gondar research and </w:t>
            </w:r>
            <w:r>
              <w:rPr>
                <w:rFonts w:ascii="Arial" w:hAnsi="Arial" w:cs="Arial"/>
                <w:sz w:val="12"/>
                <w:szCs w:val="12"/>
              </w:rPr>
              <w:lastRenderedPageBreak/>
              <w:t>community service vice president's office</w:t>
            </w:r>
          </w:p>
        </w:tc>
        <w:tc>
          <w:tcPr>
            <w:tcW w:w="1134" w:type="dxa"/>
            <w:tcBorders>
              <w:top w:val="single" w:sz="4" w:space="0" w:color="888888"/>
              <w:left w:val="single" w:sz="4" w:space="0" w:color="888888"/>
              <w:bottom w:val="single" w:sz="4" w:space="0" w:color="888888"/>
              <w:right w:val="single" w:sz="4" w:space="0" w:color="888888"/>
            </w:tcBorders>
          </w:tcPr>
          <w:p w14:paraId="2C7F3EE6"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lastRenderedPageBreak/>
              <w:t>45.8%</w:t>
            </w:r>
          </w:p>
        </w:tc>
        <w:tc>
          <w:tcPr>
            <w:tcW w:w="841" w:type="dxa"/>
            <w:tcBorders>
              <w:top w:val="single" w:sz="4" w:space="0" w:color="888888"/>
              <w:left w:val="single" w:sz="4" w:space="0" w:color="888888"/>
              <w:bottom w:val="single" w:sz="4" w:space="0" w:color="888888"/>
              <w:right w:val="single" w:sz="4" w:space="0" w:color="888888"/>
            </w:tcBorders>
          </w:tcPr>
          <w:p w14:paraId="289CD24D"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Unclear risk</w:t>
            </w:r>
            <w:r>
              <w:rPr>
                <w:rFonts w:ascii="Arial" w:hAnsi="Arial" w:cs="Arial"/>
                <w:color w:val="000000"/>
                <w:sz w:val="12"/>
                <w:szCs w:val="12"/>
              </w:rPr>
              <w:br/>
              <w:t>D3: Unclear risk</w:t>
            </w:r>
            <w:r>
              <w:rPr>
                <w:rFonts w:ascii="Arial" w:hAnsi="Arial" w:cs="Arial"/>
                <w:color w:val="000000"/>
                <w:sz w:val="12"/>
                <w:szCs w:val="12"/>
              </w:rPr>
              <w:br/>
            </w:r>
            <w:r>
              <w:rPr>
                <w:rFonts w:ascii="Arial" w:hAnsi="Arial" w:cs="Arial"/>
                <w:color w:val="000000"/>
                <w:sz w:val="12"/>
                <w:szCs w:val="12"/>
              </w:rPr>
              <w:lastRenderedPageBreak/>
              <w:t>D4: High risk</w:t>
            </w:r>
          </w:p>
        </w:tc>
        <w:tc>
          <w:tcPr>
            <w:tcW w:w="860" w:type="dxa"/>
            <w:tcBorders>
              <w:top w:val="single" w:sz="4" w:space="0" w:color="888888"/>
              <w:left w:val="single" w:sz="4" w:space="0" w:color="888888"/>
              <w:bottom w:val="single" w:sz="4" w:space="0" w:color="888888"/>
              <w:right w:val="single" w:sz="4" w:space="0" w:color="888888"/>
            </w:tcBorders>
          </w:tcPr>
          <w:p w14:paraId="233C9829"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lastRenderedPageBreak/>
              <w:t>The data is publicly accessible via GitHub.</w:t>
            </w:r>
          </w:p>
        </w:tc>
        <w:tc>
          <w:tcPr>
            <w:tcW w:w="442" w:type="dxa"/>
            <w:tcBorders>
              <w:top w:val="single" w:sz="4" w:space="0" w:color="888888"/>
              <w:left w:val="single" w:sz="4" w:space="0" w:color="888888"/>
              <w:bottom w:val="single" w:sz="4" w:space="0" w:color="888888"/>
              <w:right w:val="single" w:sz="4" w:space="0" w:color="888888"/>
            </w:tcBorders>
          </w:tcPr>
          <w:p w14:paraId="66A61B9C"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{"citationID":"pdiOjpcq","properties":{"formattedCitation":"[40]","plainCitation":"[40]","noteIndex":0},"citationItems":[{"id":"b2OWig5M/XwJbxV7w","uris":["http://zotero.org/users/18230940/items/GGRKBWG4"],"itemData":{"id":664,"type":"article-journal","abstract":"Perinatal mortality in Ethiopia is the highest in Africa, with 68 per 1000 pregnancies intrapartum deaths. It is mainly associated with home delivery, which contributes to more than 75% of perinatal deaths. Financial constraints significantly impact timely access to maternal health care. Financial incentives, such as health insurance, may address the demand- and supply-side factors. This study, hence, aims to predict perinatal mortality based on maternal health status and health insurance service using homogeneous ensemble machine learning methods.","container-title":"BMC Medical Informatics and Decision Making","DOI":"10.1186/s12911-022-02084-1","ISSN":"1472-6947","issue":"1","journalAbbreviation":"BMC Med Inform Decis Mak","language":"en","page":"341","source":"Springer Link","title":"Predicting perinatal mortality based on maternal health status and health insurance service using homogeneous ensemble machine learning methods","volume":"22","author":[{"family":"Bogale","given":"Dawit S."},{"family":"Abuhay","given":"Tesfamariam M."},{"family":"Dejene","given":"Belayneh E."}],"issued":{"date-parts":[["2022",12,28]]}}}],"schema":"https://github.com/citation-style-language/schema/raw/master/csl-citation.json"}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[40]</w:t>
            </w:r>
            <w:r>
              <w:rPr>
                <w:rFonts w:ascii="Arial" w:eastAsia="Times New Roman" w:hAnsi="Arial" w:cs="Arial"/>
                <w:color w:val="000000"/>
                <w:sz w:val="12"/>
                <w:szCs w:val="12"/>
                <w:lang w:eastAsia="en-GB" w:bidi="th-TH"/>
              </w:rPr>
              <w:fldChar w:fldCharType="end"/>
            </w:r>
          </w:p>
        </w:tc>
      </w:tr>
      <w:tr w:rsidR="00871B31" w:rsidRPr="00756461" w14:paraId="66158EA8"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3770961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Bosschieter, et al 2023</w:t>
            </w:r>
          </w:p>
        </w:tc>
        <w:tc>
          <w:tcPr>
            <w:tcW w:w="1054" w:type="dxa"/>
            <w:tcBorders>
              <w:top w:val="single" w:sz="4" w:space="0" w:color="888888"/>
              <w:left w:val="single" w:sz="4" w:space="0" w:color="888888"/>
              <w:bottom w:val="single" w:sz="4" w:space="0" w:color="888888"/>
              <w:right w:val="single" w:sz="4" w:space="0" w:color="888888"/>
            </w:tcBorders>
          </w:tcPr>
          <w:p w14:paraId="7539C3D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441C169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United States</w:t>
            </w:r>
          </w:p>
        </w:tc>
        <w:tc>
          <w:tcPr>
            <w:tcW w:w="786" w:type="dxa"/>
            <w:tcBorders>
              <w:top w:val="single" w:sz="4" w:space="0" w:color="888888"/>
              <w:left w:val="single" w:sz="4" w:space="0" w:color="888888"/>
              <w:bottom w:val="single" w:sz="4" w:space="0" w:color="888888"/>
              <w:right w:val="single" w:sz="4" w:space="0" w:color="888888"/>
            </w:tcBorders>
          </w:tcPr>
          <w:p w14:paraId="049C150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w:t>
            </w:r>
          </w:p>
        </w:tc>
        <w:tc>
          <w:tcPr>
            <w:tcW w:w="786" w:type="dxa"/>
            <w:tcBorders>
              <w:top w:val="single" w:sz="4" w:space="0" w:color="888888"/>
              <w:left w:val="single" w:sz="4" w:space="0" w:color="888888"/>
              <w:bottom w:val="single" w:sz="4" w:space="0" w:color="888888"/>
              <w:right w:val="single" w:sz="4" w:space="0" w:color="888888"/>
            </w:tcBorders>
          </w:tcPr>
          <w:p w14:paraId="72DE488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 Model development</w:t>
            </w:r>
            <w:r>
              <w:rPr>
                <w:rFonts w:ascii="Arial" w:hAnsi="Arial" w:cs="Arial"/>
                <w:sz w:val="12"/>
                <w:szCs w:val="12"/>
              </w:rPr>
              <w:br/>
              <w:t>2. Model comparison</w:t>
            </w:r>
          </w:p>
        </w:tc>
        <w:tc>
          <w:tcPr>
            <w:tcW w:w="1051" w:type="dxa"/>
            <w:tcBorders>
              <w:top w:val="single" w:sz="4" w:space="0" w:color="888888"/>
              <w:left w:val="single" w:sz="4" w:space="0" w:color="888888"/>
              <w:bottom w:val="single" w:sz="4" w:space="0" w:color="888888"/>
              <w:right w:val="single" w:sz="4" w:space="0" w:color="888888"/>
            </w:tcBorders>
          </w:tcPr>
          <w:p w14:paraId="5492928E"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160D2E2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age</w:t>
            </w:r>
          </w:p>
          <w:p w14:paraId="12AF419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body mass index</w:t>
            </w:r>
          </w:p>
          <w:p w14:paraId="6875028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height</w:t>
            </w:r>
          </w:p>
        </w:tc>
        <w:tc>
          <w:tcPr>
            <w:tcW w:w="851" w:type="dxa"/>
            <w:tcBorders>
              <w:top w:val="single" w:sz="4" w:space="0" w:color="888888"/>
              <w:left w:val="single" w:sz="4" w:space="0" w:color="888888"/>
              <w:bottom w:val="single" w:sz="4" w:space="0" w:color="888888"/>
              <w:right w:val="single" w:sz="4" w:space="0" w:color="888888"/>
            </w:tcBorders>
          </w:tcPr>
          <w:p w14:paraId="6BEE840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384BE6F9"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52E89D9F"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40F3BB52"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61661B7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EBM model achieved a mean Area Under the ROC Curve (AUROC) of 0.730, which was the highest average performance across all outcomes. EBMs also demonstrated good calibration, often better than logistic regression</w:t>
            </w:r>
          </w:p>
        </w:tc>
        <w:tc>
          <w:tcPr>
            <w:tcW w:w="851" w:type="dxa"/>
            <w:tcBorders>
              <w:top w:val="single" w:sz="4" w:space="0" w:color="888888"/>
              <w:left w:val="single" w:sz="4" w:space="0" w:color="888888"/>
              <w:bottom w:val="single" w:sz="4" w:space="0" w:color="888888"/>
              <w:right w:val="single" w:sz="4" w:space="0" w:color="888888"/>
            </w:tcBorders>
          </w:tcPr>
          <w:p w14:paraId="2538ACE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AUROC</w:t>
            </w:r>
          </w:p>
        </w:tc>
        <w:tc>
          <w:tcPr>
            <w:tcW w:w="817" w:type="dxa"/>
            <w:tcBorders>
              <w:top w:val="single" w:sz="4" w:space="0" w:color="888888"/>
              <w:left w:val="single" w:sz="4" w:space="0" w:color="888888"/>
              <w:bottom w:val="single" w:sz="4" w:space="0" w:color="888888"/>
              <w:right w:val="single" w:sz="4" w:space="0" w:color="888888"/>
            </w:tcBorders>
          </w:tcPr>
          <w:p w14:paraId="0A4DD96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Both internal and external validation</w:t>
            </w:r>
          </w:p>
        </w:tc>
        <w:tc>
          <w:tcPr>
            <w:tcW w:w="742" w:type="dxa"/>
            <w:tcBorders>
              <w:top w:val="single" w:sz="4" w:space="0" w:color="888888"/>
              <w:left w:val="single" w:sz="4" w:space="0" w:color="888888"/>
              <w:bottom w:val="single" w:sz="4" w:space="0" w:color="888888"/>
              <w:right w:val="single" w:sz="4" w:space="0" w:color="888888"/>
            </w:tcBorders>
          </w:tcPr>
          <w:p w14:paraId="679958A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Vary sample sizes depending on the outcome being analyzed: SMM (155,935), Shoulder dystocia (82,889), Preterm preeclampsia (153,432), and Antepartum stillbirth (153,432)</w:t>
            </w:r>
          </w:p>
        </w:tc>
        <w:tc>
          <w:tcPr>
            <w:tcW w:w="851" w:type="dxa"/>
            <w:tcBorders>
              <w:top w:val="single" w:sz="4" w:space="0" w:color="888888"/>
              <w:left w:val="single" w:sz="4" w:space="0" w:color="888888"/>
              <w:bottom w:val="single" w:sz="4" w:space="0" w:color="888888"/>
              <w:right w:val="single" w:sz="4" w:space="0" w:color="888888"/>
            </w:tcBorders>
          </w:tcPr>
          <w:p w14:paraId="00EB90A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paper does not contain explicit information about funding sources.</w:t>
            </w:r>
          </w:p>
        </w:tc>
        <w:tc>
          <w:tcPr>
            <w:tcW w:w="1134" w:type="dxa"/>
            <w:tcBorders>
              <w:top w:val="single" w:sz="4" w:space="0" w:color="888888"/>
              <w:left w:val="single" w:sz="4" w:space="0" w:color="888888"/>
              <w:bottom w:val="single" w:sz="4" w:space="0" w:color="888888"/>
              <w:right w:val="single" w:sz="4" w:space="0" w:color="888888"/>
            </w:tcBorders>
          </w:tcPr>
          <w:p w14:paraId="681A4703"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52.0%</w:t>
            </w:r>
          </w:p>
        </w:tc>
        <w:tc>
          <w:tcPr>
            <w:tcW w:w="841" w:type="dxa"/>
            <w:tcBorders>
              <w:top w:val="single" w:sz="4" w:space="0" w:color="888888"/>
              <w:left w:val="single" w:sz="4" w:space="0" w:color="888888"/>
              <w:bottom w:val="single" w:sz="4" w:space="0" w:color="888888"/>
              <w:right w:val="single" w:sz="4" w:space="0" w:color="888888"/>
            </w:tcBorders>
          </w:tcPr>
          <w:p w14:paraId="53233C32"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Unclear risk</w:t>
            </w:r>
            <w:r>
              <w:rPr>
                <w:rFonts w:ascii="Arial" w:hAnsi="Arial" w:cs="Arial"/>
                <w:color w:val="000000"/>
                <w:sz w:val="12"/>
                <w:szCs w:val="12"/>
              </w:rPr>
              <w:br/>
              <w:t>D4: Low risk</w:t>
            </w:r>
          </w:p>
        </w:tc>
        <w:tc>
          <w:tcPr>
            <w:tcW w:w="860" w:type="dxa"/>
            <w:tcBorders>
              <w:top w:val="single" w:sz="4" w:space="0" w:color="888888"/>
              <w:left w:val="single" w:sz="4" w:space="0" w:color="888888"/>
              <w:bottom w:val="single" w:sz="4" w:space="0" w:color="888888"/>
              <w:right w:val="single" w:sz="4" w:space="0" w:color="888888"/>
            </w:tcBorders>
          </w:tcPr>
          <w:p w14:paraId="09C92402"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 xml:space="preserve">The data is not publicly available. </w:t>
            </w:r>
          </w:p>
        </w:tc>
        <w:tc>
          <w:tcPr>
            <w:tcW w:w="442" w:type="dxa"/>
            <w:tcBorders>
              <w:top w:val="single" w:sz="4" w:space="0" w:color="888888"/>
              <w:left w:val="single" w:sz="4" w:space="0" w:color="888888"/>
              <w:bottom w:val="single" w:sz="4" w:space="0" w:color="888888"/>
              <w:right w:val="single" w:sz="4" w:space="0" w:color="888888"/>
            </w:tcBorders>
          </w:tcPr>
          <w:p w14:paraId="04770C0A"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{"citationID":"DiS0eShs","properties":{"formattedCitation":"[41]","plainCitation":"[41]","noteIndex":0},"citationItems":[{"id":"b2OWig5M/6bYeeUJm","uris":["http://zotero.org/users/18230940/items/QCKUIG3L"],"itemData":{"id":666,"type":"article-journal","abstract":"Although most pregnancies result in a good outcome, complications are not uncommon and can be associated with serious implications for mothers and babies. Predictive modeling has the potential to improve outcomes through a better understanding of risk factors, heightened surveillance for high-risk patients, and more timely and appropriate interventions, thereby helping obstetricians deliver better care. We identify and study the most important risk factors for four types of pregnancy complications: (i) severe maternal morbidity, (ii) shoulder dystocia, (iii) preterm preeclampsia, and (iv) antepartum stillbirth. We use an Explainable Boosting Machine (EBM), a high-accuracy glass-box learning method, for the prediction and identification of important risk factors. We undertake external validation and perform an extensive robustness analysis of the EBM models. EBMs match the accuracy of other black-box ML methods, such as deep neural networks and random forests, and outperform logistic regression, while being more interpretable. EBMs prove to be robust. The interpretability of the EBM models reveal surprising insights into the features contributing to risk (e.g., maternal height is the second most important feature for shoulder dystocia) and may have potential for clinical application in the prediction and prevention of serious complications in pregnancy.","container-title":"Journal of Healthcare Informatics Research","DOI":"10.1007/s41666-023-00151-4","ISSN":"2509-498X","issue":"1","journalAbbreviation":"J Healthc Inform Res","language":"en","page":"65-87","source":"Springer Link","title":"Interpretable Predictive Models to Understand Risk Factors for Maternal and Fetal Outcomes","volume":"8","author":[{"family":"Bosschieter","given":"Tomas M."},{"family":"Xu","given":"Zifei"},{"family":"Lan","given":"Hui"},{"family":"Lengerich","given":"Benjamin J."},{"family":"Nori","given":"Harsha"},{"family":"Painter","given":"Ian"},{"family":"Souter","given":"Vivienne"},{"family":"Caruana","given":"Rich"}],"issued":{"date-parts":[["2024",3,1]]}}}],"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[41]</w:t>
            </w:r>
            <w:r>
              <w:rPr>
                <w:rFonts w:ascii="Arial" w:eastAsia="Times New Roman" w:hAnsi="Arial" w:cs="Arial"/>
                <w:color w:val="000000"/>
                <w:sz w:val="12"/>
                <w:szCs w:val="12"/>
                <w:lang w:eastAsia="en-GB" w:bidi="th-TH"/>
              </w:rPr>
              <w:fldChar w:fldCharType="end"/>
            </w:r>
          </w:p>
        </w:tc>
      </w:tr>
      <w:tr w:rsidR="00871B31" w:rsidRPr="00756461" w14:paraId="52C295FD"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640EB79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Cavallaro, et al 2017</w:t>
            </w:r>
          </w:p>
        </w:tc>
        <w:tc>
          <w:tcPr>
            <w:tcW w:w="1054" w:type="dxa"/>
            <w:tcBorders>
              <w:top w:val="single" w:sz="4" w:space="0" w:color="888888"/>
              <w:left w:val="single" w:sz="4" w:space="0" w:color="888888"/>
              <w:bottom w:val="single" w:sz="4" w:space="0" w:color="888888"/>
              <w:right w:val="single" w:sz="4" w:space="0" w:color="888888"/>
            </w:tcBorders>
          </w:tcPr>
          <w:p w14:paraId="23A71A8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Prospective study</w:t>
            </w:r>
          </w:p>
        </w:tc>
        <w:tc>
          <w:tcPr>
            <w:tcW w:w="742" w:type="dxa"/>
            <w:tcBorders>
              <w:top w:val="single" w:sz="4" w:space="0" w:color="888888"/>
              <w:left w:val="single" w:sz="4" w:space="0" w:color="888888"/>
              <w:bottom w:val="single" w:sz="4" w:space="0" w:color="888888"/>
              <w:right w:val="single" w:sz="4" w:space="0" w:color="888888"/>
            </w:tcBorders>
          </w:tcPr>
          <w:p w14:paraId="5CB105E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United Kingdom</w:t>
            </w:r>
          </w:p>
        </w:tc>
        <w:tc>
          <w:tcPr>
            <w:tcW w:w="786" w:type="dxa"/>
            <w:tcBorders>
              <w:top w:val="single" w:sz="4" w:space="0" w:color="888888"/>
              <w:left w:val="single" w:sz="4" w:space="0" w:color="888888"/>
              <w:bottom w:val="single" w:sz="4" w:space="0" w:color="888888"/>
              <w:right w:val="single" w:sz="4" w:space="0" w:color="888888"/>
            </w:tcBorders>
          </w:tcPr>
          <w:p w14:paraId="0E3D5C5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Stillbirth </w:t>
            </w:r>
          </w:p>
        </w:tc>
        <w:tc>
          <w:tcPr>
            <w:tcW w:w="786" w:type="dxa"/>
            <w:tcBorders>
              <w:top w:val="single" w:sz="4" w:space="0" w:color="888888"/>
              <w:left w:val="single" w:sz="4" w:space="0" w:color="888888"/>
              <w:bottom w:val="single" w:sz="4" w:space="0" w:color="888888"/>
              <w:right w:val="single" w:sz="4" w:space="0" w:color="888888"/>
            </w:tcBorders>
          </w:tcPr>
          <w:p w14:paraId="630C707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development</w:t>
            </w:r>
          </w:p>
        </w:tc>
        <w:tc>
          <w:tcPr>
            <w:tcW w:w="1051" w:type="dxa"/>
            <w:tcBorders>
              <w:top w:val="single" w:sz="4" w:space="0" w:color="888888"/>
              <w:left w:val="single" w:sz="4" w:space="0" w:color="888888"/>
              <w:bottom w:val="single" w:sz="4" w:space="0" w:color="888888"/>
              <w:right w:val="single" w:sz="4" w:space="0" w:color="888888"/>
            </w:tcBorders>
          </w:tcPr>
          <w:p w14:paraId="6F44410D"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2880812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Birth weight</w:t>
            </w:r>
          </w:p>
          <w:p w14:paraId="64E8026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Doppler (non-umbilical)</w:t>
            </w:r>
          </w:p>
          <w:p w14:paraId="33B0CA3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Foetal abdominal circumference</w:t>
            </w:r>
          </w:p>
        </w:tc>
        <w:tc>
          <w:tcPr>
            <w:tcW w:w="851" w:type="dxa"/>
            <w:tcBorders>
              <w:top w:val="single" w:sz="4" w:space="0" w:color="888888"/>
              <w:left w:val="single" w:sz="4" w:space="0" w:color="888888"/>
              <w:bottom w:val="single" w:sz="4" w:space="0" w:color="888888"/>
              <w:right w:val="single" w:sz="4" w:space="0" w:color="888888"/>
            </w:tcBorders>
          </w:tcPr>
          <w:p w14:paraId="204B4F1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04250EE7"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1CB97196"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11474DC7"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777F8D4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Adding ACGV to a model with EFW and CPR improved the area under the ROC curve (AUC) for predicting adverse outcomes, but the improvement was not statistically significant </w:t>
            </w:r>
          </w:p>
        </w:tc>
        <w:tc>
          <w:tcPr>
            <w:tcW w:w="851" w:type="dxa"/>
            <w:tcBorders>
              <w:top w:val="single" w:sz="4" w:space="0" w:color="888888"/>
              <w:left w:val="single" w:sz="4" w:space="0" w:color="888888"/>
              <w:bottom w:val="single" w:sz="4" w:space="0" w:color="888888"/>
              <w:right w:val="single" w:sz="4" w:space="0" w:color="888888"/>
            </w:tcBorders>
          </w:tcPr>
          <w:p w14:paraId="735CC42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w:t>
            </w:r>
          </w:p>
        </w:tc>
        <w:tc>
          <w:tcPr>
            <w:tcW w:w="817" w:type="dxa"/>
            <w:tcBorders>
              <w:top w:val="single" w:sz="4" w:space="0" w:color="888888"/>
              <w:left w:val="single" w:sz="4" w:space="0" w:color="888888"/>
              <w:bottom w:val="single" w:sz="4" w:space="0" w:color="888888"/>
              <w:right w:val="single" w:sz="4" w:space="0" w:color="888888"/>
            </w:tcBorders>
          </w:tcPr>
          <w:p w14:paraId="48DDC55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Neither internal </w:t>
            </w:r>
            <w:proofErr w:type="gramStart"/>
            <w:r>
              <w:rPr>
                <w:rFonts w:ascii="Arial" w:hAnsi="Arial" w:cs="Arial"/>
                <w:sz w:val="12"/>
                <w:szCs w:val="12"/>
              </w:rPr>
              <w:t>and</w:t>
            </w:r>
            <w:proofErr w:type="gramEnd"/>
            <w:r>
              <w:rPr>
                <w:rFonts w:ascii="Arial" w:hAnsi="Arial" w:cs="Arial"/>
                <w:sz w:val="12"/>
                <w:szCs w:val="12"/>
              </w:rPr>
              <w:t xml:space="preserve"> external validation</w:t>
            </w:r>
          </w:p>
        </w:tc>
        <w:tc>
          <w:tcPr>
            <w:tcW w:w="742" w:type="dxa"/>
            <w:tcBorders>
              <w:top w:val="single" w:sz="4" w:space="0" w:color="888888"/>
              <w:left w:val="single" w:sz="4" w:space="0" w:color="888888"/>
              <w:bottom w:val="single" w:sz="4" w:space="0" w:color="888888"/>
              <w:right w:val="single" w:sz="4" w:space="0" w:color="888888"/>
            </w:tcBorders>
          </w:tcPr>
          <w:p w14:paraId="7EE864D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235 singleton SGA fetuses at 36–38 weeks' gestation</w:t>
            </w:r>
          </w:p>
        </w:tc>
        <w:tc>
          <w:tcPr>
            <w:tcW w:w="851" w:type="dxa"/>
            <w:tcBorders>
              <w:top w:val="single" w:sz="4" w:space="0" w:color="888888"/>
              <w:left w:val="single" w:sz="4" w:space="0" w:color="888888"/>
              <w:bottom w:val="single" w:sz="4" w:space="0" w:color="888888"/>
              <w:right w:val="single" w:sz="4" w:space="0" w:color="888888"/>
            </w:tcBorders>
          </w:tcPr>
          <w:p w14:paraId="347225F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paper does not contain explicit information about funding sources.</w:t>
            </w:r>
          </w:p>
        </w:tc>
        <w:tc>
          <w:tcPr>
            <w:tcW w:w="1134" w:type="dxa"/>
            <w:tcBorders>
              <w:top w:val="single" w:sz="4" w:space="0" w:color="888888"/>
              <w:left w:val="single" w:sz="4" w:space="0" w:color="888888"/>
              <w:bottom w:val="single" w:sz="4" w:space="0" w:color="888888"/>
              <w:right w:val="single" w:sz="4" w:space="0" w:color="888888"/>
            </w:tcBorders>
          </w:tcPr>
          <w:p w14:paraId="1A281B47"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55.1%</w:t>
            </w:r>
          </w:p>
        </w:tc>
        <w:tc>
          <w:tcPr>
            <w:tcW w:w="841" w:type="dxa"/>
            <w:tcBorders>
              <w:top w:val="single" w:sz="4" w:space="0" w:color="888888"/>
              <w:left w:val="single" w:sz="4" w:space="0" w:color="888888"/>
              <w:bottom w:val="single" w:sz="4" w:space="0" w:color="888888"/>
              <w:right w:val="single" w:sz="4" w:space="0" w:color="888888"/>
            </w:tcBorders>
          </w:tcPr>
          <w:p w14:paraId="0FAB2765"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Low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341314CD"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 </w:t>
            </w:r>
          </w:p>
        </w:tc>
        <w:tc>
          <w:tcPr>
            <w:tcW w:w="442" w:type="dxa"/>
            <w:tcBorders>
              <w:top w:val="single" w:sz="4" w:space="0" w:color="888888"/>
              <w:left w:val="single" w:sz="4" w:space="0" w:color="888888"/>
              <w:bottom w:val="single" w:sz="4" w:space="0" w:color="888888"/>
              <w:right w:val="single" w:sz="4" w:space="0" w:color="888888"/>
            </w:tcBorders>
          </w:tcPr>
          <w:p w14:paraId="5B11BE69"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{"citationID":"H0id8nzo","properties":{"formattedCitation":"[42]","plainCitation":"[42]","noteIndex":0},"citationItems":[{"id":"b2OWig5M/Osa8KsS5","uris":["http://zotero.org/users/18230940/items/FFYUJBWI"],"itemData":{"id":669,"type":"article-journal","abstract":"OBJECTIVE: To investigate whether abdominal circumference growth velocity (ACGV) improves the prediction of perinatal outcome in small-for-gestational-age (SGA) fetuses beyond that afforded by estimated fetal weight (EFW) and cerebroplacental ratio (CPR).\nMETHODS: A cohort of 235 singleton SGA fetuses at 36-38weeks' gestation was examined. ACGV, EFW and CPR centiles were calculated. ACGV centile was determined using data from a large database of 19-21- and 36-38-week scans in an unselected population. Binary variables of ACGV &lt;10th , EFW &lt;3rd and CPR&lt;5th centiles were defined as abnormal. Two composite adverse outcomes (CAO) were explored: CAO-1 defined as at least one of umbilical artery pH&lt;7.10, 5-min Apgar score&lt;7 or neonatal unit admission, and CAO-2 that included in addition hypoglycemia, intrapartum fetal distress and perinatal death. Univariate and multivariate logistic regression analyses were performed to analyze the relationship between the three risk factors and their predictive value for CAO. The change in screening performance afforded by adding ACGV to EFW and CPR was assessed and receiver-operating characteristics (ROC) curves were calculated.\nRESULTS: ACGV &lt;10th centile was an independent risk factor for CAO. The sensitivity, specificity, positive and negative likelihood ratios of a predictive model based on EFW&lt;3rd centile and CPR&lt;5th centile were, respectively, 51%, 70%, 1.71 and 0.69 for CAO-1 and 41%, 70%, 1.39 and 0.83 for CAO-2. After addition of ACGV &lt;10th centile to the model, the respective values were 82%, 46%, 1.54 and 0.38 for CAO-1 and 71%, 47%, 1.34 and 0.62 for CAO-2. Using continuous variables, the areas under the ROC curves improved marginally from 0.669 (95% CI, 0.604-0.729) to 0.741 (95% CI, 0.677-0.798) for CAO-1 and from 0.646 (95% CI, 0.580-0.707) to 0.700 (95% CI, 0.633-0.759) for CAO-2 after addition of ACGV to the model.\nCONCLUSIONS: ACGV is a risk factor for adverse neonatal outcome that is independent of EFW and of CPR, although any improvement in the prediction of adverse outcome is not statistically significant. Copyright © 2017 ISUOG. Published by John Wiley &amp; Sons Ltd.","container-title":"Ultrasound in Obstetrics &amp; Gynecology: The Official Journal of the International Society of Ultrasound in Obstetrics and Gynecology","DOI":"10.1002/uog.18988","ISSN":"1469-0705","issue":"4","journalAbbreviation":"Ultrasound Obstet Gynecol","language":"eng","page":"494-500","PMID":"29266519","source":"PubMed","title":"Using fetal abdominal circumference growth velocity in the prediction of adverse outcome in near-term small-for-gestational-age fetuses","volume":"52","author":[{"family":"Cavallaro","given":"A."},{"family":"Veglia","given":"M."},{"family":"Svirko","given":"E."},{"family":"Vannuccini","given":"S."},{"family":"Volpe","given":"G."},{"family":"Impey","given":"L."}],"issued":{"date-parts":[["2018",10]]}}}],"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[42]</w:t>
            </w:r>
            <w:r>
              <w:rPr>
                <w:rFonts w:ascii="Arial" w:eastAsia="Times New Roman" w:hAnsi="Arial" w:cs="Arial"/>
                <w:color w:val="000000"/>
                <w:sz w:val="12"/>
                <w:szCs w:val="12"/>
                <w:lang w:eastAsia="en-GB" w:bidi="th-TH"/>
              </w:rPr>
              <w:fldChar w:fldCharType="end"/>
            </w:r>
          </w:p>
        </w:tc>
      </w:tr>
      <w:tr w:rsidR="00871B31" w:rsidRPr="00756461" w14:paraId="0A8091FA"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0E00EE9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Cersonkey, et al. 2023</w:t>
            </w:r>
          </w:p>
        </w:tc>
        <w:tc>
          <w:tcPr>
            <w:tcW w:w="1054" w:type="dxa"/>
            <w:tcBorders>
              <w:top w:val="single" w:sz="4" w:space="0" w:color="888888"/>
              <w:left w:val="single" w:sz="4" w:space="0" w:color="888888"/>
              <w:bottom w:val="single" w:sz="4" w:space="0" w:color="888888"/>
              <w:right w:val="single" w:sz="4" w:space="0" w:color="888888"/>
            </w:tcBorders>
          </w:tcPr>
          <w:p w14:paraId="54CCFA7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Secondary analysis</w:t>
            </w:r>
          </w:p>
        </w:tc>
        <w:tc>
          <w:tcPr>
            <w:tcW w:w="742" w:type="dxa"/>
            <w:tcBorders>
              <w:top w:val="single" w:sz="4" w:space="0" w:color="888888"/>
              <w:left w:val="single" w:sz="4" w:space="0" w:color="888888"/>
              <w:bottom w:val="single" w:sz="4" w:space="0" w:color="888888"/>
              <w:right w:val="single" w:sz="4" w:space="0" w:color="888888"/>
            </w:tcBorders>
          </w:tcPr>
          <w:p w14:paraId="56B2174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United States</w:t>
            </w:r>
          </w:p>
        </w:tc>
        <w:tc>
          <w:tcPr>
            <w:tcW w:w="786" w:type="dxa"/>
            <w:tcBorders>
              <w:top w:val="single" w:sz="4" w:space="0" w:color="888888"/>
              <w:left w:val="single" w:sz="4" w:space="0" w:color="888888"/>
              <w:bottom w:val="single" w:sz="4" w:space="0" w:color="888888"/>
              <w:right w:val="single" w:sz="4" w:space="0" w:color="888888"/>
            </w:tcBorders>
          </w:tcPr>
          <w:p w14:paraId="0934BDE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w:t>
            </w:r>
          </w:p>
        </w:tc>
        <w:tc>
          <w:tcPr>
            <w:tcW w:w="786" w:type="dxa"/>
            <w:tcBorders>
              <w:top w:val="single" w:sz="4" w:space="0" w:color="888888"/>
              <w:left w:val="single" w:sz="4" w:space="0" w:color="888888"/>
              <w:bottom w:val="single" w:sz="4" w:space="0" w:color="888888"/>
              <w:right w:val="single" w:sz="4" w:space="0" w:color="888888"/>
            </w:tcBorders>
          </w:tcPr>
          <w:p w14:paraId="476684C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development</w:t>
            </w:r>
          </w:p>
        </w:tc>
        <w:tc>
          <w:tcPr>
            <w:tcW w:w="1051" w:type="dxa"/>
            <w:tcBorders>
              <w:top w:val="single" w:sz="4" w:space="0" w:color="888888"/>
              <w:left w:val="single" w:sz="4" w:space="0" w:color="888888"/>
              <w:bottom w:val="single" w:sz="4" w:space="0" w:color="888888"/>
              <w:right w:val="single" w:sz="4" w:space="0" w:color="888888"/>
            </w:tcBorders>
          </w:tcPr>
          <w:p w14:paraId="4300F780"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1723B33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education</w:t>
            </w:r>
          </w:p>
          <w:p w14:paraId="4F9FAE15"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3BE638B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Gestational age</w:t>
            </w:r>
          </w:p>
          <w:p w14:paraId="0A19A8B5"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Sociodemographic factor</w:t>
            </w:r>
          </w:p>
          <w:p w14:paraId="1569E96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Socioeconomic status</w:t>
            </w:r>
          </w:p>
        </w:tc>
        <w:tc>
          <w:tcPr>
            <w:tcW w:w="851" w:type="dxa"/>
            <w:tcBorders>
              <w:top w:val="single" w:sz="4" w:space="0" w:color="888888"/>
              <w:left w:val="single" w:sz="4" w:space="0" w:color="888888"/>
              <w:bottom w:val="single" w:sz="4" w:space="0" w:color="888888"/>
              <w:right w:val="single" w:sz="4" w:space="0" w:color="888888"/>
            </w:tcBorders>
          </w:tcPr>
          <w:p w14:paraId="1B2B7FA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Population/ Registry</w:t>
            </w:r>
          </w:p>
        </w:tc>
        <w:tc>
          <w:tcPr>
            <w:tcW w:w="851" w:type="dxa"/>
            <w:tcBorders>
              <w:top w:val="single" w:sz="4" w:space="0" w:color="888888"/>
              <w:left w:val="single" w:sz="4" w:space="0" w:color="888888"/>
              <w:bottom w:val="single" w:sz="4" w:space="0" w:color="888888"/>
              <w:right w:val="single" w:sz="4" w:space="0" w:color="888888"/>
            </w:tcBorders>
          </w:tcPr>
          <w:p w14:paraId="6ECD6A88"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597CD213"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249407AF"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992" w:type="dxa"/>
            <w:tcBorders>
              <w:top w:val="single" w:sz="4" w:space="0" w:color="888888"/>
              <w:left w:val="single" w:sz="4" w:space="0" w:color="888888"/>
              <w:bottom w:val="single" w:sz="4" w:space="0" w:color="888888"/>
              <w:right w:val="single" w:sz="4" w:space="0" w:color="888888"/>
            </w:tcBorders>
          </w:tcPr>
          <w:p w14:paraId="5DF783D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The best previability model, which used a boosted trees learner, achieved an Area Under the Receiver Operating Characteristic Curve (AUROC) of </w:t>
            </w:r>
            <w:r>
              <w:rPr>
                <w:rFonts w:ascii="Arial" w:hAnsi="Arial" w:cs="Arial"/>
                <w:sz w:val="12"/>
                <w:szCs w:val="12"/>
              </w:rPr>
              <w:lastRenderedPageBreak/>
              <w:t xml:space="preserve">85.1%, sensitivity of 85.2%, specificity of 84.9%, positive predictive value of 88.3%, and negative predictive value of 81.1% </w:t>
            </w:r>
          </w:p>
        </w:tc>
        <w:tc>
          <w:tcPr>
            <w:tcW w:w="851" w:type="dxa"/>
            <w:tcBorders>
              <w:top w:val="single" w:sz="4" w:space="0" w:color="888888"/>
              <w:left w:val="single" w:sz="4" w:space="0" w:color="888888"/>
              <w:bottom w:val="single" w:sz="4" w:space="0" w:color="888888"/>
              <w:right w:val="single" w:sz="4" w:space="0" w:color="888888"/>
            </w:tcBorders>
          </w:tcPr>
          <w:p w14:paraId="7B88A81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AUROC, Sensitivity, Specificity, Positive predictive value (PPV), Negative predictive value (NPV)</w:t>
            </w:r>
          </w:p>
        </w:tc>
        <w:tc>
          <w:tcPr>
            <w:tcW w:w="817" w:type="dxa"/>
            <w:tcBorders>
              <w:top w:val="single" w:sz="4" w:space="0" w:color="888888"/>
              <w:left w:val="single" w:sz="4" w:space="0" w:color="888888"/>
              <w:bottom w:val="single" w:sz="4" w:space="0" w:color="888888"/>
              <w:right w:val="single" w:sz="4" w:space="0" w:color="888888"/>
            </w:tcBorders>
          </w:tcPr>
          <w:p w14:paraId="44A558E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1650EBD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3000 live births and 982 stillbirths </w:t>
            </w:r>
          </w:p>
        </w:tc>
        <w:tc>
          <w:tcPr>
            <w:tcW w:w="851" w:type="dxa"/>
            <w:tcBorders>
              <w:top w:val="single" w:sz="4" w:space="0" w:color="888888"/>
              <w:left w:val="single" w:sz="4" w:space="0" w:color="888888"/>
              <w:bottom w:val="single" w:sz="4" w:space="0" w:color="888888"/>
              <w:right w:val="single" w:sz="4" w:space="0" w:color="888888"/>
            </w:tcBorders>
          </w:tcPr>
          <w:p w14:paraId="397460F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The study was supported by the Eunice Kennedy Shriver National Institute of Child Health and Human </w:t>
            </w:r>
            <w:r>
              <w:rPr>
                <w:rFonts w:ascii="Arial" w:hAnsi="Arial" w:cs="Arial"/>
                <w:sz w:val="12"/>
                <w:szCs w:val="12"/>
              </w:rPr>
              <w:lastRenderedPageBreak/>
              <w:t>Development</w:t>
            </w:r>
          </w:p>
        </w:tc>
        <w:tc>
          <w:tcPr>
            <w:tcW w:w="1134" w:type="dxa"/>
            <w:tcBorders>
              <w:top w:val="single" w:sz="4" w:space="0" w:color="888888"/>
              <w:left w:val="single" w:sz="4" w:space="0" w:color="888888"/>
              <w:bottom w:val="single" w:sz="4" w:space="0" w:color="888888"/>
              <w:right w:val="single" w:sz="4" w:space="0" w:color="888888"/>
            </w:tcBorders>
          </w:tcPr>
          <w:p w14:paraId="40B98122"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lastRenderedPageBreak/>
              <w:t>66.0%</w:t>
            </w:r>
          </w:p>
        </w:tc>
        <w:tc>
          <w:tcPr>
            <w:tcW w:w="841" w:type="dxa"/>
            <w:tcBorders>
              <w:top w:val="single" w:sz="4" w:space="0" w:color="888888"/>
              <w:left w:val="single" w:sz="4" w:space="0" w:color="888888"/>
              <w:bottom w:val="single" w:sz="4" w:space="0" w:color="888888"/>
              <w:right w:val="single" w:sz="4" w:space="0" w:color="888888"/>
            </w:tcBorders>
          </w:tcPr>
          <w:p w14:paraId="279BCA2C"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High risk</w:t>
            </w:r>
            <w:r>
              <w:rPr>
                <w:rFonts w:ascii="Arial" w:hAnsi="Arial" w:cs="Arial"/>
                <w:color w:val="000000"/>
                <w:sz w:val="12"/>
                <w:szCs w:val="12"/>
              </w:rPr>
              <w:br/>
              <w:t>D3: Low risk</w:t>
            </w:r>
            <w:r>
              <w:rPr>
                <w:rFonts w:ascii="Arial" w:hAnsi="Arial" w:cs="Arial"/>
                <w:color w:val="000000"/>
                <w:sz w:val="12"/>
                <w:szCs w:val="12"/>
              </w:rPr>
              <w:br/>
              <w:t>D4: Low risk</w:t>
            </w:r>
          </w:p>
        </w:tc>
        <w:tc>
          <w:tcPr>
            <w:tcW w:w="860" w:type="dxa"/>
            <w:tcBorders>
              <w:top w:val="single" w:sz="4" w:space="0" w:color="888888"/>
              <w:left w:val="single" w:sz="4" w:space="0" w:color="888888"/>
              <w:bottom w:val="single" w:sz="4" w:space="0" w:color="888888"/>
              <w:right w:val="single" w:sz="4" w:space="0" w:color="888888"/>
            </w:tcBorders>
          </w:tcPr>
          <w:p w14:paraId="1EA7C524"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proofErr w:type="gramStart"/>
            <w:r>
              <w:rPr>
                <w:rFonts w:ascii="Arial" w:hAnsi="Arial" w:cs="Arial"/>
                <w:color w:val="000000"/>
                <w:sz w:val="12"/>
                <w:szCs w:val="12"/>
              </w:rPr>
              <w:t>Not  mentioned</w:t>
            </w:r>
            <w:proofErr w:type="gramEnd"/>
          </w:p>
        </w:tc>
        <w:tc>
          <w:tcPr>
            <w:tcW w:w="442" w:type="dxa"/>
            <w:tcBorders>
              <w:top w:val="single" w:sz="4" w:space="0" w:color="888888"/>
              <w:left w:val="single" w:sz="4" w:space="0" w:color="888888"/>
              <w:bottom w:val="single" w:sz="4" w:space="0" w:color="888888"/>
              <w:right w:val="single" w:sz="4" w:space="0" w:color="888888"/>
            </w:tcBorders>
          </w:tcPr>
          <w:p w14:paraId="2542B0AD"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{"citationID":"BI14Eg6r","properties":{"formattedCitation":"[43]","plainCitation":"[43]","noteIndex":0},"citationItems":[{"id":"b2OWig5M/lv24keDo","uris":["http://zotero.org/users/18230940/items/S3SD9J5Y"],"itemData":{"id":672,"type":"article-journal","abstract":"BACKGROUND: Previous predictive models using logistic regression for stillbirth do not leverage the advanced and nuanced techniques involved in sophisticated machine learning methods, such as modeling nonlinear relationships between outcomes.\nOBJECTIVE: This study aimed to create and refine machine learning models for predicting stillbirth using data available before viability (22-24 weeks) and throughout pregnancy, as well as demographic, medical, and prenatal visit data, including ultrasound and fetal genetics.\nSTUDY DESIGN: This is a secondary analysis of the Stillbirth Collaborative Research Network, which included data from pregnancies resulting in stillborn and live-born infants delivered at 59 hospitals in 5 diverse regions across the United States from 2006 to 2009. The primary aim was the creation of a model for predicting stillbirth using data available before viability. Secondary aims included refining models with variables available throughout pregnancy and determining variable importance.\nRESULTS: Among 3000 live births and 982 stillbirths, 101 variables of interest were identified. Of the models incorporating data available before viability, the random forests model had 85.1% accuracy (area under the curve) and high sensitivity (88.6%), specificity (85.3%), positive predictive value (85.3%), and negative predictive value (84.8%). A random forests model using data collected throughout pregnancy resulted in accuracy of 85.0%; this model had 92.2% sensitivity, 77.9% specificity, 84.7% positive predictive value, and 88.3% negative predictive value. Important variables in the previability model included previous stillbirth, minority race, gestational age at the earliest prenatal visit and ultrasound, and second-trimester serum screening.\nCONCLUSION: Applying advanced machine learning techniques to a comprehensive database of stillbirths and live births with unique and clinically relevant variables resulted in an algorithm that could accurately identify 85% of pregnancies that would result in stillbirth, before they reached viability. Once validated in representative databases reflective of the US birthing population and then prospectively, these models may provide effective risk stratification and clinical decision-making support to better identify and monitor those at risk of stillbirth.","container-title":"American Journal of Obstetrics and Gynecology","DOI":"10.1016/j.ajog.2023.06.017","ISSN":"1097-6868","issue":"3","journalAbbreviation":"Am J Obstet Gynecol","language":"eng","page":"327.e1-327.e16","PMID":"37315754","PMCID":"PMC10527568","source":"PubMed","title":"Identifying risk of stillbirth using machine learning","volume":"229","author":[{"family":"Cersonsky","given":"Tess E. K."},{"family":"Ayala","given":"Nina K."},{"family":"Pinar","given":"Halit"},{"family":"Dudley","given":"Donald J."},{"family":"Saade","given":"George R."},{"family":"Silver","given":"Robert M."},{"family":"Lewkowitz","given":"Adam K."}],"issued":{"date-parts":[["2023",9]]}}}],"schema":"https://github.com/citation-style-language/schema/raw/master/csl-citation.json"}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[43]</w:t>
            </w:r>
            <w:r>
              <w:rPr>
                <w:rFonts w:ascii="Arial" w:eastAsia="Times New Roman" w:hAnsi="Arial" w:cs="Arial"/>
                <w:color w:val="000000"/>
                <w:sz w:val="12"/>
                <w:szCs w:val="12"/>
                <w:lang w:eastAsia="en-GB" w:bidi="th-TH"/>
              </w:rPr>
              <w:fldChar w:fldCharType="end"/>
            </w:r>
          </w:p>
        </w:tc>
      </w:tr>
      <w:tr w:rsidR="00871B31" w:rsidRPr="00756461" w14:paraId="7374B770"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016CCEF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Chen, et al. 2022</w:t>
            </w:r>
          </w:p>
        </w:tc>
        <w:tc>
          <w:tcPr>
            <w:tcW w:w="1054" w:type="dxa"/>
            <w:tcBorders>
              <w:top w:val="single" w:sz="4" w:space="0" w:color="888888"/>
              <w:left w:val="single" w:sz="4" w:space="0" w:color="888888"/>
              <w:bottom w:val="single" w:sz="4" w:space="0" w:color="888888"/>
              <w:right w:val="single" w:sz="4" w:space="0" w:color="888888"/>
            </w:tcBorders>
          </w:tcPr>
          <w:p w14:paraId="464D3EA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1C68C9B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China</w:t>
            </w:r>
          </w:p>
        </w:tc>
        <w:tc>
          <w:tcPr>
            <w:tcW w:w="786" w:type="dxa"/>
            <w:tcBorders>
              <w:top w:val="single" w:sz="4" w:space="0" w:color="888888"/>
              <w:left w:val="single" w:sz="4" w:space="0" w:color="888888"/>
              <w:bottom w:val="single" w:sz="4" w:space="0" w:color="888888"/>
              <w:right w:val="single" w:sz="4" w:space="0" w:color="888888"/>
            </w:tcBorders>
          </w:tcPr>
          <w:p w14:paraId="7B0E150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Neonatal mortality</w:t>
            </w:r>
          </w:p>
        </w:tc>
        <w:tc>
          <w:tcPr>
            <w:tcW w:w="786" w:type="dxa"/>
            <w:tcBorders>
              <w:top w:val="single" w:sz="4" w:space="0" w:color="888888"/>
              <w:left w:val="single" w:sz="4" w:space="0" w:color="888888"/>
              <w:bottom w:val="single" w:sz="4" w:space="0" w:color="888888"/>
              <w:right w:val="single" w:sz="4" w:space="0" w:color="888888"/>
            </w:tcBorders>
          </w:tcPr>
          <w:p w14:paraId="664A11F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 Model development</w:t>
            </w:r>
            <w:r>
              <w:rPr>
                <w:rFonts w:ascii="Arial" w:hAnsi="Arial" w:cs="Arial"/>
                <w:sz w:val="12"/>
                <w:szCs w:val="12"/>
              </w:rPr>
              <w:br/>
              <w:t>2. Model comparison</w:t>
            </w:r>
          </w:p>
        </w:tc>
        <w:tc>
          <w:tcPr>
            <w:tcW w:w="1051" w:type="dxa"/>
            <w:tcBorders>
              <w:top w:val="single" w:sz="4" w:space="0" w:color="888888"/>
              <w:left w:val="single" w:sz="4" w:space="0" w:color="888888"/>
              <w:bottom w:val="single" w:sz="4" w:space="0" w:color="888888"/>
              <w:right w:val="single" w:sz="4" w:space="0" w:color="888888"/>
            </w:tcBorders>
          </w:tcPr>
          <w:p w14:paraId="42A15D18"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437D4C6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Gestational age</w:t>
            </w:r>
          </w:p>
        </w:tc>
        <w:tc>
          <w:tcPr>
            <w:tcW w:w="851" w:type="dxa"/>
            <w:tcBorders>
              <w:top w:val="single" w:sz="4" w:space="0" w:color="888888"/>
              <w:left w:val="single" w:sz="4" w:space="0" w:color="888888"/>
              <w:bottom w:val="single" w:sz="4" w:space="0" w:color="888888"/>
              <w:right w:val="single" w:sz="4" w:space="0" w:color="888888"/>
            </w:tcBorders>
          </w:tcPr>
          <w:p w14:paraId="38E9718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6EB4F48C"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2F169B04"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1145C18C"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3C1ECA3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Maternal Model (Random Forest): Achieved an Area Under the Curve (AUC) of 0.984 (95% CI 0.978, 0.991). </w:t>
            </w:r>
            <w:r>
              <w:rPr>
                <w:rFonts w:ascii="Arial" w:hAnsi="Arial" w:cs="Arial"/>
                <w:sz w:val="12"/>
                <w:szCs w:val="12"/>
              </w:rPr>
              <w:br/>
            </w:r>
            <w:r>
              <w:rPr>
                <w:rFonts w:ascii="Arial" w:hAnsi="Arial" w:cs="Arial"/>
                <w:sz w:val="12"/>
                <w:szCs w:val="12"/>
              </w:rPr>
              <w:br/>
              <w:t>Neonatal Model (Boosted Tree): Yielded an AUC of 0.925 (95% CI 0.907, 0.945)</w:t>
            </w:r>
          </w:p>
        </w:tc>
        <w:tc>
          <w:tcPr>
            <w:tcW w:w="851" w:type="dxa"/>
            <w:tcBorders>
              <w:top w:val="single" w:sz="4" w:space="0" w:color="888888"/>
              <w:left w:val="single" w:sz="4" w:space="0" w:color="888888"/>
              <w:bottom w:val="single" w:sz="4" w:space="0" w:color="888888"/>
              <w:right w:val="single" w:sz="4" w:space="0" w:color="888888"/>
            </w:tcBorders>
          </w:tcPr>
          <w:p w14:paraId="044055D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w:t>
            </w:r>
          </w:p>
        </w:tc>
        <w:tc>
          <w:tcPr>
            <w:tcW w:w="817" w:type="dxa"/>
            <w:tcBorders>
              <w:top w:val="single" w:sz="4" w:space="0" w:color="888888"/>
              <w:left w:val="single" w:sz="4" w:space="0" w:color="888888"/>
              <w:bottom w:val="single" w:sz="4" w:space="0" w:color="888888"/>
              <w:right w:val="single" w:sz="4" w:space="0" w:color="888888"/>
            </w:tcBorders>
          </w:tcPr>
          <w:p w14:paraId="332A7D0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000BB13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1829 patients diagnosed with de novo HDP</w:t>
            </w:r>
          </w:p>
        </w:tc>
        <w:tc>
          <w:tcPr>
            <w:tcW w:w="851" w:type="dxa"/>
            <w:tcBorders>
              <w:top w:val="single" w:sz="4" w:space="0" w:color="888888"/>
              <w:left w:val="single" w:sz="4" w:space="0" w:color="888888"/>
              <w:bottom w:val="single" w:sz="4" w:space="0" w:color="888888"/>
              <w:right w:val="single" w:sz="4" w:space="0" w:color="888888"/>
            </w:tcBorders>
          </w:tcPr>
          <w:p w14:paraId="5B9B4B5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research was funded by the Beijing Natural Science Foundation (grant number 7212144) and the National Natural Science Foundation of China (grant number 81973053)</w:t>
            </w:r>
          </w:p>
        </w:tc>
        <w:tc>
          <w:tcPr>
            <w:tcW w:w="1134" w:type="dxa"/>
            <w:tcBorders>
              <w:top w:val="single" w:sz="4" w:space="0" w:color="888888"/>
              <w:left w:val="single" w:sz="4" w:space="0" w:color="888888"/>
              <w:bottom w:val="single" w:sz="4" w:space="0" w:color="888888"/>
              <w:right w:val="single" w:sz="4" w:space="0" w:color="888888"/>
            </w:tcBorders>
          </w:tcPr>
          <w:p w14:paraId="6FA77006"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54.3%</w:t>
            </w:r>
          </w:p>
        </w:tc>
        <w:tc>
          <w:tcPr>
            <w:tcW w:w="841" w:type="dxa"/>
            <w:tcBorders>
              <w:top w:val="single" w:sz="4" w:space="0" w:color="888888"/>
              <w:left w:val="single" w:sz="4" w:space="0" w:color="888888"/>
              <w:bottom w:val="single" w:sz="4" w:space="0" w:color="888888"/>
              <w:right w:val="single" w:sz="4" w:space="0" w:color="888888"/>
            </w:tcBorders>
          </w:tcPr>
          <w:p w14:paraId="05818EF8"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Low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56566C13"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No information</w:t>
            </w:r>
          </w:p>
        </w:tc>
        <w:tc>
          <w:tcPr>
            <w:tcW w:w="442" w:type="dxa"/>
            <w:tcBorders>
              <w:top w:val="single" w:sz="4" w:space="0" w:color="888888"/>
              <w:left w:val="single" w:sz="4" w:space="0" w:color="888888"/>
              <w:bottom w:val="single" w:sz="4" w:space="0" w:color="888888"/>
              <w:right w:val="single" w:sz="4" w:space="0" w:color="888888"/>
            </w:tcBorders>
          </w:tcPr>
          <w:p w14:paraId="4C7D06A5"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{"citationID":"Mmk99mRp","properties":{"formattedCitation":"[44]","plainCitation":"[44]","noteIndex":0},"citationItems":[{"id":"b2OWig5M/cG06cORq","uris":["http://zotero.org/users/18230940/items/DDXG848N"],"itemData":{"id":675,"type":"article-journal","abstract":"Effectively identifying high-risk patients with de novo hypertensive disorder of pregnancy (HDP) is required to enable timely intervention and to reduce adverse maternal and perinatal outcomes. Electronic medical record of pregnant women with de novo HDP were extracted from a birth cohort in Beijing, China. The adverse outcomes included maternal and fetal morbidities, mortality, or any other adverse complications. A multitude of machine learning statistical methods were employed to develop two prediction models, one for maternal complications and the other for perinatal deteriorations. The maternal model using the random forest algorithm produced an AUC of 0.984 (95% CI (0.978, 0.991)). The strongest predictors variables selected by the model were platelet count, fetal head/abdominal circumference ratio, and gestational age at the diagnosis of de novo HDP; The perinatal model using the boosted tree algorithm yielded an AUC of 0.925 (95% CI (0.907, 0.945]). The strongest predictor variables chosen were gestational age at the diagnosis of de novo HDP, fetal femur length, and fetal head/abdominal circumference ratio. These prediction models can help identify de novo HDP patients at increased risk of complications who might need intense maternal or perinatal care.","container-title":"Healthcare","DOI":"10.3390/healthcare10112307","ISSN":"2227-9032","issue":"11","journalAbbreviation":"Healthcare (Basel)","language":"eng","page":"2307","PMID":"36421631","PMCID":"PMC9690621","publisher-place":"Basel, Switzerland","source":"PubMed","title":"Prediction of Adverse Outcomes in De Novo Hypertensive Disorders of Pregnancy: Development and Validation of Maternal and Neonatal Prognostic Models","title-short":"Prediction of Adverse Outcomes in De Novo Hypertensive Disorders of Pregnancy","volume":"10","author":[{"family":"Chen","given":"Junjun"},{"family":"Ji","given":"Yuelong"},{"family":"Su","given":"Tao"},{"family":"Jin","given":"Ma"},{"family":"Yuan","given":"Zhichao"},{"family":"Peng","given":"Yuanzhou"},{"family":"Zhou","given":"Shuang"},{"family":"Bao","given":"Heling"},{"family":"Luo","given":"Shusheng"},{"family":"Wang","given":"Hui"},{"family":"Liu","given":"Jue"},{"family":"Han","given":"Na"},{"family":"Wang","given":"Hai-Jun"}],"issued":{"date-parts":[["2022",11,18]]}}}],"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[44]</w:t>
            </w:r>
            <w:r>
              <w:rPr>
                <w:rFonts w:ascii="Arial" w:eastAsia="Times New Roman" w:hAnsi="Arial" w:cs="Arial"/>
                <w:color w:val="000000"/>
                <w:sz w:val="12"/>
                <w:szCs w:val="12"/>
                <w:lang w:eastAsia="en-GB" w:bidi="th-TH"/>
              </w:rPr>
              <w:fldChar w:fldCharType="end"/>
            </w:r>
          </w:p>
        </w:tc>
      </w:tr>
      <w:tr w:rsidR="00871B31" w:rsidRPr="00756461" w14:paraId="676FBF96"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5FAE392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Chiweza, et al. 2024</w:t>
            </w:r>
          </w:p>
        </w:tc>
        <w:tc>
          <w:tcPr>
            <w:tcW w:w="1054" w:type="dxa"/>
            <w:tcBorders>
              <w:top w:val="single" w:sz="4" w:space="0" w:color="888888"/>
              <w:left w:val="single" w:sz="4" w:space="0" w:color="888888"/>
              <w:bottom w:val="single" w:sz="4" w:space="0" w:color="888888"/>
              <w:right w:val="single" w:sz="4" w:space="0" w:color="888888"/>
            </w:tcBorders>
          </w:tcPr>
          <w:p w14:paraId="39D445F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1F8E088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Malawi</w:t>
            </w:r>
          </w:p>
        </w:tc>
        <w:tc>
          <w:tcPr>
            <w:tcW w:w="786" w:type="dxa"/>
            <w:tcBorders>
              <w:top w:val="single" w:sz="4" w:space="0" w:color="888888"/>
              <w:left w:val="single" w:sz="4" w:space="0" w:color="888888"/>
              <w:bottom w:val="single" w:sz="4" w:space="0" w:color="888888"/>
              <w:right w:val="single" w:sz="4" w:space="0" w:color="888888"/>
            </w:tcBorders>
          </w:tcPr>
          <w:p w14:paraId="26E9E20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 and early neonatal death</w:t>
            </w:r>
          </w:p>
        </w:tc>
        <w:tc>
          <w:tcPr>
            <w:tcW w:w="786" w:type="dxa"/>
            <w:tcBorders>
              <w:top w:val="single" w:sz="4" w:space="0" w:color="888888"/>
              <w:left w:val="single" w:sz="4" w:space="0" w:color="888888"/>
              <w:bottom w:val="single" w:sz="4" w:space="0" w:color="888888"/>
              <w:right w:val="single" w:sz="4" w:space="0" w:color="888888"/>
            </w:tcBorders>
          </w:tcPr>
          <w:p w14:paraId="75922A1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investigate whether artificial intelligence-augmented fetal monitoring (AI-CEFM) can prevent intrapartum stillbirth and neonatal death in a low-income setting</w:t>
            </w:r>
          </w:p>
        </w:tc>
        <w:tc>
          <w:tcPr>
            <w:tcW w:w="1051" w:type="dxa"/>
            <w:tcBorders>
              <w:top w:val="single" w:sz="4" w:space="0" w:color="888888"/>
              <w:left w:val="single" w:sz="4" w:space="0" w:color="888888"/>
              <w:bottom w:val="single" w:sz="4" w:space="0" w:color="888888"/>
              <w:right w:val="single" w:sz="4" w:space="0" w:color="888888"/>
            </w:tcBorders>
          </w:tcPr>
          <w:p w14:paraId="0364DF77"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4FDD938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Foetal heart rate / CTG</w:t>
            </w:r>
          </w:p>
        </w:tc>
        <w:tc>
          <w:tcPr>
            <w:tcW w:w="851" w:type="dxa"/>
            <w:tcBorders>
              <w:top w:val="single" w:sz="4" w:space="0" w:color="888888"/>
              <w:left w:val="single" w:sz="4" w:space="0" w:color="888888"/>
              <w:bottom w:val="single" w:sz="4" w:space="0" w:color="888888"/>
              <w:right w:val="single" w:sz="4" w:space="0" w:color="888888"/>
            </w:tcBorders>
          </w:tcPr>
          <w:p w14:paraId="027062F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2C91E39E"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73D5F339"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71E0C5D8"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992" w:type="dxa"/>
            <w:tcBorders>
              <w:top w:val="single" w:sz="4" w:space="0" w:color="888888"/>
              <w:left w:val="single" w:sz="4" w:space="0" w:color="888888"/>
              <w:bottom w:val="single" w:sz="4" w:space="0" w:color="888888"/>
              <w:right w:val="single" w:sz="4" w:space="0" w:color="888888"/>
            </w:tcBorders>
          </w:tcPr>
          <w:p w14:paraId="5712DE4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AI-CEFM significantly reduce stillbirths and early neonatal deaths. Stillbirths (0.39% to 0.02%)// ENND (0.75% to 0.17%)</w:t>
            </w:r>
          </w:p>
        </w:tc>
        <w:tc>
          <w:tcPr>
            <w:tcW w:w="851" w:type="dxa"/>
            <w:tcBorders>
              <w:top w:val="single" w:sz="4" w:space="0" w:color="888888"/>
              <w:left w:val="single" w:sz="4" w:space="0" w:color="888888"/>
              <w:bottom w:val="single" w:sz="4" w:space="0" w:color="888888"/>
              <w:right w:val="single" w:sz="4" w:space="0" w:color="888888"/>
            </w:tcBorders>
          </w:tcPr>
          <w:p w14:paraId="09E6893D" w14:textId="77777777" w:rsidR="00871B31" w:rsidRPr="00756461" w:rsidRDefault="00871B31" w:rsidP="00BC1F31">
            <w:pPr>
              <w:spacing w:after="0" w:line="240" w:lineRule="auto"/>
              <w:rPr>
                <w:rFonts w:ascii="Arial" w:hAnsi="Arial" w:cs="Arial"/>
                <w:sz w:val="12"/>
                <w:szCs w:val="12"/>
              </w:rPr>
            </w:pPr>
          </w:p>
        </w:tc>
        <w:tc>
          <w:tcPr>
            <w:tcW w:w="817" w:type="dxa"/>
            <w:tcBorders>
              <w:top w:val="single" w:sz="4" w:space="0" w:color="888888"/>
              <w:left w:val="single" w:sz="4" w:space="0" w:color="888888"/>
              <w:bottom w:val="single" w:sz="4" w:space="0" w:color="888888"/>
              <w:right w:val="single" w:sz="4" w:space="0" w:color="888888"/>
            </w:tcBorders>
          </w:tcPr>
          <w:p w14:paraId="6C2BA02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60AC04C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7926</w:t>
            </w:r>
          </w:p>
        </w:tc>
        <w:tc>
          <w:tcPr>
            <w:tcW w:w="851" w:type="dxa"/>
            <w:tcBorders>
              <w:top w:val="single" w:sz="4" w:space="0" w:color="888888"/>
              <w:left w:val="single" w:sz="4" w:space="0" w:color="888888"/>
              <w:bottom w:val="single" w:sz="4" w:space="0" w:color="888888"/>
              <w:right w:val="single" w:sz="4" w:space="0" w:color="888888"/>
            </w:tcBorders>
          </w:tcPr>
          <w:p w14:paraId="424150C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Texas Children's Hospital and the United Nations Population Fund Malawi. Perigen Inc. provided software and technical support but no direct funding.</w:t>
            </w:r>
          </w:p>
        </w:tc>
        <w:tc>
          <w:tcPr>
            <w:tcW w:w="1134" w:type="dxa"/>
            <w:tcBorders>
              <w:top w:val="single" w:sz="4" w:space="0" w:color="888888"/>
              <w:left w:val="single" w:sz="4" w:space="0" w:color="888888"/>
              <w:bottom w:val="single" w:sz="4" w:space="0" w:color="888888"/>
              <w:right w:val="single" w:sz="4" w:space="0" w:color="888888"/>
            </w:tcBorders>
          </w:tcPr>
          <w:p w14:paraId="5EC53C2F"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35.3%</w:t>
            </w:r>
          </w:p>
        </w:tc>
        <w:tc>
          <w:tcPr>
            <w:tcW w:w="841" w:type="dxa"/>
            <w:tcBorders>
              <w:top w:val="single" w:sz="4" w:space="0" w:color="888888"/>
              <w:left w:val="single" w:sz="4" w:space="0" w:color="888888"/>
              <w:bottom w:val="single" w:sz="4" w:space="0" w:color="888888"/>
              <w:right w:val="single" w:sz="4" w:space="0" w:color="888888"/>
            </w:tcBorders>
          </w:tcPr>
          <w:p w14:paraId="4FA2B901"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Not applicable</w:t>
            </w:r>
          </w:p>
        </w:tc>
        <w:tc>
          <w:tcPr>
            <w:tcW w:w="860" w:type="dxa"/>
            <w:tcBorders>
              <w:top w:val="single" w:sz="4" w:space="0" w:color="888888"/>
              <w:left w:val="single" w:sz="4" w:space="0" w:color="888888"/>
              <w:bottom w:val="single" w:sz="4" w:space="0" w:color="888888"/>
              <w:right w:val="single" w:sz="4" w:space="0" w:color="888888"/>
            </w:tcBorders>
          </w:tcPr>
          <w:p w14:paraId="30A044B7" w14:textId="77777777" w:rsidR="00871B31" w:rsidRPr="00756461" w:rsidRDefault="00871B31" w:rsidP="00BC1F31">
            <w:pPr>
              <w:spacing w:after="0" w:line="240" w:lineRule="auto"/>
              <w:rPr>
                <w:rFonts w:ascii="Arial" w:hAnsi="Arial" w:cs="Arial"/>
                <w:color w:val="000000"/>
                <w:sz w:val="12"/>
                <w:szCs w:val="12"/>
              </w:rPr>
            </w:pPr>
            <w:r>
              <w:rPr>
                <w:rFonts w:ascii="Arial" w:hAnsi="Arial" w:cs="Arial"/>
                <w:color w:val="000000"/>
                <w:sz w:val="12"/>
                <w:szCs w:val="12"/>
              </w:rPr>
              <w:t xml:space="preserve">Not publicly </w:t>
            </w:r>
          </w:p>
          <w:p w14:paraId="0F78E2CC"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br/>
              <w:t>Available via inquiries to corresponding author</w:t>
            </w:r>
          </w:p>
        </w:tc>
        <w:tc>
          <w:tcPr>
            <w:tcW w:w="442" w:type="dxa"/>
            <w:tcBorders>
              <w:top w:val="single" w:sz="4" w:space="0" w:color="888888"/>
              <w:left w:val="single" w:sz="4" w:space="0" w:color="888888"/>
              <w:bottom w:val="single" w:sz="4" w:space="0" w:color="888888"/>
              <w:right w:val="single" w:sz="4" w:space="0" w:color="888888"/>
            </w:tcBorders>
          </w:tcPr>
          <w:p w14:paraId="2BA15612"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{"citationID":"WqNTRl3w","properties":{"formattedCitation":"[45]","plainCitation":"[45]","noteIndex":0},"citationItems":[{"id":"b2OWig5M/c8vUyePX","uris":["http://zotero.org/users/18230940/items/N3DPNGN4"],"itemData":{"id":678,"type":"webpage","title":"Can artificial intelligence</w:instrText>
            </w:r>
            <w:r>
              <w:rPr>
                <w:rFonts w:ascii="Cambria Math" w:eastAsia="Times New Roman" w:hAnsi="Cambria Math" w:cs="Cambria Math"/>
                <w:color w:val="000000"/>
                <w:sz w:val="12"/>
                <w:szCs w:val="12"/>
                <w:lang w:eastAsia="en-GB" w:bidi="th-TH"/>
              </w:rPr>
              <w:instrText>‐</w:instrText>
            </w:r>
            <w:r>
              <w:rPr>
                <w:rFonts w:ascii="Arial" w:eastAsia="Times New Roman" w:hAnsi="Arial" w:cs="Arial"/>
                <w:color w:val="000000"/>
                <w:sz w:val="12"/>
                <w:szCs w:val="12"/>
                <w:lang w:eastAsia="en-GB" w:bidi="th-TH"/>
              </w:rPr>
              <w:instrText>augmented fetal monitoring prevent intrapartum stillbirth and neonatal death in a low</w:instrText>
            </w:r>
            <w:r>
              <w:rPr>
                <w:rFonts w:ascii="Cambria Math" w:eastAsia="Times New Roman" w:hAnsi="Cambria Math" w:cs="Cambria Math"/>
                <w:color w:val="000000"/>
                <w:sz w:val="12"/>
                <w:szCs w:val="12"/>
                <w:lang w:eastAsia="en-GB" w:bidi="th-TH"/>
              </w:rPr>
              <w:instrText>‐</w:instrText>
            </w:r>
            <w:r>
              <w:rPr>
                <w:rFonts w:ascii="Arial" w:eastAsia="Times New Roman" w:hAnsi="Arial" w:cs="Arial"/>
                <w:color w:val="000000"/>
                <w:sz w:val="12"/>
                <w:szCs w:val="12"/>
                <w:lang w:eastAsia="en-GB" w:bidi="th-TH"/>
              </w:rPr>
              <w:instrText xml:space="preserve">income setting: An observational study? - Chiweza - 2024 - BJOG: An International Journal of Obstetrics &amp; Gynaecology - Wiley Online Library","URL":"https://obgyn.onlinelibrary.wiley.com/doi/10.1111/1471-0528.17321","accessed":{"date-parts":[["2026",2,19]]}}}],"schema":"https://github.com/citation-style-language/schema/raw/master/csl-citation.json"}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[45]</w:t>
            </w:r>
            <w:r>
              <w:rPr>
                <w:rFonts w:ascii="Arial" w:eastAsia="Times New Roman" w:hAnsi="Arial" w:cs="Arial"/>
                <w:color w:val="000000"/>
                <w:sz w:val="12"/>
                <w:szCs w:val="12"/>
                <w:lang w:eastAsia="en-GB" w:bidi="th-TH"/>
              </w:rPr>
              <w:fldChar w:fldCharType="end"/>
            </w:r>
          </w:p>
        </w:tc>
      </w:tr>
      <w:tr w:rsidR="00871B31" w:rsidRPr="00756461" w14:paraId="4AC71E8A"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4515CF8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Choi, et al 2022</w:t>
            </w:r>
          </w:p>
        </w:tc>
        <w:tc>
          <w:tcPr>
            <w:tcW w:w="1054" w:type="dxa"/>
            <w:tcBorders>
              <w:top w:val="single" w:sz="4" w:space="0" w:color="888888"/>
              <w:left w:val="single" w:sz="4" w:space="0" w:color="888888"/>
              <w:bottom w:val="single" w:sz="4" w:space="0" w:color="888888"/>
              <w:right w:val="single" w:sz="4" w:space="0" w:color="888888"/>
            </w:tcBorders>
          </w:tcPr>
          <w:p w14:paraId="70C77FC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307DDA4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South Korea</w:t>
            </w:r>
          </w:p>
        </w:tc>
        <w:tc>
          <w:tcPr>
            <w:tcW w:w="786" w:type="dxa"/>
            <w:tcBorders>
              <w:top w:val="single" w:sz="4" w:space="0" w:color="888888"/>
              <w:left w:val="single" w:sz="4" w:space="0" w:color="888888"/>
              <w:bottom w:val="single" w:sz="4" w:space="0" w:color="888888"/>
              <w:right w:val="single" w:sz="4" w:space="0" w:color="888888"/>
            </w:tcBorders>
          </w:tcPr>
          <w:p w14:paraId="672C69C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Infant mortality</w:t>
            </w:r>
          </w:p>
        </w:tc>
        <w:tc>
          <w:tcPr>
            <w:tcW w:w="786" w:type="dxa"/>
            <w:tcBorders>
              <w:top w:val="single" w:sz="4" w:space="0" w:color="888888"/>
              <w:left w:val="single" w:sz="4" w:space="0" w:color="888888"/>
              <w:bottom w:val="single" w:sz="4" w:space="0" w:color="888888"/>
              <w:right w:val="single" w:sz="4" w:space="0" w:color="888888"/>
            </w:tcBorders>
          </w:tcPr>
          <w:p w14:paraId="2DE1EA4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development</w:t>
            </w:r>
          </w:p>
        </w:tc>
        <w:tc>
          <w:tcPr>
            <w:tcW w:w="1051" w:type="dxa"/>
            <w:tcBorders>
              <w:top w:val="single" w:sz="4" w:space="0" w:color="888888"/>
              <w:left w:val="single" w:sz="4" w:space="0" w:color="888888"/>
              <w:bottom w:val="single" w:sz="4" w:space="0" w:color="888888"/>
              <w:right w:val="single" w:sz="4" w:space="0" w:color="888888"/>
            </w:tcBorders>
          </w:tcPr>
          <w:p w14:paraId="4EE5857A"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563E716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Albumin</w:t>
            </w:r>
          </w:p>
        </w:tc>
        <w:tc>
          <w:tcPr>
            <w:tcW w:w="851" w:type="dxa"/>
            <w:tcBorders>
              <w:top w:val="single" w:sz="4" w:space="0" w:color="888888"/>
              <w:left w:val="single" w:sz="4" w:space="0" w:color="888888"/>
              <w:bottom w:val="single" w:sz="4" w:space="0" w:color="888888"/>
              <w:right w:val="single" w:sz="4" w:space="0" w:color="888888"/>
            </w:tcBorders>
          </w:tcPr>
          <w:p w14:paraId="3492A08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7825B994"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5A4D4EBC"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62D278C2"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3F6F8AF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External Validation: </w:t>
            </w:r>
            <w:r>
              <w:rPr>
                <w:rFonts w:ascii="Arial" w:hAnsi="Arial" w:cs="Arial"/>
                <w:sz w:val="12"/>
                <w:szCs w:val="12"/>
              </w:rPr>
              <w:br/>
              <w:t>- AUC: 0.903</w:t>
            </w:r>
            <w:r>
              <w:rPr>
                <w:rFonts w:ascii="Arial" w:hAnsi="Arial" w:cs="Arial"/>
                <w:sz w:val="12"/>
                <w:szCs w:val="12"/>
              </w:rPr>
              <w:br/>
              <w:t>- Calibration slope: 0.923</w:t>
            </w:r>
            <w:r>
              <w:rPr>
                <w:rFonts w:ascii="Arial" w:hAnsi="Arial" w:cs="Arial"/>
                <w:sz w:val="12"/>
                <w:szCs w:val="12"/>
              </w:rPr>
              <w:br/>
              <w:t>- Brier score: 0.072</w:t>
            </w:r>
          </w:p>
        </w:tc>
        <w:tc>
          <w:tcPr>
            <w:tcW w:w="851" w:type="dxa"/>
            <w:tcBorders>
              <w:top w:val="single" w:sz="4" w:space="0" w:color="888888"/>
              <w:left w:val="single" w:sz="4" w:space="0" w:color="888888"/>
              <w:bottom w:val="single" w:sz="4" w:space="0" w:color="888888"/>
              <w:right w:val="single" w:sz="4" w:space="0" w:color="888888"/>
            </w:tcBorders>
          </w:tcPr>
          <w:p w14:paraId="3533BD9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 Calibration slope, Brier score</w:t>
            </w:r>
          </w:p>
        </w:tc>
        <w:tc>
          <w:tcPr>
            <w:tcW w:w="817" w:type="dxa"/>
            <w:tcBorders>
              <w:top w:val="single" w:sz="4" w:space="0" w:color="888888"/>
              <w:left w:val="single" w:sz="4" w:space="0" w:color="888888"/>
              <w:bottom w:val="single" w:sz="4" w:space="0" w:color="888888"/>
              <w:right w:val="single" w:sz="4" w:space="0" w:color="888888"/>
            </w:tcBorders>
          </w:tcPr>
          <w:p w14:paraId="1CFD0DB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3304FB3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development = 2,661 neonates</w:t>
            </w:r>
            <w:r>
              <w:rPr>
                <w:rFonts w:ascii="Arial" w:hAnsi="Arial" w:cs="Arial"/>
                <w:sz w:val="12"/>
                <w:szCs w:val="12"/>
              </w:rPr>
              <w:br/>
              <w:t>External validation = 920 neonates</w:t>
            </w:r>
          </w:p>
        </w:tc>
        <w:tc>
          <w:tcPr>
            <w:tcW w:w="851" w:type="dxa"/>
            <w:tcBorders>
              <w:top w:val="single" w:sz="4" w:space="0" w:color="888888"/>
              <w:left w:val="single" w:sz="4" w:space="0" w:color="888888"/>
              <w:bottom w:val="single" w:sz="4" w:space="0" w:color="888888"/>
              <w:right w:val="single" w:sz="4" w:space="0" w:color="888888"/>
            </w:tcBorders>
          </w:tcPr>
          <w:p w14:paraId="6126CBA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Ministry of Health &amp; Welfare, Republic of Korea</w:t>
            </w:r>
          </w:p>
        </w:tc>
        <w:tc>
          <w:tcPr>
            <w:tcW w:w="1134" w:type="dxa"/>
            <w:tcBorders>
              <w:top w:val="single" w:sz="4" w:space="0" w:color="888888"/>
              <w:left w:val="single" w:sz="4" w:space="0" w:color="888888"/>
              <w:bottom w:val="single" w:sz="4" w:space="0" w:color="888888"/>
              <w:right w:val="single" w:sz="4" w:space="0" w:color="888888"/>
            </w:tcBorders>
          </w:tcPr>
          <w:p w14:paraId="286032AB"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65.3%</w:t>
            </w:r>
          </w:p>
        </w:tc>
        <w:tc>
          <w:tcPr>
            <w:tcW w:w="841" w:type="dxa"/>
            <w:tcBorders>
              <w:top w:val="single" w:sz="4" w:space="0" w:color="888888"/>
              <w:left w:val="single" w:sz="4" w:space="0" w:color="888888"/>
              <w:bottom w:val="single" w:sz="4" w:space="0" w:color="888888"/>
              <w:right w:val="single" w:sz="4" w:space="0" w:color="888888"/>
            </w:tcBorders>
          </w:tcPr>
          <w:p w14:paraId="0D8491E8"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Low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31DE2535"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The data is available via supplement material section. However, extra data is available upon request.</w:t>
            </w:r>
          </w:p>
        </w:tc>
        <w:tc>
          <w:tcPr>
            <w:tcW w:w="442" w:type="dxa"/>
            <w:tcBorders>
              <w:top w:val="single" w:sz="4" w:space="0" w:color="888888"/>
              <w:left w:val="single" w:sz="4" w:space="0" w:color="888888"/>
              <w:bottom w:val="single" w:sz="4" w:space="0" w:color="888888"/>
              <w:right w:val="single" w:sz="4" w:space="0" w:color="888888"/>
            </w:tcBorders>
          </w:tcPr>
          <w:p w14:paraId="32463760"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Wjn4hGxO","properties":{"formattedCitation":"[46]","plainCitation":"[46]","noteIndex":0},"citationItems":[{"id":"b2OWig5M/a7FfR5bG","uris":["http://zotero.org/users/18230940/items/SHSBW2AN"],"itemData":{"id":685,"type":"article-journal","container-title":"eBioMedicine","DOI":"10.1016/j.ebiom.2022.103890","ISSN":"2352-3964","journalAbbreviation":"eBioMedicine","language":"English","PMID":"35220043","publisher":"Elsevier","source":"www.thelancet.com","title":"Clinical characteristics of neonatal cholestasis in a tertiary hospital and the development of a novel prediction model for mortality","URL":"https://www.thelancet.com/journals/ebiom/article/PIIS2352-3964(22)00074-3/fulltext","volume":"77","author":[{"family":"Choi","given":"Ho Jung"},{"family":"Kim","given":"Inki"},{"family":"Lee","given":"Hye-Jin"},{"family":"Oh","given":"Hyun Ju"},{"family":"Ahn","given":"Mi Kyoung"},{"family":"Baek","given":"Woo Im"},{"family":"Kim","given":"Yeong Eun"},{"family":"Oh","given":"Seak Hee"},{"family":"Lee","given":"Byong Sop"},{"family":"Namgoong","given":"Jung-Man"},{"family":"Kim","given":"Dae Yeon"},{"family":"Lee","given":"Eun Joo"},{"family":"Shim","given":"Jung Ok"},{"family":"Ko","given":"Jae Sung"},{"family":"Kim","given":"Kyung Mo"}],"accessed":{"date-parts":[["2026",2,19]]},"issued":{"date-parts":[["2022",3,1]]}}}],"schema":"https://github.com/citation-style-language/schema/raw/master/csl-citation.json"}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[46]</w:t>
            </w:r>
            <w:r>
              <w:rPr>
                <w:rFonts w:ascii="Arial" w:eastAsia="Times New Roman" w:hAnsi="Arial" w:cs="Arial"/>
                <w:color w:val="000000"/>
                <w:sz w:val="12"/>
                <w:szCs w:val="12"/>
                <w:lang w:eastAsia="en-GB" w:bidi="th-TH"/>
              </w:rPr>
              <w:fldChar w:fldCharType="end"/>
            </w:r>
          </w:p>
        </w:tc>
      </w:tr>
      <w:tr w:rsidR="00871B31" w:rsidRPr="00756461" w14:paraId="35AD5A56"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53EB649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Conte, et al. 2025</w:t>
            </w:r>
          </w:p>
        </w:tc>
        <w:tc>
          <w:tcPr>
            <w:tcW w:w="1054" w:type="dxa"/>
            <w:tcBorders>
              <w:top w:val="single" w:sz="4" w:space="0" w:color="888888"/>
              <w:left w:val="single" w:sz="4" w:space="0" w:color="888888"/>
              <w:bottom w:val="single" w:sz="4" w:space="0" w:color="888888"/>
              <w:right w:val="single" w:sz="4" w:space="0" w:color="888888"/>
            </w:tcBorders>
          </w:tcPr>
          <w:p w14:paraId="087F6B4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1B44060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Italy</w:t>
            </w:r>
          </w:p>
        </w:tc>
        <w:tc>
          <w:tcPr>
            <w:tcW w:w="786" w:type="dxa"/>
            <w:tcBorders>
              <w:top w:val="single" w:sz="4" w:space="0" w:color="888888"/>
              <w:left w:val="single" w:sz="4" w:space="0" w:color="888888"/>
              <w:bottom w:val="single" w:sz="4" w:space="0" w:color="888888"/>
              <w:right w:val="single" w:sz="4" w:space="0" w:color="888888"/>
            </w:tcBorders>
          </w:tcPr>
          <w:p w14:paraId="1BA8C01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Neonatal mortality</w:t>
            </w:r>
          </w:p>
        </w:tc>
        <w:tc>
          <w:tcPr>
            <w:tcW w:w="786" w:type="dxa"/>
            <w:tcBorders>
              <w:top w:val="single" w:sz="4" w:space="0" w:color="888888"/>
              <w:left w:val="single" w:sz="4" w:space="0" w:color="888888"/>
              <w:bottom w:val="single" w:sz="4" w:space="0" w:color="888888"/>
              <w:right w:val="single" w:sz="4" w:space="0" w:color="888888"/>
            </w:tcBorders>
          </w:tcPr>
          <w:p w14:paraId="33DF1CD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development</w:t>
            </w:r>
          </w:p>
        </w:tc>
        <w:tc>
          <w:tcPr>
            <w:tcW w:w="1051" w:type="dxa"/>
            <w:tcBorders>
              <w:top w:val="single" w:sz="4" w:space="0" w:color="888888"/>
              <w:left w:val="single" w:sz="4" w:space="0" w:color="888888"/>
              <w:bottom w:val="single" w:sz="4" w:space="0" w:color="888888"/>
              <w:right w:val="single" w:sz="4" w:space="0" w:color="888888"/>
            </w:tcBorders>
          </w:tcPr>
          <w:p w14:paraId="1162F539"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1C66424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age</w:t>
            </w:r>
          </w:p>
          <w:p w14:paraId="1A089A72"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5719D14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 xml:space="preserve">  - Gestational age</w:t>
            </w:r>
          </w:p>
          <w:p w14:paraId="147F07D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Birth weight</w:t>
            </w:r>
          </w:p>
          <w:p w14:paraId="685C4B3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Umbilical artery Doppler</w:t>
            </w:r>
          </w:p>
        </w:tc>
        <w:tc>
          <w:tcPr>
            <w:tcW w:w="851" w:type="dxa"/>
            <w:tcBorders>
              <w:top w:val="single" w:sz="4" w:space="0" w:color="888888"/>
              <w:left w:val="single" w:sz="4" w:space="0" w:color="888888"/>
              <w:bottom w:val="single" w:sz="4" w:space="0" w:color="888888"/>
              <w:right w:val="single" w:sz="4" w:space="0" w:color="888888"/>
            </w:tcBorders>
          </w:tcPr>
          <w:p w14:paraId="37BDAEA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02E32A2C"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5FD58F1B"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1EDFF6B3"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1107ED1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The XGBoost model performed best. For mortality, it </w:t>
            </w:r>
            <w:r>
              <w:rPr>
                <w:rFonts w:ascii="Arial" w:hAnsi="Arial" w:cs="Arial"/>
                <w:sz w:val="12"/>
                <w:szCs w:val="12"/>
              </w:rPr>
              <w:lastRenderedPageBreak/>
              <w:t>achieved 88% accuracy, 95% sensitivity, and an AUC of 0.87.</w:t>
            </w:r>
            <w:r>
              <w:rPr>
                <w:rFonts w:ascii="Arial" w:hAnsi="Arial" w:cs="Arial"/>
                <w:sz w:val="12"/>
                <w:szCs w:val="12"/>
              </w:rPr>
              <w:br/>
            </w:r>
            <w:r>
              <w:rPr>
                <w:rFonts w:ascii="Arial" w:hAnsi="Arial" w:cs="Arial"/>
                <w:sz w:val="12"/>
                <w:szCs w:val="12"/>
              </w:rPr>
              <w:br/>
              <w:t xml:space="preserve">For PPHN severity, it achieved 82% accuracy, 85% sensitivity, and an AUC of 0.82 </w:t>
            </w:r>
          </w:p>
        </w:tc>
        <w:tc>
          <w:tcPr>
            <w:tcW w:w="851" w:type="dxa"/>
            <w:tcBorders>
              <w:top w:val="single" w:sz="4" w:space="0" w:color="888888"/>
              <w:left w:val="single" w:sz="4" w:space="0" w:color="888888"/>
              <w:bottom w:val="single" w:sz="4" w:space="0" w:color="888888"/>
              <w:right w:val="single" w:sz="4" w:space="0" w:color="888888"/>
            </w:tcBorders>
          </w:tcPr>
          <w:p w14:paraId="78208BA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AUC, Sensitivity, Accuracy</w:t>
            </w:r>
          </w:p>
        </w:tc>
        <w:tc>
          <w:tcPr>
            <w:tcW w:w="817" w:type="dxa"/>
            <w:tcBorders>
              <w:top w:val="single" w:sz="4" w:space="0" w:color="888888"/>
              <w:left w:val="single" w:sz="4" w:space="0" w:color="888888"/>
              <w:bottom w:val="single" w:sz="4" w:space="0" w:color="888888"/>
              <w:right w:val="single" w:sz="4" w:space="0" w:color="888888"/>
            </w:tcBorders>
          </w:tcPr>
          <w:p w14:paraId="139AC49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3374817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165 pregnant women with a fetal </w:t>
            </w:r>
            <w:r>
              <w:rPr>
                <w:rFonts w:ascii="Arial" w:hAnsi="Arial" w:cs="Arial"/>
                <w:sz w:val="12"/>
                <w:szCs w:val="12"/>
              </w:rPr>
              <w:lastRenderedPageBreak/>
              <w:t>diagnosis of CDH</w:t>
            </w:r>
          </w:p>
        </w:tc>
        <w:tc>
          <w:tcPr>
            <w:tcW w:w="851" w:type="dxa"/>
            <w:tcBorders>
              <w:top w:val="single" w:sz="4" w:space="0" w:color="888888"/>
              <w:left w:val="single" w:sz="4" w:space="0" w:color="888888"/>
              <w:bottom w:val="single" w:sz="4" w:space="0" w:color="888888"/>
              <w:right w:val="single" w:sz="4" w:space="0" w:color="888888"/>
            </w:tcBorders>
          </w:tcPr>
          <w:p w14:paraId="1796827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 xml:space="preserve">The study was partially funded by the Italian </w:t>
            </w:r>
            <w:r>
              <w:rPr>
                <w:rFonts w:ascii="Arial" w:hAnsi="Arial" w:cs="Arial"/>
                <w:sz w:val="12"/>
                <w:szCs w:val="12"/>
              </w:rPr>
              <w:lastRenderedPageBreak/>
              <w:t>Ministry of Health-Current Research IRCCS</w:t>
            </w:r>
          </w:p>
        </w:tc>
        <w:tc>
          <w:tcPr>
            <w:tcW w:w="1134" w:type="dxa"/>
            <w:tcBorders>
              <w:top w:val="single" w:sz="4" w:space="0" w:color="888888"/>
              <w:left w:val="single" w:sz="4" w:space="0" w:color="888888"/>
              <w:bottom w:val="single" w:sz="4" w:space="0" w:color="888888"/>
              <w:right w:val="single" w:sz="4" w:space="0" w:color="888888"/>
            </w:tcBorders>
          </w:tcPr>
          <w:p w14:paraId="04174AAD"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lastRenderedPageBreak/>
              <w:t>56.3%</w:t>
            </w:r>
          </w:p>
        </w:tc>
        <w:tc>
          <w:tcPr>
            <w:tcW w:w="841" w:type="dxa"/>
            <w:tcBorders>
              <w:top w:val="single" w:sz="4" w:space="0" w:color="888888"/>
              <w:left w:val="single" w:sz="4" w:space="0" w:color="888888"/>
              <w:bottom w:val="single" w:sz="4" w:space="0" w:color="888888"/>
              <w:right w:val="single" w:sz="4" w:space="0" w:color="888888"/>
            </w:tcBorders>
          </w:tcPr>
          <w:p w14:paraId="0C987A9C"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Unclear risk</w:t>
            </w:r>
            <w:r>
              <w:rPr>
                <w:rFonts w:ascii="Arial" w:hAnsi="Arial" w:cs="Arial"/>
                <w:color w:val="000000"/>
                <w:sz w:val="12"/>
                <w:szCs w:val="12"/>
              </w:rPr>
              <w:br/>
            </w:r>
            <w:r>
              <w:rPr>
                <w:rFonts w:ascii="Arial" w:hAnsi="Arial" w:cs="Arial"/>
                <w:color w:val="000000"/>
                <w:sz w:val="12"/>
                <w:szCs w:val="12"/>
              </w:rPr>
              <w:lastRenderedPageBreak/>
              <w:t>D3: Unclear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50A46925"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lastRenderedPageBreak/>
              <w:t>No information</w:t>
            </w:r>
          </w:p>
        </w:tc>
        <w:tc>
          <w:tcPr>
            <w:tcW w:w="442" w:type="dxa"/>
            <w:tcBorders>
              <w:top w:val="single" w:sz="4" w:space="0" w:color="888888"/>
              <w:left w:val="single" w:sz="4" w:space="0" w:color="888888"/>
              <w:bottom w:val="single" w:sz="4" w:space="0" w:color="888888"/>
              <w:right w:val="single" w:sz="4" w:space="0" w:color="888888"/>
            </w:tcBorders>
          </w:tcPr>
          <w:p w14:paraId="4E628C4E"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{"citationID":"3rnZbAQg","properties":{"formattedCitation":"[47]","plainCitation":"[47]","noteIndex":0},"citationItems":[{"id":"b2OWig5M/3TebJiov","uris":["http://zotero.org/users/18230940/items/2QIG9HSU"],"itemData":{"id":158,"type":"article-journal","abstract":"Congenital diaphragmatic hernia (CDH) has high morbidity and mortality rates. This study aimed to develop a machine learning (ML) algorithm to predict outcomes based on prenatal and early postnatal data. This retrospective observational cohort study involved infants with left-sided CDH, born from 2012 to 2020. We analyzed clinical and imaging data using three classification algorithms: XGBoost, Support Vector Machine, and K-Nearest Neighbors. Medical records of 165 pregnant women with CDH fetal diagnosis were reviewed. According to inclusion criteria, 50 infants with isolated left-sided CDH were enrolled. The mean o/eLHR was 37.32%, and the average gestational age at delivery was 36.5 weeks. Among these infants, 26 (52%) had severe persistent neonatal pulmonary hypertension (PPHN), while 24 (48%) had moderate or mild form; 37 survived (74%), and 13 did not (26%). The XGBoost model achieved 88% accuracy and 95% sensitivity for predicting mortality using ten features and 82% accuracy for PPHN severity with 14 features. The area under the ROC curve was 0.87 for mortality and 0.82 for PPHN severity. Conclusion: ML models show promise in predicting CDH outcomes and supporting clinical decisions. Future research should focus on more extensive studies to refine these algorithms and improve care management. Clinical trial registration: NCT04609163. (Table presented.) © 2025 Elsevier B.V., All rights reserved.","archive":"Scopus","container-title":"European Journal of Pediatrics","DOI":"10.1007/s00431-025-06073-0","ISSN":"14321076 (ISSN); 03406199 (ISSN)","issue":"4","language":"English","publisher":"Springer Science and Business Media Deutschland GmbH","title":"A machine learning approach to predict mortality and neonatal persistent pulmonary hypertension in newborns with congenital diaphragmatic hernia. A retrospective observational cohort study","URL":"https://www.scopus.com/inward/record.uri?eid=2-s2.0-105000032904&amp;doi=10.1007%2Fs00431-025-06073-0&amp;partnerID=40&amp;md5=11c82cbbfe98d21a686f1cd43483eccd","volume":"184","author":[{"family":"Conte","given":"L."},{"family":"Amodeo","given":"I."},{"family":"De Nunzio","given":"G."},{"family":"Raffaeli","given":"G."},{"family":"Borzani","given":"I."},{"family":"Persico","given":"N."},{"family":"Griggio","given":"A."},{"family":"Como","given":"G."},{"family":"Colnaghi","given":"M."},{"family":"Fumagalli","given":"M."},{"family":"Cascio","given":"D."},{"family":"Cavallaro","given":"G."}],"issued":{"date-parts":[["2025"]]}}}],"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[47]</w:t>
            </w:r>
            <w:r>
              <w:rPr>
                <w:rFonts w:ascii="Arial" w:eastAsia="Times New Roman" w:hAnsi="Arial" w:cs="Arial"/>
                <w:color w:val="000000"/>
                <w:sz w:val="12"/>
                <w:szCs w:val="12"/>
                <w:lang w:eastAsia="en-GB" w:bidi="th-TH"/>
              </w:rPr>
              <w:fldChar w:fldCharType="end"/>
            </w:r>
          </w:p>
        </w:tc>
      </w:tr>
      <w:tr w:rsidR="00871B31" w:rsidRPr="00756461" w14:paraId="68648766"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566F727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Cooper, et al 2018</w:t>
            </w:r>
          </w:p>
        </w:tc>
        <w:tc>
          <w:tcPr>
            <w:tcW w:w="1054" w:type="dxa"/>
            <w:tcBorders>
              <w:top w:val="single" w:sz="4" w:space="0" w:color="888888"/>
              <w:left w:val="single" w:sz="4" w:space="0" w:color="888888"/>
              <w:bottom w:val="single" w:sz="4" w:space="0" w:color="888888"/>
              <w:right w:val="single" w:sz="4" w:space="0" w:color="888888"/>
            </w:tcBorders>
          </w:tcPr>
          <w:p w14:paraId="0C86A47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2460E27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USA and Canada</w:t>
            </w:r>
          </w:p>
        </w:tc>
        <w:tc>
          <w:tcPr>
            <w:tcW w:w="786" w:type="dxa"/>
            <w:tcBorders>
              <w:top w:val="single" w:sz="4" w:space="0" w:color="888888"/>
              <w:left w:val="single" w:sz="4" w:space="0" w:color="888888"/>
              <w:bottom w:val="single" w:sz="4" w:space="0" w:color="888888"/>
              <w:right w:val="single" w:sz="4" w:space="0" w:color="888888"/>
            </w:tcBorders>
          </w:tcPr>
          <w:p w14:paraId="33DBE82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Neonatal mortality</w:t>
            </w:r>
          </w:p>
        </w:tc>
        <w:tc>
          <w:tcPr>
            <w:tcW w:w="786" w:type="dxa"/>
            <w:tcBorders>
              <w:top w:val="single" w:sz="4" w:space="0" w:color="888888"/>
              <w:left w:val="single" w:sz="4" w:space="0" w:color="888888"/>
              <w:bottom w:val="single" w:sz="4" w:space="0" w:color="888888"/>
              <w:right w:val="single" w:sz="4" w:space="0" w:color="888888"/>
            </w:tcBorders>
          </w:tcPr>
          <w:p w14:paraId="16654D7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development</w:t>
            </w:r>
          </w:p>
        </w:tc>
        <w:tc>
          <w:tcPr>
            <w:tcW w:w="1051" w:type="dxa"/>
            <w:tcBorders>
              <w:top w:val="single" w:sz="4" w:space="0" w:color="888888"/>
              <w:left w:val="single" w:sz="4" w:space="0" w:color="888888"/>
              <w:bottom w:val="single" w:sz="4" w:space="0" w:color="888888"/>
              <w:right w:val="single" w:sz="4" w:space="0" w:color="888888"/>
            </w:tcBorders>
          </w:tcPr>
          <w:p w14:paraId="4758FA3C"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3B84B83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Gestational age at birth</w:t>
            </w:r>
          </w:p>
          <w:p w14:paraId="6D9D2AA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Birth weight</w:t>
            </w:r>
          </w:p>
          <w:p w14:paraId="417ABD8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Sex</w:t>
            </w:r>
          </w:p>
          <w:p w14:paraId="1CC5FB5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APGAR at 1 min</w:t>
            </w:r>
          </w:p>
          <w:p w14:paraId="72476EB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APGAR at 5 min</w:t>
            </w:r>
          </w:p>
          <w:p w14:paraId="396FABA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Mode of delivery (vaginal / caesarean)</w:t>
            </w:r>
          </w:p>
          <w:p w14:paraId="0C19675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Inborn status</w:t>
            </w:r>
          </w:p>
          <w:p w14:paraId="459EFCA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Congenital malformation (any)</w:t>
            </w:r>
          </w:p>
          <w:p w14:paraId="7F4F706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Gastroschisis</w:t>
            </w:r>
          </w:p>
          <w:p w14:paraId="2598022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Atresia of small intestine</w:t>
            </w:r>
          </w:p>
          <w:p w14:paraId="53983B6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Atresia of colon, rectum or anus</w:t>
            </w:r>
          </w:p>
          <w:p w14:paraId="122BF46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Congenital hypertrophic pyloric stenosis</w:t>
            </w:r>
          </w:p>
          <w:p w14:paraId="3B4CC5C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Down syndrome</w:t>
            </w:r>
          </w:p>
          <w:p w14:paraId="0B4D18E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Structural CNS abnormality</w:t>
            </w:r>
          </w:p>
          <w:p w14:paraId="27C0F7B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Structural pulmonary or airway abnormality</w:t>
            </w:r>
          </w:p>
          <w:p w14:paraId="30EBD7E3"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Clinical factor</w:t>
            </w:r>
          </w:p>
          <w:p w14:paraId="62C5DFF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Age at surgery</w:t>
            </w:r>
          </w:p>
          <w:p w14:paraId="5C2E62B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Weight at surgery</w:t>
            </w:r>
          </w:p>
          <w:p w14:paraId="7A8E121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Ventilator dependence</w:t>
            </w:r>
          </w:p>
          <w:p w14:paraId="3758259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Oxygen support</w:t>
            </w:r>
          </w:p>
          <w:p w14:paraId="4BA6DEC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Bronchopulmonary dysplasia or chronic lung disease</w:t>
            </w:r>
          </w:p>
          <w:p w14:paraId="5BBE739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Oesophageal or </w:t>
            </w:r>
            <w:r>
              <w:rPr>
                <w:rFonts w:ascii="Arial" w:hAnsi="Arial" w:cs="Arial"/>
                <w:sz w:val="12"/>
                <w:szCs w:val="12"/>
              </w:rPr>
              <w:lastRenderedPageBreak/>
              <w:t>gastrointestinal disease</w:t>
            </w:r>
          </w:p>
          <w:p w14:paraId="3464E07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Hepatobiliary or pancreatic disease</w:t>
            </w:r>
          </w:p>
          <w:p w14:paraId="1D03033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Cardiac risk factors (none / minor / major / severe)</w:t>
            </w:r>
          </w:p>
          <w:p w14:paraId="179EA58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Open wound</w:t>
            </w:r>
          </w:p>
          <w:p w14:paraId="3C41ECE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Steroid use within 30 days</w:t>
            </w:r>
          </w:p>
          <w:p w14:paraId="4829921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Nutritional support</w:t>
            </w:r>
          </w:p>
          <w:p w14:paraId="7DD5423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Haematologic disorder</w:t>
            </w:r>
          </w:p>
          <w:p w14:paraId="795ACA2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Inotropic support</w:t>
            </w:r>
          </w:p>
          <w:p w14:paraId="2B09B8E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CPR or ECMO within previous 7 days</w:t>
            </w:r>
          </w:p>
          <w:p w14:paraId="2F06FFB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Transfusion within previous 48 hours</w:t>
            </w:r>
          </w:p>
          <w:p w14:paraId="3A8DA14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Intraventricular haemorrhage (grade)</w:t>
            </w:r>
          </w:p>
          <w:p w14:paraId="6670A2F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Sepsis, SIRS or septic shock within previous 48 hours</w:t>
            </w:r>
          </w:p>
          <w:p w14:paraId="0A28C1D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ASA physical status class</w:t>
            </w:r>
          </w:p>
          <w:p w14:paraId="58A0FBF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CPT procedure indicator variables</w:t>
            </w:r>
          </w:p>
          <w:p w14:paraId="32F02387"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Sociodemographic factor</w:t>
            </w:r>
          </w:p>
          <w:p w14:paraId="418FCD3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Race</w:t>
            </w:r>
          </w:p>
        </w:tc>
        <w:tc>
          <w:tcPr>
            <w:tcW w:w="851" w:type="dxa"/>
            <w:tcBorders>
              <w:top w:val="single" w:sz="4" w:space="0" w:color="888888"/>
              <w:left w:val="single" w:sz="4" w:space="0" w:color="888888"/>
              <w:bottom w:val="single" w:sz="4" w:space="0" w:color="888888"/>
              <w:right w:val="single" w:sz="4" w:space="0" w:color="888888"/>
            </w:tcBorders>
          </w:tcPr>
          <w:p w14:paraId="44C12C7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41D2ED5A"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53E86AAA"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1650D4DA"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3602618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 refined model using only the 57 predictors most strongly associated with mortality demonstrated both excellent discrimination (AUROC = 0.89) and excellent calibration (P = 0.63) in the validation dataset.</w:t>
            </w:r>
          </w:p>
        </w:tc>
        <w:tc>
          <w:tcPr>
            <w:tcW w:w="851" w:type="dxa"/>
            <w:tcBorders>
              <w:top w:val="single" w:sz="4" w:space="0" w:color="888888"/>
              <w:left w:val="single" w:sz="4" w:space="0" w:color="888888"/>
              <w:bottom w:val="single" w:sz="4" w:space="0" w:color="888888"/>
              <w:right w:val="single" w:sz="4" w:space="0" w:color="888888"/>
            </w:tcBorders>
          </w:tcPr>
          <w:p w14:paraId="1465141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AUROC, p-value</w:t>
            </w:r>
          </w:p>
        </w:tc>
        <w:tc>
          <w:tcPr>
            <w:tcW w:w="817" w:type="dxa"/>
            <w:tcBorders>
              <w:top w:val="single" w:sz="4" w:space="0" w:color="888888"/>
              <w:left w:val="single" w:sz="4" w:space="0" w:color="888888"/>
              <w:bottom w:val="single" w:sz="4" w:space="0" w:color="888888"/>
              <w:right w:val="single" w:sz="4" w:space="0" w:color="888888"/>
            </w:tcBorders>
          </w:tcPr>
          <w:p w14:paraId="04C0CD9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Both internal and external validation</w:t>
            </w:r>
          </w:p>
        </w:tc>
        <w:tc>
          <w:tcPr>
            <w:tcW w:w="742" w:type="dxa"/>
            <w:tcBorders>
              <w:top w:val="single" w:sz="4" w:space="0" w:color="888888"/>
              <w:left w:val="single" w:sz="4" w:space="0" w:color="888888"/>
              <w:bottom w:val="single" w:sz="4" w:space="0" w:color="888888"/>
              <w:right w:val="single" w:sz="4" w:space="0" w:color="888888"/>
            </w:tcBorders>
          </w:tcPr>
          <w:p w14:paraId="739AD5E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6,499 neonates from 2012-2013 and a validation sample of 3,552 neonates from 2014</w:t>
            </w:r>
          </w:p>
        </w:tc>
        <w:tc>
          <w:tcPr>
            <w:tcW w:w="851" w:type="dxa"/>
            <w:tcBorders>
              <w:top w:val="single" w:sz="4" w:space="0" w:color="888888"/>
              <w:left w:val="single" w:sz="4" w:space="0" w:color="888888"/>
              <w:bottom w:val="single" w:sz="4" w:space="0" w:color="888888"/>
              <w:right w:val="single" w:sz="4" w:space="0" w:color="888888"/>
            </w:tcBorders>
          </w:tcPr>
          <w:p w14:paraId="160D729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authors reported no proprietary or commercial interests related to the study</w:t>
            </w:r>
          </w:p>
        </w:tc>
        <w:tc>
          <w:tcPr>
            <w:tcW w:w="1134" w:type="dxa"/>
            <w:tcBorders>
              <w:top w:val="single" w:sz="4" w:space="0" w:color="888888"/>
              <w:left w:val="single" w:sz="4" w:space="0" w:color="888888"/>
              <w:bottom w:val="single" w:sz="4" w:space="0" w:color="888888"/>
              <w:right w:val="single" w:sz="4" w:space="0" w:color="888888"/>
            </w:tcBorders>
          </w:tcPr>
          <w:p w14:paraId="1CF1B2A5"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55.8%</w:t>
            </w:r>
          </w:p>
        </w:tc>
        <w:tc>
          <w:tcPr>
            <w:tcW w:w="841" w:type="dxa"/>
            <w:tcBorders>
              <w:top w:val="single" w:sz="4" w:space="0" w:color="888888"/>
              <w:left w:val="single" w:sz="4" w:space="0" w:color="888888"/>
              <w:bottom w:val="single" w:sz="4" w:space="0" w:color="888888"/>
              <w:right w:val="single" w:sz="4" w:space="0" w:color="888888"/>
            </w:tcBorders>
          </w:tcPr>
          <w:p w14:paraId="7F5F28B9"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Low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00AA37AC"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Not publicly available (requires institutional participation in the NSQIP program)</w:t>
            </w:r>
          </w:p>
        </w:tc>
        <w:tc>
          <w:tcPr>
            <w:tcW w:w="442" w:type="dxa"/>
            <w:tcBorders>
              <w:top w:val="single" w:sz="4" w:space="0" w:color="888888"/>
              <w:left w:val="single" w:sz="4" w:space="0" w:color="888888"/>
              <w:bottom w:val="single" w:sz="4" w:space="0" w:color="888888"/>
              <w:right w:val="single" w:sz="4" w:space="0" w:color="888888"/>
            </w:tcBorders>
          </w:tcPr>
          <w:p w14:paraId="1D267BB5"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{"citationID":"9v6PYoHf","properties":{"formattedCitation":"[48]","plainCitation":"[48]","noteIndex":0},"citationItems":[{"id":"b2OWig5M/1Tb9CaFm","uris":["http://zotero.org/users/18230940/items/CFUM98T5"],"itemData":{"id":691,"type":"article-journal","abstract":"BACKGROUND: The variable risks associated with neonatal surgery present a challenge to accurate mortality prediction. We aimed to apply superlearning, an ensemble machine learning method, to the prediction of 30-day neonatal postoperative mortality.\nMATERIALS AND METHODS: We included neonates in the 2012-2014 National Surgical Quality Improvement Program Pediatric. Patients treated in 2012-13 were used in model development (n = 6499), and patients treated in 2014 formed the validation sample (n = 3552). Our superlearner algorithm included 14 regression and machine learning algorithms and included all preoperative patient demographic and clinical characteristics, including indicator variables for surgical procedures. Performance was evaluated using mean squared error and measures of discrimination and calibration.\nRESULTS: The superlearner out-performed all individual algorithms with regard to cross-validated mean squared error. It showed excellent discrimination, with an area under the receiver-operating characteristic curve of 0.91 in development and 0.87 in validation. The superlearner showed good calibration in development but not in validation (Cox calibration test P = 0.06 and P &lt; 0.001, respectively). Performance was improved when the superlearner was fit using only variables strongly associated with mortality in bivariate analysis (area under the receiver-operating characteristic curve 0.89, calibration test P = 0.63 in validation).\nCONCLUSIONS: Superlearning provided improved or equivalent performance compared with individual regression and machine learning algorithms for predicting neonatal surgical mortality. This method should be considered for prediction in large data sets whenever complex mechanisms make parametric modeling assumptions unrealistic.","container-title":"The Journal of Surgical Research","DOI":"10.1016/j.jss.2017.09.002","ISSN":"1095-8673","journalAbbreviation":"J Surg Res","language":"eng","page":"311-319","PMID":"29229144","source":"PubMed","title":"Postoperative neonatal mortality prediction using superlearning","volume":"221","author":[{"family":"Cooper","given":"Jennifer N."},{"family":"Minneci","given":"Peter C."},{"family":"Deans","given":"Katherine J."}],"issued":{"date-parts":[["2018",1]]}}}],"schema":"https://github.com/citation-style-language/schema/raw/master/csl-citation.json"}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[48]</w:t>
            </w:r>
            <w:r>
              <w:rPr>
                <w:rFonts w:ascii="Arial" w:eastAsia="Times New Roman" w:hAnsi="Arial" w:cs="Arial"/>
                <w:color w:val="000000"/>
                <w:sz w:val="12"/>
                <w:szCs w:val="12"/>
                <w:lang w:eastAsia="en-GB" w:bidi="th-TH"/>
              </w:rPr>
              <w:fldChar w:fldCharType="end"/>
            </w:r>
          </w:p>
        </w:tc>
      </w:tr>
      <w:tr w:rsidR="00871B31" w:rsidRPr="00756461" w14:paraId="289A00A3"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73AB45A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Dalton, et al 2023</w:t>
            </w:r>
          </w:p>
        </w:tc>
        <w:tc>
          <w:tcPr>
            <w:tcW w:w="1054" w:type="dxa"/>
            <w:tcBorders>
              <w:top w:val="single" w:sz="4" w:space="0" w:color="888888"/>
              <w:left w:val="single" w:sz="4" w:space="0" w:color="888888"/>
              <w:bottom w:val="single" w:sz="4" w:space="0" w:color="888888"/>
              <w:right w:val="single" w:sz="4" w:space="0" w:color="888888"/>
            </w:tcBorders>
          </w:tcPr>
          <w:p w14:paraId="0C9D22D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034E6B0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United States</w:t>
            </w:r>
          </w:p>
        </w:tc>
        <w:tc>
          <w:tcPr>
            <w:tcW w:w="786" w:type="dxa"/>
            <w:tcBorders>
              <w:top w:val="single" w:sz="4" w:space="0" w:color="888888"/>
              <w:left w:val="single" w:sz="4" w:space="0" w:color="888888"/>
              <w:bottom w:val="single" w:sz="4" w:space="0" w:color="888888"/>
              <w:right w:val="single" w:sz="4" w:space="0" w:color="888888"/>
            </w:tcBorders>
          </w:tcPr>
          <w:p w14:paraId="726D762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Perinatal death (stillbirth + early neonatal death)</w:t>
            </w:r>
          </w:p>
        </w:tc>
        <w:tc>
          <w:tcPr>
            <w:tcW w:w="786" w:type="dxa"/>
            <w:tcBorders>
              <w:top w:val="single" w:sz="4" w:space="0" w:color="888888"/>
              <w:left w:val="single" w:sz="4" w:space="0" w:color="888888"/>
              <w:bottom w:val="single" w:sz="4" w:space="0" w:color="888888"/>
              <w:right w:val="single" w:sz="4" w:space="0" w:color="888888"/>
            </w:tcBorders>
          </w:tcPr>
          <w:p w14:paraId="6C5A013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development</w:t>
            </w:r>
          </w:p>
        </w:tc>
        <w:tc>
          <w:tcPr>
            <w:tcW w:w="1051" w:type="dxa"/>
            <w:tcBorders>
              <w:top w:val="single" w:sz="4" w:space="0" w:color="888888"/>
              <w:left w:val="single" w:sz="4" w:space="0" w:color="888888"/>
              <w:bottom w:val="single" w:sz="4" w:space="0" w:color="888888"/>
              <w:right w:val="single" w:sz="4" w:space="0" w:color="888888"/>
            </w:tcBorders>
          </w:tcPr>
          <w:p w14:paraId="53ECBBE5"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3BF12D3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Gestational age</w:t>
            </w:r>
          </w:p>
        </w:tc>
        <w:tc>
          <w:tcPr>
            <w:tcW w:w="851" w:type="dxa"/>
            <w:tcBorders>
              <w:top w:val="single" w:sz="4" w:space="0" w:color="888888"/>
              <w:left w:val="single" w:sz="4" w:space="0" w:color="888888"/>
              <w:bottom w:val="single" w:sz="4" w:space="0" w:color="888888"/>
              <w:right w:val="single" w:sz="4" w:space="0" w:color="888888"/>
            </w:tcBorders>
          </w:tcPr>
          <w:p w14:paraId="2E60557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40BBC92A"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7F2131A9"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377B25B1"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0A61D68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Maternal model: AUC = 0.990; ISS cutoff ≥8 (96.8% sensitivity, 92.0% specificity)</w:t>
            </w:r>
            <w:r>
              <w:rPr>
                <w:rFonts w:ascii="Arial" w:hAnsi="Arial" w:cs="Arial"/>
                <w:sz w:val="12"/>
                <w:szCs w:val="12"/>
              </w:rPr>
              <w:br/>
              <w:t>• Short-term perinatal model: AUC = 0.755; ISS cutoff ≥3 (68.6% sensitivity, 65.1% specificity)</w:t>
            </w:r>
            <w:r>
              <w:rPr>
                <w:rFonts w:ascii="Arial" w:hAnsi="Arial" w:cs="Arial"/>
                <w:sz w:val="12"/>
                <w:szCs w:val="12"/>
              </w:rPr>
              <w:br/>
              <w:t xml:space="preserve">• Long-term perinatal model: AUC = 0.763; ISS cutoff ≥2 (68.3% </w:t>
            </w:r>
            <w:r>
              <w:rPr>
                <w:rFonts w:ascii="Arial" w:hAnsi="Arial" w:cs="Arial"/>
                <w:sz w:val="12"/>
                <w:szCs w:val="12"/>
              </w:rPr>
              <w:lastRenderedPageBreak/>
              <w:t>sensitivity, 72.4% specificity)</w:t>
            </w:r>
          </w:p>
        </w:tc>
        <w:tc>
          <w:tcPr>
            <w:tcW w:w="851" w:type="dxa"/>
            <w:tcBorders>
              <w:top w:val="single" w:sz="4" w:space="0" w:color="888888"/>
              <w:left w:val="single" w:sz="4" w:space="0" w:color="888888"/>
              <w:bottom w:val="single" w:sz="4" w:space="0" w:color="888888"/>
              <w:right w:val="single" w:sz="4" w:space="0" w:color="888888"/>
            </w:tcBorders>
          </w:tcPr>
          <w:p w14:paraId="66701A7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AUC, Sensitivity, Specificity</w:t>
            </w:r>
          </w:p>
        </w:tc>
        <w:tc>
          <w:tcPr>
            <w:tcW w:w="817" w:type="dxa"/>
            <w:tcBorders>
              <w:top w:val="single" w:sz="4" w:space="0" w:color="888888"/>
              <w:left w:val="single" w:sz="4" w:space="0" w:color="888888"/>
              <w:bottom w:val="single" w:sz="4" w:space="0" w:color="888888"/>
              <w:right w:val="single" w:sz="4" w:space="0" w:color="888888"/>
            </w:tcBorders>
          </w:tcPr>
          <w:p w14:paraId="75B31E4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Neither internal </w:t>
            </w:r>
            <w:proofErr w:type="gramStart"/>
            <w:r>
              <w:rPr>
                <w:rFonts w:ascii="Arial" w:hAnsi="Arial" w:cs="Arial"/>
                <w:sz w:val="12"/>
                <w:szCs w:val="12"/>
              </w:rPr>
              <w:t>and</w:t>
            </w:r>
            <w:proofErr w:type="gramEnd"/>
            <w:r>
              <w:rPr>
                <w:rFonts w:ascii="Arial" w:hAnsi="Arial" w:cs="Arial"/>
                <w:sz w:val="12"/>
                <w:szCs w:val="12"/>
              </w:rPr>
              <w:t xml:space="preserve"> external validation</w:t>
            </w:r>
          </w:p>
        </w:tc>
        <w:tc>
          <w:tcPr>
            <w:tcW w:w="742" w:type="dxa"/>
            <w:tcBorders>
              <w:top w:val="single" w:sz="4" w:space="0" w:color="888888"/>
              <w:left w:val="single" w:sz="4" w:space="0" w:color="888888"/>
              <w:bottom w:val="single" w:sz="4" w:space="0" w:color="888888"/>
              <w:right w:val="single" w:sz="4" w:space="0" w:color="888888"/>
            </w:tcBorders>
          </w:tcPr>
          <w:p w14:paraId="739CFFE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119 pregnant trauma patients</w:t>
            </w:r>
          </w:p>
        </w:tc>
        <w:tc>
          <w:tcPr>
            <w:tcW w:w="851" w:type="dxa"/>
            <w:tcBorders>
              <w:top w:val="single" w:sz="4" w:space="0" w:color="888888"/>
              <w:left w:val="single" w:sz="4" w:space="0" w:color="888888"/>
              <w:bottom w:val="single" w:sz="4" w:space="0" w:color="888888"/>
              <w:right w:val="single" w:sz="4" w:space="0" w:color="888888"/>
            </w:tcBorders>
          </w:tcPr>
          <w:p w14:paraId="69121BA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This study did not receive any funding</w:t>
            </w:r>
          </w:p>
        </w:tc>
        <w:tc>
          <w:tcPr>
            <w:tcW w:w="1134" w:type="dxa"/>
            <w:tcBorders>
              <w:top w:val="single" w:sz="4" w:space="0" w:color="888888"/>
              <w:left w:val="single" w:sz="4" w:space="0" w:color="888888"/>
              <w:bottom w:val="single" w:sz="4" w:space="0" w:color="888888"/>
              <w:right w:val="single" w:sz="4" w:space="0" w:color="888888"/>
            </w:tcBorders>
          </w:tcPr>
          <w:p w14:paraId="76BBD4AB"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62.5%</w:t>
            </w:r>
          </w:p>
        </w:tc>
        <w:tc>
          <w:tcPr>
            <w:tcW w:w="841" w:type="dxa"/>
            <w:tcBorders>
              <w:top w:val="single" w:sz="4" w:space="0" w:color="888888"/>
              <w:left w:val="single" w:sz="4" w:space="0" w:color="888888"/>
              <w:bottom w:val="single" w:sz="4" w:space="0" w:color="888888"/>
              <w:right w:val="single" w:sz="4" w:space="0" w:color="888888"/>
            </w:tcBorders>
          </w:tcPr>
          <w:p w14:paraId="1EDA9FC1"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Unclear risk</w:t>
            </w:r>
            <w:r>
              <w:rPr>
                <w:rFonts w:ascii="Arial" w:hAnsi="Arial" w:cs="Arial"/>
                <w:color w:val="000000"/>
                <w:sz w:val="12"/>
                <w:szCs w:val="12"/>
              </w:rPr>
              <w:br/>
              <w:t>D3: Unclear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442F7DDD"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No information</w:t>
            </w:r>
          </w:p>
        </w:tc>
        <w:tc>
          <w:tcPr>
            <w:tcW w:w="442" w:type="dxa"/>
            <w:tcBorders>
              <w:top w:val="single" w:sz="4" w:space="0" w:color="888888"/>
              <w:left w:val="single" w:sz="4" w:space="0" w:color="888888"/>
              <w:bottom w:val="single" w:sz="4" w:space="0" w:color="888888"/>
              <w:right w:val="single" w:sz="4" w:space="0" w:color="888888"/>
            </w:tcBorders>
          </w:tcPr>
          <w:p w14:paraId="6CFC5D73"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{"citationID":"6D0XTXkS","properties":{"formattedCitation":"[49]","plainCitation":"[49]","noteIndex":0},"citationItems":[{"id":"b2OWig5M/lIQsPF9J","uris":["http://zotero.org/users/18230940/items/SYNYPIJ4"],"itemData":{"id":693,"type":"article-journal","abstract":"BACKGROUND: Trauma, largely the consequence of motor vehicle crashes, is the leading cause of pregnancy-associated maternal mortality. Prediction of adverse outcomes has been difficult in pregnancy given the infrequent occurrence of traumatic events and anatomic considerations unique to pregnancy. The injury severity score, an anatomic scoring system with weighting dependent on severity and anatomic region of injury, is used in the prediction of adverse outcomes in the nonpregnant population but has yet to be validated in pregnancy.\nOBJECTIVE: This study aimed to estimate the associations between risk factors and adverse pregnancy outcomes after major trauma in pregnancy and to develop a clinical prediction model for adverse maternal and perinatal outcomes.\nSTUDY DESIGN: This was a retrospective analysis of a cohort of pregnant patients who sustained major trauma and who were admitted to 1 of 2 level 1 trauma centers. Three composite adverse pregnancy outcomes were evaluated, namely adverse maternal outcomes and short- and long-term adverse perinatal outcomes, defined as outcomes occurring within the first 72 hours of the traumatic event or encompassing the entire pregnancy. Bivariate analyses were performed to estimate the associations between clinical or trauma-related variables and adverse pregnancy outcomes. Multivariable logistic regression analyses were performed to predict each adverse pregnancy outcome. The predictive performance of each model was estimated using receiver operating characteristic curve analyses.\nRESULTS: A total of 119 pregnant trauma patients were included, 26.1% of whom met the severe adverse maternal pregnancy outcome criteria, 29.4% of whom met the severe short-term adverse perinatal pregnancy outcome definition, and 51.3% of whom met the severe long-term adverse perinatal pregnancy outcome definition. Injury severity score and gestational age were associated with the composite short-term adverse perinatal pregnancy outcome with an adjusted odds ratio of 1.20 (95% confidence interval, 1.11-1.30). The injury severity score was solely predictive of the adverse maternal and long-term adverse perinatal pregnancy outcomes with odds ratios of 1.65 (95% confidence interval, 1.31-2.09) and 1.14 (95% confidence interval, 1.07-1.23), respectively. An injury severity score ≥8 was the best cutoff for predicting adverse maternal outcomes with 96.8% sensitivity and 92.0% specificity (area under the receiver operating characteristic curve, 0.990±0.006). An injury severity score ≥3 was the best cutoff for the short-term adverse perinatal outcomes, which correlates with a 68.6% sensitivity and 65.1% specificity (area under the receiver operating characteristic curve, 0.755±0.055). An injury severity score ≥2 was the best cutoff for the long-term adverse perinatal outcomes, yielding a 68.3% sensitivity and 72.4% specificity (area under the receiver operating characteristic curve, 0.763±0.042).\nCONCLUSION: For pregnant trauma patients, an injury severity score of ≥8 was predictive of severe adverse maternal outcomes. Minor trauma in pregnancy, defined in this study as an injury severity score &lt;2, was not associated with maternal or perinatal morbidity or mortality. These data can guide management decisions for pregnant patients who present after trauma.","container-title":"American journal of obstetrics &amp; gynecology MFM","DOI":"10.1016/j.ajogmf.2023.101069","ISSN":"2589-9333","issue":"9","journalAbbreviation":"Am J Obstet Gynecol MFM","language":"eng","page":"101069","PMID":"37399890","source":"PubMed","title":"Major trauma in pregnancy: prediction of maternal and perinatal adverse outcomes","title-short":"Major trauma in pregnancy","volume":"5","author":[{"family":"Dalton","given":"Susan E."},{"family":"Sakowicz","given":"Allie"},{"family":"Charles","given":"Anthony G."},{"family":"Stamilio","given":"David M."}],"issued":{"date-parts":[["2023",9]]}}}],"schema":"https://github.com/citation-style-language/schema/raw/master/csl-citation.json"}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[49]</w:t>
            </w:r>
            <w:r>
              <w:rPr>
                <w:rFonts w:ascii="Arial" w:eastAsia="Times New Roman" w:hAnsi="Arial" w:cs="Arial"/>
                <w:color w:val="000000"/>
                <w:sz w:val="12"/>
                <w:szCs w:val="12"/>
                <w:lang w:eastAsia="en-GB" w:bidi="th-TH"/>
              </w:rPr>
              <w:fldChar w:fldCharType="end"/>
            </w:r>
          </w:p>
        </w:tc>
      </w:tr>
      <w:tr w:rsidR="00871B31" w:rsidRPr="00756461" w14:paraId="03715C8B"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37172A6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Espinola-Sánchez, et al. 2023</w:t>
            </w:r>
          </w:p>
        </w:tc>
        <w:tc>
          <w:tcPr>
            <w:tcW w:w="1054" w:type="dxa"/>
            <w:tcBorders>
              <w:top w:val="single" w:sz="4" w:space="0" w:color="888888"/>
              <w:left w:val="single" w:sz="4" w:space="0" w:color="888888"/>
              <w:bottom w:val="single" w:sz="4" w:space="0" w:color="888888"/>
              <w:right w:val="single" w:sz="4" w:space="0" w:color="888888"/>
            </w:tcBorders>
          </w:tcPr>
          <w:p w14:paraId="0EC3A72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02F0AAA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Peru</w:t>
            </w:r>
          </w:p>
        </w:tc>
        <w:tc>
          <w:tcPr>
            <w:tcW w:w="786" w:type="dxa"/>
            <w:tcBorders>
              <w:top w:val="single" w:sz="4" w:space="0" w:color="888888"/>
              <w:left w:val="single" w:sz="4" w:space="0" w:color="888888"/>
              <w:bottom w:val="single" w:sz="4" w:space="0" w:color="888888"/>
              <w:right w:val="single" w:sz="4" w:space="0" w:color="888888"/>
            </w:tcBorders>
          </w:tcPr>
          <w:p w14:paraId="65CEE16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Neonatal mortality </w:t>
            </w:r>
          </w:p>
        </w:tc>
        <w:tc>
          <w:tcPr>
            <w:tcW w:w="786" w:type="dxa"/>
            <w:tcBorders>
              <w:top w:val="single" w:sz="4" w:space="0" w:color="888888"/>
              <w:left w:val="single" w:sz="4" w:space="0" w:color="888888"/>
              <w:bottom w:val="single" w:sz="4" w:space="0" w:color="888888"/>
              <w:right w:val="single" w:sz="4" w:space="0" w:color="888888"/>
            </w:tcBorders>
          </w:tcPr>
          <w:p w14:paraId="4CAA942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evaluation</w:t>
            </w:r>
          </w:p>
        </w:tc>
        <w:tc>
          <w:tcPr>
            <w:tcW w:w="1051" w:type="dxa"/>
            <w:tcBorders>
              <w:top w:val="single" w:sz="4" w:space="0" w:color="888888"/>
              <w:left w:val="single" w:sz="4" w:space="0" w:color="888888"/>
              <w:bottom w:val="single" w:sz="4" w:space="0" w:color="888888"/>
              <w:right w:val="single" w:sz="4" w:space="0" w:color="888888"/>
            </w:tcBorders>
          </w:tcPr>
          <w:p w14:paraId="470345B5"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639615E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age</w:t>
            </w:r>
          </w:p>
          <w:p w14:paraId="0FD3475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Hypertensive disorders of pregnancy</w:t>
            </w:r>
          </w:p>
          <w:p w14:paraId="37658BB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Infections</w:t>
            </w:r>
          </w:p>
          <w:p w14:paraId="4DAD7F30"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13F5258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Gestational age</w:t>
            </w:r>
          </w:p>
        </w:tc>
        <w:tc>
          <w:tcPr>
            <w:tcW w:w="851" w:type="dxa"/>
            <w:tcBorders>
              <w:top w:val="single" w:sz="4" w:space="0" w:color="888888"/>
              <w:left w:val="single" w:sz="4" w:space="0" w:color="888888"/>
              <w:bottom w:val="single" w:sz="4" w:space="0" w:color="888888"/>
              <w:right w:val="single" w:sz="4" w:space="0" w:color="888888"/>
            </w:tcBorders>
          </w:tcPr>
          <w:p w14:paraId="3EACDA9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084AE86B"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3CC2F344"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1DFB397E"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49D95CA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final Gradient Boosting model demonstrated an area under the curve (AUC) of 0.98, a sensitivity of 0.98, and a specificity of 0.98</w:t>
            </w:r>
          </w:p>
        </w:tc>
        <w:tc>
          <w:tcPr>
            <w:tcW w:w="851" w:type="dxa"/>
            <w:tcBorders>
              <w:top w:val="single" w:sz="4" w:space="0" w:color="888888"/>
              <w:left w:val="single" w:sz="4" w:space="0" w:color="888888"/>
              <w:bottom w:val="single" w:sz="4" w:space="0" w:color="888888"/>
              <w:right w:val="single" w:sz="4" w:space="0" w:color="888888"/>
            </w:tcBorders>
          </w:tcPr>
          <w:p w14:paraId="32C56B1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 Sensitivity, Specificity</w:t>
            </w:r>
          </w:p>
        </w:tc>
        <w:tc>
          <w:tcPr>
            <w:tcW w:w="817" w:type="dxa"/>
            <w:tcBorders>
              <w:top w:val="single" w:sz="4" w:space="0" w:color="888888"/>
              <w:left w:val="single" w:sz="4" w:space="0" w:color="888888"/>
              <w:bottom w:val="single" w:sz="4" w:space="0" w:color="888888"/>
              <w:right w:val="single" w:sz="4" w:space="0" w:color="888888"/>
            </w:tcBorders>
          </w:tcPr>
          <w:p w14:paraId="5AAADA3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6782C0B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280 pregnant women</w:t>
            </w:r>
          </w:p>
        </w:tc>
        <w:tc>
          <w:tcPr>
            <w:tcW w:w="851" w:type="dxa"/>
            <w:tcBorders>
              <w:top w:val="single" w:sz="4" w:space="0" w:color="888888"/>
              <w:left w:val="single" w:sz="4" w:space="0" w:color="888888"/>
              <w:bottom w:val="single" w:sz="4" w:space="0" w:color="888888"/>
              <w:right w:val="single" w:sz="4" w:space="0" w:color="888888"/>
            </w:tcBorders>
          </w:tcPr>
          <w:p w14:paraId="1E28A1B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research did not receive any specific grant funding</w:t>
            </w:r>
          </w:p>
        </w:tc>
        <w:tc>
          <w:tcPr>
            <w:tcW w:w="1134" w:type="dxa"/>
            <w:tcBorders>
              <w:top w:val="single" w:sz="4" w:space="0" w:color="888888"/>
              <w:left w:val="single" w:sz="4" w:space="0" w:color="888888"/>
              <w:bottom w:val="single" w:sz="4" w:space="0" w:color="888888"/>
              <w:right w:val="single" w:sz="4" w:space="0" w:color="888888"/>
            </w:tcBorders>
          </w:tcPr>
          <w:p w14:paraId="17D0FD3E"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44.0%</w:t>
            </w:r>
          </w:p>
        </w:tc>
        <w:tc>
          <w:tcPr>
            <w:tcW w:w="841" w:type="dxa"/>
            <w:tcBorders>
              <w:top w:val="single" w:sz="4" w:space="0" w:color="888888"/>
              <w:left w:val="single" w:sz="4" w:space="0" w:color="888888"/>
              <w:bottom w:val="single" w:sz="4" w:space="0" w:color="888888"/>
              <w:right w:val="single" w:sz="4" w:space="0" w:color="888888"/>
            </w:tcBorders>
          </w:tcPr>
          <w:p w14:paraId="478FEE7E"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Low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77BD2FBC" w14:textId="77777777" w:rsidR="00871B31" w:rsidRPr="00756461" w:rsidRDefault="00871B31" w:rsidP="00BC1F31">
            <w:pPr>
              <w:spacing w:after="0" w:line="240" w:lineRule="auto"/>
              <w:rPr>
                <w:rFonts w:ascii="Arial" w:hAnsi="Arial" w:cs="Arial"/>
                <w:color w:val="000000"/>
                <w:sz w:val="12"/>
                <w:szCs w:val="12"/>
              </w:rPr>
            </w:pPr>
            <w:r>
              <w:rPr>
                <w:rFonts w:ascii="Arial" w:hAnsi="Arial" w:cs="Arial"/>
                <w:color w:val="000000"/>
                <w:sz w:val="12"/>
                <w:szCs w:val="12"/>
              </w:rPr>
              <w:t xml:space="preserve">Not publicly </w:t>
            </w:r>
          </w:p>
          <w:p w14:paraId="2FDD48F1" w14:textId="77777777" w:rsidR="00871B31" w:rsidRPr="00756461" w:rsidRDefault="00871B31" w:rsidP="00BC1F31">
            <w:pPr>
              <w:spacing w:after="0" w:line="240" w:lineRule="auto"/>
              <w:rPr>
                <w:rFonts w:ascii="Arial" w:hAnsi="Arial" w:cs="Arial"/>
                <w:color w:val="000000"/>
                <w:sz w:val="12"/>
                <w:szCs w:val="12"/>
              </w:rPr>
            </w:pPr>
            <w:r>
              <w:rPr>
                <w:rFonts w:ascii="Arial" w:hAnsi="Arial" w:cs="Arial"/>
                <w:color w:val="000000"/>
                <w:sz w:val="12"/>
                <w:szCs w:val="12"/>
              </w:rPr>
              <w:br/>
            </w:r>
          </w:p>
          <w:p w14:paraId="574412F3"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 xml:space="preserve"> via inquiries to corresponding author</w:t>
            </w:r>
          </w:p>
        </w:tc>
        <w:tc>
          <w:tcPr>
            <w:tcW w:w="442" w:type="dxa"/>
            <w:tcBorders>
              <w:top w:val="single" w:sz="4" w:space="0" w:color="888888"/>
              <w:left w:val="single" w:sz="4" w:space="0" w:color="888888"/>
              <w:bottom w:val="single" w:sz="4" w:space="0" w:color="888888"/>
              <w:right w:val="single" w:sz="4" w:space="0" w:color="888888"/>
            </w:tcBorders>
          </w:tcPr>
          <w:p w14:paraId="6997E677"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{"citationID":"5POHu5kN","properties":{"formattedCitation":"[50]","plainCitation":"[50]","noteIndex":0},"citationItems":[{"id":"b2OWig5M/ZfixSyDf","uris":["http://zotero.org/users/18230940/items/8VT3LWQL"],"itemData":{"id":286,"type":"article-journal","abstract":"Introduction: Neonatal mortality remains a critical concern, particularly in developing countries. The advent of machine learning offers a promising avenue for predicting the survival of at-risk neonates. Further research is required to effectively deploy this approach within distinct clinical contexts. Objective: This study aimed to assess the applicability of machine learning models in predicting neonatal mortality, drawing from maternal and clinical characteristics of pregnant women within an intensive care unit (ICU). Methods: Conducted as an observational cross-sectional study, the research enrolled pregnant women receiving care in a level III national hospital's ICU in Peru. Detailed data encompassing maternal diagnosis, maternal characteristics, obstetric characteristics, and newborn outcomes (survival or demise) were meticulously collected. Employing machine learning, predictive models were developed for neonatal mortality. Estimations of beta coefficients in the training dataset informed the model application to the validation dataset. Results: A cohort of 280 pregnant women in the ICU were included in this study. The Gradient Boosting approach was selected following rigorous experimentation with diverse model types due to its superior F1-score, ROC curve performance, computational efficiency, and learning rate. The final model incorporated variables deemed pertinent to its efficacy, including gestational age, eclampsia, kidney infection, maternal age, previous placenta complications accompanied by hemorrhage, severe preeclampsia, number of prenatal checkups, and history of miscarriages. By incorporating optimized hyperparameter values, the model exhibited an impressive area under the curve (AUC) of 0.98 (95 % CI: 0.95–1), along with a sensitivity of 0.98 (95 % CI: 0.94–1) and specificity of 0.98 (95 % CI: 0.93–1). Conclusion: The findings underscore the utility of machine learning models, specifically Gradient Boosting, in foreseeing neonatal mortality among pregnant women admitted to the ICU, even when confronted with maternal morbidities. This insight can enhance clinical decision-making and ultimately reduce neonatal mortality rates. © 2023 Elsevier B.V., All rights reserved.","archive":"Scopus","container-title":"Heliyon","DOI":"10.1016/j.heliyon.2023.e20693","ISSN":"24058440 (ISSN)","issue":"10","language":"English","publisher":"Elsevier Ltd","title":"Prediction of neonatal death in pregnant women in an intensive care unit: Application of machine learning models","URL":"https://www.scopus.com/inward/record.uri?eid=2-s2.0-85173415729&amp;doi=10.1016%2Fj.heliyon.2023.e20693&amp;partnerID=40&amp;md5=263b358ed92d1f7cf35a37cd632eb3a9","volume":"9","author":[{"family":"Espinola-Sánchez","given":"M."},{"family":"Sanca-Valeriano","given":"S."},{"family":"Campaña-Acuña","given":"A."},{"family":"Caballero-Alvarado","given":"J."}],"issued":{"date-parts":[["2023"]]}}}],"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[50]</w:t>
            </w:r>
            <w:r>
              <w:rPr>
                <w:rFonts w:ascii="Arial" w:eastAsia="Times New Roman" w:hAnsi="Arial" w:cs="Arial"/>
                <w:color w:val="000000"/>
                <w:sz w:val="12"/>
                <w:szCs w:val="12"/>
                <w:lang w:eastAsia="en-GB" w:bidi="th-TH"/>
              </w:rPr>
              <w:fldChar w:fldCharType="end"/>
            </w:r>
          </w:p>
        </w:tc>
      </w:tr>
      <w:tr w:rsidR="00871B31" w:rsidRPr="00756461" w14:paraId="0A4F42F1"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2EF7F6E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Fazzari, et al. 2022</w:t>
            </w:r>
          </w:p>
        </w:tc>
        <w:tc>
          <w:tcPr>
            <w:tcW w:w="1054" w:type="dxa"/>
            <w:tcBorders>
              <w:top w:val="single" w:sz="4" w:space="0" w:color="888888"/>
              <w:left w:val="single" w:sz="4" w:space="0" w:color="888888"/>
              <w:bottom w:val="single" w:sz="4" w:space="0" w:color="888888"/>
              <w:right w:val="single" w:sz="4" w:space="0" w:color="888888"/>
            </w:tcBorders>
          </w:tcPr>
          <w:p w14:paraId="79C7841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Secondary analysis</w:t>
            </w:r>
          </w:p>
        </w:tc>
        <w:tc>
          <w:tcPr>
            <w:tcW w:w="742" w:type="dxa"/>
            <w:tcBorders>
              <w:top w:val="single" w:sz="4" w:space="0" w:color="888888"/>
              <w:left w:val="single" w:sz="4" w:space="0" w:color="888888"/>
              <w:bottom w:val="single" w:sz="4" w:space="0" w:color="888888"/>
              <w:right w:val="single" w:sz="4" w:space="0" w:color="888888"/>
            </w:tcBorders>
          </w:tcPr>
          <w:p w14:paraId="7623121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United States</w:t>
            </w:r>
          </w:p>
        </w:tc>
        <w:tc>
          <w:tcPr>
            <w:tcW w:w="786" w:type="dxa"/>
            <w:tcBorders>
              <w:top w:val="single" w:sz="4" w:space="0" w:color="888888"/>
              <w:left w:val="single" w:sz="4" w:space="0" w:color="888888"/>
              <w:bottom w:val="single" w:sz="4" w:space="0" w:color="888888"/>
              <w:right w:val="single" w:sz="4" w:space="0" w:color="888888"/>
            </w:tcBorders>
          </w:tcPr>
          <w:p w14:paraId="3A7ABF5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Foetal death</w:t>
            </w:r>
          </w:p>
        </w:tc>
        <w:tc>
          <w:tcPr>
            <w:tcW w:w="786" w:type="dxa"/>
            <w:tcBorders>
              <w:top w:val="single" w:sz="4" w:space="0" w:color="888888"/>
              <w:left w:val="single" w:sz="4" w:space="0" w:color="888888"/>
              <w:bottom w:val="single" w:sz="4" w:space="0" w:color="888888"/>
              <w:right w:val="single" w:sz="4" w:space="0" w:color="888888"/>
            </w:tcBorders>
          </w:tcPr>
          <w:p w14:paraId="120C7B7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Compare statistical </w:t>
            </w:r>
            <w:proofErr w:type="gramStart"/>
            <w:r>
              <w:rPr>
                <w:rFonts w:ascii="Arial" w:hAnsi="Arial" w:cs="Arial"/>
                <w:sz w:val="12"/>
                <w:szCs w:val="12"/>
              </w:rPr>
              <w:t>models</w:t>
            </w:r>
            <w:proofErr w:type="gramEnd"/>
            <w:r>
              <w:rPr>
                <w:rFonts w:ascii="Arial" w:hAnsi="Arial" w:cs="Arial"/>
                <w:sz w:val="12"/>
                <w:szCs w:val="12"/>
              </w:rPr>
              <w:t xml:space="preserve"> vs ML model</w:t>
            </w:r>
          </w:p>
        </w:tc>
        <w:tc>
          <w:tcPr>
            <w:tcW w:w="1051" w:type="dxa"/>
            <w:tcBorders>
              <w:top w:val="single" w:sz="4" w:space="0" w:color="888888"/>
              <w:left w:val="single" w:sz="4" w:space="0" w:color="888888"/>
              <w:bottom w:val="single" w:sz="4" w:space="0" w:color="888888"/>
              <w:right w:val="single" w:sz="4" w:space="0" w:color="888888"/>
            </w:tcBorders>
          </w:tcPr>
          <w:p w14:paraId="03E8BFC0"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1310DB7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Hypertensive disorders of pregnancy</w:t>
            </w:r>
          </w:p>
          <w:p w14:paraId="08C0B00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Blood pressure</w:t>
            </w:r>
          </w:p>
        </w:tc>
        <w:tc>
          <w:tcPr>
            <w:tcW w:w="851" w:type="dxa"/>
            <w:tcBorders>
              <w:top w:val="single" w:sz="4" w:space="0" w:color="888888"/>
              <w:left w:val="single" w:sz="4" w:space="0" w:color="888888"/>
              <w:bottom w:val="single" w:sz="4" w:space="0" w:color="888888"/>
              <w:right w:val="single" w:sz="4" w:space="0" w:color="888888"/>
            </w:tcBorders>
          </w:tcPr>
          <w:p w14:paraId="632E258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7C61B6B4"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4BAB065C"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7B1FD1B5"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0EBD083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SuperLearner (SL) performed best overall with an area under the ROC curve (AUC) of 0.78</w:t>
            </w:r>
          </w:p>
        </w:tc>
        <w:tc>
          <w:tcPr>
            <w:tcW w:w="851" w:type="dxa"/>
            <w:tcBorders>
              <w:top w:val="single" w:sz="4" w:space="0" w:color="888888"/>
              <w:left w:val="single" w:sz="4" w:space="0" w:color="888888"/>
              <w:bottom w:val="single" w:sz="4" w:space="0" w:color="888888"/>
              <w:right w:val="single" w:sz="4" w:space="0" w:color="888888"/>
            </w:tcBorders>
          </w:tcPr>
          <w:p w14:paraId="04F1CCD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w:t>
            </w:r>
          </w:p>
        </w:tc>
        <w:tc>
          <w:tcPr>
            <w:tcW w:w="817" w:type="dxa"/>
            <w:tcBorders>
              <w:top w:val="single" w:sz="4" w:space="0" w:color="888888"/>
              <w:left w:val="single" w:sz="4" w:space="0" w:color="888888"/>
              <w:bottom w:val="single" w:sz="4" w:space="0" w:color="888888"/>
              <w:right w:val="single" w:sz="4" w:space="0" w:color="888888"/>
            </w:tcBorders>
          </w:tcPr>
          <w:p w14:paraId="4B4B8B2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2C25279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385 subjects with SLE</w:t>
            </w:r>
          </w:p>
        </w:tc>
        <w:tc>
          <w:tcPr>
            <w:tcW w:w="851" w:type="dxa"/>
            <w:tcBorders>
              <w:top w:val="single" w:sz="4" w:space="0" w:color="888888"/>
              <w:left w:val="single" w:sz="4" w:space="0" w:color="888888"/>
              <w:bottom w:val="single" w:sz="4" w:space="0" w:color="888888"/>
              <w:right w:val="single" w:sz="4" w:space="0" w:color="888888"/>
            </w:tcBorders>
          </w:tcPr>
          <w:p w14:paraId="286D757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National Institute of Arthritis and Musculoskeletal and Skin Diseases at the National Institutes of Health (award number AR076612) and a research grant from the Lupus Foundation of America</w:t>
            </w:r>
          </w:p>
        </w:tc>
        <w:tc>
          <w:tcPr>
            <w:tcW w:w="1134" w:type="dxa"/>
            <w:tcBorders>
              <w:top w:val="single" w:sz="4" w:space="0" w:color="888888"/>
              <w:left w:val="single" w:sz="4" w:space="0" w:color="888888"/>
              <w:bottom w:val="single" w:sz="4" w:space="0" w:color="888888"/>
              <w:right w:val="single" w:sz="4" w:space="0" w:color="888888"/>
            </w:tcBorders>
          </w:tcPr>
          <w:p w14:paraId="0A4068B8"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54.2%</w:t>
            </w:r>
          </w:p>
        </w:tc>
        <w:tc>
          <w:tcPr>
            <w:tcW w:w="841" w:type="dxa"/>
            <w:tcBorders>
              <w:top w:val="single" w:sz="4" w:space="0" w:color="888888"/>
              <w:left w:val="single" w:sz="4" w:space="0" w:color="888888"/>
              <w:bottom w:val="single" w:sz="4" w:space="0" w:color="888888"/>
              <w:right w:val="single" w:sz="4" w:space="0" w:color="888888"/>
            </w:tcBorders>
          </w:tcPr>
          <w:p w14:paraId="63FE1270"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Unclear risk</w:t>
            </w:r>
            <w:r>
              <w:rPr>
                <w:rFonts w:ascii="Arial" w:hAnsi="Arial" w:cs="Arial"/>
                <w:color w:val="000000"/>
                <w:sz w:val="12"/>
                <w:szCs w:val="12"/>
              </w:rPr>
              <w:br/>
              <w:t>D4: Unclear risk</w:t>
            </w:r>
          </w:p>
        </w:tc>
        <w:tc>
          <w:tcPr>
            <w:tcW w:w="860" w:type="dxa"/>
            <w:tcBorders>
              <w:top w:val="single" w:sz="4" w:space="0" w:color="888888"/>
              <w:left w:val="single" w:sz="4" w:space="0" w:color="888888"/>
              <w:bottom w:val="single" w:sz="4" w:space="0" w:color="888888"/>
              <w:right w:val="single" w:sz="4" w:space="0" w:color="888888"/>
            </w:tcBorders>
          </w:tcPr>
          <w:p w14:paraId="25164A5A" w14:textId="77777777" w:rsidR="00871B31" w:rsidRPr="00756461" w:rsidRDefault="00871B31" w:rsidP="00BC1F31">
            <w:pPr>
              <w:spacing w:after="0" w:line="240" w:lineRule="auto"/>
              <w:rPr>
                <w:rFonts w:ascii="Arial" w:hAnsi="Arial" w:cs="Arial"/>
                <w:color w:val="000000"/>
                <w:sz w:val="12"/>
                <w:szCs w:val="12"/>
              </w:rPr>
            </w:pPr>
            <w:r>
              <w:rPr>
                <w:rFonts w:ascii="Arial" w:hAnsi="Arial" w:cs="Arial"/>
                <w:color w:val="000000"/>
                <w:sz w:val="12"/>
                <w:szCs w:val="12"/>
              </w:rPr>
              <w:t xml:space="preserve">Not publicly </w:t>
            </w:r>
          </w:p>
          <w:p w14:paraId="632F153E"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br/>
              <w:t>Available via inquiries to corresponding author</w:t>
            </w:r>
          </w:p>
        </w:tc>
        <w:tc>
          <w:tcPr>
            <w:tcW w:w="442" w:type="dxa"/>
            <w:tcBorders>
              <w:top w:val="single" w:sz="4" w:space="0" w:color="888888"/>
              <w:left w:val="single" w:sz="4" w:space="0" w:color="888888"/>
              <w:bottom w:val="single" w:sz="4" w:space="0" w:color="888888"/>
              <w:right w:val="single" w:sz="4" w:space="0" w:color="888888"/>
            </w:tcBorders>
          </w:tcPr>
          <w:p w14:paraId="204ECE5B"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{"citationID":"tqVq8d9I","properties":{"formattedCitation":"[51]","plainCitation":"[51]","noteIndex":0},"citationItems":[{"id":"b2OWig5M/JdDXq0lM","uris":["http://zotero.org/users/18230940/items/XFPMQG8S"],"itemData":{"id":848,"type":"article-journal","abstract":"Objectives Nearly 20% of pregnancies in patients with SLE result in an adverse pregnancy outcome (APO). We previously developed an APO prediction model using logistic regression and data from Predictors of pRegnancy Outcome: bioMarkers In Antiphospholipid Antibody Syndrome and Systemic Lupus Erythematosus (PROMISSE), a large multicentre study of pregnant women with mild/moderate SLE and/or antiphospholipid antibodies. Our goal was to determine whether machine learning (ML) approaches improve APO prediction and identify other risk factors.Methods The PROMISSE data included 41 predictors from 385 subjects; 18.4% had APO (preterm delivery due to placental insufficiency/pre-eclampsia, fetal/neonatal death, fetal growth restriction). Logistic regression with stepwise selection (LR-S), least absolute shrinkage and selection operator (LASSO), random forest (RF), neural network (NN), support vector machines (SVM-RBF), gradient boosting (GB) and SuperLearner (SL) were compared by cross-validated area under the ROC curve (AUC) and calibration.Results Previously identified APO risk factors, antihypertensive medication use, low platelets, SLE disease activity and lupus anticoagulant (LAC), were confirmed as important with each algorithm. LASSO additionally revealed potential interactions between LAC and anticardiolipin IgG, among others. SL performed the best (AUC=0.78), but was statistically indistinguishable from LASSO, SVM-RBF and RF (AUC=0.77 for all). LR-S, NN and GB had worse AUC (0.71–0.74) and calibration scores.Conclusions We predicted APO with reasonable accuracy using variables routinely assessed prior to the 12th week of pregnancy. LASSO and some ML methods performed better than a standard logistic regression approach. Substantial improvement in APO prediction will likely be realised, not with increasingly complex algorithms but by the discovery of new biomarkers and APO risk factors.","container-title":"Lupus Science &amp; Medicine","DOI":"10.1136/lupus-2022-000769","ISSN":"2053-8790","issue":"1","journalAbbreviation":"Lupus Sci Med","language":"en","license":"This is an open access article distributed in accordance with the Creative Commons Attribution Non Commercial (CC BY-NC 4.0) license","PMID":"10.1136/lupus-2022-000769","publisher":"Lupus Foundation of America","source":"lupus.bmj.com","title":"Adverse pregnancy outcomes in women with systemic lupus erythematosus: can we improve predictions with machine learning?","title-short":"Adverse pregnancy outcomes in women with systemic lupus erythematosus","URL":"https://lupus.bmj.com/content/9/1/e000769","volume":"9","author":[{"family":"Fazzari","given":"Melissa J."},{"family":"Guerra","given":"Marta M."},{"family":"Salmon","given":"Jane"},{"family":"Kim","given":"Mimi Y."}],"accessed":{"date-parts":[["2026",2,23]]},"issued":{"date-parts":[["2022",9,14]]}}}],"schema":"https://github.com/citation-style-language/schema/raw/master/csl-citation.json"}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[51]</w:t>
            </w:r>
            <w:r>
              <w:rPr>
                <w:rFonts w:ascii="Arial" w:eastAsia="Times New Roman" w:hAnsi="Arial" w:cs="Arial"/>
                <w:color w:val="000000"/>
                <w:sz w:val="12"/>
                <w:szCs w:val="12"/>
                <w:lang w:eastAsia="en-GB" w:bidi="th-TH"/>
              </w:rPr>
              <w:fldChar w:fldCharType="end"/>
            </w:r>
          </w:p>
        </w:tc>
      </w:tr>
      <w:tr w:rsidR="00871B31" w:rsidRPr="00756461" w14:paraId="455A4407"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1DC7CEC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Flatley, et al. 2019</w:t>
            </w:r>
          </w:p>
        </w:tc>
        <w:tc>
          <w:tcPr>
            <w:tcW w:w="1054" w:type="dxa"/>
            <w:tcBorders>
              <w:top w:val="single" w:sz="4" w:space="0" w:color="888888"/>
              <w:left w:val="single" w:sz="4" w:space="0" w:color="888888"/>
              <w:bottom w:val="single" w:sz="4" w:space="0" w:color="888888"/>
              <w:right w:val="single" w:sz="4" w:space="0" w:color="888888"/>
            </w:tcBorders>
          </w:tcPr>
          <w:p w14:paraId="155456C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Prospective study</w:t>
            </w:r>
          </w:p>
        </w:tc>
        <w:tc>
          <w:tcPr>
            <w:tcW w:w="742" w:type="dxa"/>
            <w:tcBorders>
              <w:top w:val="single" w:sz="4" w:space="0" w:color="888888"/>
              <w:left w:val="single" w:sz="4" w:space="0" w:color="888888"/>
              <w:bottom w:val="single" w:sz="4" w:space="0" w:color="888888"/>
              <w:right w:val="single" w:sz="4" w:space="0" w:color="888888"/>
            </w:tcBorders>
          </w:tcPr>
          <w:p w14:paraId="5F90CEE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Australia</w:t>
            </w:r>
          </w:p>
        </w:tc>
        <w:tc>
          <w:tcPr>
            <w:tcW w:w="786" w:type="dxa"/>
            <w:tcBorders>
              <w:top w:val="single" w:sz="4" w:space="0" w:color="888888"/>
              <w:left w:val="single" w:sz="4" w:space="0" w:color="888888"/>
              <w:bottom w:val="single" w:sz="4" w:space="0" w:color="888888"/>
              <w:right w:val="single" w:sz="4" w:space="0" w:color="888888"/>
            </w:tcBorders>
          </w:tcPr>
          <w:p w14:paraId="515E54E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Perinatal death (stillbirth + early neonatal death)</w:t>
            </w:r>
          </w:p>
        </w:tc>
        <w:tc>
          <w:tcPr>
            <w:tcW w:w="786" w:type="dxa"/>
            <w:tcBorders>
              <w:top w:val="single" w:sz="4" w:space="0" w:color="888888"/>
              <w:left w:val="single" w:sz="4" w:space="0" w:color="888888"/>
              <w:bottom w:val="single" w:sz="4" w:space="0" w:color="888888"/>
              <w:right w:val="single" w:sz="4" w:space="0" w:color="888888"/>
            </w:tcBorders>
          </w:tcPr>
          <w:p w14:paraId="2AEAF0D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development</w:t>
            </w:r>
          </w:p>
        </w:tc>
        <w:tc>
          <w:tcPr>
            <w:tcW w:w="1051" w:type="dxa"/>
            <w:tcBorders>
              <w:top w:val="single" w:sz="4" w:space="0" w:color="888888"/>
              <w:left w:val="single" w:sz="4" w:space="0" w:color="888888"/>
              <w:bottom w:val="single" w:sz="4" w:space="0" w:color="888888"/>
              <w:right w:val="single" w:sz="4" w:space="0" w:color="888888"/>
            </w:tcBorders>
          </w:tcPr>
          <w:p w14:paraId="12271FCF"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01FC13A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Parity</w:t>
            </w:r>
          </w:p>
          <w:p w14:paraId="3E8AC423"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6C933DB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Birth weight</w:t>
            </w:r>
          </w:p>
          <w:p w14:paraId="67B3A5D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Doppler (non-umbilical)</w:t>
            </w:r>
          </w:p>
          <w:p w14:paraId="71EF1062"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Sociodemographic factor</w:t>
            </w:r>
          </w:p>
          <w:p w14:paraId="7B547E8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Socioeconomic status</w:t>
            </w:r>
          </w:p>
        </w:tc>
        <w:tc>
          <w:tcPr>
            <w:tcW w:w="851" w:type="dxa"/>
            <w:tcBorders>
              <w:top w:val="single" w:sz="4" w:space="0" w:color="888888"/>
              <w:left w:val="single" w:sz="4" w:space="0" w:color="888888"/>
              <w:bottom w:val="single" w:sz="4" w:space="0" w:color="888888"/>
              <w:right w:val="single" w:sz="4" w:space="0" w:color="888888"/>
            </w:tcBorders>
          </w:tcPr>
          <w:p w14:paraId="7386F5D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1B92B34B"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65F50AE7"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04B024C7"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747F862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final model had an area under the receiver operating characteristic (AUROC) curve of 0.71, indicating moderate accuracy</w:t>
            </w:r>
          </w:p>
        </w:tc>
        <w:tc>
          <w:tcPr>
            <w:tcW w:w="851" w:type="dxa"/>
            <w:tcBorders>
              <w:top w:val="single" w:sz="4" w:space="0" w:color="888888"/>
              <w:left w:val="single" w:sz="4" w:space="0" w:color="888888"/>
              <w:bottom w:val="single" w:sz="4" w:space="0" w:color="888888"/>
              <w:right w:val="single" w:sz="4" w:space="0" w:color="888888"/>
            </w:tcBorders>
          </w:tcPr>
          <w:p w14:paraId="5B49CE1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AUROC</w:t>
            </w:r>
          </w:p>
        </w:tc>
        <w:tc>
          <w:tcPr>
            <w:tcW w:w="817" w:type="dxa"/>
            <w:tcBorders>
              <w:top w:val="single" w:sz="4" w:space="0" w:color="888888"/>
              <w:left w:val="single" w:sz="4" w:space="0" w:color="888888"/>
              <w:bottom w:val="single" w:sz="4" w:space="0" w:color="888888"/>
              <w:right w:val="single" w:sz="4" w:space="0" w:color="888888"/>
            </w:tcBorders>
          </w:tcPr>
          <w:p w14:paraId="39755A3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66120F5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5,439 women</w:t>
            </w:r>
          </w:p>
        </w:tc>
        <w:tc>
          <w:tcPr>
            <w:tcW w:w="851" w:type="dxa"/>
            <w:tcBorders>
              <w:top w:val="single" w:sz="4" w:space="0" w:color="888888"/>
              <w:left w:val="single" w:sz="4" w:space="0" w:color="888888"/>
              <w:bottom w:val="single" w:sz="4" w:space="0" w:color="888888"/>
              <w:right w:val="single" w:sz="4" w:space="0" w:color="888888"/>
            </w:tcBorders>
          </w:tcPr>
          <w:p w14:paraId="5DE2B0D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authors did not declare any specific grants for this research from public, commercial, or not-for-profit funding agencies</w:t>
            </w:r>
          </w:p>
        </w:tc>
        <w:tc>
          <w:tcPr>
            <w:tcW w:w="1134" w:type="dxa"/>
            <w:tcBorders>
              <w:top w:val="single" w:sz="4" w:space="0" w:color="888888"/>
              <w:left w:val="single" w:sz="4" w:space="0" w:color="888888"/>
              <w:bottom w:val="single" w:sz="4" w:space="0" w:color="888888"/>
              <w:right w:val="single" w:sz="4" w:space="0" w:color="888888"/>
            </w:tcBorders>
          </w:tcPr>
          <w:p w14:paraId="5CA782E5"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68.8%</w:t>
            </w:r>
          </w:p>
        </w:tc>
        <w:tc>
          <w:tcPr>
            <w:tcW w:w="841" w:type="dxa"/>
            <w:tcBorders>
              <w:top w:val="single" w:sz="4" w:space="0" w:color="888888"/>
              <w:left w:val="single" w:sz="4" w:space="0" w:color="888888"/>
              <w:bottom w:val="single" w:sz="4" w:space="0" w:color="888888"/>
              <w:right w:val="single" w:sz="4" w:space="0" w:color="888888"/>
            </w:tcBorders>
          </w:tcPr>
          <w:p w14:paraId="21557405"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High risk</w:t>
            </w:r>
            <w:r>
              <w:rPr>
                <w:rFonts w:ascii="Arial" w:hAnsi="Arial" w:cs="Arial"/>
                <w:color w:val="000000"/>
                <w:sz w:val="12"/>
                <w:szCs w:val="12"/>
              </w:rPr>
              <w:br/>
              <w:t>D3: High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66509BB6" w14:textId="77777777" w:rsidR="00871B31" w:rsidRPr="00756461" w:rsidRDefault="00871B31" w:rsidP="00BC1F31">
            <w:pPr>
              <w:spacing w:after="0" w:line="240" w:lineRule="auto"/>
              <w:rPr>
                <w:rFonts w:ascii="Arial" w:hAnsi="Arial" w:cs="Arial"/>
                <w:color w:val="000000"/>
                <w:sz w:val="12"/>
                <w:szCs w:val="12"/>
              </w:rPr>
            </w:pPr>
            <w:r>
              <w:rPr>
                <w:rFonts w:ascii="Arial" w:hAnsi="Arial" w:cs="Arial"/>
                <w:color w:val="000000"/>
                <w:sz w:val="12"/>
                <w:szCs w:val="12"/>
              </w:rPr>
              <w:t>Not publicly available</w:t>
            </w:r>
            <w:r>
              <w:rPr>
                <w:rFonts w:ascii="Arial" w:hAnsi="Arial" w:cs="Arial"/>
                <w:color w:val="000000"/>
                <w:sz w:val="12"/>
                <w:szCs w:val="12"/>
              </w:rPr>
              <w:br/>
            </w:r>
          </w:p>
          <w:p w14:paraId="3D72824A"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Available via inquiries to corresponding author</w:t>
            </w:r>
          </w:p>
        </w:tc>
        <w:tc>
          <w:tcPr>
            <w:tcW w:w="442" w:type="dxa"/>
            <w:tcBorders>
              <w:top w:val="single" w:sz="4" w:space="0" w:color="888888"/>
              <w:left w:val="single" w:sz="4" w:space="0" w:color="888888"/>
              <w:bottom w:val="single" w:sz="4" w:space="0" w:color="888888"/>
              <w:right w:val="single" w:sz="4" w:space="0" w:color="888888"/>
            </w:tcBorders>
          </w:tcPr>
          <w:p w14:paraId="6CFD1D4F"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{"citationID":"Yw3oCwF4","properties":{"formattedCitation":"[52]","plainCitation":"[52]","noteIndex":0},"citationItems":[{"id":"b2OWig5M/VhsA1r7R","uris":["http://zotero.org/users/18230940/items/JZJ97LRQ"],"itemData":{"id":707,"type":"article-journal","abstract":"Objective The aim of this study was to develop a predictive model using maternal, intrapartum and ultrasound variables for a composite of severe adverse neonatal outcomes (SANO) in term infants.Design Prospectively collected observational study. Mixed effects generalised linear models were used for modelling. Internal validation was performed using the K-fold cross-validation technique.Setting This was a study of women that birthed at the Mater Mother’s Hospital in Brisbane, Australia between January 2010 and April 2017.Patients We included all term, non-anomalous singleton pregnancies that had an ultrasound performed between 36 and 38 weeks gestation and had recordings for the umbilical artery pulsatility index, middle cerebral artery pulsatility index and the estimated fetal weight (EFW).Main outcome measures The components of the SANO were: severe acidosis arterial, admission to the neonatal intensive care unit, Apgar score of ≤3 at 5 min or perinatal death.Results There were 5439 women identified during the study period that met the inclusion criteria, with 11.7% of this cohort having SANO. The final generalised linear mixed model consisted of the following variables: maternal ethnicity, socioeconomic score, nulliparity, induction of labour, method of birth and z-scores for EFW and cerebroplacental ratio. The final model had an area under the receiver operating characteristic curve of 0.71.Conclusions The results of this study demonstrate it is possible to predict infants that are at risk of SANO at term with moderate accuracy using a combination of maternal, intrapartum and ultrasound variables. Cross-validation analysis suggests a high calibration of the model.","container-title":"BMJ Paediatrics Open","DOI":"10.1136/bmjpo-2018-000424","ISSN":"2399-9772","issue":"1","journalAbbreviation":"bmjpo","language":"en","license":"This is an open access article distributed in accordance with the Creative Commons Attribution Non Commercial (CC BY-NC 4.0) license","PMID":"10.1136/bmjpo-2018-000424","publisher":"BMJ Publishing Group Ltd","source":"bmjpaedsopen.bmj.com","title":"Cross-validated prediction model for severe adverse neonatal outcomes in a term, non-anomalous, singleton cohort","URL":"https://bmjpaedsopen.bmj.com/content/3/1/e000424","volume":"3","author":[{"family":"Flatley","given":"Christopher"},{"family":"Gibbons","given":"Kristen"},{"family":"Hurst","given":"Cameron"},{"family":"Flenady","given":"Vicki"},{"family":"Kumar","given":"Sailesh"}],"accessed":{"date-parts":[["2026",2,19]]},"issued":{"date-parts":[["2019",3,15]]}}}],"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[52]</w:t>
            </w:r>
            <w:r>
              <w:rPr>
                <w:rFonts w:ascii="Arial" w:eastAsia="Times New Roman" w:hAnsi="Arial" w:cs="Arial"/>
                <w:color w:val="000000"/>
                <w:sz w:val="12"/>
                <w:szCs w:val="12"/>
                <w:lang w:eastAsia="en-GB" w:bidi="th-TH"/>
              </w:rPr>
              <w:fldChar w:fldCharType="end"/>
            </w:r>
          </w:p>
        </w:tc>
      </w:tr>
      <w:tr w:rsidR="00871B31" w:rsidRPr="00756461" w14:paraId="186894B4"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32F0A2C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Gatabazi, et al. 2020</w:t>
            </w:r>
          </w:p>
        </w:tc>
        <w:tc>
          <w:tcPr>
            <w:tcW w:w="1054" w:type="dxa"/>
            <w:tcBorders>
              <w:top w:val="single" w:sz="4" w:space="0" w:color="888888"/>
              <w:left w:val="single" w:sz="4" w:space="0" w:color="888888"/>
              <w:bottom w:val="single" w:sz="4" w:space="0" w:color="888888"/>
              <w:right w:val="single" w:sz="4" w:space="0" w:color="888888"/>
            </w:tcBorders>
          </w:tcPr>
          <w:p w14:paraId="54A164C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4EA4719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Rwanda</w:t>
            </w:r>
          </w:p>
        </w:tc>
        <w:tc>
          <w:tcPr>
            <w:tcW w:w="786" w:type="dxa"/>
            <w:tcBorders>
              <w:top w:val="single" w:sz="4" w:space="0" w:color="888888"/>
              <w:left w:val="single" w:sz="4" w:space="0" w:color="888888"/>
              <w:bottom w:val="single" w:sz="4" w:space="0" w:color="888888"/>
              <w:right w:val="single" w:sz="4" w:space="0" w:color="888888"/>
            </w:tcBorders>
          </w:tcPr>
          <w:p w14:paraId="15A5E63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Neonatal mortality</w:t>
            </w:r>
          </w:p>
        </w:tc>
        <w:tc>
          <w:tcPr>
            <w:tcW w:w="786" w:type="dxa"/>
            <w:tcBorders>
              <w:top w:val="single" w:sz="4" w:space="0" w:color="888888"/>
              <w:left w:val="single" w:sz="4" w:space="0" w:color="888888"/>
              <w:bottom w:val="single" w:sz="4" w:space="0" w:color="888888"/>
              <w:right w:val="single" w:sz="4" w:space="0" w:color="888888"/>
            </w:tcBorders>
          </w:tcPr>
          <w:p w14:paraId="187E000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comparison</w:t>
            </w:r>
          </w:p>
        </w:tc>
        <w:tc>
          <w:tcPr>
            <w:tcW w:w="1051" w:type="dxa"/>
            <w:tcBorders>
              <w:top w:val="single" w:sz="4" w:space="0" w:color="888888"/>
              <w:left w:val="single" w:sz="4" w:space="0" w:color="888888"/>
              <w:bottom w:val="single" w:sz="4" w:space="0" w:color="888888"/>
              <w:right w:val="single" w:sz="4" w:space="0" w:color="888888"/>
            </w:tcBorders>
          </w:tcPr>
          <w:p w14:paraId="34D41F41"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48BFCD1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APGAR score</w:t>
            </w:r>
          </w:p>
        </w:tc>
        <w:tc>
          <w:tcPr>
            <w:tcW w:w="851" w:type="dxa"/>
            <w:tcBorders>
              <w:top w:val="single" w:sz="4" w:space="0" w:color="888888"/>
              <w:left w:val="single" w:sz="4" w:space="0" w:color="888888"/>
              <w:bottom w:val="single" w:sz="4" w:space="0" w:color="888888"/>
              <w:right w:val="single" w:sz="4" w:space="0" w:color="888888"/>
            </w:tcBorders>
          </w:tcPr>
          <w:p w14:paraId="012CBCD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2C55156A"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57235BC6"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02849F3A"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34DD193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Jackknife model (JMRSM) were closer to the standard model (MRSM) than the Bootstrap model (BMRSM) was, suggesting the MRSM is stable</w:t>
            </w:r>
          </w:p>
        </w:tc>
        <w:tc>
          <w:tcPr>
            <w:tcW w:w="851" w:type="dxa"/>
            <w:tcBorders>
              <w:top w:val="single" w:sz="4" w:space="0" w:color="888888"/>
              <w:left w:val="single" w:sz="4" w:space="0" w:color="888888"/>
              <w:bottom w:val="single" w:sz="4" w:space="0" w:color="888888"/>
              <w:right w:val="single" w:sz="4" w:space="0" w:color="888888"/>
            </w:tcBorders>
          </w:tcPr>
          <w:p w14:paraId="211DF03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Hazard Ratios (HR), Standard Errors (SE), 95% Confidence Intervals (CI), and Chi-square test statistics</w:t>
            </w:r>
          </w:p>
        </w:tc>
        <w:tc>
          <w:tcPr>
            <w:tcW w:w="817" w:type="dxa"/>
            <w:tcBorders>
              <w:top w:val="single" w:sz="4" w:space="0" w:color="888888"/>
              <w:left w:val="single" w:sz="4" w:space="0" w:color="888888"/>
              <w:bottom w:val="single" w:sz="4" w:space="0" w:color="888888"/>
              <w:right w:val="single" w:sz="4" w:space="0" w:color="888888"/>
            </w:tcBorders>
          </w:tcPr>
          <w:p w14:paraId="14960BA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5B4B02E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study included 2,117 newborns who had complete information for all the covariates of interest</w:t>
            </w:r>
          </w:p>
        </w:tc>
        <w:tc>
          <w:tcPr>
            <w:tcW w:w="851" w:type="dxa"/>
            <w:tcBorders>
              <w:top w:val="single" w:sz="4" w:space="0" w:color="888888"/>
              <w:left w:val="single" w:sz="4" w:space="0" w:color="888888"/>
              <w:bottom w:val="single" w:sz="4" w:space="0" w:color="888888"/>
              <w:right w:val="single" w:sz="4" w:space="0" w:color="888888"/>
            </w:tcBorders>
          </w:tcPr>
          <w:p w14:paraId="67BB38F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The manuscript writing was funded by the University of KwaZulu-Natal. The study design, data collection, analysis, and interpretation were funded by the </w:t>
            </w:r>
            <w:r>
              <w:rPr>
                <w:rFonts w:ascii="Arial" w:hAnsi="Arial" w:cs="Arial"/>
                <w:sz w:val="12"/>
                <w:szCs w:val="12"/>
              </w:rPr>
              <w:lastRenderedPageBreak/>
              <w:t xml:space="preserve">Wellcome Trust </w:t>
            </w:r>
          </w:p>
        </w:tc>
        <w:tc>
          <w:tcPr>
            <w:tcW w:w="1134" w:type="dxa"/>
            <w:tcBorders>
              <w:top w:val="single" w:sz="4" w:space="0" w:color="888888"/>
              <w:left w:val="single" w:sz="4" w:space="0" w:color="888888"/>
              <w:bottom w:val="single" w:sz="4" w:space="0" w:color="888888"/>
              <w:right w:val="single" w:sz="4" w:space="0" w:color="888888"/>
            </w:tcBorders>
          </w:tcPr>
          <w:p w14:paraId="1484A4BC"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lastRenderedPageBreak/>
              <w:t>47.7%</w:t>
            </w:r>
          </w:p>
        </w:tc>
        <w:tc>
          <w:tcPr>
            <w:tcW w:w="841" w:type="dxa"/>
            <w:tcBorders>
              <w:top w:val="single" w:sz="4" w:space="0" w:color="888888"/>
              <w:left w:val="single" w:sz="4" w:space="0" w:color="888888"/>
              <w:bottom w:val="single" w:sz="4" w:space="0" w:color="888888"/>
              <w:right w:val="single" w:sz="4" w:space="0" w:color="888888"/>
            </w:tcBorders>
          </w:tcPr>
          <w:p w14:paraId="3FB08DB3"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Unclear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7338D7DA"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Not publicly available</w:t>
            </w:r>
          </w:p>
        </w:tc>
        <w:tc>
          <w:tcPr>
            <w:tcW w:w="442" w:type="dxa"/>
            <w:tcBorders>
              <w:top w:val="single" w:sz="4" w:space="0" w:color="888888"/>
              <w:left w:val="single" w:sz="4" w:space="0" w:color="888888"/>
              <w:bottom w:val="single" w:sz="4" w:space="0" w:color="888888"/>
              <w:right w:val="single" w:sz="4" w:space="0" w:color="888888"/>
            </w:tcBorders>
          </w:tcPr>
          <w:p w14:paraId="66BDBF81"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{"citationID":"wRfPMgWL","properties":{"formattedCitation":"[53]","plainCitation":"[53]","noteIndex":0},"citationItems":[{"id":"b2OWig5M/BcUEZcPO","uris":["http://zotero.org/users/18230940/items/QNYIB87R"],"itemData":{"id":700,"type":"article-journal","abstract":"The Infant Mortality Rate (IMR) in Sub-Saharan Africa (SSA) remains the highest relatively to the rest of the world. In the past decade, the policy on reducing infant mortality in SSA was reinforced and both infant mortality and parental death decreased critically for some countries of SSA. The analysis of risk to death or attracting chronic disease may be done for helping medical practitioners and decision makers and for better preventing the infant mortality.","container-title":"BMC Pediatrics","DOI":"10.1186/s12887-020-1945-1","ISSN":"1471-2431","issue":"1","journalAbbreviation":"BMC Pediatr","language":"en","page":"62","source":"Springer Link","title":"Comparison of three classes of Marginal Risk Set Model in predicting infant mortality among newborn babies at Kigali University Teaching Hospital, Rwanda, 2016","volume":"20","author":[{"family":"Gatabazi","given":"Paul"},{"family":"Melesse","given":"Sileshi Fanta"},{"family":"Ramroop","given":"Shaun"}],"issued":{"date-parts":[["2020",2,10]]}}}],"schema":"https://github.com/citation-style-language/schema/raw/master/csl-citation.json"}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[53]</w:t>
            </w:r>
            <w:r>
              <w:rPr>
                <w:rFonts w:ascii="Arial" w:eastAsia="Times New Roman" w:hAnsi="Arial" w:cs="Arial"/>
                <w:color w:val="000000"/>
                <w:sz w:val="12"/>
                <w:szCs w:val="12"/>
                <w:lang w:eastAsia="en-GB" w:bidi="th-TH"/>
              </w:rPr>
              <w:fldChar w:fldCharType="end"/>
            </w:r>
          </w:p>
        </w:tc>
      </w:tr>
      <w:tr w:rsidR="00871B31" w:rsidRPr="00756461" w14:paraId="3476C18F"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7F1D72E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Giorgione, et al. 2025</w:t>
            </w:r>
          </w:p>
        </w:tc>
        <w:tc>
          <w:tcPr>
            <w:tcW w:w="1054" w:type="dxa"/>
            <w:tcBorders>
              <w:top w:val="single" w:sz="4" w:space="0" w:color="888888"/>
              <w:left w:val="single" w:sz="4" w:space="0" w:color="888888"/>
              <w:bottom w:val="single" w:sz="4" w:space="0" w:color="888888"/>
              <w:right w:val="single" w:sz="4" w:space="0" w:color="888888"/>
            </w:tcBorders>
          </w:tcPr>
          <w:p w14:paraId="27CD62D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0D553C4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UK, Italy, Belgium</w:t>
            </w:r>
          </w:p>
        </w:tc>
        <w:tc>
          <w:tcPr>
            <w:tcW w:w="786" w:type="dxa"/>
            <w:tcBorders>
              <w:top w:val="single" w:sz="4" w:space="0" w:color="888888"/>
              <w:left w:val="single" w:sz="4" w:space="0" w:color="888888"/>
              <w:bottom w:val="single" w:sz="4" w:space="0" w:color="888888"/>
              <w:right w:val="single" w:sz="4" w:space="0" w:color="888888"/>
            </w:tcBorders>
          </w:tcPr>
          <w:p w14:paraId="19F7354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w:t>
            </w:r>
          </w:p>
        </w:tc>
        <w:tc>
          <w:tcPr>
            <w:tcW w:w="786" w:type="dxa"/>
            <w:tcBorders>
              <w:top w:val="single" w:sz="4" w:space="0" w:color="888888"/>
              <w:left w:val="single" w:sz="4" w:space="0" w:color="888888"/>
              <w:bottom w:val="single" w:sz="4" w:space="0" w:color="888888"/>
              <w:right w:val="single" w:sz="4" w:space="0" w:color="888888"/>
            </w:tcBorders>
          </w:tcPr>
          <w:p w14:paraId="3BC3E6C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evaluation</w:t>
            </w:r>
          </w:p>
        </w:tc>
        <w:tc>
          <w:tcPr>
            <w:tcW w:w="1051" w:type="dxa"/>
            <w:tcBorders>
              <w:top w:val="single" w:sz="4" w:space="0" w:color="888888"/>
              <w:left w:val="single" w:sz="4" w:space="0" w:color="888888"/>
              <w:bottom w:val="single" w:sz="4" w:space="0" w:color="888888"/>
              <w:right w:val="single" w:sz="4" w:space="0" w:color="888888"/>
            </w:tcBorders>
          </w:tcPr>
          <w:p w14:paraId="6579D934"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0E8E897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Birth weight</w:t>
            </w:r>
          </w:p>
          <w:p w14:paraId="0D3C717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Umbilical artery Doppler</w:t>
            </w:r>
          </w:p>
        </w:tc>
        <w:tc>
          <w:tcPr>
            <w:tcW w:w="851" w:type="dxa"/>
            <w:tcBorders>
              <w:top w:val="single" w:sz="4" w:space="0" w:color="888888"/>
              <w:left w:val="single" w:sz="4" w:space="0" w:color="888888"/>
              <w:bottom w:val="single" w:sz="4" w:space="0" w:color="888888"/>
              <w:right w:val="single" w:sz="4" w:space="0" w:color="888888"/>
            </w:tcBorders>
          </w:tcPr>
          <w:p w14:paraId="62D90CB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3BCA7ED6"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627098DA"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14A4DD7B"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13D17BF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The best-performing model, which included EFW discordance and umbilical artery (UA) pulsatility index (PI) discordance, achieved an area under the curve (AUC) of 0.90 </w:t>
            </w:r>
          </w:p>
        </w:tc>
        <w:tc>
          <w:tcPr>
            <w:tcW w:w="851" w:type="dxa"/>
            <w:tcBorders>
              <w:top w:val="single" w:sz="4" w:space="0" w:color="888888"/>
              <w:left w:val="single" w:sz="4" w:space="0" w:color="888888"/>
              <w:bottom w:val="single" w:sz="4" w:space="0" w:color="888888"/>
              <w:right w:val="single" w:sz="4" w:space="0" w:color="888888"/>
            </w:tcBorders>
          </w:tcPr>
          <w:p w14:paraId="668CB89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w:t>
            </w:r>
          </w:p>
        </w:tc>
        <w:tc>
          <w:tcPr>
            <w:tcW w:w="817" w:type="dxa"/>
            <w:tcBorders>
              <w:top w:val="single" w:sz="4" w:space="0" w:color="888888"/>
              <w:left w:val="single" w:sz="4" w:space="0" w:color="888888"/>
              <w:bottom w:val="single" w:sz="4" w:space="0" w:color="888888"/>
              <w:right w:val="single" w:sz="4" w:space="0" w:color="888888"/>
            </w:tcBorders>
          </w:tcPr>
          <w:p w14:paraId="3F929C9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768D88D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study included 1294 dichorionic twin pregnancies managed between 2013 and 2023</w:t>
            </w:r>
          </w:p>
        </w:tc>
        <w:tc>
          <w:tcPr>
            <w:tcW w:w="851" w:type="dxa"/>
            <w:tcBorders>
              <w:top w:val="single" w:sz="4" w:space="0" w:color="888888"/>
              <w:left w:val="single" w:sz="4" w:space="0" w:color="888888"/>
              <w:bottom w:val="single" w:sz="4" w:space="0" w:color="888888"/>
              <w:right w:val="single" w:sz="4" w:space="0" w:color="888888"/>
            </w:tcBorders>
          </w:tcPr>
          <w:p w14:paraId="2EC6BCD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authors received no specific funding for this research</w:t>
            </w:r>
          </w:p>
        </w:tc>
        <w:tc>
          <w:tcPr>
            <w:tcW w:w="1134" w:type="dxa"/>
            <w:tcBorders>
              <w:top w:val="single" w:sz="4" w:space="0" w:color="888888"/>
              <w:left w:val="single" w:sz="4" w:space="0" w:color="888888"/>
              <w:bottom w:val="single" w:sz="4" w:space="0" w:color="888888"/>
              <w:right w:val="single" w:sz="4" w:space="0" w:color="888888"/>
            </w:tcBorders>
          </w:tcPr>
          <w:p w14:paraId="1946D115"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59.6%</w:t>
            </w:r>
          </w:p>
        </w:tc>
        <w:tc>
          <w:tcPr>
            <w:tcW w:w="841" w:type="dxa"/>
            <w:tcBorders>
              <w:top w:val="single" w:sz="4" w:space="0" w:color="888888"/>
              <w:left w:val="single" w:sz="4" w:space="0" w:color="888888"/>
              <w:bottom w:val="single" w:sz="4" w:space="0" w:color="888888"/>
              <w:right w:val="single" w:sz="4" w:space="0" w:color="888888"/>
            </w:tcBorders>
          </w:tcPr>
          <w:p w14:paraId="4CCFD1B8"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High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5BAD576F"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Not publicly available</w:t>
            </w:r>
            <w:r>
              <w:rPr>
                <w:rFonts w:ascii="Arial" w:hAnsi="Arial" w:cs="Arial"/>
                <w:color w:val="000000"/>
                <w:sz w:val="12"/>
                <w:szCs w:val="12"/>
              </w:rPr>
              <w:br/>
              <w:t>Available via inquiries to corresponding author</w:t>
            </w:r>
          </w:p>
        </w:tc>
        <w:tc>
          <w:tcPr>
            <w:tcW w:w="442" w:type="dxa"/>
            <w:tcBorders>
              <w:top w:val="single" w:sz="4" w:space="0" w:color="888888"/>
              <w:left w:val="single" w:sz="4" w:space="0" w:color="888888"/>
              <w:bottom w:val="single" w:sz="4" w:space="0" w:color="888888"/>
              <w:right w:val="single" w:sz="4" w:space="0" w:color="888888"/>
            </w:tcBorders>
          </w:tcPr>
          <w:p w14:paraId="24002421"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{"citationID":"iSMt2ydi","properties":{"formattedCitation":"[54]","plainCitation":"[54]","noteIndex":0},"citationItems":[{"id":"b2OWig5M/GQbsqfep","uris":["http://zotero.org/users/18230940/items/IITXENNI"],"itemData":{"id":702,"type":"article-journal","abstract":"Objective Dichorionic twin pregnancies are associated with increased risks of stillbirth or medically indicated early preterm birth (ePTB) to avoid stillbirths. This study evaluated the predictive value of fetal estimated weight (EFW) and Doppler indices before adverse perinatal outcomes. Design Retrospective multicentre cohort study. Setting Three tertiary centres in the UK, Italy and Belgium. Population The study included 1294 dichorionic twin pregnancies managed between 2013 and 2023. Methods Univariable and multivariable analyses assessed the association and the predictive accuracy between EFW and Doppler indices taken within 2 weeks of birth or adverse perinatal outcomes. Main Outcome Measures Stillbirths (of one or both twins) or medically indicated ePTB before 34 weeks' gestation for fetal indications. Results The study identified 58 pregnancies (4.5%) complicated by adverse perinatal outcomes. There were significant differences (all p &lt; 0.001) between twins with adverse perinatal outcomes and liveborn twins for small for gestational age foetuses (89.5% vs. 59.3%), EFW discordance (31.8% vs. 8.4%), umbilical artery (UA) pulsatility index (PI) discordance (39.7% vs. 12.6%) and middle cerebral artery PI discordance (27.6% vs. 13.3%). These associations remained significant after adjusting for maternal characteristics and gestational age. The best predictive model included EFW discordance and UA PI discordance, with an area under the curve of 0.90. Conclusions The integration of intertwin EFW and UA PI discordance can effectively predict stillbirths or the need for medically indicated ePTB. After external validation in larger populations, this model could provide effective risk stratification of dichorionic pregnancies to enable targeted interventions to improve clinical outcomes.","container-title":"BJOG: An International Journal of Obstetrics &amp; Gynaecology","DOI":"10.1111/1471-0528.18125","ISSN":"1471-0528","issue":"7","language":"en","license":"© 2025 The Author(s). BJOG: An International Journal of Obstetrics and Gynaecology published by John Wiley &amp; Sons Ltd.","note":"_eprint: https://obgyn.onlinelibrary.wiley.com/doi/pdf/10.1111/1471-0528.18125","page":"983-990","source":"Wiley Online Library","title":"Predicting Adverse Perinatal Outcomes in Dichorionic Twin Pregnancies: A Multicentre Cohort Study","title-short":"Predicting Adverse Perinatal Outcomes in Dichorionic Twin Pregnancies","volume":"132","author":[{"family":"Giorgione","given":"Veronica"},{"family":"Trapani","given":"Mariarita"},{"family":"Lopian","given":"Miriam"},{"family":"Brutto","given":"Mariafrancesca"},{"family":"Ferrante","given":"Maria Giulia"},{"family":"Bhide","given":"Amarnath"},{"family":"Jani","given":"Jacques C."},{"family":"Badr","given":"Dominique A."},{"family":"Ghi","given":"Tullio"},{"family":"Thilaganathan","given":"Basky"},{"family":"Familiari","given":"Alessandra"},{"family":"Bevilacqua","given":"Elisa"}],"issued":{"date-parts":[["2025"]]}}}],"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[54]</w:t>
            </w:r>
            <w:r>
              <w:rPr>
                <w:rFonts w:ascii="Arial" w:eastAsia="Times New Roman" w:hAnsi="Arial" w:cs="Arial"/>
                <w:color w:val="000000"/>
                <w:sz w:val="12"/>
                <w:szCs w:val="12"/>
                <w:lang w:eastAsia="en-GB" w:bidi="th-TH"/>
              </w:rPr>
              <w:fldChar w:fldCharType="end"/>
            </w:r>
          </w:p>
        </w:tc>
      </w:tr>
      <w:tr w:rsidR="00871B31" w:rsidRPr="00756461" w14:paraId="7A41D6B6"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4AEC4DE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Gunenc, et al. 2025</w:t>
            </w:r>
          </w:p>
        </w:tc>
        <w:tc>
          <w:tcPr>
            <w:tcW w:w="1054" w:type="dxa"/>
            <w:tcBorders>
              <w:top w:val="single" w:sz="4" w:space="0" w:color="888888"/>
              <w:left w:val="single" w:sz="4" w:space="0" w:color="888888"/>
              <w:bottom w:val="single" w:sz="4" w:space="0" w:color="888888"/>
              <w:right w:val="single" w:sz="4" w:space="0" w:color="888888"/>
            </w:tcBorders>
          </w:tcPr>
          <w:p w14:paraId="6676B27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72AAA8D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Turkey</w:t>
            </w:r>
          </w:p>
        </w:tc>
        <w:tc>
          <w:tcPr>
            <w:tcW w:w="786" w:type="dxa"/>
            <w:tcBorders>
              <w:top w:val="single" w:sz="4" w:space="0" w:color="888888"/>
              <w:left w:val="single" w:sz="4" w:space="0" w:color="888888"/>
              <w:bottom w:val="single" w:sz="4" w:space="0" w:color="888888"/>
              <w:right w:val="single" w:sz="4" w:space="0" w:color="888888"/>
            </w:tcBorders>
          </w:tcPr>
          <w:p w14:paraId="181B75B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w:t>
            </w:r>
          </w:p>
        </w:tc>
        <w:tc>
          <w:tcPr>
            <w:tcW w:w="786" w:type="dxa"/>
            <w:tcBorders>
              <w:top w:val="single" w:sz="4" w:space="0" w:color="888888"/>
              <w:left w:val="single" w:sz="4" w:space="0" w:color="888888"/>
              <w:bottom w:val="single" w:sz="4" w:space="0" w:color="888888"/>
              <w:right w:val="single" w:sz="4" w:space="0" w:color="888888"/>
            </w:tcBorders>
          </w:tcPr>
          <w:p w14:paraId="707F462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evaluation</w:t>
            </w:r>
          </w:p>
        </w:tc>
        <w:tc>
          <w:tcPr>
            <w:tcW w:w="1051" w:type="dxa"/>
            <w:tcBorders>
              <w:top w:val="single" w:sz="4" w:space="0" w:color="888888"/>
              <w:left w:val="single" w:sz="4" w:space="0" w:color="888888"/>
              <w:bottom w:val="single" w:sz="4" w:space="0" w:color="888888"/>
              <w:right w:val="single" w:sz="4" w:space="0" w:color="888888"/>
            </w:tcBorders>
          </w:tcPr>
          <w:p w14:paraId="5DB2C56B"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2E4C7AE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Previous adverse outcome</w:t>
            </w:r>
          </w:p>
        </w:tc>
        <w:tc>
          <w:tcPr>
            <w:tcW w:w="851" w:type="dxa"/>
            <w:tcBorders>
              <w:top w:val="single" w:sz="4" w:space="0" w:color="888888"/>
              <w:left w:val="single" w:sz="4" w:space="0" w:color="888888"/>
              <w:bottom w:val="single" w:sz="4" w:space="0" w:color="888888"/>
              <w:right w:val="single" w:sz="4" w:space="0" w:color="888888"/>
            </w:tcBorders>
          </w:tcPr>
          <w:p w14:paraId="4713D26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5E7A7A46"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1BB1C19F"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0D5DC3B6"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992" w:type="dxa"/>
            <w:tcBorders>
              <w:top w:val="single" w:sz="4" w:space="0" w:color="888888"/>
              <w:left w:val="single" w:sz="4" w:space="0" w:color="888888"/>
              <w:bottom w:val="single" w:sz="4" w:space="0" w:color="888888"/>
              <w:right w:val="single" w:sz="4" w:space="0" w:color="888888"/>
            </w:tcBorders>
          </w:tcPr>
          <w:p w14:paraId="6129D38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Random Forest (RF) model was the most successful, achieving 96.8% accuracy, 96.3% sensitivity, 97.2% specificity, and an Area Under the Curve (AUC) of 0.99 </w:t>
            </w:r>
          </w:p>
        </w:tc>
        <w:tc>
          <w:tcPr>
            <w:tcW w:w="851" w:type="dxa"/>
            <w:tcBorders>
              <w:top w:val="single" w:sz="4" w:space="0" w:color="888888"/>
              <w:left w:val="single" w:sz="4" w:space="0" w:color="888888"/>
              <w:bottom w:val="single" w:sz="4" w:space="0" w:color="888888"/>
              <w:right w:val="single" w:sz="4" w:space="0" w:color="888888"/>
            </w:tcBorders>
          </w:tcPr>
          <w:p w14:paraId="1CA443D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 Sensitivity, Specificity, Accuracy</w:t>
            </w:r>
          </w:p>
        </w:tc>
        <w:tc>
          <w:tcPr>
            <w:tcW w:w="817" w:type="dxa"/>
            <w:tcBorders>
              <w:top w:val="single" w:sz="4" w:space="0" w:color="888888"/>
              <w:left w:val="single" w:sz="4" w:space="0" w:color="888888"/>
              <w:bottom w:val="single" w:sz="4" w:space="0" w:color="888888"/>
              <w:right w:val="single" w:sz="4" w:space="0" w:color="888888"/>
            </w:tcBorders>
          </w:tcPr>
          <w:p w14:paraId="64CBADF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74DD467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 total of 951 patients were included in the final analysis, consisting of 452 stillbirth cases and 499 live birth cases</w:t>
            </w:r>
          </w:p>
        </w:tc>
        <w:tc>
          <w:tcPr>
            <w:tcW w:w="851" w:type="dxa"/>
            <w:tcBorders>
              <w:top w:val="single" w:sz="4" w:space="0" w:color="888888"/>
              <w:left w:val="single" w:sz="4" w:space="0" w:color="888888"/>
              <w:bottom w:val="single" w:sz="4" w:space="0" w:color="888888"/>
              <w:right w:val="single" w:sz="4" w:space="0" w:color="888888"/>
            </w:tcBorders>
          </w:tcPr>
          <w:p w14:paraId="67E5922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research did not receive any external funding</w:t>
            </w:r>
          </w:p>
        </w:tc>
        <w:tc>
          <w:tcPr>
            <w:tcW w:w="1134" w:type="dxa"/>
            <w:tcBorders>
              <w:top w:val="single" w:sz="4" w:space="0" w:color="888888"/>
              <w:left w:val="single" w:sz="4" w:space="0" w:color="888888"/>
              <w:bottom w:val="single" w:sz="4" w:space="0" w:color="888888"/>
              <w:right w:val="single" w:sz="4" w:space="0" w:color="888888"/>
            </w:tcBorders>
          </w:tcPr>
          <w:p w14:paraId="6D25E339"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56.3%</w:t>
            </w:r>
          </w:p>
        </w:tc>
        <w:tc>
          <w:tcPr>
            <w:tcW w:w="841" w:type="dxa"/>
            <w:tcBorders>
              <w:top w:val="single" w:sz="4" w:space="0" w:color="888888"/>
              <w:left w:val="single" w:sz="4" w:space="0" w:color="888888"/>
              <w:bottom w:val="single" w:sz="4" w:space="0" w:color="888888"/>
              <w:right w:val="single" w:sz="4" w:space="0" w:color="888888"/>
            </w:tcBorders>
          </w:tcPr>
          <w:p w14:paraId="618AECDA"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High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29AD5DCF" w14:textId="77777777" w:rsidR="00871B31" w:rsidRPr="00756461" w:rsidRDefault="00871B31" w:rsidP="00BC1F31">
            <w:pPr>
              <w:spacing w:after="0" w:line="240" w:lineRule="auto"/>
              <w:rPr>
                <w:rFonts w:ascii="Arial" w:hAnsi="Arial" w:cs="Arial"/>
                <w:color w:val="000000"/>
                <w:sz w:val="12"/>
                <w:szCs w:val="12"/>
              </w:rPr>
            </w:pPr>
            <w:r>
              <w:rPr>
                <w:rFonts w:ascii="Arial" w:hAnsi="Arial" w:cs="Arial"/>
                <w:color w:val="000000"/>
                <w:sz w:val="12"/>
                <w:szCs w:val="12"/>
              </w:rPr>
              <w:t>Not publicly available</w:t>
            </w:r>
            <w:r>
              <w:rPr>
                <w:rFonts w:ascii="Arial" w:hAnsi="Arial" w:cs="Arial"/>
                <w:color w:val="000000"/>
                <w:sz w:val="12"/>
                <w:szCs w:val="12"/>
              </w:rPr>
              <w:br/>
            </w:r>
          </w:p>
          <w:p w14:paraId="7AF49647"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Available via inquiries to corresponding author</w:t>
            </w:r>
          </w:p>
        </w:tc>
        <w:tc>
          <w:tcPr>
            <w:tcW w:w="442" w:type="dxa"/>
            <w:tcBorders>
              <w:top w:val="single" w:sz="4" w:space="0" w:color="888888"/>
              <w:left w:val="single" w:sz="4" w:space="0" w:color="888888"/>
              <w:bottom w:val="single" w:sz="4" w:space="0" w:color="888888"/>
              <w:right w:val="single" w:sz="4" w:space="0" w:color="888888"/>
            </w:tcBorders>
          </w:tcPr>
          <w:p w14:paraId="143617F5"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{"citationID":"rqmup7Mi","properties":{"formattedCitation":"[55]","plainCitation":"[55]","noteIndex":0},"citationItems":[{"id":"b2OWig5M/tMmpY7AJ","uris":["http://zotero.org/users/18230940/items/AKHFJXJX"],"itemData":{"id":704,"type":"article-journal","abstract":"Background and Objectives: This study aims to evaluate the predictive value of comprehensive data obtained in obstetric clinics for the detection of stillbirth and the predictive ability set of machine learning models for stillbirth. Material and Method: The study retrospectively included all stillbirths followed up at a hospital between January 2015 and March 2024 and randomly selected pregnancies that resulted in a live birth. The electronic record system accessed pregnant women's maternal, fetal, and obstetric characteristics. Based on the perinatal characteristics of the cases, four distinct machine learning classifiers were developed: logistic regression (LR), Support Vector Machine (SVM), Random Forest (RF), and multilayer perceptron (MLP). Results: The study included a total of 951 patients, 499 of whom had live births and 452 of whom had stillbirths. The consanguinity rate, fetal anomalies, history of previous stillbirth, maternal thrombosis, oligohydramnios, and abruption of the placenta were significantly higher in the stillbirth group (p = 0.001). Previous stillbirth histories resulted in a higher rate of stillbirth (OR: 7.31, 95%CI: 2.76-19.31, p = 0.001). Previous thrombosis histories resulted in a higher rate of stillbirth (OR: 14.13, 95%CI: 5.08-39.31, p = 0.001). According to the accuracy estimates of the machine learning models, RF is the most successful model with 96.8% accuracy, 96.3% sensitivity, and 97.2% specificity. Conclusions: The RF machine learning approach employed to predict stillbirths had an accuracy rate of 96.8%. We believe that the elevated success rate of stillbirth prediction using maternal, neonatal, and obstetric risk factors will assist healthcare providers in reducing stillbirth rates through prenatal care interventions.","container-title":"Medicina","DOI":"10.3390/medicina61030472","ISSN":"1648-9144","issue":"3","journalAbbreviation":"Medicina (Kaunas)","language":"eng","page":"472","PMID":"40142283","PMCID":"PMC11943628","publisher-place":"Kaunas, Lithuania","source":"PubMed","title":"The Application of Machine Learning Models to Predict Stillbirths","volume":"61","author":[{"family":"Gunenc","given":"Oguzhan"},{"family":"Dogru","given":"Sukran"},{"family":"Yaman","given":"Fikriye Karanfil"},{"family":"Ezveci","given":"Huriye"},{"family":"Metin","given":"Ulfet Sena"},{"family":"Acar","given":"Ali"}],"issued":{"date-parts":[["2025",3,7]]}}}],"schema":"https://github.com/citation-style-language/schema/raw/master/csl-citation.json"}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[55]</w:t>
            </w:r>
            <w:r>
              <w:rPr>
                <w:rFonts w:ascii="Arial" w:eastAsia="Times New Roman" w:hAnsi="Arial" w:cs="Arial"/>
                <w:color w:val="000000"/>
                <w:sz w:val="12"/>
                <w:szCs w:val="12"/>
                <w:lang w:eastAsia="en-GB" w:bidi="th-TH"/>
              </w:rPr>
              <w:fldChar w:fldCharType="end"/>
            </w:r>
          </w:p>
        </w:tc>
      </w:tr>
      <w:tr w:rsidR="00871B31" w:rsidRPr="00756461" w14:paraId="43A5E151"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4AD6F39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Hauptman, et al. 2025</w:t>
            </w:r>
          </w:p>
        </w:tc>
        <w:tc>
          <w:tcPr>
            <w:tcW w:w="1054" w:type="dxa"/>
            <w:tcBorders>
              <w:top w:val="single" w:sz="4" w:space="0" w:color="888888"/>
              <w:left w:val="single" w:sz="4" w:space="0" w:color="888888"/>
              <w:bottom w:val="single" w:sz="4" w:space="0" w:color="888888"/>
              <w:right w:val="single" w:sz="4" w:space="0" w:color="888888"/>
            </w:tcBorders>
          </w:tcPr>
          <w:p w14:paraId="334C8C4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A case-only study </w:t>
            </w:r>
          </w:p>
        </w:tc>
        <w:tc>
          <w:tcPr>
            <w:tcW w:w="742" w:type="dxa"/>
            <w:tcBorders>
              <w:top w:val="single" w:sz="4" w:space="0" w:color="888888"/>
              <w:left w:val="single" w:sz="4" w:space="0" w:color="888888"/>
              <w:bottom w:val="single" w:sz="4" w:space="0" w:color="888888"/>
              <w:right w:val="single" w:sz="4" w:space="0" w:color="888888"/>
            </w:tcBorders>
          </w:tcPr>
          <w:p w14:paraId="1AAF3DA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USA</w:t>
            </w:r>
          </w:p>
        </w:tc>
        <w:tc>
          <w:tcPr>
            <w:tcW w:w="786" w:type="dxa"/>
            <w:tcBorders>
              <w:top w:val="single" w:sz="4" w:space="0" w:color="888888"/>
              <w:left w:val="single" w:sz="4" w:space="0" w:color="888888"/>
              <w:bottom w:val="single" w:sz="4" w:space="0" w:color="888888"/>
              <w:right w:val="single" w:sz="4" w:space="0" w:color="888888"/>
            </w:tcBorders>
          </w:tcPr>
          <w:p w14:paraId="4FDC83F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Neonatal mortality</w:t>
            </w:r>
          </w:p>
        </w:tc>
        <w:tc>
          <w:tcPr>
            <w:tcW w:w="786" w:type="dxa"/>
            <w:tcBorders>
              <w:top w:val="single" w:sz="4" w:space="0" w:color="888888"/>
              <w:left w:val="single" w:sz="4" w:space="0" w:color="888888"/>
              <w:bottom w:val="single" w:sz="4" w:space="0" w:color="888888"/>
              <w:right w:val="single" w:sz="4" w:space="0" w:color="888888"/>
            </w:tcBorders>
          </w:tcPr>
          <w:p w14:paraId="59C0385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Predictor evaluation</w:t>
            </w:r>
          </w:p>
        </w:tc>
        <w:tc>
          <w:tcPr>
            <w:tcW w:w="1051" w:type="dxa"/>
            <w:tcBorders>
              <w:top w:val="single" w:sz="4" w:space="0" w:color="888888"/>
              <w:left w:val="single" w:sz="4" w:space="0" w:color="888888"/>
              <w:bottom w:val="single" w:sz="4" w:space="0" w:color="888888"/>
              <w:right w:val="single" w:sz="4" w:space="0" w:color="888888"/>
            </w:tcBorders>
          </w:tcPr>
          <w:p w14:paraId="3E3EE4C8"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0DDBB1D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Blood pressure</w:t>
            </w:r>
          </w:p>
        </w:tc>
        <w:tc>
          <w:tcPr>
            <w:tcW w:w="851" w:type="dxa"/>
            <w:tcBorders>
              <w:top w:val="single" w:sz="4" w:space="0" w:color="888888"/>
              <w:left w:val="single" w:sz="4" w:space="0" w:color="888888"/>
              <w:bottom w:val="single" w:sz="4" w:space="0" w:color="888888"/>
              <w:right w:val="single" w:sz="4" w:space="0" w:color="888888"/>
            </w:tcBorders>
          </w:tcPr>
          <w:p w14:paraId="4041344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Online data</w:t>
            </w:r>
          </w:p>
        </w:tc>
        <w:tc>
          <w:tcPr>
            <w:tcW w:w="851" w:type="dxa"/>
            <w:tcBorders>
              <w:top w:val="single" w:sz="4" w:space="0" w:color="888888"/>
              <w:left w:val="single" w:sz="4" w:space="0" w:color="888888"/>
              <w:bottom w:val="single" w:sz="4" w:space="0" w:color="888888"/>
              <w:right w:val="single" w:sz="4" w:space="0" w:color="888888"/>
            </w:tcBorders>
          </w:tcPr>
          <w:p w14:paraId="207F7F15"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563B02B3"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30E35E1A"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1D9DD37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model using gestational age (GA) performed better than the model using ACOG diagnosis (severity). The GA-based model had an Area Under the Curve (AUC) of 0.82, while the severity-based model had an AUC of 0.73. The difference between the AUCs was statistically significant (p=0.031)</w:t>
            </w:r>
          </w:p>
        </w:tc>
        <w:tc>
          <w:tcPr>
            <w:tcW w:w="851" w:type="dxa"/>
            <w:tcBorders>
              <w:top w:val="single" w:sz="4" w:space="0" w:color="888888"/>
              <w:left w:val="single" w:sz="4" w:space="0" w:color="888888"/>
              <w:bottom w:val="single" w:sz="4" w:space="0" w:color="888888"/>
              <w:right w:val="single" w:sz="4" w:space="0" w:color="888888"/>
            </w:tcBorders>
          </w:tcPr>
          <w:p w14:paraId="4AC5D1F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 p-value</w:t>
            </w:r>
          </w:p>
        </w:tc>
        <w:tc>
          <w:tcPr>
            <w:tcW w:w="817" w:type="dxa"/>
            <w:tcBorders>
              <w:top w:val="single" w:sz="4" w:space="0" w:color="888888"/>
              <w:left w:val="single" w:sz="4" w:space="0" w:color="888888"/>
              <w:bottom w:val="single" w:sz="4" w:space="0" w:color="888888"/>
              <w:right w:val="single" w:sz="4" w:space="0" w:color="888888"/>
            </w:tcBorders>
          </w:tcPr>
          <w:p w14:paraId="2215063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Neither internal </w:t>
            </w:r>
            <w:proofErr w:type="gramStart"/>
            <w:r>
              <w:rPr>
                <w:rFonts w:ascii="Arial" w:hAnsi="Arial" w:cs="Arial"/>
                <w:sz w:val="12"/>
                <w:szCs w:val="12"/>
              </w:rPr>
              <w:t>and</w:t>
            </w:r>
            <w:proofErr w:type="gramEnd"/>
            <w:r>
              <w:rPr>
                <w:rFonts w:ascii="Arial" w:hAnsi="Arial" w:cs="Arial"/>
                <w:sz w:val="12"/>
                <w:szCs w:val="12"/>
              </w:rPr>
              <w:t xml:space="preserve"> external validation</w:t>
            </w:r>
          </w:p>
        </w:tc>
        <w:tc>
          <w:tcPr>
            <w:tcW w:w="742" w:type="dxa"/>
            <w:tcBorders>
              <w:top w:val="single" w:sz="4" w:space="0" w:color="888888"/>
              <w:left w:val="single" w:sz="4" w:space="0" w:color="888888"/>
              <w:bottom w:val="single" w:sz="4" w:space="0" w:color="888888"/>
              <w:right w:val="single" w:sz="4" w:space="0" w:color="888888"/>
            </w:tcBorders>
          </w:tcPr>
          <w:p w14:paraId="1B9C2DC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165 participants</w:t>
            </w:r>
          </w:p>
        </w:tc>
        <w:tc>
          <w:tcPr>
            <w:tcW w:w="851" w:type="dxa"/>
            <w:tcBorders>
              <w:top w:val="single" w:sz="4" w:space="0" w:color="888888"/>
              <w:left w:val="single" w:sz="4" w:space="0" w:color="888888"/>
              <w:bottom w:val="single" w:sz="4" w:space="0" w:color="888888"/>
              <w:right w:val="single" w:sz="4" w:space="0" w:color="888888"/>
            </w:tcBorders>
          </w:tcPr>
          <w:p w14:paraId="5194A47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authors state that "no funds, grants, or other support were received during the preparation of this manuscript"</w:t>
            </w:r>
          </w:p>
        </w:tc>
        <w:tc>
          <w:tcPr>
            <w:tcW w:w="1134" w:type="dxa"/>
            <w:tcBorders>
              <w:top w:val="single" w:sz="4" w:space="0" w:color="888888"/>
              <w:left w:val="single" w:sz="4" w:space="0" w:color="888888"/>
              <w:bottom w:val="single" w:sz="4" w:space="0" w:color="888888"/>
              <w:right w:val="single" w:sz="4" w:space="0" w:color="888888"/>
            </w:tcBorders>
          </w:tcPr>
          <w:p w14:paraId="4E76A1DA"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54.3%</w:t>
            </w:r>
          </w:p>
        </w:tc>
        <w:tc>
          <w:tcPr>
            <w:tcW w:w="841" w:type="dxa"/>
            <w:tcBorders>
              <w:top w:val="single" w:sz="4" w:space="0" w:color="888888"/>
              <w:left w:val="single" w:sz="4" w:space="0" w:color="888888"/>
              <w:bottom w:val="single" w:sz="4" w:space="0" w:color="888888"/>
              <w:right w:val="single" w:sz="4" w:space="0" w:color="888888"/>
            </w:tcBorders>
          </w:tcPr>
          <w:p w14:paraId="382C179D"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High risk</w:t>
            </w:r>
            <w:r>
              <w:rPr>
                <w:rFonts w:ascii="Arial" w:hAnsi="Arial" w:cs="Arial"/>
                <w:color w:val="000000"/>
                <w:sz w:val="12"/>
                <w:szCs w:val="12"/>
              </w:rPr>
              <w:br/>
              <w:t>D3: Low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0E92BFB3" w14:textId="77777777" w:rsidR="00871B31" w:rsidRPr="00756461" w:rsidRDefault="00871B31" w:rsidP="00BC1F31">
            <w:pPr>
              <w:spacing w:after="0" w:line="240" w:lineRule="auto"/>
              <w:rPr>
                <w:rFonts w:ascii="Arial" w:hAnsi="Arial" w:cs="Arial"/>
                <w:color w:val="000000"/>
                <w:sz w:val="12"/>
                <w:szCs w:val="12"/>
              </w:rPr>
            </w:pPr>
            <w:r>
              <w:rPr>
                <w:rFonts w:ascii="Arial" w:hAnsi="Arial" w:cs="Arial"/>
                <w:color w:val="000000"/>
                <w:sz w:val="12"/>
                <w:szCs w:val="12"/>
              </w:rPr>
              <w:t>Not publicly available</w:t>
            </w:r>
            <w:r>
              <w:rPr>
                <w:rFonts w:ascii="Arial" w:hAnsi="Arial" w:cs="Arial"/>
                <w:color w:val="000000"/>
                <w:sz w:val="12"/>
                <w:szCs w:val="12"/>
              </w:rPr>
              <w:br/>
            </w:r>
          </w:p>
          <w:p w14:paraId="2ED0EB74"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Available via inquiries to corresponding author</w:t>
            </w:r>
          </w:p>
        </w:tc>
        <w:tc>
          <w:tcPr>
            <w:tcW w:w="442" w:type="dxa"/>
            <w:tcBorders>
              <w:top w:val="single" w:sz="4" w:space="0" w:color="888888"/>
              <w:left w:val="single" w:sz="4" w:space="0" w:color="888888"/>
              <w:bottom w:val="single" w:sz="4" w:space="0" w:color="888888"/>
              <w:right w:val="single" w:sz="4" w:space="0" w:color="888888"/>
            </w:tcBorders>
          </w:tcPr>
          <w:p w14:paraId="1FE5882D"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{"citationID":"CFes5ZxF","properties":{"formattedCitation":"[56]","plainCitation":"[56]","noteIndex":0},"citationItems":[{"id":"b2OWig5M/twZEsNEi","uris":["http://zotero.org/users/18230940/items/KZRXA3IB"],"itemData":{"id":710,"type":"article-journal","abstract":"Hypertensive disorders of pregnancy cause significant neonatal complications. Disease severity is often used to predict neonatal outcomes, however gestational age (GA) at delivery may be a better predictor. We aimed to assess whether disease severity or GA was more predictive of adverse neonatal outcomes.","container-title":"Archives of Gynecology and Obstetrics","DOI":"10.1007/s00404-024-07684-y","ISSN":"1432-0711","issue":"3","journalAbbreviation":"Arch Gynecol Obstet","language":"en","page":"639-648","source":"Springer Link","title":"Prediction of neonatal outcomes using gestational age vs ACOG definitions of maternal disease severity in hypertensive disorders of pregnancy","volume":"311","author":[{"family":"Hauptman","given":"Isabella"},{"family":"Gill","given":"Kevin S."},{"family":"Lim","given":"Tiffany"},{"family":"Mack","given":"Wendy J."},{"family":"Wilson","given":"Melissa L."}],"issued":{"date-parts":[["2025",3,1]]}}}],"schema":"https://github.com/citation-style-language/schema/raw/master/csl-citation.json"}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[56]</w:t>
            </w:r>
            <w:r>
              <w:rPr>
                <w:rFonts w:ascii="Arial" w:eastAsia="Times New Roman" w:hAnsi="Arial" w:cs="Arial"/>
                <w:color w:val="000000"/>
                <w:sz w:val="12"/>
                <w:szCs w:val="12"/>
                <w:lang w:eastAsia="en-GB" w:bidi="th-TH"/>
              </w:rPr>
              <w:fldChar w:fldCharType="end"/>
            </w:r>
          </w:p>
        </w:tc>
      </w:tr>
      <w:tr w:rsidR="00871B31" w:rsidRPr="00756461" w14:paraId="2F9A5312"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4DC1B86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Houweling, et al. 2019</w:t>
            </w:r>
          </w:p>
        </w:tc>
        <w:tc>
          <w:tcPr>
            <w:tcW w:w="1054" w:type="dxa"/>
            <w:tcBorders>
              <w:top w:val="single" w:sz="4" w:space="0" w:color="888888"/>
              <w:left w:val="single" w:sz="4" w:space="0" w:color="888888"/>
              <w:bottom w:val="single" w:sz="4" w:space="0" w:color="888888"/>
              <w:right w:val="single" w:sz="4" w:space="0" w:color="888888"/>
            </w:tcBorders>
          </w:tcPr>
          <w:p w14:paraId="1BCBB79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Secondary analysis</w:t>
            </w:r>
          </w:p>
        </w:tc>
        <w:tc>
          <w:tcPr>
            <w:tcW w:w="742" w:type="dxa"/>
            <w:tcBorders>
              <w:top w:val="single" w:sz="4" w:space="0" w:color="888888"/>
              <w:left w:val="single" w:sz="4" w:space="0" w:color="888888"/>
              <w:bottom w:val="single" w:sz="4" w:space="0" w:color="888888"/>
              <w:right w:val="single" w:sz="4" w:space="0" w:color="888888"/>
            </w:tcBorders>
          </w:tcPr>
          <w:p w14:paraId="714FA8F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Nepal</w:t>
            </w:r>
          </w:p>
        </w:tc>
        <w:tc>
          <w:tcPr>
            <w:tcW w:w="786" w:type="dxa"/>
            <w:tcBorders>
              <w:top w:val="single" w:sz="4" w:space="0" w:color="888888"/>
              <w:left w:val="single" w:sz="4" w:space="0" w:color="888888"/>
              <w:bottom w:val="single" w:sz="4" w:space="0" w:color="888888"/>
              <w:right w:val="single" w:sz="4" w:space="0" w:color="888888"/>
            </w:tcBorders>
          </w:tcPr>
          <w:p w14:paraId="181329D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Neonatal mortality</w:t>
            </w:r>
          </w:p>
        </w:tc>
        <w:tc>
          <w:tcPr>
            <w:tcW w:w="786" w:type="dxa"/>
            <w:tcBorders>
              <w:top w:val="single" w:sz="4" w:space="0" w:color="888888"/>
              <w:left w:val="single" w:sz="4" w:space="0" w:color="888888"/>
              <w:bottom w:val="single" w:sz="4" w:space="0" w:color="888888"/>
              <w:right w:val="single" w:sz="4" w:space="0" w:color="888888"/>
            </w:tcBorders>
          </w:tcPr>
          <w:p w14:paraId="3239B41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 Model development</w:t>
            </w:r>
            <w:r>
              <w:rPr>
                <w:rFonts w:ascii="Arial" w:hAnsi="Arial" w:cs="Arial"/>
                <w:sz w:val="12"/>
                <w:szCs w:val="12"/>
              </w:rPr>
              <w:br/>
              <w:t>2. Model validation</w:t>
            </w:r>
          </w:p>
        </w:tc>
        <w:tc>
          <w:tcPr>
            <w:tcW w:w="1051" w:type="dxa"/>
            <w:tcBorders>
              <w:top w:val="single" w:sz="4" w:space="0" w:color="888888"/>
              <w:left w:val="single" w:sz="4" w:space="0" w:color="888888"/>
              <w:bottom w:val="single" w:sz="4" w:space="0" w:color="888888"/>
              <w:right w:val="single" w:sz="4" w:space="0" w:color="888888"/>
            </w:tcBorders>
          </w:tcPr>
          <w:p w14:paraId="6ABDAD2A"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09A91EE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age</w:t>
            </w:r>
          </w:p>
          <w:p w14:paraId="3813DE1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education</w:t>
            </w:r>
          </w:p>
          <w:p w14:paraId="6D3CAF9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Gravidity</w:t>
            </w:r>
          </w:p>
          <w:p w14:paraId="4C29F2E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Interpregnancy interval</w:t>
            </w:r>
          </w:p>
          <w:p w14:paraId="00584BE2"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lastRenderedPageBreak/>
              <w:t>Foetal factor</w:t>
            </w:r>
          </w:p>
          <w:p w14:paraId="5663C6E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Plurality (singleton/multiple)</w:t>
            </w:r>
          </w:p>
        </w:tc>
        <w:tc>
          <w:tcPr>
            <w:tcW w:w="851" w:type="dxa"/>
            <w:tcBorders>
              <w:top w:val="single" w:sz="4" w:space="0" w:color="888888"/>
              <w:left w:val="single" w:sz="4" w:space="0" w:color="888888"/>
              <w:bottom w:val="single" w:sz="4" w:space="0" w:color="888888"/>
              <w:right w:val="single" w:sz="4" w:space="0" w:color="888888"/>
            </w:tcBorders>
          </w:tcPr>
          <w:p w14:paraId="4CD2C01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Population/ Registry</w:t>
            </w:r>
          </w:p>
        </w:tc>
        <w:tc>
          <w:tcPr>
            <w:tcW w:w="851" w:type="dxa"/>
            <w:tcBorders>
              <w:top w:val="single" w:sz="4" w:space="0" w:color="888888"/>
              <w:left w:val="single" w:sz="4" w:space="0" w:color="888888"/>
              <w:bottom w:val="single" w:sz="4" w:space="0" w:color="888888"/>
              <w:right w:val="single" w:sz="4" w:space="0" w:color="888888"/>
            </w:tcBorders>
          </w:tcPr>
          <w:p w14:paraId="4C214791"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33C36B81"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6B0007EE"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7B3D2E0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Start of pregnancy: Cross-validated AUC was 0.58.</w:t>
            </w:r>
            <w:r>
              <w:rPr>
                <w:rFonts w:ascii="Arial" w:hAnsi="Arial" w:cs="Arial"/>
                <w:sz w:val="12"/>
                <w:szCs w:val="12"/>
              </w:rPr>
              <w:br/>
            </w:r>
            <w:r>
              <w:rPr>
                <w:rFonts w:ascii="Arial" w:hAnsi="Arial" w:cs="Arial"/>
                <w:sz w:val="12"/>
                <w:szCs w:val="12"/>
              </w:rPr>
              <w:br/>
              <w:t xml:space="preserve">Start of delivery: Cross-validated AUC </w:t>
            </w:r>
            <w:r>
              <w:rPr>
                <w:rFonts w:ascii="Arial" w:hAnsi="Arial" w:cs="Arial"/>
                <w:sz w:val="12"/>
                <w:szCs w:val="12"/>
              </w:rPr>
              <w:lastRenderedPageBreak/>
              <w:t xml:space="preserve">was 0.73 (when including multiple pregnancy). </w:t>
            </w:r>
            <w:r>
              <w:rPr>
                <w:rFonts w:ascii="Arial" w:hAnsi="Arial" w:cs="Arial"/>
                <w:sz w:val="12"/>
                <w:szCs w:val="12"/>
              </w:rPr>
              <w:br/>
            </w:r>
            <w:r>
              <w:rPr>
                <w:rFonts w:ascii="Arial" w:hAnsi="Arial" w:cs="Arial"/>
                <w:sz w:val="12"/>
                <w:szCs w:val="12"/>
              </w:rPr>
              <w:br/>
              <w:t xml:space="preserve">5 minutes post-partum: Cross-validated AUC was 0.83 </w:t>
            </w:r>
          </w:p>
        </w:tc>
        <w:tc>
          <w:tcPr>
            <w:tcW w:w="851" w:type="dxa"/>
            <w:tcBorders>
              <w:top w:val="single" w:sz="4" w:space="0" w:color="888888"/>
              <w:left w:val="single" w:sz="4" w:space="0" w:color="888888"/>
              <w:bottom w:val="single" w:sz="4" w:space="0" w:color="888888"/>
              <w:right w:val="single" w:sz="4" w:space="0" w:color="888888"/>
            </w:tcBorders>
          </w:tcPr>
          <w:p w14:paraId="751B59B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AUC</w:t>
            </w:r>
          </w:p>
        </w:tc>
        <w:tc>
          <w:tcPr>
            <w:tcW w:w="817" w:type="dxa"/>
            <w:tcBorders>
              <w:top w:val="single" w:sz="4" w:space="0" w:color="888888"/>
              <w:left w:val="single" w:sz="4" w:space="0" w:color="888888"/>
              <w:bottom w:val="single" w:sz="4" w:space="0" w:color="888888"/>
              <w:right w:val="single" w:sz="4" w:space="0" w:color="888888"/>
            </w:tcBorders>
          </w:tcPr>
          <w:p w14:paraId="354CE07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614B6D1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49,632 live births and 1,742 neonatal deaths</w:t>
            </w:r>
          </w:p>
        </w:tc>
        <w:tc>
          <w:tcPr>
            <w:tcW w:w="851" w:type="dxa"/>
            <w:tcBorders>
              <w:top w:val="single" w:sz="4" w:space="0" w:color="888888"/>
              <w:left w:val="single" w:sz="4" w:space="0" w:color="888888"/>
              <w:bottom w:val="single" w:sz="4" w:space="0" w:color="888888"/>
              <w:right w:val="single" w:sz="4" w:space="0" w:color="888888"/>
            </w:tcBorders>
          </w:tcPr>
          <w:p w14:paraId="25A44ED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Economic and Social Research Council, the Department for International Developme</w:t>
            </w:r>
            <w:r>
              <w:rPr>
                <w:rFonts w:ascii="Arial" w:hAnsi="Arial" w:cs="Arial"/>
                <w:sz w:val="12"/>
                <w:szCs w:val="12"/>
              </w:rPr>
              <w:lastRenderedPageBreak/>
              <w:t>nt, a Wellcome Trust Strategic Award, an Erasmus University Rotterdam Research Excellence Initiative grant, and the Netherlands Organization for Scientific Research</w:t>
            </w:r>
          </w:p>
        </w:tc>
        <w:tc>
          <w:tcPr>
            <w:tcW w:w="1134" w:type="dxa"/>
            <w:tcBorders>
              <w:top w:val="single" w:sz="4" w:space="0" w:color="888888"/>
              <w:left w:val="single" w:sz="4" w:space="0" w:color="888888"/>
              <w:bottom w:val="single" w:sz="4" w:space="0" w:color="888888"/>
              <w:right w:val="single" w:sz="4" w:space="0" w:color="888888"/>
            </w:tcBorders>
          </w:tcPr>
          <w:p w14:paraId="2B706465"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lastRenderedPageBreak/>
              <w:t>58.0%</w:t>
            </w:r>
          </w:p>
        </w:tc>
        <w:tc>
          <w:tcPr>
            <w:tcW w:w="841" w:type="dxa"/>
            <w:tcBorders>
              <w:top w:val="single" w:sz="4" w:space="0" w:color="888888"/>
              <w:left w:val="single" w:sz="4" w:space="0" w:color="888888"/>
              <w:bottom w:val="single" w:sz="4" w:space="0" w:color="888888"/>
              <w:right w:val="single" w:sz="4" w:space="0" w:color="888888"/>
            </w:tcBorders>
          </w:tcPr>
          <w:p w14:paraId="11C84093"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High risk</w:t>
            </w:r>
            <w:r>
              <w:rPr>
                <w:rFonts w:ascii="Arial" w:hAnsi="Arial" w:cs="Arial"/>
                <w:color w:val="000000"/>
                <w:sz w:val="12"/>
                <w:szCs w:val="12"/>
              </w:rPr>
              <w:br/>
              <w:t>D3: High risk</w:t>
            </w:r>
            <w:r>
              <w:rPr>
                <w:rFonts w:ascii="Arial" w:hAnsi="Arial" w:cs="Arial"/>
                <w:color w:val="000000"/>
                <w:sz w:val="12"/>
                <w:szCs w:val="12"/>
              </w:rPr>
              <w:br/>
              <w:t>D4: Low risk</w:t>
            </w:r>
          </w:p>
        </w:tc>
        <w:tc>
          <w:tcPr>
            <w:tcW w:w="860" w:type="dxa"/>
            <w:tcBorders>
              <w:top w:val="single" w:sz="4" w:space="0" w:color="888888"/>
              <w:left w:val="single" w:sz="4" w:space="0" w:color="888888"/>
              <w:bottom w:val="single" w:sz="4" w:space="0" w:color="888888"/>
              <w:right w:val="single" w:sz="4" w:space="0" w:color="888888"/>
            </w:tcBorders>
          </w:tcPr>
          <w:p w14:paraId="4A61FEA0"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The data is publicly accessible via website.</w:t>
            </w:r>
          </w:p>
        </w:tc>
        <w:tc>
          <w:tcPr>
            <w:tcW w:w="442" w:type="dxa"/>
            <w:tcBorders>
              <w:top w:val="single" w:sz="4" w:space="0" w:color="888888"/>
              <w:left w:val="single" w:sz="4" w:space="0" w:color="888888"/>
              <w:bottom w:val="single" w:sz="4" w:space="0" w:color="888888"/>
              <w:right w:val="single" w:sz="4" w:space="0" w:color="888888"/>
            </w:tcBorders>
          </w:tcPr>
          <w:p w14:paraId="2C7214F2"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{"citationID":"x0IrKy0G","properties":{"formattedCitation":"[57]","plainCitation":"[57]","noteIndex":0},"citationItems":[{"id":"b2OWig5M/Qsebmkvc","uris":["http://zotero.org/users/18230940/items/DQUFNJQE"],"itemData":{"id":712,"type":"article-journal","abstract":"BACKGROUND: In poor settings, where many births and neonatal deaths occur at home, prediction models of neonatal mortality in the general population can aid public-health policy-making. No such models are available in the international literature. We developed and validated a prediction model for neonatal mortality in the general population in India, Nepal and Bangladesh.\nMETHODS: Using data (49632 live births, 1742 neonatal deaths) from rural and urban surveillance sites in South Asia, we developed regression models to predict the risk of neonatal death with characteristics known at (i) the start of pregnancy, (ii) start of delivery and (iii) 5minutes post partum. We assessed the models' discriminative ability by the area under the receiver operating characteristic curve (AUC), using cross-validation between sites.\nRESULTS: At the start of pregnancy, predictive ability was moderate {AUC 0.59 [95% confidence interval (CI) 0.58-0.61]} and predictors of neonatal death were low maternal education and economic status, short birth interval, primigravida, and young and advanced maternal age. At the start of delivery, predictive ability was considerably better [AUC 0.73 (95% CI 0.70-0.76)] and prematurity and multiple pregnancy were strong predictors of death. At 5minutes post partum, predictive ability was good [AUC: 0.85 (95% CI 0.80-0.89)]; very strong predictors were multiple birth, prematurity and a poor condition of the infant at 5minutes.\nCONCLUSIONS: We developed good performing prediction models for neonatal mortality. Neonatal deaths are highly concentrated in a small group of high-risk infants, even in poor settings in South Asia. Risk assessment, as supported by our models, can be used as a basis for improving community- and facility-based newborn care and prevention strategies in poor settings.","container-title":"International Journal of Epidemiology","DOI":"10.1093/ije/dyy194","ISSN":"1464-3685","issue":"1","journalAbbreviation":"Int J Epidemiol","language":"eng","page":"186-198","PMID":"30325465","PMCID":"PMC6380321","source":"PubMed","title":"A prediction model for neonatal mortality in low- and middle-income countries: an analysis of data from population surveillance sites in India, Nepal and Bangladesh","title-short":"A prediction model for neonatal mortality in low- and middle-income countries","volume":"48","author":[{"family":"Houweling","given":"Tanja A. J."},{"family":"Klaveren","given":"David","non-dropping-particle":"van"},{"family":"Das","given":"Sushmita"},{"family":"Azad","given":"Kishwar"},{"family":"Tripathy","given":"Prasanta"},{"family":"Manandhar","given":"Dharma"},{"family":"Neuman","given":"Melissa"},{"family":"Jonge","given":"Erik","non-dropping-particle":"de"},{"family":"Been","given":"Jasper V."},{"family":"Steyerberg","given":"Ewout"},{"family":"Costello","given":"Anthony"}],"issued":{"date-parts":[["2019",2,1]]}}}],"schema":"https://github.com/citation-style-language/schema/raw/master/csl-citation.json"}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[57]</w:t>
            </w:r>
            <w:r>
              <w:rPr>
                <w:rFonts w:ascii="Arial" w:eastAsia="Times New Roman" w:hAnsi="Arial" w:cs="Arial"/>
                <w:color w:val="000000"/>
                <w:sz w:val="12"/>
                <w:szCs w:val="12"/>
                <w:lang w:eastAsia="en-GB" w:bidi="th-TH"/>
              </w:rPr>
              <w:fldChar w:fldCharType="end"/>
            </w:r>
          </w:p>
        </w:tc>
      </w:tr>
      <w:tr w:rsidR="00871B31" w:rsidRPr="00756461" w14:paraId="294C53AB"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4E71942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Hromadnikova, et al 2024</w:t>
            </w:r>
          </w:p>
        </w:tc>
        <w:tc>
          <w:tcPr>
            <w:tcW w:w="1054" w:type="dxa"/>
            <w:tcBorders>
              <w:top w:val="single" w:sz="4" w:space="0" w:color="888888"/>
              <w:left w:val="single" w:sz="4" w:space="0" w:color="888888"/>
              <w:bottom w:val="single" w:sz="4" w:space="0" w:color="888888"/>
              <w:right w:val="single" w:sz="4" w:space="0" w:color="888888"/>
            </w:tcBorders>
          </w:tcPr>
          <w:p w14:paraId="764CB7D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783584A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Czech Republic</w:t>
            </w:r>
          </w:p>
        </w:tc>
        <w:tc>
          <w:tcPr>
            <w:tcW w:w="786" w:type="dxa"/>
            <w:tcBorders>
              <w:top w:val="single" w:sz="4" w:space="0" w:color="888888"/>
              <w:left w:val="single" w:sz="4" w:space="0" w:color="888888"/>
              <w:bottom w:val="single" w:sz="4" w:space="0" w:color="888888"/>
              <w:right w:val="single" w:sz="4" w:space="0" w:color="888888"/>
            </w:tcBorders>
          </w:tcPr>
          <w:p w14:paraId="382DDFF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w:t>
            </w:r>
          </w:p>
        </w:tc>
        <w:tc>
          <w:tcPr>
            <w:tcW w:w="786" w:type="dxa"/>
            <w:tcBorders>
              <w:top w:val="single" w:sz="4" w:space="0" w:color="888888"/>
              <w:left w:val="single" w:sz="4" w:space="0" w:color="888888"/>
              <w:bottom w:val="single" w:sz="4" w:space="0" w:color="888888"/>
              <w:right w:val="single" w:sz="4" w:space="0" w:color="888888"/>
            </w:tcBorders>
          </w:tcPr>
          <w:p w14:paraId="52F4F71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development</w:t>
            </w:r>
          </w:p>
        </w:tc>
        <w:tc>
          <w:tcPr>
            <w:tcW w:w="1051" w:type="dxa"/>
            <w:tcBorders>
              <w:top w:val="single" w:sz="4" w:space="0" w:color="888888"/>
              <w:left w:val="single" w:sz="4" w:space="0" w:color="888888"/>
              <w:bottom w:val="single" w:sz="4" w:space="0" w:color="888888"/>
              <w:right w:val="single" w:sz="4" w:space="0" w:color="888888"/>
            </w:tcBorders>
          </w:tcPr>
          <w:p w14:paraId="1AB825B1"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258AC63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age</w:t>
            </w:r>
          </w:p>
          <w:p w14:paraId="57E276A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body mass index</w:t>
            </w:r>
          </w:p>
          <w:p w14:paraId="25EDF21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Parity</w:t>
            </w:r>
          </w:p>
          <w:p w14:paraId="346DB3B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Previous adverse outcome</w:t>
            </w:r>
          </w:p>
          <w:p w14:paraId="6F93B53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Hypertensive disorders of pregnancy</w:t>
            </w:r>
          </w:p>
          <w:p w14:paraId="109BDAF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Diabetes / GDM</w:t>
            </w:r>
          </w:p>
          <w:p w14:paraId="462D1E36"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4BECD29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Gestational age</w:t>
            </w:r>
          </w:p>
        </w:tc>
        <w:tc>
          <w:tcPr>
            <w:tcW w:w="851" w:type="dxa"/>
            <w:tcBorders>
              <w:top w:val="single" w:sz="4" w:space="0" w:color="888888"/>
              <w:left w:val="single" w:sz="4" w:space="0" w:color="888888"/>
              <w:bottom w:val="single" w:sz="4" w:space="0" w:color="888888"/>
              <w:right w:val="single" w:sz="4" w:space="0" w:color="888888"/>
            </w:tcBorders>
          </w:tcPr>
          <w:p w14:paraId="57579D9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574535D8"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152F7BB5"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59A9993B"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5A685B6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(refer to table 4)</w:t>
            </w:r>
            <w:r>
              <w:rPr>
                <w:rFonts w:ascii="Arial" w:hAnsi="Arial" w:cs="Arial"/>
                <w:sz w:val="12"/>
                <w:szCs w:val="12"/>
              </w:rPr>
              <w:br/>
              <w:t>* SB (AUC=0.967/ sensitivity = 91.67%/ Specificity = 100%)</w:t>
            </w:r>
            <w:r>
              <w:rPr>
                <w:rFonts w:ascii="Arial" w:hAnsi="Arial" w:cs="Arial"/>
                <w:sz w:val="12"/>
                <w:szCs w:val="12"/>
              </w:rPr>
              <w:br/>
              <w:t>* late misscarriage (AUC= 0.828-0.936 / Sensitivity 67.65-84.85%/ specificity = 83.75-96.25%)</w:t>
            </w:r>
          </w:p>
        </w:tc>
        <w:tc>
          <w:tcPr>
            <w:tcW w:w="851" w:type="dxa"/>
            <w:tcBorders>
              <w:top w:val="single" w:sz="4" w:space="0" w:color="888888"/>
              <w:left w:val="single" w:sz="4" w:space="0" w:color="888888"/>
              <w:bottom w:val="single" w:sz="4" w:space="0" w:color="888888"/>
              <w:right w:val="single" w:sz="4" w:space="0" w:color="888888"/>
            </w:tcBorders>
          </w:tcPr>
          <w:p w14:paraId="708758A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 Sensitivity, Specificity</w:t>
            </w:r>
          </w:p>
        </w:tc>
        <w:tc>
          <w:tcPr>
            <w:tcW w:w="817" w:type="dxa"/>
            <w:tcBorders>
              <w:top w:val="single" w:sz="4" w:space="0" w:color="888888"/>
              <w:left w:val="single" w:sz="4" w:space="0" w:color="888888"/>
              <w:bottom w:val="single" w:sz="4" w:space="0" w:color="888888"/>
              <w:right w:val="single" w:sz="4" w:space="0" w:color="888888"/>
            </w:tcBorders>
          </w:tcPr>
          <w:p w14:paraId="13600D0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66DFA43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singleton pregnancies (n = 647)</w:t>
            </w:r>
            <w:r>
              <w:rPr>
                <w:rFonts w:ascii="Arial" w:hAnsi="Arial" w:cs="Arial"/>
                <w:sz w:val="12"/>
                <w:szCs w:val="12"/>
              </w:rPr>
              <w:br/>
              <w:t>*hypertension (GH, n = 83), *preeclampsia (PE, n = 66)</w:t>
            </w:r>
            <w:r>
              <w:rPr>
                <w:rFonts w:ascii="Arial" w:hAnsi="Arial" w:cs="Arial"/>
                <w:sz w:val="12"/>
                <w:szCs w:val="12"/>
              </w:rPr>
              <w:br/>
              <w:t>*HELLP syndrome (n = 14)</w:t>
            </w:r>
            <w:r>
              <w:rPr>
                <w:rFonts w:ascii="Arial" w:hAnsi="Arial" w:cs="Arial"/>
                <w:sz w:val="12"/>
                <w:szCs w:val="12"/>
              </w:rPr>
              <w:br/>
              <w:t>* Fetal growth restriction (FGR, n = 82)</w:t>
            </w:r>
            <w:r>
              <w:rPr>
                <w:rFonts w:ascii="Arial" w:hAnsi="Arial" w:cs="Arial"/>
                <w:sz w:val="12"/>
                <w:szCs w:val="12"/>
              </w:rPr>
              <w:br/>
              <w:t>*Small for gestational age (SGA, n = 37)</w:t>
            </w:r>
            <w:r>
              <w:rPr>
                <w:rFonts w:ascii="Arial" w:hAnsi="Arial" w:cs="Arial"/>
                <w:sz w:val="12"/>
                <w:szCs w:val="12"/>
              </w:rPr>
              <w:br/>
              <w:t>* Gestational diabetes mellitus (GDM, n = 121)</w:t>
            </w:r>
            <w:r>
              <w:rPr>
                <w:rFonts w:ascii="Arial" w:hAnsi="Arial" w:cs="Arial"/>
                <w:sz w:val="12"/>
                <w:szCs w:val="12"/>
              </w:rPr>
              <w:br/>
              <w:t>* Preterm birth in the</w:t>
            </w:r>
            <w:r>
              <w:rPr>
                <w:rFonts w:ascii="Arial" w:hAnsi="Arial" w:cs="Arial"/>
                <w:sz w:val="12"/>
                <w:szCs w:val="12"/>
              </w:rPr>
              <w:br/>
              <w:t>absence of other complications (n = 106)</w:t>
            </w:r>
            <w:r>
              <w:rPr>
                <w:rFonts w:ascii="Arial" w:hAnsi="Arial" w:cs="Arial"/>
                <w:sz w:val="12"/>
                <w:szCs w:val="12"/>
              </w:rPr>
              <w:br/>
              <w:t xml:space="preserve">* Late miscarriage (n = 34), </w:t>
            </w:r>
            <w:r>
              <w:rPr>
                <w:rFonts w:ascii="Arial" w:hAnsi="Arial" w:cs="Arial"/>
                <w:sz w:val="12"/>
                <w:szCs w:val="12"/>
              </w:rPr>
              <w:br/>
              <w:t xml:space="preserve">* Stillbirth (n = 24), </w:t>
            </w:r>
            <w:r>
              <w:rPr>
                <w:rFonts w:ascii="Arial" w:hAnsi="Arial" w:cs="Arial"/>
                <w:sz w:val="12"/>
                <w:szCs w:val="12"/>
              </w:rPr>
              <w:br/>
              <w:t>* 80 normal term pregnancies.)</w:t>
            </w:r>
          </w:p>
        </w:tc>
        <w:tc>
          <w:tcPr>
            <w:tcW w:w="851" w:type="dxa"/>
            <w:tcBorders>
              <w:top w:val="single" w:sz="4" w:space="0" w:color="888888"/>
              <w:left w:val="single" w:sz="4" w:space="0" w:color="888888"/>
              <w:bottom w:val="single" w:sz="4" w:space="0" w:color="888888"/>
              <w:right w:val="single" w:sz="4" w:space="0" w:color="888888"/>
            </w:tcBorders>
          </w:tcPr>
          <w:p w14:paraId="2CABF5C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Got funding, but not specific</w:t>
            </w:r>
          </w:p>
        </w:tc>
        <w:tc>
          <w:tcPr>
            <w:tcW w:w="1134" w:type="dxa"/>
            <w:tcBorders>
              <w:top w:val="single" w:sz="4" w:space="0" w:color="888888"/>
              <w:left w:val="single" w:sz="4" w:space="0" w:color="888888"/>
              <w:bottom w:val="single" w:sz="4" w:space="0" w:color="888888"/>
              <w:right w:val="single" w:sz="4" w:space="0" w:color="888888"/>
            </w:tcBorders>
          </w:tcPr>
          <w:p w14:paraId="5C008951"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38.0%</w:t>
            </w:r>
          </w:p>
        </w:tc>
        <w:tc>
          <w:tcPr>
            <w:tcW w:w="841" w:type="dxa"/>
            <w:tcBorders>
              <w:top w:val="single" w:sz="4" w:space="0" w:color="888888"/>
              <w:left w:val="single" w:sz="4" w:space="0" w:color="888888"/>
              <w:bottom w:val="single" w:sz="4" w:space="0" w:color="888888"/>
              <w:right w:val="single" w:sz="4" w:space="0" w:color="888888"/>
            </w:tcBorders>
          </w:tcPr>
          <w:p w14:paraId="1BA0C0D8"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Unclear risk</w:t>
            </w:r>
            <w:r>
              <w:rPr>
                <w:rFonts w:ascii="Arial" w:hAnsi="Arial" w:cs="Arial"/>
                <w:color w:val="000000"/>
                <w:sz w:val="12"/>
                <w:szCs w:val="12"/>
              </w:rPr>
              <w:br/>
              <w:t>D3: Low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0112DED6" w14:textId="77777777" w:rsidR="00871B31" w:rsidRPr="00756461" w:rsidRDefault="00871B31" w:rsidP="00BC1F31">
            <w:pPr>
              <w:spacing w:after="0" w:line="240" w:lineRule="auto"/>
              <w:rPr>
                <w:rFonts w:ascii="Arial" w:hAnsi="Arial" w:cs="Arial"/>
                <w:color w:val="000000"/>
                <w:sz w:val="12"/>
                <w:szCs w:val="12"/>
              </w:rPr>
            </w:pPr>
            <w:r>
              <w:rPr>
                <w:rFonts w:ascii="Arial" w:hAnsi="Arial" w:cs="Arial"/>
                <w:color w:val="000000"/>
                <w:sz w:val="12"/>
                <w:szCs w:val="12"/>
              </w:rPr>
              <w:t>Not publicly available</w:t>
            </w:r>
            <w:r>
              <w:rPr>
                <w:rFonts w:ascii="Arial" w:hAnsi="Arial" w:cs="Arial"/>
                <w:color w:val="000000"/>
                <w:sz w:val="12"/>
                <w:szCs w:val="12"/>
              </w:rPr>
              <w:br/>
            </w:r>
          </w:p>
          <w:p w14:paraId="4BFB6C57"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Available via inquiries to corresponding author</w:t>
            </w:r>
          </w:p>
        </w:tc>
        <w:tc>
          <w:tcPr>
            <w:tcW w:w="442" w:type="dxa"/>
            <w:tcBorders>
              <w:top w:val="single" w:sz="4" w:space="0" w:color="888888"/>
              <w:left w:val="single" w:sz="4" w:space="0" w:color="888888"/>
              <w:bottom w:val="single" w:sz="4" w:space="0" w:color="888888"/>
              <w:right w:val="single" w:sz="4" w:space="0" w:color="888888"/>
            </w:tcBorders>
          </w:tcPr>
          <w:p w14:paraId="07783315"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{"citationID":"TIOa7zcC","properties":{"formattedCitation":"[58]","plainCitation":"[58]","noteIndex":0},"citationItems":[{"id":"b2OWig5M/hIhVlGke","uris":["http://zotero.org/users/18230940/items/SUG3SZ5W"],"itemData":{"id":714,"type":"article-journal","abstract":"Introduction: This study aimed to establish efficient, cost-effective, and early predictive models for adverse pregnancy outcomes based on the combinations of a minimum number of miRNA biomarkers, whose altered expression was observed in specific pregnancy-related complications and selected maternal clinical characteristics. Material and methods: This retrospective study included singleton pregnancies with gestational hypertension (GH, n=83), preeclampsia (PE, n=66), HELLP syndrome (n=14), fetal growth restriction (FGR, n=82), small for gestational age (SGA, n=37), gestational diabetes mellitus (GDM, n=121), preterm birth in the absence of other complications (n=106), late miscarriage (n= 34), stillbirth (n= 24), and 80 normal term pregnancies. MiRNA gene expression profiling was performed on the whole peripheral venous blood samples collected between 10 to 13 weeks of gestation using real-time reverse transcription polymerase chain reaction (RT-PCR). Results: Most pregnancies with adverse outcomes were identified using the proposed approach (the combinations of selected miRNAs and appropriate maternal clinical characteristics) (GH, 69.88%; PE, 83.33%; HELLP, 92.86%; FGR, 73.17%; SGA, 81.08%; GDM on therapy, 89.47%; and late miscarriage, 84.85%). In the case of stillbirth, no addition of maternal clinical characteristics to the predictive model was necessary because a high detection rate was achieved by a combination of miRNA biomarkers only 91.67% cases at 10.0% false positive rate (FPR) .The proposed models based on the combinations of selected cardiovascular disease-associated miRNAs and maternal clinical variables have a high predictive potential for identifying women at increased risk of adverse pregnancy outcomes; this can be incorporated into routine firsttrimester screening programs. Preventive programs can be initiated based on these models to lower cardiovascular risk and prevent the development of metabolic/cardiovascular/cerebrovascular diseases because timely implementation of beneficial lifestyle strategies may reverse the dysregulation of miRNAs maintaining and controlling the cardiovascular system.","container-title":"Frontiers in Cell and Developmental Biology","DOI":"10.3389/fcell.2024.1461547","ISSN":"2296-634X","journalAbbreviation":"Front. Cell Dev. Biol.","language":"English","publisher":"Frontiers","source":"Frontiers","title":"First-trimester predictive models for adverse pregnancy outcomes—a base for implementation of strategies to prevent cardiovascular disease development","URL":"https://www.frontiersin.org/journals/cell-and-developmental-biology/articles/10.3389/fcell.2024.1461547/full","volume":"12","author":[{"family":"Hromadnikova","given":"Ilona"},{"family":"Kotlabova","given":"Katerina"},{"family":"Krofta","given":"Ladislav"}],"accessed":{"date-parts":[["2026",2,19]]},"issued":{"date-parts":[["2024",9,4]]}}}],"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[58]</w:t>
            </w:r>
            <w:r>
              <w:rPr>
                <w:rFonts w:ascii="Arial" w:eastAsia="Times New Roman" w:hAnsi="Arial" w:cs="Arial"/>
                <w:color w:val="000000"/>
                <w:sz w:val="12"/>
                <w:szCs w:val="12"/>
                <w:lang w:eastAsia="en-GB" w:bidi="th-TH"/>
              </w:rPr>
              <w:fldChar w:fldCharType="end"/>
            </w:r>
          </w:p>
        </w:tc>
      </w:tr>
      <w:tr w:rsidR="00871B31" w:rsidRPr="00756461" w14:paraId="1FF8A000"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703292F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Hromadnikova, et al. 2023</w:t>
            </w:r>
          </w:p>
        </w:tc>
        <w:tc>
          <w:tcPr>
            <w:tcW w:w="1054" w:type="dxa"/>
            <w:tcBorders>
              <w:top w:val="single" w:sz="4" w:space="0" w:color="888888"/>
              <w:left w:val="single" w:sz="4" w:space="0" w:color="888888"/>
              <w:bottom w:val="single" w:sz="4" w:space="0" w:color="888888"/>
              <w:right w:val="single" w:sz="4" w:space="0" w:color="888888"/>
            </w:tcBorders>
          </w:tcPr>
          <w:p w14:paraId="5F3C473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2685328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Czech Republic</w:t>
            </w:r>
          </w:p>
        </w:tc>
        <w:tc>
          <w:tcPr>
            <w:tcW w:w="786" w:type="dxa"/>
            <w:tcBorders>
              <w:top w:val="single" w:sz="4" w:space="0" w:color="888888"/>
              <w:left w:val="single" w:sz="4" w:space="0" w:color="888888"/>
              <w:bottom w:val="single" w:sz="4" w:space="0" w:color="888888"/>
              <w:right w:val="single" w:sz="4" w:space="0" w:color="888888"/>
            </w:tcBorders>
          </w:tcPr>
          <w:p w14:paraId="5EF0DA5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w:t>
            </w:r>
          </w:p>
        </w:tc>
        <w:tc>
          <w:tcPr>
            <w:tcW w:w="786" w:type="dxa"/>
            <w:tcBorders>
              <w:top w:val="single" w:sz="4" w:space="0" w:color="888888"/>
              <w:left w:val="single" w:sz="4" w:space="0" w:color="888888"/>
              <w:bottom w:val="single" w:sz="4" w:space="0" w:color="888888"/>
              <w:right w:val="single" w:sz="4" w:space="0" w:color="888888"/>
            </w:tcBorders>
          </w:tcPr>
          <w:p w14:paraId="58F5C96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 Evaluate risk factor</w:t>
            </w:r>
            <w:r>
              <w:rPr>
                <w:rFonts w:ascii="Arial" w:hAnsi="Arial" w:cs="Arial"/>
                <w:sz w:val="12"/>
                <w:szCs w:val="12"/>
              </w:rPr>
              <w:br/>
              <w:t>2. Model development</w:t>
            </w:r>
          </w:p>
        </w:tc>
        <w:tc>
          <w:tcPr>
            <w:tcW w:w="1051" w:type="dxa"/>
            <w:tcBorders>
              <w:top w:val="single" w:sz="4" w:space="0" w:color="888888"/>
              <w:left w:val="single" w:sz="4" w:space="0" w:color="888888"/>
              <w:bottom w:val="single" w:sz="4" w:space="0" w:color="888888"/>
              <w:right w:val="single" w:sz="4" w:space="0" w:color="888888"/>
            </w:tcBorders>
          </w:tcPr>
          <w:p w14:paraId="683D1171"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Clinical factor</w:t>
            </w:r>
          </w:p>
          <w:p w14:paraId="09D31AC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specific microRNAs with altered gene expression</w:t>
            </w:r>
          </w:p>
        </w:tc>
        <w:tc>
          <w:tcPr>
            <w:tcW w:w="851" w:type="dxa"/>
            <w:tcBorders>
              <w:top w:val="single" w:sz="4" w:space="0" w:color="888888"/>
              <w:left w:val="single" w:sz="4" w:space="0" w:color="888888"/>
              <w:bottom w:val="single" w:sz="4" w:space="0" w:color="888888"/>
              <w:right w:val="single" w:sz="4" w:space="0" w:color="888888"/>
            </w:tcBorders>
          </w:tcPr>
          <w:p w14:paraId="02B63DE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24707319"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08FC4CD2"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521BCA63"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0F30175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the combined screening of miscarriage or stillbirth show best predictive value = AUC 0·967 (95% CI 0·912–0·992)/ Sensitivity (93.75%)/ Specificity (0.326)</w:t>
            </w:r>
          </w:p>
        </w:tc>
        <w:tc>
          <w:tcPr>
            <w:tcW w:w="851" w:type="dxa"/>
            <w:tcBorders>
              <w:top w:val="single" w:sz="4" w:space="0" w:color="888888"/>
              <w:left w:val="single" w:sz="4" w:space="0" w:color="888888"/>
              <w:bottom w:val="single" w:sz="4" w:space="0" w:color="888888"/>
              <w:right w:val="single" w:sz="4" w:space="0" w:color="888888"/>
            </w:tcBorders>
          </w:tcPr>
          <w:p w14:paraId="42FC93F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 Sensitivity, Specificity</w:t>
            </w:r>
          </w:p>
        </w:tc>
        <w:tc>
          <w:tcPr>
            <w:tcW w:w="817" w:type="dxa"/>
            <w:tcBorders>
              <w:top w:val="single" w:sz="4" w:space="0" w:color="888888"/>
              <w:left w:val="single" w:sz="4" w:space="0" w:color="888888"/>
              <w:bottom w:val="single" w:sz="4" w:space="0" w:color="888888"/>
              <w:right w:val="single" w:sz="4" w:space="0" w:color="888888"/>
            </w:tcBorders>
          </w:tcPr>
          <w:p w14:paraId="6EC4398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Neither internal </w:t>
            </w:r>
            <w:proofErr w:type="gramStart"/>
            <w:r>
              <w:rPr>
                <w:rFonts w:ascii="Arial" w:hAnsi="Arial" w:cs="Arial"/>
                <w:sz w:val="12"/>
                <w:szCs w:val="12"/>
              </w:rPr>
              <w:t>and</w:t>
            </w:r>
            <w:proofErr w:type="gramEnd"/>
            <w:r>
              <w:rPr>
                <w:rFonts w:ascii="Arial" w:hAnsi="Arial" w:cs="Arial"/>
                <w:sz w:val="12"/>
                <w:szCs w:val="12"/>
              </w:rPr>
              <w:t xml:space="preserve"> external validation</w:t>
            </w:r>
          </w:p>
        </w:tc>
        <w:tc>
          <w:tcPr>
            <w:tcW w:w="742" w:type="dxa"/>
            <w:tcBorders>
              <w:top w:val="single" w:sz="4" w:space="0" w:color="888888"/>
              <w:left w:val="single" w:sz="4" w:space="0" w:color="888888"/>
              <w:bottom w:val="single" w:sz="4" w:space="0" w:color="888888"/>
              <w:right w:val="single" w:sz="4" w:space="0" w:color="888888"/>
            </w:tcBorders>
          </w:tcPr>
          <w:p w14:paraId="78DFB3A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5,905 Pregnancies</w:t>
            </w:r>
          </w:p>
        </w:tc>
        <w:tc>
          <w:tcPr>
            <w:tcW w:w="851" w:type="dxa"/>
            <w:tcBorders>
              <w:top w:val="single" w:sz="4" w:space="0" w:color="888888"/>
              <w:left w:val="single" w:sz="4" w:space="0" w:color="888888"/>
              <w:bottom w:val="single" w:sz="4" w:space="0" w:color="888888"/>
              <w:right w:val="single" w:sz="4" w:space="0" w:color="888888"/>
            </w:tcBorders>
          </w:tcPr>
          <w:p w14:paraId="38FAFB5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Charles University research program Cooperatio-Mother and Childhood Care (no. 207035) and research grant SVV (no. 260645)</w:t>
            </w:r>
          </w:p>
        </w:tc>
        <w:tc>
          <w:tcPr>
            <w:tcW w:w="1134" w:type="dxa"/>
            <w:tcBorders>
              <w:top w:val="single" w:sz="4" w:space="0" w:color="888888"/>
              <w:left w:val="single" w:sz="4" w:space="0" w:color="888888"/>
              <w:bottom w:val="single" w:sz="4" w:space="0" w:color="888888"/>
              <w:right w:val="single" w:sz="4" w:space="0" w:color="888888"/>
            </w:tcBorders>
          </w:tcPr>
          <w:p w14:paraId="0F88CF9D"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48.9%</w:t>
            </w:r>
          </w:p>
        </w:tc>
        <w:tc>
          <w:tcPr>
            <w:tcW w:w="841" w:type="dxa"/>
            <w:tcBorders>
              <w:top w:val="single" w:sz="4" w:space="0" w:color="888888"/>
              <w:left w:val="single" w:sz="4" w:space="0" w:color="888888"/>
              <w:bottom w:val="single" w:sz="4" w:space="0" w:color="888888"/>
              <w:right w:val="single" w:sz="4" w:space="0" w:color="888888"/>
            </w:tcBorders>
          </w:tcPr>
          <w:p w14:paraId="0E916473"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Unclear risk</w:t>
            </w:r>
            <w:r>
              <w:rPr>
                <w:rFonts w:ascii="Arial" w:hAnsi="Arial" w:cs="Arial"/>
                <w:color w:val="000000"/>
                <w:sz w:val="12"/>
                <w:szCs w:val="12"/>
              </w:rPr>
              <w:br/>
              <w:t>D3: Low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7AC73BE8" w14:textId="77777777" w:rsidR="00871B31" w:rsidRPr="00756461" w:rsidRDefault="00871B31" w:rsidP="00BC1F31">
            <w:pPr>
              <w:spacing w:after="0" w:line="240" w:lineRule="auto"/>
              <w:rPr>
                <w:rFonts w:ascii="Arial" w:hAnsi="Arial" w:cs="Arial"/>
                <w:color w:val="000000"/>
                <w:sz w:val="12"/>
                <w:szCs w:val="12"/>
              </w:rPr>
            </w:pPr>
            <w:r>
              <w:rPr>
                <w:rFonts w:ascii="Arial" w:hAnsi="Arial" w:cs="Arial"/>
                <w:color w:val="000000"/>
                <w:sz w:val="12"/>
                <w:szCs w:val="12"/>
              </w:rPr>
              <w:t>Not publicly available</w:t>
            </w:r>
            <w:r>
              <w:rPr>
                <w:rFonts w:ascii="Arial" w:hAnsi="Arial" w:cs="Arial"/>
                <w:color w:val="000000"/>
                <w:sz w:val="12"/>
                <w:szCs w:val="12"/>
              </w:rPr>
              <w:br/>
            </w:r>
          </w:p>
          <w:p w14:paraId="485232F5"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Available via inquiries to corresponding author</w:t>
            </w:r>
          </w:p>
        </w:tc>
        <w:tc>
          <w:tcPr>
            <w:tcW w:w="442" w:type="dxa"/>
            <w:tcBorders>
              <w:top w:val="single" w:sz="4" w:space="0" w:color="888888"/>
              <w:left w:val="single" w:sz="4" w:space="0" w:color="888888"/>
              <w:bottom w:val="single" w:sz="4" w:space="0" w:color="888888"/>
              <w:right w:val="single" w:sz="4" w:space="0" w:color="888888"/>
            </w:tcBorders>
          </w:tcPr>
          <w:p w14:paraId="1479CEA1"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{"citationID":"0Ve0MX8Q","properties":{"formattedCitation":"[59]","plainCitation":"[59]","noteIndex":0},"citationItems":[{"id":"b2OWig5M/icwKOK6M","uris":["http://zotero.org/users/18230940/items/2KN963LH"],"itemData":{"id":720,"type":"article-journal","abstract":"We evaluated the potential of cardiovascular-disease-associated microRNAs to predict in the early stages of gestation (from 10 to 13 gestational weeks) the occurrence of a miscarriage or stillbirth. The gene expressions of 29 microRNAs were studied retrospectively in peripheral venous blood samples derived from singleton Caucasian pregnancies diagnosed with miscarriage (n = 77 cases; early onset, n = 43 cases; late onset, n = 34 cases) or stillbirth (n = 24 cases; early onset, n = 13 cases; late onset, n = 8 cases; term onset, n = 3 cases) and 80 selected gestational-age-matched controls (normal term pregnancies) using real-time RT-PCR. Altered expressions of nine microRNAs (upregulation of miR-1-3p, miR-16-5p, miR-17-5p, miR-26a-5p, miR-146a-5p, and miR-181a-5p and downregulation of miR-130b-3p, miR-342-3p, and miR-574-3p) were observed in pregnancies with the occurrence of a miscarriage or stillbirth. The screening based on the combination of these nine microRNA biomarkers revealed 99.01% cases at a 10.0% false positive rate (FPR). The predictive model for miscarriage only was based on the altered gene expressions of eight microRNA biomarkers (upregulation of miR-1-3p, miR-16-5p, miR-17-5p, miR-26a-5p, miR-146a-5p, and miR-181a-5p and downregulation of miR-130b-3p and miR-195-5p). It was able to identify 80.52% cases at a 10.0% FPR. Highly efficient early identification of later occurrences of stillbirth was achieved via the combination of eleven microRNA biomarkers (upregulation of miR-1-3p, miR-16-5p, miR-17-5p, miR-20a-5p, miR-146a-5p, and miR-181a-5p and downregulation of miR-130b-3p, miR-145-5p, miR-210-3p, miR-342-3p, and miR-574-3p) or, alternatively, by the combination of just two upregulated microRNA biomarkers (miR-1-3p and miR-181a-5p). The predictive power achieved 95.83% cases at a 10.0% FPR and, alternatively, 91.67% cases at a 10.0% FPR. The models based on the combination of selected cardiovascular-disease-associated microRNAs had very high predictive potential for miscarriages or stillbirths and may be implemented in routine first-trimester screening programs.","container-title":"International Journal of Molecular Sciences","DOI":"10.3390/ijms241210137","ISSN":"1422-0067","issue":"12","language":"en","license":"http://creativecommons.org/licenses/by/3.0/","page":"10137","publisher":"Multidisciplinary Digital Publishing Institute","source":"www.mdpi.com","title":"First-Trimester Screening for Miscarriage or Stillbirth—Prediction Model Based on MicroRNA Biomarkers","volume":"24","author":[{"family":"Hromadnikova","given":"Ilona"},{"family":"Kotlabova","given":"Katerina"},{"family":"Krofta","given":"Ladislav"}],"issued":{"date-parts":[["2023",1]]}}}],"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[59]</w:t>
            </w:r>
            <w:r>
              <w:rPr>
                <w:rFonts w:ascii="Arial" w:eastAsia="Times New Roman" w:hAnsi="Arial" w:cs="Arial"/>
                <w:color w:val="000000"/>
                <w:sz w:val="12"/>
                <w:szCs w:val="12"/>
                <w:lang w:eastAsia="en-GB" w:bidi="th-TH"/>
              </w:rPr>
              <w:fldChar w:fldCharType="end"/>
            </w:r>
          </w:p>
        </w:tc>
      </w:tr>
      <w:tr w:rsidR="00871B31" w:rsidRPr="00756461" w14:paraId="7FD7B696"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201EEB9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Huang, et al. 2021</w:t>
            </w:r>
          </w:p>
        </w:tc>
        <w:tc>
          <w:tcPr>
            <w:tcW w:w="1054" w:type="dxa"/>
            <w:tcBorders>
              <w:top w:val="single" w:sz="4" w:space="0" w:color="888888"/>
              <w:left w:val="single" w:sz="4" w:space="0" w:color="888888"/>
              <w:bottom w:val="single" w:sz="4" w:space="0" w:color="888888"/>
              <w:right w:val="single" w:sz="4" w:space="0" w:color="888888"/>
            </w:tcBorders>
          </w:tcPr>
          <w:p w14:paraId="5D41575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2EC0DA7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USA</w:t>
            </w:r>
          </w:p>
        </w:tc>
        <w:tc>
          <w:tcPr>
            <w:tcW w:w="786" w:type="dxa"/>
            <w:tcBorders>
              <w:top w:val="single" w:sz="4" w:space="0" w:color="888888"/>
              <w:left w:val="single" w:sz="4" w:space="0" w:color="888888"/>
              <w:bottom w:val="single" w:sz="4" w:space="0" w:color="888888"/>
              <w:right w:val="single" w:sz="4" w:space="0" w:color="888888"/>
            </w:tcBorders>
          </w:tcPr>
          <w:p w14:paraId="37898E4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Neonatal mortality</w:t>
            </w:r>
          </w:p>
        </w:tc>
        <w:tc>
          <w:tcPr>
            <w:tcW w:w="786" w:type="dxa"/>
            <w:tcBorders>
              <w:top w:val="single" w:sz="4" w:space="0" w:color="888888"/>
              <w:left w:val="single" w:sz="4" w:space="0" w:color="888888"/>
              <w:bottom w:val="single" w:sz="4" w:space="0" w:color="888888"/>
              <w:right w:val="single" w:sz="4" w:space="0" w:color="888888"/>
            </w:tcBorders>
          </w:tcPr>
          <w:p w14:paraId="3323F01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 Model development</w:t>
            </w:r>
            <w:r>
              <w:rPr>
                <w:rFonts w:ascii="Arial" w:hAnsi="Arial" w:cs="Arial"/>
                <w:sz w:val="12"/>
                <w:szCs w:val="12"/>
              </w:rPr>
              <w:br/>
              <w:t>2. Identify important predictors</w:t>
            </w:r>
          </w:p>
        </w:tc>
        <w:tc>
          <w:tcPr>
            <w:tcW w:w="1051" w:type="dxa"/>
            <w:tcBorders>
              <w:top w:val="single" w:sz="4" w:space="0" w:color="888888"/>
              <w:left w:val="single" w:sz="4" w:space="0" w:color="888888"/>
              <w:bottom w:val="single" w:sz="4" w:space="0" w:color="888888"/>
              <w:right w:val="single" w:sz="4" w:space="0" w:color="888888"/>
            </w:tcBorders>
          </w:tcPr>
          <w:p w14:paraId="04BF7CD4"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Clinical factor</w:t>
            </w:r>
          </w:p>
          <w:p w14:paraId="412480E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Lymphocytes</w:t>
            </w:r>
          </w:p>
          <w:p w14:paraId="3071ADA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Arterial partial pressure of carbon dioxide (PaCO2)</w:t>
            </w:r>
          </w:p>
          <w:p w14:paraId="141FBF0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Sequential Organ Failure Assessment (SOFA) score.</w:t>
            </w:r>
          </w:p>
          <w:p w14:paraId="20F1385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Red cell distribution width (RDW)</w:t>
            </w:r>
          </w:p>
          <w:p w14:paraId="610AC9D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Total bilirubin (TBIL)</w:t>
            </w:r>
          </w:p>
        </w:tc>
        <w:tc>
          <w:tcPr>
            <w:tcW w:w="851" w:type="dxa"/>
            <w:tcBorders>
              <w:top w:val="single" w:sz="4" w:space="0" w:color="888888"/>
              <w:left w:val="single" w:sz="4" w:space="0" w:color="888888"/>
              <w:bottom w:val="single" w:sz="4" w:space="0" w:color="888888"/>
              <w:right w:val="single" w:sz="4" w:space="0" w:color="888888"/>
            </w:tcBorders>
          </w:tcPr>
          <w:p w14:paraId="75EE9A2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5D9C5123"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50E18182"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7632313D"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7E97E94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predictive model achieved an area under the receiver operating characteristics (ROC) curve (AUC) of 0.865 (95% CI 0.813 to 0.917), indicating good predictive accuracy</w:t>
            </w:r>
          </w:p>
        </w:tc>
        <w:tc>
          <w:tcPr>
            <w:tcW w:w="851" w:type="dxa"/>
            <w:tcBorders>
              <w:top w:val="single" w:sz="4" w:space="0" w:color="888888"/>
              <w:left w:val="single" w:sz="4" w:space="0" w:color="888888"/>
              <w:bottom w:val="single" w:sz="4" w:space="0" w:color="888888"/>
              <w:right w:val="single" w:sz="4" w:space="0" w:color="888888"/>
            </w:tcBorders>
          </w:tcPr>
          <w:p w14:paraId="24DCDC8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w:t>
            </w:r>
          </w:p>
        </w:tc>
        <w:tc>
          <w:tcPr>
            <w:tcW w:w="817" w:type="dxa"/>
            <w:tcBorders>
              <w:top w:val="single" w:sz="4" w:space="0" w:color="888888"/>
              <w:left w:val="single" w:sz="4" w:space="0" w:color="888888"/>
              <w:bottom w:val="single" w:sz="4" w:space="0" w:color="888888"/>
              <w:right w:val="single" w:sz="4" w:space="0" w:color="888888"/>
            </w:tcBorders>
          </w:tcPr>
          <w:p w14:paraId="4803EBA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59740E4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1,258 neonates, which included 1,194 surviving patients and 64 deaths</w:t>
            </w:r>
          </w:p>
        </w:tc>
        <w:tc>
          <w:tcPr>
            <w:tcW w:w="851" w:type="dxa"/>
            <w:tcBorders>
              <w:top w:val="single" w:sz="4" w:space="0" w:color="888888"/>
              <w:left w:val="single" w:sz="4" w:space="0" w:color="888888"/>
              <w:bottom w:val="single" w:sz="4" w:space="0" w:color="888888"/>
              <w:right w:val="single" w:sz="4" w:space="0" w:color="888888"/>
            </w:tcBorders>
          </w:tcPr>
          <w:p w14:paraId="5454A4D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study received no funding</w:t>
            </w:r>
          </w:p>
        </w:tc>
        <w:tc>
          <w:tcPr>
            <w:tcW w:w="1134" w:type="dxa"/>
            <w:tcBorders>
              <w:top w:val="single" w:sz="4" w:space="0" w:color="888888"/>
              <w:left w:val="single" w:sz="4" w:space="0" w:color="888888"/>
              <w:bottom w:val="single" w:sz="4" w:space="0" w:color="888888"/>
              <w:right w:val="single" w:sz="4" w:space="0" w:color="888888"/>
            </w:tcBorders>
          </w:tcPr>
          <w:p w14:paraId="4E45A1C7"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51.1%</w:t>
            </w:r>
          </w:p>
        </w:tc>
        <w:tc>
          <w:tcPr>
            <w:tcW w:w="841" w:type="dxa"/>
            <w:tcBorders>
              <w:top w:val="single" w:sz="4" w:space="0" w:color="888888"/>
              <w:left w:val="single" w:sz="4" w:space="0" w:color="888888"/>
              <w:bottom w:val="single" w:sz="4" w:space="0" w:color="888888"/>
              <w:right w:val="single" w:sz="4" w:space="0" w:color="888888"/>
            </w:tcBorders>
          </w:tcPr>
          <w:p w14:paraId="605C33EC"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High risk</w:t>
            </w:r>
            <w:r>
              <w:rPr>
                <w:rFonts w:ascii="Arial" w:hAnsi="Arial" w:cs="Arial"/>
                <w:color w:val="000000"/>
                <w:sz w:val="12"/>
                <w:szCs w:val="12"/>
              </w:rPr>
              <w:br/>
              <w:t>D2: Low risk</w:t>
            </w:r>
            <w:r>
              <w:rPr>
                <w:rFonts w:ascii="Arial" w:hAnsi="Arial" w:cs="Arial"/>
                <w:color w:val="000000"/>
                <w:sz w:val="12"/>
                <w:szCs w:val="12"/>
              </w:rPr>
              <w:br/>
              <w:t>D3: Low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4C40BC66" w14:textId="77777777" w:rsidR="00871B31" w:rsidRPr="00756461" w:rsidRDefault="00871B31" w:rsidP="00BC1F31">
            <w:pPr>
              <w:spacing w:after="0" w:line="240" w:lineRule="auto"/>
              <w:rPr>
                <w:rFonts w:ascii="Arial" w:hAnsi="Arial" w:cs="Arial"/>
                <w:color w:val="000000"/>
                <w:sz w:val="12"/>
                <w:szCs w:val="12"/>
              </w:rPr>
            </w:pPr>
            <w:r>
              <w:rPr>
                <w:rFonts w:ascii="Arial" w:hAnsi="Arial" w:cs="Arial"/>
                <w:color w:val="000000"/>
                <w:sz w:val="12"/>
                <w:szCs w:val="12"/>
              </w:rPr>
              <w:t>Not publicly available</w:t>
            </w:r>
            <w:r>
              <w:rPr>
                <w:rFonts w:ascii="Arial" w:hAnsi="Arial" w:cs="Arial"/>
                <w:color w:val="000000"/>
                <w:sz w:val="12"/>
                <w:szCs w:val="12"/>
              </w:rPr>
              <w:br/>
            </w:r>
          </w:p>
          <w:p w14:paraId="6A8882D3"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Available via inquiries to corresponding author</w:t>
            </w:r>
          </w:p>
        </w:tc>
        <w:tc>
          <w:tcPr>
            <w:tcW w:w="442" w:type="dxa"/>
            <w:tcBorders>
              <w:top w:val="single" w:sz="4" w:space="0" w:color="888888"/>
              <w:left w:val="single" w:sz="4" w:space="0" w:color="888888"/>
              <w:bottom w:val="single" w:sz="4" w:space="0" w:color="888888"/>
              <w:right w:val="single" w:sz="4" w:space="0" w:color="888888"/>
            </w:tcBorders>
          </w:tcPr>
          <w:p w14:paraId="120FB677"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FyomEJgK","properties":{"formattedCitation":"[60]","plainCitation":"[60]","noteIndex":0},"citationItems":[{"id":"b2OWig5M/mPS7zY8q","uris":["http://zotero.org/users/18230940/items/ZURSWMG3"],"itemData":{"id":722,"type":"article-journal","abstract":"AbstractBackground. To explore the influencing factors for in-hospital mortality in the neonatal intensive care unit (NICU) and to establish a predictive n","container-title":"International Health","DOI":"10.1093/inthealth/ihab012","issue":"6","journalAbbreviation":"Int Health","language":"en","page":"633-639","publisher":"Oxford Academic","source":"academic.oup.com","title":"A nomogram to predict in-hospital mortality of neonates admitted to the intensive care unit","volume":"13","author":[{"family":"Huang","given":"Xihua"},{"family":"Liang","given":"Zhenyu"},{"family":"Li","given":"Tang"},{"family":"Lingna","given":"Yu"},{"family":"Zhu","given":"Wei"},{"family":"Li","given":"Huiyi"}],"issued":{"date-parts":[["2021",12,1]]}}}],"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[60]</w:t>
            </w:r>
            <w:r>
              <w:rPr>
                <w:rFonts w:ascii="Arial" w:eastAsia="Times New Roman" w:hAnsi="Arial" w:cs="Arial"/>
                <w:color w:val="000000"/>
                <w:sz w:val="12"/>
                <w:szCs w:val="12"/>
                <w:lang w:eastAsia="en-GB" w:bidi="th-TH"/>
              </w:rPr>
              <w:fldChar w:fldCharType="end"/>
            </w:r>
          </w:p>
        </w:tc>
      </w:tr>
      <w:tr w:rsidR="00871B31" w:rsidRPr="00756461" w14:paraId="02D2FA5D"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1184A40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Huang, et al. 2025</w:t>
            </w:r>
          </w:p>
        </w:tc>
        <w:tc>
          <w:tcPr>
            <w:tcW w:w="1054" w:type="dxa"/>
            <w:tcBorders>
              <w:top w:val="single" w:sz="4" w:space="0" w:color="888888"/>
              <w:left w:val="single" w:sz="4" w:space="0" w:color="888888"/>
              <w:bottom w:val="single" w:sz="4" w:space="0" w:color="888888"/>
              <w:right w:val="single" w:sz="4" w:space="0" w:color="888888"/>
            </w:tcBorders>
          </w:tcPr>
          <w:p w14:paraId="2894C2F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6E080FD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China</w:t>
            </w:r>
          </w:p>
        </w:tc>
        <w:tc>
          <w:tcPr>
            <w:tcW w:w="786" w:type="dxa"/>
            <w:tcBorders>
              <w:top w:val="single" w:sz="4" w:space="0" w:color="888888"/>
              <w:left w:val="single" w:sz="4" w:space="0" w:color="888888"/>
              <w:bottom w:val="single" w:sz="4" w:space="0" w:color="888888"/>
              <w:right w:val="single" w:sz="4" w:space="0" w:color="888888"/>
            </w:tcBorders>
          </w:tcPr>
          <w:p w14:paraId="4655697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w:t>
            </w:r>
          </w:p>
        </w:tc>
        <w:tc>
          <w:tcPr>
            <w:tcW w:w="786" w:type="dxa"/>
            <w:tcBorders>
              <w:top w:val="single" w:sz="4" w:space="0" w:color="888888"/>
              <w:left w:val="single" w:sz="4" w:space="0" w:color="888888"/>
              <w:bottom w:val="single" w:sz="4" w:space="0" w:color="888888"/>
              <w:right w:val="single" w:sz="4" w:space="0" w:color="888888"/>
            </w:tcBorders>
          </w:tcPr>
          <w:p w14:paraId="55BC3F3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 Model development</w:t>
            </w:r>
            <w:r>
              <w:rPr>
                <w:rFonts w:ascii="Arial" w:hAnsi="Arial" w:cs="Arial"/>
                <w:sz w:val="12"/>
                <w:szCs w:val="12"/>
              </w:rPr>
              <w:br/>
              <w:t>2. Identify important predictors</w:t>
            </w:r>
          </w:p>
        </w:tc>
        <w:tc>
          <w:tcPr>
            <w:tcW w:w="1051" w:type="dxa"/>
            <w:tcBorders>
              <w:top w:val="single" w:sz="4" w:space="0" w:color="888888"/>
              <w:left w:val="single" w:sz="4" w:space="0" w:color="888888"/>
              <w:bottom w:val="single" w:sz="4" w:space="0" w:color="888888"/>
              <w:right w:val="single" w:sz="4" w:space="0" w:color="888888"/>
            </w:tcBorders>
          </w:tcPr>
          <w:p w14:paraId="31D20F47"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62A0D8A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age</w:t>
            </w:r>
          </w:p>
          <w:p w14:paraId="4FA471E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body mass index</w:t>
            </w:r>
          </w:p>
          <w:p w14:paraId="72B2B90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Anaemia / haemoglobin</w:t>
            </w:r>
          </w:p>
          <w:p w14:paraId="4D723DE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Hypertensive disorders of pregnancy</w:t>
            </w:r>
          </w:p>
          <w:p w14:paraId="32BCBAE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Diabetes / GDM</w:t>
            </w:r>
          </w:p>
        </w:tc>
        <w:tc>
          <w:tcPr>
            <w:tcW w:w="851" w:type="dxa"/>
            <w:tcBorders>
              <w:top w:val="single" w:sz="4" w:space="0" w:color="888888"/>
              <w:left w:val="single" w:sz="4" w:space="0" w:color="888888"/>
              <w:bottom w:val="single" w:sz="4" w:space="0" w:color="888888"/>
              <w:right w:val="single" w:sz="4" w:space="0" w:color="888888"/>
            </w:tcBorders>
          </w:tcPr>
          <w:p w14:paraId="0D5A10E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5347F6A4"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0ACDC14E"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127D8B01"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754A6BA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nomogram prediction model showed good performance with an Area Under the Curve (AUC) of 0.821</w:t>
            </w:r>
          </w:p>
        </w:tc>
        <w:tc>
          <w:tcPr>
            <w:tcW w:w="851" w:type="dxa"/>
            <w:tcBorders>
              <w:top w:val="single" w:sz="4" w:space="0" w:color="888888"/>
              <w:left w:val="single" w:sz="4" w:space="0" w:color="888888"/>
              <w:bottom w:val="single" w:sz="4" w:space="0" w:color="888888"/>
              <w:right w:val="single" w:sz="4" w:space="0" w:color="888888"/>
            </w:tcBorders>
          </w:tcPr>
          <w:p w14:paraId="4310815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w:t>
            </w:r>
          </w:p>
        </w:tc>
        <w:tc>
          <w:tcPr>
            <w:tcW w:w="817" w:type="dxa"/>
            <w:tcBorders>
              <w:top w:val="single" w:sz="4" w:space="0" w:color="888888"/>
              <w:left w:val="single" w:sz="4" w:space="0" w:color="888888"/>
              <w:bottom w:val="single" w:sz="4" w:space="0" w:color="888888"/>
              <w:right w:val="single" w:sz="4" w:space="0" w:color="888888"/>
            </w:tcBorders>
          </w:tcPr>
          <w:p w14:paraId="6B3DDB5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3F13729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120 first-time mothers with GDM combined with PIH </w:t>
            </w:r>
          </w:p>
        </w:tc>
        <w:tc>
          <w:tcPr>
            <w:tcW w:w="851" w:type="dxa"/>
            <w:tcBorders>
              <w:top w:val="single" w:sz="4" w:space="0" w:color="888888"/>
              <w:left w:val="single" w:sz="4" w:space="0" w:color="888888"/>
              <w:bottom w:val="single" w:sz="4" w:space="0" w:color="888888"/>
              <w:right w:val="single" w:sz="4" w:space="0" w:color="888888"/>
            </w:tcBorders>
          </w:tcPr>
          <w:p w14:paraId="681EEAB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No funding was associated with this research</w:t>
            </w:r>
          </w:p>
        </w:tc>
        <w:tc>
          <w:tcPr>
            <w:tcW w:w="1134" w:type="dxa"/>
            <w:tcBorders>
              <w:top w:val="single" w:sz="4" w:space="0" w:color="888888"/>
              <w:left w:val="single" w:sz="4" w:space="0" w:color="888888"/>
              <w:bottom w:val="single" w:sz="4" w:space="0" w:color="888888"/>
              <w:right w:val="single" w:sz="4" w:space="0" w:color="888888"/>
            </w:tcBorders>
          </w:tcPr>
          <w:p w14:paraId="052001C5"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54.2%</w:t>
            </w:r>
          </w:p>
        </w:tc>
        <w:tc>
          <w:tcPr>
            <w:tcW w:w="841" w:type="dxa"/>
            <w:tcBorders>
              <w:top w:val="single" w:sz="4" w:space="0" w:color="888888"/>
              <w:left w:val="single" w:sz="4" w:space="0" w:color="888888"/>
              <w:bottom w:val="single" w:sz="4" w:space="0" w:color="888888"/>
              <w:right w:val="single" w:sz="4" w:space="0" w:color="888888"/>
            </w:tcBorders>
          </w:tcPr>
          <w:p w14:paraId="37F0A361"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Low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25B89EA6" w14:textId="77777777" w:rsidR="00871B31" w:rsidRPr="00756461" w:rsidRDefault="00871B31" w:rsidP="00BC1F31">
            <w:pPr>
              <w:spacing w:after="0" w:line="240" w:lineRule="auto"/>
              <w:rPr>
                <w:rFonts w:ascii="Arial" w:hAnsi="Arial" w:cs="Arial"/>
                <w:color w:val="000000"/>
                <w:sz w:val="12"/>
                <w:szCs w:val="12"/>
              </w:rPr>
            </w:pPr>
            <w:r>
              <w:rPr>
                <w:rFonts w:ascii="Arial" w:hAnsi="Arial" w:cs="Arial"/>
                <w:color w:val="000000"/>
                <w:sz w:val="12"/>
                <w:szCs w:val="12"/>
              </w:rPr>
              <w:t>Not publicly available</w:t>
            </w:r>
            <w:r>
              <w:rPr>
                <w:rFonts w:ascii="Arial" w:hAnsi="Arial" w:cs="Arial"/>
                <w:color w:val="000000"/>
                <w:sz w:val="12"/>
                <w:szCs w:val="12"/>
              </w:rPr>
              <w:br/>
            </w:r>
          </w:p>
          <w:p w14:paraId="36AB1B0D"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Available via inquiries to corresponding author</w:t>
            </w:r>
          </w:p>
        </w:tc>
        <w:tc>
          <w:tcPr>
            <w:tcW w:w="442" w:type="dxa"/>
            <w:tcBorders>
              <w:top w:val="single" w:sz="4" w:space="0" w:color="888888"/>
              <w:left w:val="single" w:sz="4" w:space="0" w:color="888888"/>
              <w:bottom w:val="single" w:sz="4" w:space="0" w:color="888888"/>
              <w:right w:val="single" w:sz="4" w:space="0" w:color="888888"/>
            </w:tcBorders>
          </w:tcPr>
          <w:p w14:paraId="5D3985E8"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{"citationID":"daK4XXik","properties":{"formattedCitation":"[61]","plainCitation":"[61]","noteIndex":0},"citationItems":[{"id":"b2OWig5M/N67jMfK0","uris":["http://zotero.org/users/18230940/items/8RFTMACR"],"itemData":{"id":727,"type":"article-journal","abstract":"This study aims to identify risk factors for adverse pregnancy outcomes in primipara with gestational diabetes mellitus (GDM) combined with pregnancy-induced hypertension syndrome (PIH) and to develop a predictive model for such outcomes. A total of 120 primipara with GDM and PIH, admitted from January 2019 to May 2023, were divided into two groups: the adverse group (n = 57) and the good group (n = 63), based on pregnancy outcomes. Multivariate logistic regression analysis was used to identify independent risk factors for adverse outcomes. A nomogram was constructed based on these factors, and its efficacy was validated through internal evaluation. The adverse group had higher proportions of elderly parturients, higher pre-pregnancy BMI, and more weight gain during pregnancy. Additionally, the adverse group showed a higher incidence of family history of diabetes, and more severe types of PIH. Biochemical markers such as HbA1c and total cholesterol (TC) were higher in the adverse group, while high-density lipoprotein cholesterol (HDL-C) was lower (p &lt; .01, p &lt; .05). Multivariate logistic regression revealed that advanced maternal age, pre-pregnancy BMI, family history of diabetes, preeclampsia/chronic hypertension complicated by preeclampsia, and elevated HbA1c were independent risk factors for adverse pregnancy outcomes (p &lt; .01). A nomogram prediction model was developed, with an AUC of 0.821. Bootstrap internal validation confirmed the model’s robust discriminative ability. Advanced maternal age, pre-pregnancy BMI, family history of diabetes, preeclampsia, and elevated HbA1c are significant risk factors for adverse pregnancy outcomes in GDM combined with PIH. The nomogram model provides an effective tool for predicting such outcomes","container-title":"Clinical and Experimental Hypertension","DOI":"10.1080/10641963.2025.2492621","ISSN":"1064-1963","issue":"1","note":"_eprint: https://doi.org/10.1080/10641963.2025.2492621","page":"2492621","PMID":"40254845","publisher":"Taylor &amp; Francis","source":"Taylor and Francis+NEJM","title":"Construction of a risk prediction model for adverse pregnancy outcomes in primipara with gestational diabetes mellitus combined with pregnancy-induced hypertension syndrome","volume":"47","author":[{"family":"Huang","given":"Yufang"},{"family":"Li","given":"Zhenyan"},{"family":"Zhu","given":"Jing"},{"family":"Xiao","given":"Lingli"},{"family":"Huang","given":"Qiuxiang"},{"family":"Li","given":"Wenqing"},{"family":"He","given":"Lanfen"}],"issued":{"date-parts":[["2025",12,31]]}}}],"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[61]</w:t>
            </w:r>
            <w:r>
              <w:rPr>
                <w:rFonts w:ascii="Arial" w:eastAsia="Times New Roman" w:hAnsi="Arial" w:cs="Arial"/>
                <w:color w:val="000000"/>
                <w:sz w:val="12"/>
                <w:szCs w:val="12"/>
                <w:lang w:eastAsia="en-GB" w:bidi="th-TH"/>
              </w:rPr>
              <w:fldChar w:fldCharType="end"/>
            </w:r>
          </w:p>
        </w:tc>
      </w:tr>
      <w:tr w:rsidR="00871B31" w:rsidRPr="00756461" w14:paraId="3A76E92C"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72DB768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Inyang, et al 2021</w:t>
            </w:r>
          </w:p>
        </w:tc>
        <w:tc>
          <w:tcPr>
            <w:tcW w:w="1054" w:type="dxa"/>
            <w:tcBorders>
              <w:top w:val="single" w:sz="4" w:space="0" w:color="888888"/>
              <w:left w:val="single" w:sz="4" w:space="0" w:color="888888"/>
              <w:bottom w:val="single" w:sz="4" w:space="0" w:color="888888"/>
              <w:right w:val="single" w:sz="4" w:space="0" w:color="888888"/>
            </w:tcBorders>
          </w:tcPr>
          <w:p w14:paraId="685F3AD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286034A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Nigeria</w:t>
            </w:r>
          </w:p>
        </w:tc>
        <w:tc>
          <w:tcPr>
            <w:tcW w:w="786" w:type="dxa"/>
            <w:tcBorders>
              <w:top w:val="single" w:sz="4" w:space="0" w:color="888888"/>
              <w:left w:val="single" w:sz="4" w:space="0" w:color="888888"/>
              <w:bottom w:val="single" w:sz="4" w:space="0" w:color="888888"/>
              <w:right w:val="single" w:sz="4" w:space="0" w:color="888888"/>
            </w:tcBorders>
          </w:tcPr>
          <w:p w14:paraId="0DCFA9A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w:t>
            </w:r>
          </w:p>
        </w:tc>
        <w:tc>
          <w:tcPr>
            <w:tcW w:w="786" w:type="dxa"/>
            <w:tcBorders>
              <w:top w:val="single" w:sz="4" w:space="0" w:color="888888"/>
              <w:left w:val="single" w:sz="4" w:space="0" w:color="888888"/>
              <w:bottom w:val="single" w:sz="4" w:space="0" w:color="888888"/>
              <w:right w:val="single" w:sz="4" w:space="0" w:color="888888"/>
            </w:tcBorders>
          </w:tcPr>
          <w:p w14:paraId="72AC491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 Model development</w:t>
            </w:r>
            <w:r>
              <w:rPr>
                <w:rFonts w:ascii="Arial" w:hAnsi="Arial" w:cs="Arial"/>
                <w:sz w:val="12"/>
                <w:szCs w:val="12"/>
              </w:rPr>
              <w:br/>
              <w:t>2. Model comparison</w:t>
            </w:r>
          </w:p>
        </w:tc>
        <w:tc>
          <w:tcPr>
            <w:tcW w:w="1051" w:type="dxa"/>
            <w:tcBorders>
              <w:top w:val="single" w:sz="4" w:space="0" w:color="888888"/>
              <w:left w:val="single" w:sz="4" w:space="0" w:color="888888"/>
              <w:bottom w:val="single" w:sz="4" w:space="0" w:color="888888"/>
              <w:right w:val="single" w:sz="4" w:space="0" w:color="888888"/>
            </w:tcBorders>
          </w:tcPr>
          <w:p w14:paraId="567D57B1"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2199F4D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age</w:t>
            </w:r>
          </w:p>
          <w:p w14:paraId="2A52F09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Parity</w:t>
            </w:r>
          </w:p>
          <w:p w14:paraId="4AE5915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Gravidity</w:t>
            </w:r>
          </w:p>
          <w:p w14:paraId="6404F24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Previous adverse outcome</w:t>
            </w:r>
          </w:p>
          <w:p w14:paraId="2CCF281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Anaemia / haemoglobin</w:t>
            </w:r>
          </w:p>
          <w:p w14:paraId="2241F13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Infections</w:t>
            </w:r>
          </w:p>
          <w:p w14:paraId="56CEC1C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Blood pressure</w:t>
            </w:r>
          </w:p>
        </w:tc>
        <w:tc>
          <w:tcPr>
            <w:tcW w:w="851" w:type="dxa"/>
            <w:tcBorders>
              <w:top w:val="single" w:sz="4" w:space="0" w:color="888888"/>
              <w:left w:val="single" w:sz="4" w:space="0" w:color="888888"/>
              <w:bottom w:val="single" w:sz="4" w:space="0" w:color="888888"/>
              <w:right w:val="single" w:sz="4" w:space="0" w:color="888888"/>
            </w:tcBorders>
          </w:tcPr>
          <w:p w14:paraId="54ED25D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28D0AF0D"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68D83D51"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4AB54416"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2701DCE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Best = The Random Forest model, trained on a reduced set of maternal features, achieved 96.31% accuracy and 0.982 AUC. Stillbirth-class AUC = 0·956, weighted-average AUC across all 4 classes = 0·967. RF stillbirth-class recall is 27·2% (poor minority detection).</w:t>
            </w:r>
          </w:p>
        </w:tc>
        <w:tc>
          <w:tcPr>
            <w:tcW w:w="851" w:type="dxa"/>
            <w:tcBorders>
              <w:top w:val="single" w:sz="4" w:space="0" w:color="888888"/>
              <w:left w:val="single" w:sz="4" w:space="0" w:color="888888"/>
              <w:bottom w:val="single" w:sz="4" w:space="0" w:color="888888"/>
              <w:right w:val="single" w:sz="4" w:space="0" w:color="888888"/>
            </w:tcBorders>
          </w:tcPr>
          <w:p w14:paraId="0D846CC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 Accuracy</w:t>
            </w:r>
          </w:p>
        </w:tc>
        <w:tc>
          <w:tcPr>
            <w:tcW w:w="817" w:type="dxa"/>
            <w:tcBorders>
              <w:top w:val="single" w:sz="4" w:space="0" w:color="888888"/>
              <w:left w:val="single" w:sz="4" w:space="0" w:color="888888"/>
              <w:bottom w:val="single" w:sz="4" w:space="0" w:color="888888"/>
              <w:right w:val="single" w:sz="4" w:space="0" w:color="888888"/>
            </w:tcBorders>
          </w:tcPr>
          <w:p w14:paraId="2C4CCBA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192CBD1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n=1,632 records (114 stillbirth, 1,255 term, 39·8% preterm, 12·20% miscarriage)</w:t>
            </w:r>
          </w:p>
        </w:tc>
        <w:tc>
          <w:tcPr>
            <w:tcW w:w="851" w:type="dxa"/>
            <w:tcBorders>
              <w:top w:val="single" w:sz="4" w:space="0" w:color="888888"/>
              <w:left w:val="single" w:sz="4" w:space="0" w:color="888888"/>
              <w:bottom w:val="single" w:sz="4" w:space="0" w:color="888888"/>
              <w:right w:val="single" w:sz="4" w:space="0" w:color="888888"/>
            </w:tcBorders>
          </w:tcPr>
          <w:p w14:paraId="645E56B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No specific funding</w:t>
            </w:r>
          </w:p>
        </w:tc>
        <w:tc>
          <w:tcPr>
            <w:tcW w:w="1134" w:type="dxa"/>
            <w:tcBorders>
              <w:top w:val="single" w:sz="4" w:space="0" w:color="888888"/>
              <w:left w:val="single" w:sz="4" w:space="0" w:color="888888"/>
              <w:bottom w:val="single" w:sz="4" w:space="0" w:color="888888"/>
              <w:right w:val="single" w:sz="4" w:space="0" w:color="888888"/>
            </w:tcBorders>
          </w:tcPr>
          <w:p w14:paraId="1231C25D"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25.0%</w:t>
            </w:r>
          </w:p>
        </w:tc>
        <w:tc>
          <w:tcPr>
            <w:tcW w:w="841" w:type="dxa"/>
            <w:tcBorders>
              <w:top w:val="single" w:sz="4" w:space="0" w:color="888888"/>
              <w:left w:val="single" w:sz="4" w:space="0" w:color="888888"/>
              <w:bottom w:val="single" w:sz="4" w:space="0" w:color="888888"/>
              <w:right w:val="single" w:sz="4" w:space="0" w:color="888888"/>
            </w:tcBorders>
          </w:tcPr>
          <w:p w14:paraId="19FA2462"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Unclear risk</w:t>
            </w:r>
            <w:r>
              <w:rPr>
                <w:rFonts w:ascii="Arial" w:hAnsi="Arial" w:cs="Arial"/>
                <w:color w:val="000000"/>
                <w:sz w:val="12"/>
                <w:szCs w:val="12"/>
              </w:rPr>
              <w:br/>
              <w:t>D2: High risk</w:t>
            </w:r>
            <w:r>
              <w:rPr>
                <w:rFonts w:ascii="Arial" w:hAnsi="Arial" w:cs="Arial"/>
                <w:color w:val="000000"/>
                <w:sz w:val="12"/>
                <w:szCs w:val="12"/>
              </w:rPr>
              <w:br/>
              <w:t>D3: Unclear risk</w:t>
            </w:r>
            <w:r>
              <w:rPr>
                <w:rFonts w:ascii="Arial" w:hAnsi="Arial" w:cs="Arial"/>
                <w:color w:val="000000"/>
                <w:sz w:val="12"/>
                <w:szCs w:val="12"/>
              </w:rPr>
              <w:br/>
              <w:t>D4: Unclear risk</w:t>
            </w:r>
          </w:p>
        </w:tc>
        <w:tc>
          <w:tcPr>
            <w:tcW w:w="860" w:type="dxa"/>
            <w:tcBorders>
              <w:top w:val="single" w:sz="4" w:space="0" w:color="888888"/>
              <w:left w:val="single" w:sz="4" w:space="0" w:color="888888"/>
              <w:bottom w:val="single" w:sz="4" w:space="0" w:color="888888"/>
              <w:right w:val="single" w:sz="4" w:space="0" w:color="888888"/>
            </w:tcBorders>
          </w:tcPr>
          <w:p w14:paraId="2C5278BA"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Not mentioned</w:t>
            </w:r>
          </w:p>
        </w:tc>
        <w:tc>
          <w:tcPr>
            <w:tcW w:w="442" w:type="dxa"/>
            <w:tcBorders>
              <w:top w:val="single" w:sz="4" w:space="0" w:color="888888"/>
              <w:left w:val="single" w:sz="4" w:space="0" w:color="888888"/>
              <w:bottom w:val="single" w:sz="4" w:space="0" w:color="888888"/>
              <w:right w:val="single" w:sz="4" w:space="0" w:color="888888"/>
            </w:tcBorders>
          </w:tcPr>
          <w:p w14:paraId="72EE4917"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{"citationID":"UBMkCnhB","properties":{"formattedCitation":"[62]","plainCitation":"[62]","noteIndex":0},"citationItems":[{"id":"b2OWig5M/PSexmq7W","uris":["http://zotero.org/users/18230940/items/SKY2AJRV"],"itemData":{"id":846,"type":"webpage","title":"Predictive Decision Support Analytic Model for Intelligent Obstetric Risks Management | Springer Nature Link","URL":"https://link.springer.com/chapter/10.1007/978-3-030-80216-5_8","accessed":{"date-parts":[["2026",2,23]]}}}],"schema":"https://github.com/citation-style-language/schema/raw/master/csl-citation.json"}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[62]</w:t>
            </w:r>
            <w:r>
              <w:rPr>
                <w:rFonts w:ascii="Arial" w:eastAsia="Times New Roman" w:hAnsi="Arial" w:cs="Arial"/>
                <w:color w:val="000000"/>
                <w:sz w:val="12"/>
                <w:szCs w:val="12"/>
                <w:lang w:eastAsia="en-GB" w:bidi="th-TH"/>
              </w:rPr>
              <w:fldChar w:fldCharType="end"/>
            </w:r>
          </w:p>
        </w:tc>
      </w:tr>
      <w:tr w:rsidR="00871B31" w:rsidRPr="00756461" w14:paraId="18B4BB91"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7EDC138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Kaliappan, et al. 2023</w:t>
            </w:r>
          </w:p>
        </w:tc>
        <w:tc>
          <w:tcPr>
            <w:tcW w:w="1054" w:type="dxa"/>
            <w:tcBorders>
              <w:top w:val="single" w:sz="4" w:space="0" w:color="888888"/>
              <w:left w:val="single" w:sz="4" w:space="0" w:color="888888"/>
              <w:bottom w:val="single" w:sz="4" w:space="0" w:color="888888"/>
              <w:right w:val="single" w:sz="4" w:space="0" w:color="888888"/>
            </w:tcBorders>
          </w:tcPr>
          <w:p w14:paraId="5BE5F40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1FCF0C8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India</w:t>
            </w:r>
          </w:p>
        </w:tc>
        <w:tc>
          <w:tcPr>
            <w:tcW w:w="786" w:type="dxa"/>
            <w:tcBorders>
              <w:top w:val="single" w:sz="4" w:space="0" w:color="888888"/>
              <w:left w:val="single" w:sz="4" w:space="0" w:color="888888"/>
              <w:bottom w:val="single" w:sz="4" w:space="0" w:color="888888"/>
              <w:right w:val="single" w:sz="4" w:space="0" w:color="888888"/>
            </w:tcBorders>
          </w:tcPr>
          <w:p w14:paraId="651F7C8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w:t>
            </w:r>
          </w:p>
        </w:tc>
        <w:tc>
          <w:tcPr>
            <w:tcW w:w="786" w:type="dxa"/>
            <w:tcBorders>
              <w:top w:val="single" w:sz="4" w:space="0" w:color="888888"/>
              <w:left w:val="single" w:sz="4" w:space="0" w:color="888888"/>
              <w:bottom w:val="single" w:sz="4" w:space="0" w:color="888888"/>
              <w:right w:val="single" w:sz="4" w:space="0" w:color="888888"/>
            </w:tcBorders>
          </w:tcPr>
          <w:p w14:paraId="03F9A58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 Model comparison</w:t>
            </w:r>
            <w:r>
              <w:rPr>
                <w:rFonts w:ascii="Arial" w:hAnsi="Arial" w:cs="Arial"/>
                <w:sz w:val="12"/>
                <w:szCs w:val="12"/>
              </w:rPr>
              <w:br/>
              <w:t>2. To use interpretable AI (Blackbox Evaluation) to understand how the models make predictions</w:t>
            </w:r>
          </w:p>
        </w:tc>
        <w:tc>
          <w:tcPr>
            <w:tcW w:w="1051" w:type="dxa"/>
            <w:tcBorders>
              <w:top w:val="single" w:sz="4" w:space="0" w:color="888888"/>
              <w:left w:val="single" w:sz="4" w:space="0" w:color="888888"/>
              <w:bottom w:val="single" w:sz="4" w:space="0" w:color="888888"/>
              <w:right w:val="single" w:sz="4" w:space="0" w:color="888888"/>
            </w:tcBorders>
          </w:tcPr>
          <w:p w14:paraId="1B4F2ADF"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Clinical factor</w:t>
            </w:r>
          </w:p>
          <w:p w14:paraId="472C5AC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Acceleration</w:t>
            </w:r>
          </w:p>
          <w:p w14:paraId="0BA3F6E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Abnormal short-term variability</w:t>
            </w:r>
          </w:p>
          <w:p w14:paraId="2C44285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Abnormal long-term variability percentage</w:t>
            </w:r>
          </w:p>
          <w:p w14:paraId="4DCBF6A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Long-term variability mean value</w:t>
            </w:r>
          </w:p>
          <w:p w14:paraId="24C16FB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Prolonged decelerations</w:t>
            </w:r>
          </w:p>
        </w:tc>
        <w:tc>
          <w:tcPr>
            <w:tcW w:w="851" w:type="dxa"/>
            <w:tcBorders>
              <w:top w:val="single" w:sz="4" w:space="0" w:color="888888"/>
              <w:left w:val="single" w:sz="4" w:space="0" w:color="888888"/>
              <w:bottom w:val="single" w:sz="4" w:space="0" w:color="888888"/>
              <w:right w:val="single" w:sz="4" w:space="0" w:color="888888"/>
            </w:tcBorders>
          </w:tcPr>
          <w:p w14:paraId="2BE737D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6055F8B6"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5D335481"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153DB268"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7AF1F59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"Gradient Boosting and Voting Classifier achieved 99% accuracy" </w:t>
            </w:r>
            <w:r>
              <w:rPr>
                <w:rFonts w:ascii="Arial" w:hAnsi="Arial" w:cs="Arial"/>
                <w:sz w:val="12"/>
                <w:szCs w:val="12"/>
              </w:rPr>
              <w:br/>
              <w:t xml:space="preserve">6 </w:t>
            </w:r>
            <w:r>
              <w:rPr>
                <w:rFonts w:ascii="Arial" w:hAnsi="Arial" w:cs="Arial"/>
                <w:sz w:val="12"/>
                <w:szCs w:val="12"/>
              </w:rPr>
              <w:br/>
              <w:t>. These models outperformed others with an accuracy of 0.99, a recall of 0.98, a precision between 0.96–0.98, and an F1-score of approximately 0.97</w:t>
            </w:r>
          </w:p>
        </w:tc>
        <w:tc>
          <w:tcPr>
            <w:tcW w:w="851" w:type="dxa"/>
            <w:tcBorders>
              <w:top w:val="single" w:sz="4" w:space="0" w:color="888888"/>
              <w:left w:val="single" w:sz="4" w:space="0" w:color="888888"/>
              <w:bottom w:val="single" w:sz="4" w:space="0" w:color="888888"/>
              <w:right w:val="single" w:sz="4" w:space="0" w:color="888888"/>
            </w:tcBorders>
          </w:tcPr>
          <w:p w14:paraId="2F6718A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Accuracy, Seneitivity, Precision, F1-score</w:t>
            </w:r>
          </w:p>
        </w:tc>
        <w:tc>
          <w:tcPr>
            <w:tcW w:w="817" w:type="dxa"/>
            <w:tcBorders>
              <w:top w:val="single" w:sz="4" w:space="0" w:color="888888"/>
              <w:left w:val="single" w:sz="4" w:space="0" w:color="888888"/>
              <w:bottom w:val="single" w:sz="4" w:space="0" w:color="888888"/>
              <w:right w:val="single" w:sz="4" w:space="0" w:color="888888"/>
            </w:tcBorders>
          </w:tcPr>
          <w:p w14:paraId="2129186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4099220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2126 participants</w:t>
            </w:r>
          </w:p>
        </w:tc>
        <w:tc>
          <w:tcPr>
            <w:tcW w:w="851" w:type="dxa"/>
            <w:tcBorders>
              <w:top w:val="single" w:sz="4" w:space="0" w:color="888888"/>
              <w:left w:val="single" w:sz="4" w:space="0" w:color="888888"/>
              <w:bottom w:val="single" w:sz="4" w:space="0" w:color="888888"/>
              <w:right w:val="single" w:sz="4" w:space="0" w:color="888888"/>
            </w:tcBorders>
          </w:tcPr>
          <w:p w14:paraId="4DBBF3E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research was supported by a grant from the "National Science and Technology Council" with grant number "NSTC 111-2622-E-197-007</w:t>
            </w:r>
          </w:p>
        </w:tc>
        <w:tc>
          <w:tcPr>
            <w:tcW w:w="1134" w:type="dxa"/>
            <w:tcBorders>
              <w:top w:val="single" w:sz="4" w:space="0" w:color="888888"/>
              <w:left w:val="single" w:sz="4" w:space="0" w:color="888888"/>
              <w:bottom w:val="single" w:sz="4" w:space="0" w:color="888888"/>
              <w:right w:val="single" w:sz="4" w:space="0" w:color="888888"/>
            </w:tcBorders>
          </w:tcPr>
          <w:p w14:paraId="3E890B69"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32.7%</w:t>
            </w:r>
          </w:p>
        </w:tc>
        <w:tc>
          <w:tcPr>
            <w:tcW w:w="841" w:type="dxa"/>
            <w:tcBorders>
              <w:top w:val="single" w:sz="4" w:space="0" w:color="888888"/>
              <w:left w:val="single" w:sz="4" w:space="0" w:color="888888"/>
              <w:bottom w:val="single" w:sz="4" w:space="0" w:color="888888"/>
              <w:right w:val="single" w:sz="4" w:space="0" w:color="888888"/>
            </w:tcBorders>
          </w:tcPr>
          <w:p w14:paraId="2A8785DA"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Uncelar risk</w:t>
            </w:r>
            <w:r>
              <w:rPr>
                <w:rFonts w:ascii="Arial" w:hAnsi="Arial" w:cs="Arial"/>
                <w:color w:val="000000"/>
                <w:sz w:val="12"/>
                <w:szCs w:val="12"/>
              </w:rPr>
              <w:br/>
              <w:t>D3: Low risk</w:t>
            </w:r>
            <w:r>
              <w:rPr>
                <w:rFonts w:ascii="Arial" w:hAnsi="Arial" w:cs="Arial"/>
                <w:color w:val="000000"/>
                <w:sz w:val="12"/>
                <w:szCs w:val="12"/>
              </w:rPr>
              <w:br/>
              <w:t>D4: Unclear risk</w:t>
            </w:r>
          </w:p>
        </w:tc>
        <w:tc>
          <w:tcPr>
            <w:tcW w:w="860" w:type="dxa"/>
            <w:tcBorders>
              <w:top w:val="single" w:sz="4" w:space="0" w:color="888888"/>
              <w:left w:val="single" w:sz="4" w:space="0" w:color="888888"/>
              <w:bottom w:val="single" w:sz="4" w:space="0" w:color="888888"/>
              <w:right w:val="single" w:sz="4" w:space="0" w:color="888888"/>
            </w:tcBorders>
          </w:tcPr>
          <w:p w14:paraId="2C26B358"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The data is publicly accessible via website.</w:t>
            </w:r>
          </w:p>
        </w:tc>
        <w:tc>
          <w:tcPr>
            <w:tcW w:w="442" w:type="dxa"/>
            <w:tcBorders>
              <w:top w:val="single" w:sz="4" w:space="0" w:color="888888"/>
              <w:left w:val="single" w:sz="4" w:space="0" w:color="888888"/>
              <w:bottom w:val="single" w:sz="4" w:space="0" w:color="888888"/>
              <w:right w:val="single" w:sz="4" w:space="0" w:color="888888"/>
            </w:tcBorders>
          </w:tcPr>
          <w:p w14:paraId="63BB04D1"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{"citationID":"GgTqvolS","properties":{"formattedCitation":"[63]","plainCitation":"[63]","noteIndex":0},"citationItems":[{"id":"b2OWig5M/BxOtkvt2","uris":["http://zotero.org/users/18230940/items/8X6CVL3Q"],"itemData":{"id":729,"type":"article-journal","abstract":"Intrauterine fetal demise in women during pregnancy is a major contributing factor in prenatal mortality and is a major global issue in developing and underdeveloped countries. When an unborn fetus passes away in the womb during the 20th week of pregnancy or later, early detection of the fetus can help reduce the chances of intrauterine fetal demise. Machine learning models such as Decision Trees, Random Forest, SVM Classifier, KNN, Gaussian Naïve Bayes, Adaboost, Gradient Boosting, Voting Classifier, and Neural Networks are trained to determine whether the fetal health is Normal, Suspect, or Pathological. This work uses 22 features related to fetal heart rate obtained from the Cardiotocogram (CTG) clinical procedure for 2126 patients. Our paper focuses on applying various cross-validation techniques, namely, K-Fold, Hold-Out, Leave-One-Out, Leave-P-Out, Monte Carlo, Stratified K-fold, and Repeated K-fold, on the above ML algorithms to enhance them and determine the best performing algorithm. We conducted exploratory data analysis to obtain detailed inferences on the features. Gradient Boosting and Voting Classifier achieved 99% accuracy after applying cross-validation techniques. The dataset used has the dimension of 2126 × 22, and the label is multiclass classified as Normal, Suspect, and Pathological condition. Apart from incorporating cross-validation strategies on several machine learning algorithms, the research paper focuses on Blackbox evaluation, which is an Interpretable Machine Learning Technique used to understand the underlying working mechanism of each model and the means by which it picks features to train and predict values.","container-title":"Diagnostics","DOI":"10.3390/diagnostics13101692","ISSN":"2075-4418","issue":"10","journalAbbreviation":"Diagnostics (Basel)","language":"eng","page":"1692","PMID":"37238178","PMCID":"PMC10217387","publisher-place":"Basel, Switzerland","source":"PubMed","title":"Impact of Cross-Validation on Machine Learning Models for Early Detection of Intrauterine Fetal Demise","volume":"13","author":[{"family":"Kaliappan","given":"Jayakumar"},{"family":"Bagepalli","given":"Apoorva Reddy"},{"family":"Almal","given":"Shubh"},{"family":"Mishra","given":"Rishabh"},{"family":"Hu","given":"Yuh-Chung"},{"family":"Srinivasan","given":"Kathiravan"}],"issued":{"date-parts":[["2023",5,10]]}}}],"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[63]</w:t>
            </w:r>
            <w:r>
              <w:rPr>
                <w:rFonts w:ascii="Arial" w:eastAsia="Times New Roman" w:hAnsi="Arial" w:cs="Arial"/>
                <w:color w:val="000000"/>
                <w:sz w:val="12"/>
                <w:szCs w:val="12"/>
                <w:lang w:eastAsia="en-GB" w:bidi="th-TH"/>
              </w:rPr>
              <w:fldChar w:fldCharType="end"/>
            </w:r>
          </w:p>
        </w:tc>
      </w:tr>
      <w:tr w:rsidR="00871B31" w:rsidRPr="00756461" w14:paraId="5227E9CC"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688C63E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Khatibi, et al. 2021</w:t>
            </w:r>
          </w:p>
        </w:tc>
        <w:tc>
          <w:tcPr>
            <w:tcW w:w="1054" w:type="dxa"/>
            <w:tcBorders>
              <w:top w:val="single" w:sz="4" w:space="0" w:color="888888"/>
              <w:left w:val="single" w:sz="4" w:space="0" w:color="888888"/>
              <w:bottom w:val="single" w:sz="4" w:space="0" w:color="888888"/>
              <w:right w:val="single" w:sz="4" w:space="0" w:color="888888"/>
            </w:tcBorders>
          </w:tcPr>
          <w:p w14:paraId="6CE1273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14A9B5A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Iran</w:t>
            </w:r>
          </w:p>
        </w:tc>
        <w:tc>
          <w:tcPr>
            <w:tcW w:w="786" w:type="dxa"/>
            <w:tcBorders>
              <w:top w:val="single" w:sz="4" w:space="0" w:color="888888"/>
              <w:left w:val="single" w:sz="4" w:space="0" w:color="888888"/>
              <w:bottom w:val="single" w:sz="4" w:space="0" w:color="888888"/>
              <w:right w:val="single" w:sz="4" w:space="0" w:color="888888"/>
            </w:tcBorders>
          </w:tcPr>
          <w:p w14:paraId="4DAAB7A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w:t>
            </w:r>
          </w:p>
        </w:tc>
        <w:tc>
          <w:tcPr>
            <w:tcW w:w="786" w:type="dxa"/>
            <w:tcBorders>
              <w:top w:val="single" w:sz="4" w:space="0" w:color="888888"/>
              <w:left w:val="single" w:sz="4" w:space="0" w:color="888888"/>
              <w:bottom w:val="single" w:sz="4" w:space="0" w:color="888888"/>
              <w:right w:val="single" w:sz="4" w:space="0" w:color="888888"/>
            </w:tcBorders>
          </w:tcPr>
          <w:p w14:paraId="2955A39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 Model development</w:t>
            </w:r>
            <w:r>
              <w:rPr>
                <w:rFonts w:ascii="Arial" w:hAnsi="Arial" w:cs="Arial"/>
                <w:sz w:val="12"/>
                <w:szCs w:val="12"/>
              </w:rPr>
              <w:br/>
              <w:t>2. Identify important predictors</w:t>
            </w:r>
          </w:p>
        </w:tc>
        <w:tc>
          <w:tcPr>
            <w:tcW w:w="1051" w:type="dxa"/>
            <w:tcBorders>
              <w:top w:val="single" w:sz="4" w:space="0" w:color="888888"/>
              <w:left w:val="single" w:sz="4" w:space="0" w:color="888888"/>
              <w:bottom w:val="single" w:sz="4" w:space="0" w:color="888888"/>
              <w:right w:val="single" w:sz="4" w:space="0" w:color="888888"/>
            </w:tcBorders>
          </w:tcPr>
          <w:p w14:paraId="5572C594"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2F12AF2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age</w:t>
            </w:r>
          </w:p>
          <w:p w14:paraId="7AD67D0D"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11884EA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Gestational age</w:t>
            </w:r>
          </w:p>
          <w:p w14:paraId="353E9BD0"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Sociodemographic factor</w:t>
            </w:r>
          </w:p>
          <w:p w14:paraId="3DEC3C0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Geographic region / residence</w:t>
            </w:r>
          </w:p>
        </w:tc>
        <w:tc>
          <w:tcPr>
            <w:tcW w:w="851" w:type="dxa"/>
            <w:tcBorders>
              <w:top w:val="single" w:sz="4" w:space="0" w:color="888888"/>
              <w:left w:val="single" w:sz="4" w:space="0" w:color="888888"/>
              <w:bottom w:val="single" w:sz="4" w:space="0" w:color="888888"/>
              <w:right w:val="single" w:sz="4" w:space="0" w:color="888888"/>
            </w:tcBorders>
          </w:tcPr>
          <w:p w14:paraId="2AC88F1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Population/ Registry</w:t>
            </w:r>
          </w:p>
        </w:tc>
        <w:tc>
          <w:tcPr>
            <w:tcW w:w="851" w:type="dxa"/>
            <w:tcBorders>
              <w:top w:val="single" w:sz="4" w:space="0" w:color="888888"/>
              <w:left w:val="single" w:sz="4" w:space="0" w:color="888888"/>
              <w:bottom w:val="single" w:sz="4" w:space="0" w:color="888888"/>
              <w:right w:val="single" w:sz="4" w:space="0" w:color="888888"/>
            </w:tcBorders>
          </w:tcPr>
          <w:p w14:paraId="6B276E47"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62BE87B6"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42693CF0"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5A53ABA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The proposed SE model achieved an average accuracy of 90%, sensitivity of 91%, and specificity of 88% </w:t>
            </w:r>
            <w:r>
              <w:rPr>
                <w:rFonts w:ascii="Arial" w:hAnsi="Arial" w:cs="Arial"/>
                <w:sz w:val="12"/>
                <w:szCs w:val="12"/>
              </w:rPr>
              <w:br/>
              <w:t>5</w:t>
            </w:r>
            <w:r>
              <w:rPr>
                <w:rFonts w:ascii="Arial" w:hAnsi="Arial" w:cs="Arial"/>
                <w:sz w:val="12"/>
                <w:szCs w:val="12"/>
              </w:rPr>
              <w:br/>
              <w:t>. The best-performing configuration (SE on FSC67 feature set) reached an accuracy of 90.56% and an AUC of 90.00%</w:t>
            </w:r>
          </w:p>
        </w:tc>
        <w:tc>
          <w:tcPr>
            <w:tcW w:w="851" w:type="dxa"/>
            <w:tcBorders>
              <w:top w:val="single" w:sz="4" w:space="0" w:color="888888"/>
              <w:left w:val="single" w:sz="4" w:space="0" w:color="888888"/>
              <w:bottom w:val="single" w:sz="4" w:space="0" w:color="888888"/>
              <w:right w:val="single" w:sz="4" w:space="0" w:color="888888"/>
            </w:tcBorders>
          </w:tcPr>
          <w:p w14:paraId="56EC6DF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Accuracy, Seneitivity, Specificity</w:t>
            </w:r>
          </w:p>
        </w:tc>
        <w:tc>
          <w:tcPr>
            <w:tcW w:w="817" w:type="dxa"/>
            <w:tcBorders>
              <w:top w:val="single" w:sz="4" w:space="0" w:color="888888"/>
              <w:left w:val="single" w:sz="4" w:space="0" w:color="888888"/>
              <w:bottom w:val="single" w:sz="4" w:space="0" w:color="888888"/>
              <w:right w:val="single" w:sz="4" w:space="0" w:color="888888"/>
            </w:tcBorders>
          </w:tcPr>
          <w:p w14:paraId="4744AB0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3062DC4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1,415,623 live births and 5,502 stillbirth cases from births at or beyond the 28th gestational week </w:t>
            </w:r>
          </w:p>
        </w:tc>
        <w:tc>
          <w:tcPr>
            <w:tcW w:w="851" w:type="dxa"/>
            <w:tcBorders>
              <w:top w:val="single" w:sz="4" w:space="0" w:color="888888"/>
              <w:left w:val="single" w:sz="4" w:space="0" w:color="888888"/>
              <w:bottom w:val="single" w:sz="4" w:space="0" w:color="888888"/>
              <w:right w:val="single" w:sz="4" w:space="0" w:color="888888"/>
            </w:tcBorders>
          </w:tcPr>
          <w:p w14:paraId="5BA95F5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study received no funding</w:t>
            </w:r>
          </w:p>
        </w:tc>
        <w:tc>
          <w:tcPr>
            <w:tcW w:w="1134" w:type="dxa"/>
            <w:tcBorders>
              <w:top w:val="single" w:sz="4" w:space="0" w:color="888888"/>
              <w:left w:val="single" w:sz="4" w:space="0" w:color="888888"/>
              <w:bottom w:val="single" w:sz="4" w:space="0" w:color="888888"/>
              <w:right w:val="single" w:sz="4" w:space="0" w:color="888888"/>
            </w:tcBorders>
          </w:tcPr>
          <w:p w14:paraId="0BBC6F3F"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57.1%</w:t>
            </w:r>
          </w:p>
        </w:tc>
        <w:tc>
          <w:tcPr>
            <w:tcW w:w="841" w:type="dxa"/>
            <w:tcBorders>
              <w:top w:val="single" w:sz="4" w:space="0" w:color="888888"/>
              <w:left w:val="single" w:sz="4" w:space="0" w:color="888888"/>
              <w:bottom w:val="single" w:sz="4" w:space="0" w:color="888888"/>
              <w:right w:val="single" w:sz="4" w:space="0" w:color="888888"/>
            </w:tcBorders>
          </w:tcPr>
          <w:p w14:paraId="57046C0C"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High risk</w:t>
            </w:r>
            <w:r>
              <w:rPr>
                <w:rFonts w:ascii="Arial" w:hAnsi="Arial" w:cs="Arial"/>
                <w:color w:val="000000"/>
                <w:sz w:val="12"/>
                <w:szCs w:val="12"/>
              </w:rPr>
              <w:br/>
              <w:t>D3: Low risk</w:t>
            </w:r>
            <w:r>
              <w:rPr>
                <w:rFonts w:ascii="Arial" w:hAnsi="Arial" w:cs="Arial"/>
                <w:color w:val="000000"/>
                <w:sz w:val="12"/>
                <w:szCs w:val="12"/>
              </w:rPr>
              <w:br/>
              <w:t>D4: Low risk</w:t>
            </w:r>
          </w:p>
        </w:tc>
        <w:tc>
          <w:tcPr>
            <w:tcW w:w="860" w:type="dxa"/>
            <w:tcBorders>
              <w:top w:val="single" w:sz="4" w:space="0" w:color="888888"/>
              <w:left w:val="single" w:sz="4" w:space="0" w:color="888888"/>
              <w:bottom w:val="single" w:sz="4" w:space="0" w:color="888888"/>
              <w:right w:val="single" w:sz="4" w:space="0" w:color="888888"/>
            </w:tcBorders>
          </w:tcPr>
          <w:p w14:paraId="5FB1EFFC"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 xml:space="preserve">The data is not publicly available. </w:t>
            </w:r>
          </w:p>
        </w:tc>
        <w:tc>
          <w:tcPr>
            <w:tcW w:w="442" w:type="dxa"/>
            <w:tcBorders>
              <w:top w:val="single" w:sz="4" w:space="0" w:color="888888"/>
              <w:left w:val="single" w:sz="4" w:space="0" w:color="888888"/>
              <w:bottom w:val="single" w:sz="4" w:space="0" w:color="888888"/>
              <w:right w:val="single" w:sz="4" w:space="0" w:color="888888"/>
            </w:tcBorders>
          </w:tcPr>
          <w:p w14:paraId="48507867"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{"citationID":"hHNkLd2p","properties":{"formattedCitation":"[64]","plainCitation":"[64]","noteIndex":0},"citationItems":[{"id":"b2OWig5M/k8ZkeOI1","uris":["http://zotero.org/users/18230940/items/6IGGUQ4E"],"itemData":{"id":732,"type":"article-journal","abstract":"Stillbirth is defined as fetal loss in pregnancy beyond 28weeks by WHO. In this study, a machine-learning based method is proposed to predict stillbirth from livebirth and discriminate stillbirth before and during delivery and rank the features.","container-title":"BMC Pregnancy and Childbirth","DOI":"10.1186/s12884-021-03658-z","ISSN":"1471-2393","issue":"1","journalAbbreviation":"BMC Pregnancy Childbirth","language":"en","page":"202","source":"Springer Link","title":"Proposing a machine-learning based method to predict stillbirth before and during delivery and ranking the features: nationwide retrospective cross-sectional study","title-short":"Proposing a machine-learning based method to predict stillbirth before and during delivery and ranking the features","volume":"21","author":[{"family":"Khatibi","given":"Toktam"},{"family":"Hanifi","given":"Elham"},{"family":"Sepehri","given":"Mohammad Mehdi"},{"family":"Allahqoli","given":"Leila"}],"issued":{"date-parts":[["2021",3,12]]}}}],"schema":"https://github.com/citation-style-language/schema/raw/master/csl-citation.json"}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[64]</w:t>
            </w:r>
            <w:r>
              <w:rPr>
                <w:rFonts w:ascii="Arial" w:eastAsia="Times New Roman" w:hAnsi="Arial" w:cs="Arial"/>
                <w:color w:val="000000"/>
                <w:sz w:val="12"/>
                <w:szCs w:val="12"/>
                <w:lang w:eastAsia="en-GB" w:bidi="th-TH"/>
              </w:rPr>
              <w:fldChar w:fldCharType="end"/>
            </w:r>
          </w:p>
        </w:tc>
      </w:tr>
      <w:tr w:rsidR="00871B31" w:rsidRPr="00756461" w14:paraId="68786A4E"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604123E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Koivu, et al. 2020</w:t>
            </w:r>
          </w:p>
        </w:tc>
        <w:tc>
          <w:tcPr>
            <w:tcW w:w="1054" w:type="dxa"/>
            <w:tcBorders>
              <w:top w:val="single" w:sz="4" w:space="0" w:color="888888"/>
              <w:left w:val="single" w:sz="4" w:space="0" w:color="888888"/>
              <w:bottom w:val="single" w:sz="4" w:space="0" w:color="888888"/>
              <w:right w:val="single" w:sz="4" w:space="0" w:color="888888"/>
            </w:tcBorders>
          </w:tcPr>
          <w:p w14:paraId="3E0B4B3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5251E90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USA</w:t>
            </w:r>
          </w:p>
        </w:tc>
        <w:tc>
          <w:tcPr>
            <w:tcW w:w="786" w:type="dxa"/>
            <w:tcBorders>
              <w:top w:val="single" w:sz="4" w:space="0" w:color="888888"/>
              <w:left w:val="single" w:sz="4" w:space="0" w:color="888888"/>
              <w:bottom w:val="single" w:sz="4" w:space="0" w:color="888888"/>
              <w:right w:val="single" w:sz="4" w:space="0" w:color="888888"/>
            </w:tcBorders>
          </w:tcPr>
          <w:p w14:paraId="2B64ABA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w:t>
            </w:r>
          </w:p>
        </w:tc>
        <w:tc>
          <w:tcPr>
            <w:tcW w:w="786" w:type="dxa"/>
            <w:tcBorders>
              <w:top w:val="single" w:sz="4" w:space="0" w:color="888888"/>
              <w:left w:val="single" w:sz="4" w:space="0" w:color="888888"/>
              <w:bottom w:val="single" w:sz="4" w:space="0" w:color="888888"/>
              <w:right w:val="single" w:sz="4" w:space="0" w:color="888888"/>
            </w:tcBorders>
          </w:tcPr>
          <w:p w14:paraId="5019C27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development</w:t>
            </w:r>
          </w:p>
        </w:tc>
        <w:tc>
          <w:tcPr>
            <w:tcW w:w="1051" w:type="dxa"/>
            <w:tcBorders>
              <w:top w:val="single" w:sz="4" w:space="0" w:color="888888"/>
              <w:left w:val="single" w:sz="4" w:space="0" w:color="888888"/>
              <w:bottom w:val="single" w:sz="4" w:space="0" w:color="888888"/>
              <w:right w:val="single" w:sz="4" w:space="0" w:color="888888"/>
            </w:tcBorders>
          </w:tcPr>
          <w:p w14:paraId="0745394E"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05B4070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Hypertensive disorders of pregnancy</w:t>
            </w:r>
          </w:p>
          <w:p w14:paraId="667F73E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Diabetes / GDM</w:t>
            </w:r>
          </w:p>
          <w:p w14:paraId="428D901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Infections</w:t>
            </w:r>
          </w:p>
        </w:tc>
        <w:tc>
          <w:tcPr>
            <w:tcW w:w="851" w:type="dxa"/>
            <w:tcBorders>
              <w:top w:val="single" w:sz="4" w:space="0" w:color="888888"/>
              <w:left w:val="single" w:sz="4" w:space="0" w:color="888888"/>
              <w:bottom w:val="single" w:sz="4" w:space="0" w:color="888888"/>
              <w:right w:val="single" w:sz="4" w:space="0" w:color="888888"/>
            </w:tcBorders>
          </w:tcPr>
          <w:p w14:paraId="4BDDF79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Population/ Registry</w:t>
            </w:r>
          </w:p>
        </w:tc>
        <w:tc>
          <w:tcPr>
            <w:tcW w:w="851" w:type="dxa"/>
            <w:tcBorders>
              <w:top w:val="single" w:sz="4" w:space="0" w:color="888888"/>
              <w:left w:val="single" w:sz="4" w:space="0" w:color="888888"/>
              <w:bottom w:val="single" w:sz="4" w:space="0" w:color="888888"/>
              <w:right w:val="single" w:sz="4" w:space="0" w:color="888888"/>
            </w:tcBorders>
          </w:tcPr>
          <w:p w14:paraId="1D70DE10"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0E03BCBE"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406C8FF4"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992" w:type="dxa"/>
            <w:tcBorders>
              <w:top w:val="single" w:sz="4" w:space="0" w:color="888888"/>
              <w:left w:val="single" w:sz="4" w:space="0" w:color="888888"/>
              <w:bottom w:val="single" w:sz="4" w:space="0" w:color="888888"/>
              <w:right w:val="single" w:sz="4" w:space="0" w:color="888888"/>
            </w:tcBorders>
          </w:tcPr>
          <w:p w14:paraId="1FDB4FB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On the external NYC test data, the best performing models achieved an Area Under the Curve (AUC) of 0.76 for early stillbirth (SELU network and LGBM). </w:t>
            </w:r>
            <w:r>
              <w:rPr>
                <w:rFonts w:ascii="Arial" w:hAnsi="Arial" w:cs="Arial"/>
                <w:sz w:val="12"/>
                <w:szCs w:val="12"/>
              </w:rPr>
              <w:br/>
            </w:r>
            <w:r>
              <w:rPr>
                <w:rFonts w:ascii="Arial" w:hAnsi="Arial" w:cs="Arial"/>
                <w:sz w:val="12"/>
                <w:szCs w:val="12"/>
              </w:rPr>
              <w:br/>
              <w:t xml:space="preserve">0.63 for late stillbirth (Averaged ensemble). </w:t>
            </w:r>
            <w:r>
              <w:rPr>
                <w:rFonts w:ascii="Arial" w:hAnsi="Arial" w:cs="Arial"/>
                <w:sz w:val="12"/>
                <w:szCs w:val="12"/>
              </w:rPr>
              <w:br/>
            </w:r>
            <w:r>
              <w:rPr>
                <w:rFonts w:ascii="Arial" w:hAnsi="Arial" w:cs="Arial"/>
                <w:sz w:val="12"/>
                <w:szCs w:val="12"/>
              </w:rPr>
              <w:br/>
              <w:t>0.64 for preterm birth (SELU network and LGBM)</w:t>
            </w:r>
          </w:p>
        </w:tc>
        <w:tc>
          <w:tcPr>
            <w:tcW w:w="851" w:type="dxa"/>
            <w:tcBorders>
              <w:top w:val="single" w:sz="4" w:space="0" w:color="888888"/>
              <w:left w:val="single" w:sz="4" w:space="0" w:color="888888"/>
              <w:bottom w:val="single" w:sz="4" w:space="0" w:color="888888"/>
              <w:right w:val="single" w:sz="4" w:space="0" w:color="888888"/>
            </w:tcBorders>
          </w:tcPr>
          <w:p w14:paraId="3B8D212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w:t>
            </w:r>
          </w:p>
        </w:tc>
        <w:tc>
          <w:tcPr>
            <w:tcW w:w="817" w:type="dxa"/>
            <w:tcBorders>
              <w:top w:val="single" w:sz="4" w:space="0" w:color="888888"/>
              <w:left w:val="single" w:sz="4" w:space="0" w:color="888888"/>
              <w:bottom w:val="single" w:sz="4" w:space="0" w:color="888888"/>
              <w:right w:val="single" w:sz="4" w:space="0" w:color="888888"/>
            </w:tcBorders>
          </w:tcPr>
          <w:p w14:paraId="303DA59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Both internal and external validation</w:t>
            </w:r>
          </w:p>
        </w:tc>
        <w:tc>
          <w:tcPr>
            <w:tcW w:w="742" w:type="dxa"/>
            <w:tcBorders>
              <w:top w:val="single" w:sz="4" w:space="0" w:color="888888"/>
              <w:left w:val="single" w:sz="4" w:space="0" w:color="888888"/>
              <w:bottom w:val="single" w:sz="4" w:space="0" w:color="888888"/>
              <w:right w:val="single" w:sz="4" w:space="0" w:color="888888"/>
            </w:tcBorders>
          </w:tcPr>
          <w:p w14:paraId="480581B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CDC dataset: 11,901,611 normal pregnancies, 946,301 preterm births, 7,924 early stillbirths, and 8,310 late stillbirths</w:t>
            </w:r>
            <w:r>
              <w:rPr>
                <w:rFonts w:ascii="Arial" w:hAnsi="Arial" w:cs="Arial"/>
                <w:sz w:val="12"/>
                <w:szCs w:val="12"/>
              </w:rPr>
              <w:br/>
            </w:r>
            <w:r>
              <w:rPr>
                <w:rFonts w:ascii="Arial" w:hAnsi="Arial" w:cs="Arial"/>
                <w:sz w:val="12"/>
                <w:szCs w:val="12"/>
              </w:rPr>
              <w:br/>
              <w:t xml:space="preserve">NYC dataset: 266,419 normal pregnancies, 19,203 preterm births, </w:t>
            </w:r>
            <w:r>
              <w:rPr>
                <w:rFonts w:ascii="Arial" w:hAnsi="Arial" w:cs="Arial"/>
                <w:sz w:val="12"/>
                <w:szCs w:val="12"/>
              </w:rPr>
              <w:lastRenderedPageBreak/>
              <w:t>139 early stillbirths, and 110 late stillbirths</w:t>
            </w:r>
          </w:p>
        </w:tc>
        <w:tc>
          <w:tcPr>
            <w:tcW w:w="851" w:type="dxa"/>
            <w:tcBorders>
              <w:top w:val="single" w:sz="4" w:space="0" w:color="888888"/>
              <w:left w:val="single" w:sz="4" w:space="0" w:color="888888"/>
              <w:bottom w:val="single" w:sz="4" w:space="0" w:color="888888"/>
              <w:right w:val="single" w:sz="4" w:space="0" w:color="888888"/>
            </w:tcBorders>
          </w:tcPr>
          <w:p w14:paraId="164D513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 xml:space="preserve">There was no funding for this research </w:t>
            </w:r>
          </w:p>
        </w:tc>
        <w:tc>
          <w:tcPr>
            <w:tcW w:w="1134" w:type="dxa"/>
            <w:tcBorders>
              <w:top w:val="single" w:sz="4" w:space="0" w:color="888888"/>
              <w:left w:val="single" w:sz="4" w:space="0" w:color="888888"/>
              <w:bottom w:val="single" w:sz="4" w:space="0" w:color="888888"/>
              <w:right w:val="single" w:sz="4" w:space="0" w:color="888888"/>
            </w:tcBorders>
          </w:tcPr>
          <w:p w14:paraId="2F31BD18"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54.0%</w:t>
            </w:r>
          </w:p>
        </w:tc>
        <w:tc>
          <w:tcPr>
            <w:tcW w:w="841" w:type="dxa"/>
            <w:tcBorders>
              <w:top w:val="single" w:sz="4" w:space="0" w:color="888888"/>
              <w:left w:val="single" w:sz="4" w:space="0" w:color="888888"/>
              <w:bottom w:val="single" w:sz="4" w:space="0" w:color="888888"/>
              <w:right w:val="single" w:sz="4" w:space="0" w:color="888888"/>
            </w:tcBorders>
          </w:tcPr>
          <w:p w14:paraId="222FFCD7"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Unclear risk</w:t>
            </w:r>
            <w:r>
              <w:rPr>
                <w:rFonts w:ascii="Arial" w:hAnsi="Arial" w:cs="Arial"/>
                <w:color w:val="000000"/>
                <w:sz w:val="12"/>
                <w:szCs w:val="12"/>
              </w:rPr>
              <w:br/>
              <w:t>D3: Low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260383A6" w14:textId="77777777" w:rsidR="00871B31" w:rsidRPr="00756461" w:rsidRDefault="00871B31" w:rsidP="00BC1F31">
            <w:pPr>
              <w:spacing w:after="0" w:line="240" w:lineRule="auto"/>
              <w:rPr>
                <w:rFonts w:ascii="Arial" w:hAnsi="Arial" w:cs="Arial"/>
                <w:color w:val="000000"/>
                <w:sz w:val="12"/>
                <w:szCs w:val="12"/>
              </w:rPr>
            </w:pPr>
            <w:r>
              <w:rPr>
                <w:rFonts w:ascii="Arial" w:hAnsi="Arial" w:cs="Arial"/>
                <w:color w:val="000000"/>
                <w:sz w:val="12"/>
                <w:szCs w:val="12"/>
              </w:rPr>
              <w:t>CDC Dataset: Publicly available</w:t>
            </w:r>
            <w:r>
              <w:rPr>
                <w:rFonts w:ascii="Arial" w:hAnsi="Arial" w:cs="Arial"/>
                <w:color w:val="000000"/>
                <w:sz w:val="12"/>
                <w:szCs w:val="12"/>
              </w:rPr>
              <w:br/>
            </w:r>
          </w:p>
          <w:p w14:paraId="6FDE2BFA"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NYC Dataset: equired specific IRB (Institutional Review Board) approval</w:t>
            </w:r>
          </w:p>
        </w:tc>
        <w:tc>
          <w:tcPr>
            <w:tcW w:w="442" w:type="dxa"/>
            <w:tcBorders>
              <w:top w:val="single" w:sz="4" w:space="0" w:color="888888"/>
              <w:left w:val="single" w:sz="4" w:space="0" w:color="888888"/>
              <w:bottom w:val="single" w:sz="4" w:space="0" w:color="888888"/>
              <w:right w:val="single" w:sz="4" w:space="0" w:color="888888"/>
            </w:tcBorders>
          </w:tcPr>
          <w:p w14:paraId="394A0A42"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{"citationID":"Lw3yNO4i","properties":{"formattedCitation":"[65]","plainCitation":"[65]","noteIndex":0},"citationItems":[{"id":"b2OWig5M/VvP47WIA","uris":["http://zotero.org/users/18230940/items/QHDZ6HAU"],"itemData":{"id":736,"type":"article-journal","abstract":"Modelling the risk of abnormal pregnancy-related outcomes such as stillbirth and preterm birth have been proposed in the past. Commonly they utilize maternal demographic and medical history information as predictors, and they are based on conventional statistical modelling techniques. In this study, we utilize state-of-the-art machine learning methods in the task of predicting early stillbirth, late stillbirth and preterm birth pregnancies. The aim of this experimentation is to discover novel risk models that could be utilized in a clinical setting. A CDC data set of almost sixteen million observations was used conduct feature selection, parameter optimization and verification of proposed models. An additional NYC data set was used for external validation. Algorithms such as logistic regression, artificial neural network and gradient boosting decision tree were used to construct individual classifiers. Ensemble learning strategies of these classifiers were also experimented with. The best performing machine learning models achieved 0.76 AUC for early stillbirth, 0.63 for late stillbirth and 0.64 for preterm birth while using a external NYC test data. The repeatable performance of our models demonstrates robustness that is required in this context. Our proposed novel models provide a solid foundation for risk prediction and could be further improved with the addition of biochemical and/or biophysical markers.","container-title":"Health Information Science and Systems","DOI":"10.1007/s13755-020-00105-9","ISSN":"2047-2501","issue":"1","journalAbbreviation":"Health Inf Sci Syst","language":"en","page":"14","source":"Springer Link","title":"Predicting risk of stillbirth and preterm pregnancies with machine learning","volume":"8","author":[{"family":"Koivu","given":"Aki"},{"family":"Sairanen","given":"Mikko"}],"issued":{"date-parts":[["2020",3,25]]}}}],"schema":"https://github.com/citation-style-language/schema/raw/master/csl-citation.json"}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[65]</w:t>
            </w:r>
            <w:r>
              <w:rPr>
                <w:rFonts w:ascii="Arial" w:eastAsia="Times New Roman" w:hAnsi="Arial" w:cs="Arial"/>
                <w:color w:val="000000"/>
                <w:sz w:val="12"/>
                <w:szCs w:val="12"/>
                <w:lang w:eastAsia="en-GB" w:bidi="th-TH"/>
              </w:rPr>
              <w:fldChar w:fldCharType="end"/>
            </w:r>
          </w:p>
        </w:tc>
      </w:tr>
      <w:tr w:rsidR="00871B31" w:rsidRPr="00756461" w14:paraId="0E2CF6E3"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6E93147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Kovacs, et al 2021</w:t>
            </w:r>
          </w:p>
        </w:tc>
        <w:tc>
          <w:tcPr>
            <w:tcW w:w="1054" w:type="dxa"/>
            <w:tcBorders>
              <w:top w:val="single" w:sz="4" w:space="0" w:color="888888"/>
              <w:left w:val="single" w:sz="4" w:space="0" w:color="888888"/>
              <w:bottom w:val="single" w:sz="4" w:space="0" w:color="888888"/>
              <w:right w:val="single" w:sz="4" w:space="0" w:color="888888"/>
            </w:tcBorders>
          </w:tcPr>
          <w:p w14:paraId="1B85FDA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Prospective study</w:t>
            </w:r>
          </w:p>
        </w:tc>
        <w:tc>
          <w:tcPr>
            <w:tcW w:w="742" w:type="dxa"/>
            <w:tcBorders>
              <w:top w:val="single" w:sz="4" w:space="0" w:color="888888"/>
              <w:left w:val="single" w:sz="4" w:space="0" w:color="888888"/>
              <w:bottom w:val="single" w:sz="4" w:space="0" w:color="888888"/>
              <w:right w:val="single" w:sz="4" w:space="0" w:color="888888"/>
            </w:tcBorders>
          </w:tcPr>
          <w:p w14:paraId="7E613F2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Tanzania</w:t>
            </w:r>
          </w:p>
        </w:tc>
        <w:tc>
          <w:tcPr>
            <w:tcW w:w="786" w:type="dxa"/>
            <w:tcBorders>
              <w:top w:val="single" w:sz="4" w:space="0" w:color="888888"/>
              <w:left w:val="single" w:sz="4" w:space="0" w:color="888888"/>
              <w:bottom w:val="single" w:sz="4" w:space="0" w:color="888888"/>
              <w:right w:val="single" w:sz="4" w:space="0" w:color="888888"/>
            </w:tcBorders>
          </w:tcPr>
          <w:p w14:paraId="73C046D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Neonatal mortality</w:t>
            </w:r>
          </w:p>
        </w:tc>
        <w:tc>
          <w:tcPr>
            <w:tcW w:w="786" w:type="dxa"/>
            <w:tcBorders>
              <w:top w:val="single" w:sz="4" w:space="0" w:color="888888"/>
              <w:left w:val="single" w:sz="4" w:space="0" w:color="888888"/>
              <w:bottom w:val="single" w:sz="4" w:space="0" w:color="888888"/>
              <w:right w:val="single" w:sz="4" w:space="0" w:color="888888"/>
            </w:tcBorders>
          </w:tcPr>
          <w:p w14:paraId="326B264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evaluation</w:t>
            </w:r>
          </w:p>
        </w:tc>
        <w:tc>
          <w:tcPr>
            <w:tcW w:w="1051" w:type="dxa"/>
            <w:tcBorders>
              <w:top w:val="single" w:sz="4" w:space="0" w:color="888888"/>
              <w:left w:val="single" w:sz="4" w:space="0" w:color="888888"/>
              <w:bottom w:val="single" w:sz="4" w:space="0" w:color="888888"/>
              <w:right w:val="single" w:sz="4" w:space="0" w:color="888888"/>
            </w:tcBorders>
          </w:tcPr>
          <w:p w14:paraId="53A8998E"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0617D10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Birth weight</w:t>
            </w:r>
          </w:p>
          <w:p w14:paraId="5ABAB75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Perinatal asphyxia</w:t>
            </w:r>
          </w:p>
        </w:tc>
        <w:tc>
          <w:tcPr>
            <w:tcW w:w="851" w:type="dxa"/>
            <w:tcBorders>
              <w:top w:val="single" w:sz="4" w:space="0" w:color="888888"/>
              <w:left w:val="single" w:sz="4" w:space="0" w:color="888888"/>
              <w:bottom w:val="single" w:sz="4" w:space="0" w:color="888888"/>
              <w:right w:val="single" w:sz="4" w:space="0" w:color="888888"/>
            </w:tcBorders>
          </w:tcPr>
          <w:p w14:paraId="481918A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05D32BB7"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1140C0AF"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7C2CABB3"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58C3DFB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GLMs always outperformed decision trees.</w:t>
            </w:r>
          </w:p>
        </w:tc>
        <w:tc>
          <w:tcPr>
            <w:tcW w:w="851" w:type="dxa"/>
            <w:tcBorders>
              <w:top w:val="single" w:sz="4" w:space="0" w:color="888888"/>
              <w:left w:val="single" w:sz="4" w:space="0" w:color="888888"/>
              <w:bottom w:val="single" w:sz="4" w:space="0" w:color="888888"/>
              <w:right w:val="single" w:sz="4" w:space="0" w:color="888888"/>
            </w:tcBorders>
          </w:tcPr>
          <w:p w14:paraId="6D6A930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 ROC, accuracy, sensitivity, and specificity</w:t>
            </w:r>
          </w:p>
        </w:tc>
        <w:tc>
          <w:tcPr>
            <w:tcW w:w="817" w:type="dxa"/>
            <w:tcBorders>
              <w:top w:val="single" w:sz="4" w:space="0" w:color="888888"/>
              <w:left w:val="single" w:sz="4" w:space="0" w:color="888888"/>
              <w:bottom w:val="single" w:sz="4" w:space="0" w:color="888888"/>
              <w:right w:val="single" w:sz="4" w:space="0" w:color="888888"/>
            </w:tcBorders>
          </w:tcPr>
          <w:p w14:paraId="2C98213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633EACD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165</w:t>
            </w:r>
          </w:p>
        </w:tc>
        <w:tc>
          <w:tcPr>
            <w:tcW w:w="851" w:type="dxa"/>
            <w:tcBorders>
              <w:top w:val="single" w:sz="4" w:space="0" w:color="888888"/>
              <w:left w:val="single" w:sz="4" w:space="0" w:color="888888"/>
              <w:bottom w:val="single" w:sz="4" w:space="0" w:color="888888"/>
              <w:right w:val="single" w:sz="4" w:space="0" w:color="888888"/>
            </w:tcBorders>
          </w:tcPr>
          <w:p w14:paraId="7678C17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Antimicrobial Resistance Cross-Council Initiative through a grant from the Medical Research Council, a Council of UK Research and Innovation, and the National Institute for Health Research (Award no: MR/S004815/1). DK is funded by UK Medical Research Council MRC Precision Medicine Training Grant (MR/N013166/1-LGH/MS/MED2525).</w:t>
            </w:r>
          </w:p>
        </w:tc>
        <w:tc>
          <w:tcPr>
            <w:tcW w:w="1134" w:type="dxa"/>
            <w:tcBorders>
              <w:top w:val="single" w:sz="4" w:space="0" w:color="888888"/>
              <w:left w:val="single" w:sz="4" w:space="0" w:color="888888"/>
              <w:bottom w:val="single" w:sz="4" w:space="0" w:color="888888"/>
              <w:right w:val="single" w:sz="4" w:space="0" w:color="888888"/>
            </w:tcBorders>
          </w:tcPr>
          <w:p w14:paraId="11A2CF85"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57.4%</w:t>
            </w:r>
          </w:p>
        </w:tc>
        <w:tc>
          <w:tcPr>
            <w:tcW w:w="841" w:type="dxa"/>
            <w:tcBorders>
              <w:top w:val="single" w:sz="4" w:space="0" w:color="888888"/>
              <w:left w:val="single" w:sz="4" w:space="0" w:color="888888"/>
              <w:bottom w:val="single" w:sz="4" w:space="0" w:color="888888"/>
              <w:right w:val="single" w:sz="4" w:space="0" w:color="888888"/>
            </w:tcBorders>
          </w:tcPr>
          <w:p w14:paraId="2DFFDA57"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Low risk</w:t>
            </w:r>
            <w:r>
              <w:rPr>
                <w:rFonts w:ascii="Arial" w:hAnsi="Arial" w:cs="Arial"/>
                <w:color w:val="000000"/>
                <w:sz w:val="12"/>
                <w:szCs w:val="12"/>
              </w:rPr>
              <w:br/>
              <w:t>D4: Unclear risk</w:t>
            </w:r>
          </w:p>
        </w:tc>
        <w:tc>
          <w:tcPr>
            <w:tcW w:w="860" w:type="dxa"/>
            <w:tcBorders>
              <w:top w:val="single" w:sz="4" w:space="0" w:color="888888"/>
              <w:left w:val="single" w:sz="4" w:space="0" w:color="888888"/>
              <w:bottom w:val="single" w:sz="4" w:space="0" w:color="888888"/>
              <w:right w:val="single" w:sz="4" w:space="0" w:color="888888"/>
            </w:tcBorders>
          </w:tcPr>
          <w:p w14:paraId="4B67F7D9" w14:textId="77777777" w:rsidR="00871B31" w:rsidRPr="00756461" w:rsidRDefault="00871B31" w:rsidP="00BC1F31">
            <w:pPr>
              <w:spacing w:after="0" w:line="240" w:lineRule="auto"/>
              <w:rPr>
                <w:rFonts w:ascii="Arial" w:hAnsi="Arial" w:cs="Arial"/>
                <w:color w:val="000000"/>
                <w:sz w:val="12"/>
                <w:szCs w:val="12"/>
              </w:rPr>
            </w:pPr>
            <w:r>
              <w:rPr>
                <w:rFonts w:ascii="Arial" w:hAnsi="Arial" w:cs="Arial"/>
                <w:color w:val="000000"/>
                <w:sz w:val="12"/>
                <w:szCs w:val="12"/>
              </w:rPr>
              <w:t>Not publicly available</w:t>
            </w:r>
            <w:r>
              <w:rPr>
                <w:rFonts w:ascii="Arial" w:hAnsi="Arial" w:cs="Arial"/>
                <w:color w:val="000000"/>
                <w:sz w:val="12"/>
                <w:szCs w:val="12"/>
              </w:rPr>
              <w:br/>
            </w:r>
          </w:p>
          <w:p w14:paraId="6E9C1B2B"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Available via inquiries to corresponding author</w:t>
            </w:r>
          </w:p>
        </w:tc>
        <w:tc>
          <w:tcPr>
            <w:tcW w:w="442" w:type="dxa"/>
            <w:tcBorders>
              <w:top w:val="single" w:sz="4" w:space="0" w:color="888888"/>
              <w:left w:val="single" w:sz="4" w:space="0" w:color="888888"/>
              <w:bottom w:val="single" w:sz="4" w:space="0" w:color="888888"/>
              <w:right w:val="single" w:sz="4" w:space="0" w:color="888888"/>
            </w:tcBorders>
          </w:tcPr>
          <w:p w14:paraId="75CB2A91"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{"citationID":"qTozRCLD","properties":{"formattedCitation":"[66]","plainCitation":"[66]","noteIndex":0},"citationItems":[{"id":"b2OWig5M/XFNTEfDW","uris":["http://zotero.org/users/18230940/items/6U4ULNMQ"],"itemData":{"id":738,"type":"article-journal","abstract":"Neonatal mortality remains high in Tanzania at approximately 20 deaths per 1000 live births. Low birthweight, prematurity, and asphyxia are associated with neonatal mortality; however, no studies have assessed the value of combining underlying conditions and vital signs to provide clinicians with early warning of infants at risk of mortality. The aim of this study was to identify risk factors (including vital signs) associated with neonatal mortality in the neonatal intensive care unit (NICU) in Bugando Medical Centre (BMC), Mwanza, Tanzania; to identify the most accurate generalised linear model (GLM) or decision tree for predicting mortality; and to provide a tool that provides clinically relevant cut-offs for predicting mortality that is easily used by clinicians in a low-resource setting.","container-title":"BMC Pediatrics","DOI":"10.1186/s12887-021-03012-4","ISSN":"1471-2431","issue":"1","journalAbbreviation":"BMC Pediatr","language":"en","page":"537","source":"Springer Link","title":"Developing practical clinical tools for predicting neonatal mortality at a neonatal intensive care unit in Tanzania","volume":"21","author":[{"family":"Kovacs","given":"Dory"},{"family":"Msanga","given":"Delfina R."},{"family":"Mshana","given":"Stephen E."},{"family":"Bilal","given":"Muhammad"},{"family":"Oravcova","given":"Katarina"},{"family":"Matthews","given":"Louise"}],"issued":{"date-parts":[["2021",12,1]]}}}],"schema":"https://github.com/citation-style-language/schema/raw/master/csl-citation.json"}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[66]</w:t>
            </w:r>
            <w:r>
              <w:rPr>
                <w:rFonts w:ascii="Arial" w:eastAsia="Times New Roman" w:hAnsi="Arial" w:cs="Arial"/>
                <w:color w:val="000000"/>
                <w:sz w:val="12"/>
                <w:szCs w:val="12"/>
                <w:lang w:eastAsia="en-GB" w:bidi="th-TH"/>
              </w:rPr>
              <w:fldChar w:fldCharType="end"/>
            </w:r>
          </w:p>
        </w:tc>
      </w:tr>
      <w:tr w:rsidR="00871B31" w:rsidRPr="00756461" w14:paraId="38E5ABE1"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6E081FD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Kuanakewinyoo, et al 2025</w:t>
            </w:r>
          </w:p>
        </w:tc>
        <w:tc>
          <w:tcPr>
            <w:tcW w:w="1054" w:type="dxa"/>
            <w:tcBorders>
              <w:top w:val="single" w:sz="4" w:space="0" w:color="888888"/>
              <w:left w:val="single" w:sz="4" w:space="0" w:color="888888"/>
              <w:bottom w:val="single" w:sz="4" w:space="0" w:color="888888"/>
              <w:right w:val="single" w:sz="4" w:space="0" w:color="888888"/>
            </w:tcBorders>
          </w:tcPr>
          <w:p w14:paraId="48B9FF2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227E4DD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Thailand</w:t>
            </w:r>
          </w:p>
        </w:tc>
        <w:tc>
          <w:tcPr>
            <w:tcW w:w="786" w:type="dxa"/>
            <w:tcBorders>
              <w:top w:val="single" w:sz="4" w:space="0" w:color="888888"/>
              <w:left w:val="single" w:sz="4" w:space="0" w:color="888888"/>
              <w:bottom w:val="single" w:sz="4" w:space="0" w:color="888888"/>
              <w:right w:val="single" w:sz="4" w:space="0" w:color="888888"/>
            </w:tcBorders>
          </w:tcPr>
          <w:p w14:paraId="627C0BD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w:t>
            </w:r>
          </w:p>
        </w:tc>
        <w:tc>
          <w:tcPr>
            <w:tcW w:w="786" w:type="dxa"/>
            <w:tcBorders>
              <w:top w:val="single" w:sz="4" w:space="0" w:color="888888"/>
              <w:left w:val="single" w:sz="4" w:space="0" w:color="888888"/>
              <w:bottom w:val="single" w:sz="4" w:space="0" w:color="888888"/>
              <w:right w:val="single" w:sz="4" w:space="0" w:color="888888"/>
            </w:tcBorders>
          </w:tcPr>
          <w:p w14:paraId="4BDE0FF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 Model development</w:t>
            </w:r>
            <w:r>
              <w:rPr>
                <w:rFonts w:ascii="Arial" w:hAnsi="Arial" w:cs="Arial"/>
                <w:sz w:val="12"/>
                <w:szCs w:val="12"/>
              </w:rPr>
              <w:br/>
              <w:t>2. Identify important predictors</w:t>
            </w:r>
          </w:p>
        </w:tc>
        <w:tc>
          <w:tcPr>
            <w:tcW w:w="1051" w:type="dxa"/>
            <w:tcBorders>
              <w:top w:val="single" w:sz="4" w:space="0" w:color="888888"/>
              <w:left w:val="single" w:sz="4" w:space="0" w:color="888888"/>
              <w:bottom w:val="single" w:sz="4" w:space="0" w:color="888888"/>
              <w:right w:val="single" w:sz="4" w:space="0" w:color="888888"/>
            </w:tcBorders>
          </w:tcPr>
          <w:p w14:paraId="2116612D"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729ABFE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age</w:t>
            </w:r>
          </w:p>
          <w:p w14:paraId="35C108D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body mass index</w:t>
            </w:r>
          </w:p>
          <w:p w14:paraId="497CE6C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education</w:t>
            </w:r>
          </w:p>
          <w:p w14:paraId="57ADABB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Gravidity</w:t>
            </w:r>
          </w:p>
          <w:p w14:paraId="3CA091D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Hypertensive disorders of pregnancy</w:t>
            </w:r>
          </w:p>
          <w:p w14:paraId="7708F96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Diabetes / GDM</w:t>
            </w:r>
          </w:p>
          <w:p w14:paraId="2E555CC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Infections</w:t>
            </w:r>
          </w:p>
        </w:tc>
        <w:tc>
          <w:tcPr>
            <w:tcW w:w="851" w:type="dxa"/>
            <w:tcBorders>
              <w:top w:val="single" w:sz="4" w:space="0" w:color="888888"/>
              <w:left w:val="single" w:sz="4" w:space="0" w:color="888888"/>
              <w:bottom w:val="single" w:sz="4" w:space="0" w:color="888888"/>
              <w:right w:val="single" w:sz="4" w:space="0" w:color="888888"/>
            </w:tcBorders>
          </w:tcPr>
          <w:p w14:paraId="1BD62A1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Population/ Registry</w:t>
            </w:r>
          </w:p>
        </w:tc>
        <w:tc>
          <w:tcPr>
            <w:tcW w:w="851" w:type="dxa"/>
            <w:tcBorders>
              <w:top w:val="single" w:sz="4" w:space="0" w:color="888888"/>
              <w:left w:val="single" w:sz="4" w:space="0" w:color="888888"/>
              <w:bottom w:val="single" w:sz="4" w:space="0" w:color="888888"/>
              <w:right w:val="single" w:sz="4" w:space="0" w:color="888888"/>
            </w:tcBorders>
          </w:tcPr>
          <w:p w14:paraId="0218C936"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0BEBD9D6"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7210A994"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0446848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The best performing model (Random Forest on oversampled data) achieved an Accuracy of 82.2%, Recall of 80.3%, F-measure of 81.8%, Precision of 83.4%, and AUC of 0.86 </w:t>
            </w:r>
          </w:p>
        </w:tc>
        <w:tc>
          <w:tcPr>
            <w:tcW w:w="851" w:type="dxa"/>
            <w:tcBorders>
              <w:top w:val="single" w:sz="4" w:space="0" w:color="888888"/>
              <w:left w:val="single" w:sz="4" w:space="0" w:color="888888"/>
              <w:bottom w:val="single" w:sz="4" w:space="0" w:color="888888"/>
              <w:right w:val="single" w:sz="4" w:space="0" w:color="888888"/>
            </w:tcBorders>
          </w:tcPr>
          <w:p w14:paraId="2055E2D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 Sensitivity, Accuracy, F-measure, Precision</w:t>
            </w:r>
          </w:p>
        </w:tc>
        <w:tc>
          <w:tcPr>
            <w:tcW w:w="817" w:type="dxa"/>
            <w:tcBorders>
              <w:top w:val="single" w:sz="4" w:space="0" w:color="888888"/>
              <w:left w:val="single" w:sz="4" w:space="0" w:color="888888"/>
              <w:bottom w:val="single" w:sz="4" w:space="0" w:color="888888"/>
              <w:right w:val="single" w:sz="4" w:space="0" w:color="888888"/>
            </w:tcBorders>
          </w:tcPr>
          <w:p w14:paraId="19ED134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3708455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31,149 birth cases (217 stillbirths, 30,932 live births) after data cleaning</w:t>
            </w:r>
          </w:p>
        </w:tc>
        <w:tc>
          <w:tcPr>
            <w:tcW w:w="851" w:type="dxa"/>
            <w:tcBorders>
              <w:top w:val="single" w:sz="4" w:space="0" w:color="888888"/>
              <w:left w:val="single" w:sz="4" w:space="0" w:color="888888"/>
              <w:bottom w:val="single" w:sz="4" w:space="0" w:color="888888"/>
              <w:right w:val="single" w:sz="4" w:space="0" w:color="888888"/>
            </w:tcBorders>
          </w:tcPr>
          <w:p w14:paraId="53599C5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study received no specific financial support</w:t>
            </w:r>
          </w:p>
        </w:tc>
        <w:tc>
          <w:tcPr>
            <w:tcW w:w="1134" w:type="dxa"/>
            <w:tcBorders>
              <w:top w:val="single" w:sz="4" w:space="0" w:color="888888"/>
              <w:left w:val="single" w:sz="4" w:space="0" w:color="888888"/>
              <w:bottom w:val="single" w:sz="4" w:space="0" w:color="888888"/>
              <w:right w:val="single" w:sz="4" w:space="0" w:color="888888"/>
            </w:tcBorders>
          </w:tcPr>
          <w:p w14:paraId="2FD04945"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32.0%</w:t>
            </w:r>
          </w:p>
        </w:tc>
        <w:tc>
          <w:tcPr>
            <w:tcW w:w="841" w:type="dxa"/>
            <w:tcBorders>
              <w:top w:val="single" w:sz="4" w:space="0" w:color="888888"/>
              <w:left w:val="single" w:sz="4" w:space="0" w:color="888888"/>
              <w:bottom w:val="single" w:sz="4" w:space="0" w:color="888888"/>
              <w:right w:val="single" w:sz="4" w:space="0" w:color="888888"/>
            </w:tcBorders>
          </w:tcPr>
          <w:p w14:paraId="6497995B"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Low risk</w:t>
            </w:r>
            <w:r>
              <w:rPr>
                <w:rFonts w:ascii="Arial" w:hAnsi="Arial" w:cs="Arial"/>
                <w:color w:val="000000"/>
                <w:sz w:val="12"/>
                <w:szCs w:val="12"/>
              </w:rPr>
              <w:br/>
              <w:t>D4: Unclear risk</w:t>
            </w:r>
          </w:p>
        </w:tc>
        <w:tc>
          <w:tcPr>
            <w:tcW w:w="860" w:type="dxa"/>
            <w:tcBorders>
              <w:top w:val="single" w:sz="4" w:space="0" w:color="888888"/>
              <w:left w:val="single" w:sz="4" w:space="0" w:color="888888"/>
              <w:bottom w:val="single" w:sz="4" w:space="0" w:color="888888"/>
              <w:right w:val="single" w:sz="4" w:space="0" w:color="888888"/>
            </w:tcBorders>
          </w:tcPr>
          <w:p w14:paraId="26E3283A"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Not mentioned</w:t>
            </w:r>
          </w:p>
        </w:tc>
        <w:tc>
          <w:tcPr>
            <w:tcW w:w="442" w:type="dxa"/>
            <w:tcBorders>
              <w:top w:val="single" w:sz="4" w:space="0" w:color="888888"/>
              <w:left w:val="single" w:sz="4" w:space="0" w:color="888888"/>
              <w:bottom w:val="single" w:sz="4" w:space="0" w:color="888888"/>
              <w:right w:val="single" w:sz="4" w:space="0" w:color="888888"/>
            </w:tcBorders>
          </w:tcPr>
          <w:p w14:paraId="738B0FAF"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{"citationID":"KOY2sMQa","properties":{"formattedCitation":"[67]","plainCitation":"[67]","noteIndex":0},"citationItems":[{"id":"b2OWig5M/NzW7Obc2","uris":["http://zotero.org/users/18230940/items/T2WM8A2J"],"itemData":{"id":734,"type":"article-journal","abstract":"Stillbirths continue to be a significant global issue, reflecting the quality of obstetric care. In Thailand, stillbirth remains a concern, especially in southern provinces like Pattani. Traditional risk identification focuses on historical obstetric complications, but there is a need for advanced technology to improve early detection and prevention. This study investigates the factors influencing stillbirth risk by analyzing perinatal data from 2018 to 2021 in Pattani Province. A machine learning-based predictive model was developed using various algorithms, including Naïve Bayes, logistic regression, deep learning, decision tree, random forest, and gradient-boosted trees, to handle imbalanced datasets. Performance comparisons of these models were conducted, and the best-performing model was implemented into a web application to provide personalized recommendations to pregnant women. The study highlights the importance of advanced data analytics in stillbirth prevention and offers an innovative, accessible solution for pregnant women to manage and monitor their pregnancies. The system not only improves the prediction of stillbirth risks but also provides an interactive, low-cost platform for delivering real-time suggestions, aiming to reduce stillbirth occurrences and improve maternal health outcomes.","container-title":"International Journal of Innovative Research and Scientific Studies","DOI":"10.53894/ijirss.v8i4.8259","ISSN":"2617-6548","issue":"4","journalAbbreviation":"ijirss","language":"en","license":"Copyright (c) 2025","page":"1897-1907","source":"www.ijirss.com","title":"Developing a predictive model for stillbirth risk using machine learning algorithms","volume":"8","author":[{"family":"Kuanakewinyoo","given":"Mayasee"},{"family":"Ntarasit","given":"Arthit I."},{"family":"Saelee","given":"Jarunee"},{"family":"Muangprathub","given":"Jirapond"}],"issued":{"date-parts":[["2025",7,3]]}}}],"schema":"https://github.com/citation-style-language/schema/raw/master/csl-citation.json"}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[67]</w:t>
            </w:r>
            <w:r>
              <w:rPr>
                <w:rFonts w:ascii="Arial" w:eastAsia="Times New Roman" w:hAnsi="Arial" w:cs="Arial"/>
                <w:color w:val="000000"/>
                <w:sz w:val="12"/>
                <w:szCs w:val="12"/>
                <w:lang w:eastAsia="en-GB" w:bidi="th-TH"/>
              </w:rPr>
              <w:fldChar w:fldCharType="end"/>
            </w:r>
          </w:p>
        </w:tc>
      </w:tr>
      <w:tr w:rsidR="00871B31" w:rsidRPr="00756461" w14:paraId="68F77127"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5DFFA19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Kubahoniyesu, et al. 2024</w:t>
            </w:r>
          </w:p>
        </w:tc>
        <w:tc>
          <w:tcPr>
            <w:tcW w:w="1054" w:type="dxa"/>
            <w:tcBorders>
              <w:top w:val="single" w:sz="4" w:space="0" w:color="888888"/>
              <w:left w:val="single" w:sz="4" w:space="0" w:color="888888"/>
              <w:bottom w:val="single" w:sz="4" w:space="0" w:color="888888"/>
              <w:right w:val="single" w:sz="4" w:space="0" w:color="888888"/>
            </w:tcBorders>
          </w:tcPr>
          <w:p w14:paraId="32E7094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645CBAF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Rwanda</w:t>
            </w:r>
          </w:p>
        </w:tc>
        <w:tc>
          <w:tcPr>
            <w:tcW w:w="786" w:type="dxa"/>
            <w:tcBorders>
              <w:top w:val="single" w:sz="4" w:space="0" w:color="888888"/>
              <w:left w:val="single" w:sz="4" w:space="0" w:color="888888"/>
              <w:bottom w:val="single" w:sz="4" w:space="0" w:color="888888"/>
              <w:right w:val="single" w:sz="4" w:space="0" w:color="888888"/>
            </w:tcBorders>
          </w:tcPr>
          <w:p w14:paraId="547CA5F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w:t>
            </w:r>
          </w:p>
        </w:tc>
        <w:tc>
          <w:tcPr>
            <w:tcW w:w="786" w:type="dxa"/>
            <w:tcBorders>
              <w:top w:val="single" w:sz="4" w:space="0" w:color="888888"/>
              <w:left w:val="single" w:sz="4" w:space="0" w:color="888888"/>
              <w:bottom w:val="single" w:sz="4" w:space="0" w:color="888888"/>
              <w:right w:val="single" w:sz="4" w:space="0" w:color="888888"/>
            </w:tcBorders>
          </w:tcPr>
          <w:p w14:paraId="4CF6C1B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development</w:t>
            </w:r>
          </w:p>
        </w:tc>
        <w:tc>
          <w:tcPr>
            <w:tcW w:w="1051" w:type="dxa"/>
            <w:tcBorders>
              <w:top w:val="single" w:sz="4" w:space="0" w:color="888888"/>
              <w:left w:val="single" w:sz="4" w:space="0" w:color="888888"/>
              <w:bottom w:val="single" w:sz="4" w:space="0" w:color="888888"/>
              <w:right w:val="single" w:sz="4" w:space="0" w:color="888888"/>
            </w:tcBorders>
          </w:tcPr>
          <w:p w14:paraId="3172D8BC"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1DF167C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age</w:t>
            </w:r>
          </w:p>
          <w:p w14:paraId="51283CED"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Sociodemographic factor</w:t>
            </w:r>
          </w:p>
          <w:p w14:paraId="0FB629F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Marital status</w:t>
            </w:r>
          </w:p>
        </w:tc>
        <w:tc>
          <w:tcPr>
            <w:tcW w:w="851" w:type="dxa"/>
            <w:tcBorders>
              <w:top w:val="single" w:sz="4" w:space="0" w:color="888888"/>
              <w:left w:val="single" w:sz="4" w:space="0" w:color="888888"/>
              <w:bottom w:val="single" w:sz="4" w:space="0" w:color="888888"/>
              <w:right w:val="single" w:sz="4" w:space="0" w:color="888888"/>
            </w:tcBorders>
          </w:tcPr>
          <w:p w14:paraId="5A73ADD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Population/ Registry</w:t>
            </w:r>
          </w:p>
        </w:tc>
        <w:tc>
          <w:tcPr>
            <w:tcW w:w="851" w:type="dxa"/>
            <w:tcBorders>
              <w:top w:val="single" w:sz="4" w:space="0" w:color="888888"/>
              <w:left w:val="single" w:sz="4" w:space="0" w:color="888888"/>
              <w:bottom w:val="single" w:sz="4" w:space="0" w:color="888888"/>
              <w:right w:val="single" w:sz="4" w:space="0" w:color="888888"/>
            </w:tcBorders>
          </w:tcPr>
          <w:p w14:paraId="22E1AA50"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464F8D4A"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74EC1BA2"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20ED083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Best model = KNN with AUC of 0.842, Precision of 0.89, and recall (sensitivity) of 0.97. However, </w:t>
            </w:r>
            <w:r>
              <w:rPr>
                <w:rFonts w:ascii="Arial" w:hAnsi="Arial" w:cs="Arial"/>
                <w:sz w:val="12"/>
                <w:szCs w:val="12"/>
              </w:rPr>
              <w:lastRenderedPageBreak/>
              <w:t>KNN, decision treee, and random forest are among most effective model</w:t>
            </w:r>
          </w:p>
        </w:tc>
        <w:tc>
          <w:tcPr>
            <w:tcW w:w="851" w:type="dxa"/>
            <w:tcBorders>
              <w:top w:val="single" w:sz="4" w:space="0" w:color="888888"/>
              <w:left w:val="single" w:sz="4" w:space="0" w:color="888888"/>
              <w:bottom w:val="single" w:sz="4" w:space="0" w:color="888888"/>
              <w:right w:val="single" w:sz="4" w:space="0" w:color="888888"/>
            </w:tcBorders>
          </w:tcPr>
          <w:p w14:paraId="406020D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 xml:space="preserve">AUC, Sensitivity, Precision </w:t>
            </w:r>
          </w:p>
        </w:tc>
        <w:tc>
          <w:tcPr>
            <w:tcW w:w="817" w:type="dxa"/>
            <w:tcBorders>
              <w:top w:val="single" w:sz="4" w:space="0" w:color="888888"/>
              <w:left w:val="single" w:sz="4" w:space="0" w:color="888888"/>
              <w:bottom w:val="single" w:sz="4" w:space="0" w:color="888888"/>
              <w:right w:val="single" w:sz="4" w:space="0" w:color="888888"/>
            </w:tcBorders>
          </w:tcPr>
          <w:p w14:paraId="42D86DD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03FA782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14634</w:t>
            </w:r>
          </w:p>
        </w:tc>
        <w:tc>
          <w:tcPr>
            <w:tcW w:w="851" w:type="dxa"/>
            <w:tcBorders>
              <w:top w:val="single" w:sz="4" w:space="0" w:color="888888"/>
              <w:left w:val="single" w:sz="4" w:space="0" w:color="888888"/>
              <w:bottom w:val="single" w:sz="4" w:space="0" w:color="888888"/>
              <w:right w:val="single" w:sz="4" w:space="0" w:color="888888"/>
            </w:tcBorders>
          </w:tcPr>
          <w:p w14:paraId="3ADFEF4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No specific funding for this work.</w:t>
            </w:r>
          </w:p>
        </w:tc>
        <w:tc>
          <w:tcPr>
            <w:tcW w:w="1134" w:type="dxa"/>
            <w:tcBorders>
              <w:top w:val="single" w:sz="4" w:space="0" w:color="888888"/>
              <w:left w:val="single" w:sz="4" w:space="0" w:color="888888"/>
              <w:bottom w:val="single" w:sz="4" w:space="0" w:color="888888"/>
              <w:right w:val="single" w:sz="4" w:space="0" w:color="888888"/>
            </w:tcBorders>
          </w:tcPr>
          <w:p w14:paraId="3BEAFD03"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52.2%</w:t>
            </w:r>
          </w:p>
        </w:tc>
        <w:tc>
          <w:tcPr>
            <w:tcW w:w="841" w:type="dxa"/>
            <w:tcBorders>
              <w:top w:val="single" w:sz="4" w:space="0" w:color="888888"/>
              <w:left w:val="single" w:sz="4" w:space="0" w:color="888888"/>
              <w:bottom w:val="single" w:sz="4" w:space="0" w:color="888888"/>
              <w:right w:val="single" w:sz="4" w:space="0" w:color="888888"/>
            </w:tcBorders>
          </w:tcPr>
          <w:p w14:paraId="40F938DA"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High risk</w:t>
            </w:r>
            <w:r>
              <w:rPr>
                <w:rFonts w:ascii="Arial" w:hAnsi="Arial" w:cs="Arial"/>
                <w:color w:val="000000"/>
                <w:sz w:val="12"/>
                <w:szCs w:val="12"/>
              </w:rPr>
              <w:br/>
              <w:t>D3: High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3406D817"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Accessible upon request through DHS website</w:t>
            </w:r>
          </w:p>
        </w:tc>
        <w:tc>
          <w:tcPr>
            <w:tcW w:w="442" w:type="dxa"/>
            <w:tcBorders>
              <w:top w:val="single" w:sz="4" w:space="0" w:color="888888"/>
              <w:left w:val="single" w:sz="4" w:space="0" w:color="888888"/>
              <w:bottom w:val="single" w:sz="4" w:space="0" w:color="888888"/>
              <w:right w:val="single" w:sz="4" w:space="0" w:color="888888"/>
            </w:tcBorders>
          </w:tcPr>
          <w:p w14:paraId="059CBC7B"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{"citationID":"Wzq9BHPL","properties":{"formattedCitation":"[68]","plainCitation":"[68]","noteIndex":0},"citationItems":[{"id":"b2OWig5M/14iFIjXS","uris":["http://zotero.org/users/18230940/items/WC5TXC96"],"itemData":{"id":742,"type":"article-journal","abstract":"Background Adverse pregnancy outcomes pose significant risk to maternal and neonatal health, contributing to morbidity, mortality, and long-term developmental challenges. This study aimed to predict these outcomes in Rwanda using supervised machine learning algorithms. Methods This cross-sectional study utilized data from the Rwanda Demographic and Health Survey (RDHS, 2019-2020) involving 14,634 women. K-fold cross-validation (k = 10) and synthetic minority oversampling technique (SMOTE) were used to manage dataset partitioning and class imbalance. Descriptive and multivariate analyses were conducted to identify the prevalence and risk factors for adverse pregnancy outcomes. Seven machine learning algorithms were assessed for their accuracy, precision, recall, F1 score, and area under the curve (AUC). Results Of the pregnancies analyzed, 93.4% resulted in live births, while 4.5% ended in miscarriage, and 2.1% in stillbirth. Advanced maternal age(&gt;30 years),women aged 30-34 years (adjusted odds ratio [AOR] = 5.755; 95% confidence interval [CI] = 3.085-10.074; p &lt; 0.001), 35-39 years (AOR = 8.458; 95% CI = 4.507-10.571; p &lt; 0.001), 40-44 years (AOR = 11.86; 95% CI = 6.250-21.842; p &lt; 0.001), and 45-49 years (AOR = 14.233; 95% CI = 7.359-25.922; p &lt; 0.001), compared to those aged 15-19 years, and multiple unions (polyandry) (AOR = 1.320; 95% CI = 1.104-1.573, p = 0.002), and women not visited by healthcare provider during pregnancy (AOR = 1.421; 95%CI = 1.300-1.611, p&lt;0.001) were factors associated with an increased risk of adverse pregnancy outcomes. In contrast, being married (AOR = 0.894; 95% CI = 0.787-0.966) and attending at least two antenatal care (ANC) visits (AOR = 0.801; 95% CI = 0.664-0.961) were linked to reduced risk. The Knearest neighbors (KNN) model outperformed other ML Models in predicting adverse pregnancy outcomes, achieving 86% accuracy, 89% precision, 97% recall, 93% F1 score, and an area under the curve (AUC) of 0.842. The ML models constantly highlighted that womanwith advanced maternal age, those in multiple unions, and inadequate ANC were more susceptible to adverse pregnancy outcomes. Conclusions Machine learning algorithms, particularly KNN, are effective in predicting adverse pregnancy outcomes, facilitating early intervention and improved maternal and neonatal care.  © 2024 Kubahoniyesu, Kabano.","container-title":"PLoS ONE","DOI":"10.1371/journal.pone.0312447","ISSN":"1932-6203","issue":"12 December","journalAbbreviation":"PLoS ONE","language":"English","publisher":"Public Library of Science","source":"Scopus","title":"Predicting adverse pregnancy outcome in Rwanda using machine learning techniques","volume":"19","author":[{"family":"Kubahoniyesu","given":"Theogene"},{"family":"Kabano","given":"Ignace Habimana"}],"issued":{"date-parts":[["2024"]]}}}],"schema":"https://github.com/citation-style-language/schema/raw/master/csl-citation.json"}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[68]</w:t>
            </w:r>
            <w:r>
              <w:rPr>
                <w:rFonts w:ascii="Arial" w:eastAsia="Times New Roman" w:hAnsi="Arial" w:cs="Arial"/>
                <w:color w:val="000000"/>
                <w:sz w:val="12"/>
                <w:szCs w:val="12"/>
                <w:lang w:eastAsia="en-GB" w:bidi="th-TH"/>
              </w:rPr>
              <w:fldChar w:fldCharType="end"/>
            </w:r>
          </w:p>
        </w:tc>
      </w:tr>
      <w:tr w:rsidR="00871B31" w:rsidRPr="00756461" w14:paraId="2F3CA7B6"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77BCE76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Lee, et al. 2021</w:t>
            </w:r>
          </w:p>
        </w:tc>
        <w:tc>
          <w:tcPr>
            <w:tcW w:w="1054" w:type="dxa"/>
            <w:tcBorders>
              <w:top w:val="single" w:sz="4" w:space="0" w:color="888888"/>
              <w:left w:val="single" w:sz="4" w:space="0" w:color="888888"/>
              <w:bottom w:val="single" w:sz="4" w:space="0" w:color="888888"/>
              <w:right w:val="single" w:sz="4" w:space="0" w:color="888888"/>
            </w:tcBorders>
          </w:tcPr>
          <w:p w14:paraId="2505DBB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6CC9F29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USA</w:t>
            </w:r>
          </w:p>
        </w:tc>
        <w:tc>
          <w:tcPr>
            <w:tcW w:w="786" w:type="dxa"/>
            <w:tcBorders>
              <w:top w:val="single" w:sz="4" w:space="0" w:color="888888"/>
              <w:left w:val="single" w:sz="4" w:space="0" w:color="888888"/>
              <w:bottom w:val="single" w:sz="4" w:space="0" w:color="888888"/>
              <w:right w:val="single" w:sz="4" w:space="0" w:color="888888"/>
            </w:tcBorders>
          </w:tcPr>
          <w:p w14:paraId="1A6C43C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Infant mortality</w:t>
            </w:r>
          </w:p>
        </w:tc>
        <w:tc>
          <w:tcPr>
            <w:tcW w:w="786" w:type="dxa"/>
            <w:tcBorders>
              <w:top w:val="single" w:sz="4" w:space="0" w:color="888888"/>
              <w:left w:val="single" w:sz="4" w:space="0" w:color="888888"/>
              <w:bottom w:val="single" w:sz="4" w:space="0" w:color="888888"/>
              <w:right w:val="single" w:sz="4" w:space="0" w:color="888888"/>
            </w:tcBorders>
          </w:tcPr>
          <w:p w14:paraId="4671EB1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development</w:t>
            </w:r>
          </w:p>
        </w:tc>
        <w:tc>
          <w:tcPr>
            <w:tcW w:w="1051" w:type="dxa"/>
            <w:tcBorders>
              <w:top w:val="single" w:sz="4" w:space="0" w:color="888888"/>
              <w:left w:val="single" w:sz="4" w:space="0" w:color="888888"/>
              <w:bottom w:val="single" w:sz="4" w:space="0" w:color="888888"/>
              <w:right w:val="single" w:sz="4" w:space="0" w:color="888888"/>
            </w:tcBorders>
          </w:tcPr>
          <w:p w14:paraId="1B5570A2"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37CEBA1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Gestational age</w:t>
            </w:r>
          </w:p>
          <w:p w14:paraId="10C4CF0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Birth weight</w:t>
            </w:r>
          </w:p>
        </w:tc>
        <w:tc>
          <w:tcPr>
            <w:tcW w:w="851" w:type="dxa"/>
            <w:tcBorders>
              <w:top w:val="single" w:sz="4" w:space="0" w:color="888888"/>
              <w:left w:val="single" w:sz="4" w:space="0" w:color="888888"/>
              <w:bottom w:val="single" w:sz="4" w:space="0" w:color="888888"/>
              <w:right w:val="single" w:sz="4" w:space="0" w:color="888888"/>
            </w:tcBorders>
          </w:tcPr>
          <w:p w14:paraId="694729D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6A1DF9D2"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1B05D4C5"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49C0371F"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6E0F8AE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per-infant random forest model had superior performance, with an accuracy of 88% and an Area Under the Curve (AUC) score of 0.93. This outperformed the CRIB-II score (AUC 0.78) and a baseline logistic regression model (AUC 0.84)</w:t>
            </w:r>
          </w:p>
        </w:tc>
        <w:tc>
          <w:tcPr>
            <w:tcW w:w="851" w:type="dxa"/>
            <w:tcBorders>
              <w:top w:val="single" w:sz="4" w:space="0" w:color="888888"/>
              <w:left w:val="single" w:sz="4" w:space="0" w:color="888888"/>
              <w:bottom w:val="single" w:sz="4" w:space="0" w:color="888888"/>
              <w:right w:val="single" w:sz="4" w:space="0" w:color="888888"/>
            </w:tcBorders>
          </w:tcPr>
          <w:p w14:paraId="654FEC2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 Accuracy</w:t>
            </w:r>
          </w:p>
        </w:tc>
        <w:tc>
          <w:tcPr>
            <w:tcW w:w="817" w:type="dxa"/>
            <w:tcBorders>
              <w:top w:val="single" w:sz="4" w:space="0" w:color="888888"/>
              <w:left w:val="single" w:sz="4" w:space="0" w:color="888888"/>
              <w:bottom w:val="single" w:sz="4" w:space="0" w:color="888888"/>
              <w:right w:val="single" w:sz="4" w:space="0" w:color="888888"/>
            </w:tcBorders>
          </w:tcPr>
          <w:p w14:paraId="462344F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5218DB4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275 infants</w:t>
            </w:r>
          </w:p>
        </w:tc>
        <w:tc>
          <w:tcPr>
            <w:tcW w:w="851" w:type="dxa"/>
            <w:tcBorders>
              <w:top w:val="single" w:sz="4" w:space="0" w:color="888888"/>
              <w:left w:val="single" w:sz="4" w:space="0" w:color="888888"/>
              <w:bottom w:val="single" w:sz="4" w:space="0" w:color="888888"/>
              <w:right w:val="single" w:sz="4" w:space="0" w:color="888888"/>
            </w:tcBorders>
          </w:tcPr>
          <w:p w14:paraId="1EA0BA5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research was funded by NIH Grant K23 NS111086</w:t>
            </w:r>
          </w:p>
        </w:tc>
        <w:tc>
          <w:tcPr>
            <w:tcW w:w="1134" w:type="dxa"/>
            <w:tcBorders>
              <w:top w:val="single" w:sz="4" w:space="0" w:color="888888"/>
              <w:left w:val="single" w:sz="4" w:space="0" w:color="888888"/>
              <w:bottom w:val="single" w:sz="4" w:space="0" w:color="888888"/>
              <w:right w:val="single" w:sz="4" w:space="0" w:color="888888"/>
            </w:tcBorders>
          </w:tcPr>
          <w:p w14:paraId="171A4287"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68.1%</w:t>
            </w:r>
          </w:p>
        </w:tc>
        <w:tc>
          <w:tcPr>
            <w:tcW w:w="841" w:type="dxa"/>
            <w:tcBorders>
              <w:top w:val="single" w:sz="4" w:space="0" w:color="888888"/>
              <w:left w:val="single" w:sz="4" w:space="0" w:color="888888"/>
              <w:bottom w:val="single" w:sz="4" w:space="0" w:color="888888"/>
              <w:right w:val="single" w:sz="4" w:space="0" w:color="888888"/>
            </w:tcBorders>
          </w:tcPr>
          <w:p w14:paraId="6576E61E"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Low risk</w:t>
            </w:r>
            <w:r>
              <w:rPr>
                <w:rFonts w:ascii="Arial" w:hAnsi="Arial" w:cs="Arial"/>
                <w:color w:val="000000"/>
                <w:sz w:val="12"/>
                <w:szCs w:val="12"/>
              </w:rPr>
              <w:br/>
              <w:t>D4: Low risk</w:t>
            </w:r>
          </w:p>
        </w:tc>
        <w:tc>
          <w:tcPr>
            <w:tcW w:w="860" w:type="dxa"/>
            <w:tcBorders>
              <w:top w:val="single" w:sz="4" w:space="0" w:color="888888"/>
              <w:left w:val="single" w:sz="4" w:space="0" w:color="888888"/>
              <w:bottom w:val="single" w:sz="4" w:space="0" w:color="888888"/>
              <w:right w:val="single" w:sz="4" w:space="0" w:color="888888"/>
            </w:tcBorders>
          </w:tcPr>
          <w:p w14:paraId="1D670C21"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Not publicly available</w:t>
            </w:r>
          </w:p>
        </w:tc>
        <w:tc>
          <w:tcPr>
            <w:tcW w:w="442" w:type="dxa"/>
            <w:tcBorders>
              <w:top w:val="single" w:sz="4" w:space="0" w:color="888888"/>
              <w:left w:val="single" w:sz="4" w:space="0" w:color="888888"/>
              <w:bottom w:val="single" w:sz="4" w:space="0" w:color="888888"/>
              <w:right w:val="single" w:sz="4" w:space="0" w:color="888888"/>
            </w:tcBorders>
          </w:tcPr>
          <w:p w14:paraId="154911CD"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{"citationID":"eqd8Gjq7","properties":{"formattedCitation":"[69]","plainCitation":"[69]","noteIndex":0},"citationItems":[{"id":"b2OWig5M/RzEaj6Jo","uris":["http://zotero.org/users/18230940/items/ZUSRGCQQ"],"itemData":{"id":745,"type":"article-journal","abstract":"Mortality is an unfortunately common outcome of extremely and very preterm birth. Existing clinical prediction models capture mortality risk at birth but fail to account for the remainder of the hospital course. Infants born&lt;32 weeks gestation with complete physiologic and clinical data were included in this retrospective study. Mortality risk was quantified by conventional means (clinical factors) using the CRIB-II score and the optimal logistic regression model. A random forest (RF) model was trained using a subset of the cohort, labeling data within 6 h of death as “worry.” The model was then tested using the remaining infants. A total of 275 infants were included in the study with a mean gestational age of 27 weeks, mean birth weight of 929 g, 49% female, and a mortality rate of 21%. The CRIB-II and logistic regression models had acceptable performance with sensitivities of 71% and 80% AUC scores of 0.78 and 0.84, respectively. The RF model had superior performance with a sensitivity of 88% and an AUC of 0.93. A random forest model which incorporates fixed clinical factors with the influence of aberrancies in subsequent physiology has superior performance for mortality prediction compared to conventional models.","container-title":"Scientific Reports","DOI":"10.1038/s41598-021-86748-4","ISSN":"2045-2322","issue":"1","journalAbbreviation":"Sci Rep","language":"en","license":"2021 The Author(s)","page":"7308","publisher":"Nature Publishing Group","source":"www.nature.com","title":"Predicting mortality risk for preterm infants using random forest","volume":"11","author":[{"family":"Lee","given":"Jennifer"},{"family":"Cai","given":"Jinjin"},{"family":"Li","given":"Fuhai"},{"family":"Vesoulis","given":"Zachary A."}],"issued":{"date-parts":[["2021",3,31]]}}}],"schema":"https://github.com/citation-style-language/schema/raw/master/csl-citation.json"}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[69]</w:t>
            </w:r>
            <w:r>
              <w:rPr>
                <w:rFonts w:ascii="Arial" w:eastAsia="Times New Roman" w:hAnsi="Arial" w:cs="Arial"/>
                <w:color w:val="000000"/>
                <w:sz w:val="12"/>
                <w:szCs w:val="12"/>
                <w:lang w:eastAsia="en-GB" w:bidi="th-TH"/>
              </w:rPr>
              <w:fldChar w:fldCharType="end"/>
            </w:r>
          </w:p>
        </w:tc>
      </w:tr>
      <w:tr w:rsidR="00871B31" w:rsidRPr="00756461" w14:paraId="461CD40B"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44FABA7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Li, et al. 2025</w:t>
            </w:r>
          </w:p>
        </w:tc>
        <w:tc>
          <w:tcPr>
            <w:tcW w:w="1054" w:type="dxa"/>
            <w:tcBorders>
              <w:top w:val="single" w:sz="4" w:space="0" w:color="888888"/>
              <w:left w:val="single" w:sz="4" w:space="0" w:color="888888"/>
              <w:bottom w:val="single" w:sz="4" w:space="0" w:color="888888"/>
              <w:right w:val="single" w:sz="4" w:space="0" w:color="888888"/>
            </w:tcBorders>
          </w:tcPr>
          <w:p w14:paraId="61D0872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17DCC84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United Kingdom</w:t>
            </w:r>
          </w:p>
        </w:tc>
        <w:tc>
          <w:tcPr>
            <w:tcW w:w="786" w:type="dxa"/>
            <w:tcBorders>
              <w:top w:val="single" w:sz="4" w:space="0" w:color="888888"/>
              <w:left w:val="single" w:sz="4" w:space="0" w:color="888888"/>
              <w:bottom w:val="single" w:sz="4" w:space="0" w:color="888888"/>
              <w:right w:val="single" w:sz="4" w:space="0" w:color="888888"/>
            </w:tcBorders>
          </w:tcPr>
          <w:p w14:paraId="0BFCADC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w:t>
            </w:r>
          </w:p>
        </w:tc>
        <w:tc>
          <w:tcPr>
            <w:tcW w:w="786" w:type="dxa"/>
            <w:tcBorders>
              <w:top w:val="single" w:sz="4" w:space="0" w:color="888888"/>
              <w:left w:val="single" w:sz="4" w:space="0" w:color="888888"/>
              <w:bottom w:val="single" w:sz="4" w:space="0" w:color="888888"/>
              <w:right w:val="single" w:sz="4" w:space="0" w:color="888888"/>
            </w:tcBorders>
          </w:tcPr>
          <w:p w14:paraId="77A37E8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 Model development</w:t>
            </w:r>
            <w:r>
              <w:rPr>
                <w:rFonts w:ascii="Arial" w:hAnsi="Arial" w:cs="Arial"/>
                <w:sz w:val="12"/>
                <w:szCs w:val="12"/>
              </w:rPr>
              <w:br/>
              <w:t>2. Identify important predictors</w:t>
            </w:r>
          </w:p>
        </w:tc>
        <w:tc>
          <w:tcPr>
            <w:tcW w:w="1051" w:type="dxa"/>
            <w:tcBorders>
              <w:top w:val="single" w:sz="4" w:space="0" w:color="888888"/>
              <w:left w:val="single" w:sz="4" w:space="0" w:color="888888"/>
              <w:bottom w:val="single" w:sz="4" w:space="0" w:color="888888"/>
              <w:right w:val="single" w:sz="4" w:space="0" w:color="888888"/>
            </w:tcBorders>
          </w:tcPr>
          <w:p w14:paraId="563A4667"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14ABC85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Gestational age</w:t>
            </w:r>
          </w:p>
        </w:tc>
        <w:tc>
          <w:tcPr>
            <w:tcW w:w="851" w:type="dxa"/>
            <w:tcBorders>
              <w:top w:val="single" w:sz="4" w:space="0" w:color="888888"/>
              <w:left w:val="single" w:sz="4" w:space="0" w:color="888888"/>
              <w:bottom w:val="single" w:sz="4" w:space="0" w:color="888888"/>
              <w:right w:val="single" w:sz="4" w:space="0" w:color="888888"/>
            </w:tcBorders>
          </w:tcPr>
          <w:p w14:paraId="1D31932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11E778C5"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7810CE1E"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37C049B6"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66D8ABD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The stacking model achieved an accuracy of 85.6%, sensitivity of 57.8%, specificity of 95.9%, and an area under the receiver operating characteristic curve (AUC) of 0.82 on the internal test set </w:t>
            </w:r>
          </w:p>
        </w:tc>
        <w:tc>
          <w:tcPr>
            <w:tcW w:w="851" w:type="dxa"/>
            <w:tcBorders>
              <w:top w:val="single" w:sz="4" w:space="0" w:color="888888"/>
              <w:left w:val="single" w:sz="4" w:space="0" w:color="888888"/>
              <w:bottom w:val="single" w:sz="4" w:space="0" w:color="888888"/>
              <w:right w:val="single" w:sz="4" w:space="0" w:color="888888"/>
            </w:tcBorders>
          </w:tcPr>
          <w:p w14:paraId="214590C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 Sensitivity, Specificity, Accuracy</w:t>
            </w:r>
          </w:p>
        </w:tc>
        <w:tc>
          <w:tcPr>
            <w:tcW w:w="817" w:type="dxa"/>
            <w:tcBorders>
              <w:top w:val="single" w:sz="4" w:space="0" w:color="888888"/>
              <w:left w:val="single" w:sz="4" w:space="0" w:color="888888"/>
              <w:bottom w:val="single" w:sz="4" w:space="0" w:color="888888"/>
              <w:right w:val="single" w:sz="4" w:space="0" w:color="888888"/>
            </w:tcBorders>
          </w:tcPr>
          <w:p w14:paraId="04D0002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Both internal and external validation</w:t>
            </w:r>
          </w:p>
        </w:tc>
        <w:tc>
          <w:tcPr>
            <w:tcW w:w="742" w:type="dxa"/>
            <w:tcBorders>
              <w:top w:val="single" w:sz="4" w:space="0" w:color="888888"/>
              <w:left w:val="single" w:sz="4" w:space="0" w:color="888888"/>
              <w:bottom w:val="single" w:sz="4" w:space="0" w:color="888888"/>
              <w:right w:val="single" w:sz="4" w:space="0" w:color="888888"/>
            </w:tcBorders>
          </w:tcPr>
          <w:p w14:paraId="3AA3AF0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study included 1670 patients, of whom 200 experienced adverse outcomes</w:t>
            </w:r>
          </w:p>
        </w:tc>
        <w:tc>
          <w:tcPr>
            <w:tcW w:w="851" w:type="dxa"/>
            <w:tcBorders>
              <w:top w:val="single" w:sz="4" w:space="0" w:color="888888"/>
              <w:left w:val="single" w:sz="4" w:space="0" w:color="888888"/>
              <w:bottom w:val="single" w:sz="4" w:space="0" w:color="888888"/>
              <w:right w:val="single" w:sz="4" w:space="0" w:color="888888"/>
            </w:tcBorders>
          </w:tcPr>
          <w:p w14:paraId="347EF3A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study was supported by the Chengdu Medical Research Project (project 2022-387)</w:t>
            </w:r>
          </w:p>
        </w:tc>
        <w:tc>
          <w:tcPr>
            <w:tcW w:w="1134" w:type="dxa"/>
            <w:tcBorders>
              <w:top w:val="single" w:sz="4" w:space="0" w:color="888888"/>
              <w:left w:val="single" w:sz="4" w:space="0" w:color="888888"/>
              <w:bottom w:val="single" w:sz="4" w:space="0" w:color="888888"/>
              <w:right w:val="single" w:sz="4" w:space="0" w:color="888888"/>
            </w:tcBorders>
          </w:tcPr>
          <w:p w14:paraId="0556A338"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56.0%</w:t>
            </w:r>
          </w:p>
        </w:tc>
        <w:tc>
          <w:tcPr>
            <w:tcW w:w="841" w:type="dxa"/>
            <w:tcBorders>
              <w:top w:val="single" w:sz="4" w:space="0" w:color="888888"/>
              <w:left w:val="single" w:sz="4" w:space="0" w:color="888888"/>
              <w:bottom w:val="single" w:sz="4" w:space="0" w:color="888888"/>
              <w:right w:val="single" w:sz="4" w:space="0" w:color="888888"/>
            </w:tcBorders>
          </w:tcPr>
          <w:p w14:paraId="67C04261"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Low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55BF756E"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The data is publicly accessible.</w:t>
            </w:r>
          </w:p>
        </w:tc>
        <w:tc>
          <w:tcPr>
            <w:tcW w:w="442" w:type="dxa"/>
            <w:tcBorders>
              <w:top w:val="single" w:sz="4" w:space="0" w:color="888888"/>
              <w:left w:val="single" w:sz="4" w:space="0" w:color="888888"/>
              <w:bottom w:val="single" w:sz="4" w:space="0" w:color="888888"/>
              <w:right w:val="single" w:sz="4" w:space="0" w:color="888888"/>
            </w:tcBorders>
          </w:tcPr>
          <w:p w14:paraId="2D08CFE8"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{"citationID":"k4Gmn4fS","properties":{"formattedCitation":"[70]","plainCitation":"[70]","noteIndex":0},"citationItems":[{"id":"b2OWig5M/tUFL2KHE","uris":["http://zotero.org/users/18230940/items/VD3XEW6F"],"itemData":{"id":747,"type":"article-journal","abstract":"BACKGROUND: Gestational diabetes mellitus (GDM) affects over 5% of pregnancies worldwide, elevating risks of type 2 diabetes post partum and complications such as fetal death, miscarriage, and congenital abnormalities. Effective GDM management is essential to balance glycemic control and pregnancy outcomes.\nOBJECTIVE: We aim to develop interpretable machine learning models using GDM datasets for predicting adverse pregnancy outcomes and identifying key factors through the Shapley additive explanations (SHAP) algorithm, thus supporting improved maternal and infant health.\nMETHODS: Data preprocessing and feature selection were performed, with adaptive synthetic sampling used to address class imbalance. Classification models, including logistic regression, random forest, support vector machine, and extreme gradient boosting, were built and enhanced through the stacking method. Model interpretability was assessed with SHAP to quantify feature contributions.\nRESULTS: Among 1670 patients, 200 experienced adverse outcomes. The stacking model outperformed individual models, achieving an accuracy of 85.6%, a sensitivity of 57.8%, a specificity of 95.9%, and an area under the receiver operating characteristic curve of 0.82 on the test set. External validation on 159 patients showed a decline in performance (accuracy 83.6%, area under the receiver operating characteristic curve 0.67). SHAP analysis identified gestational age, glucose control, and diagnosis time among the most influential predictors, providing clinically meaningful insights into risk factors. Additionally, detailed SHAP-based visualization revealed the distribution of different feature values and their nonlinear impact on outcomes, as well as interaction effects between features. These interpretable analyses enabled a deeper understanding of individual and combined feature contributions, thereby enhancing clinical assessment capabilities.\nCONCLUSIONS: This study underscores the potential of machine learning in predicting adverse outcomes in GDM, with interpretable features offering valuable clinical insights to enhance pregnancy management and maternal-infant health.","container-title":"JMIR medical informatics","DOI":"10.2196/71539","ISSN":"2291-9694","journalAbbreviation":"JMIR Med Inform","language":"eng","page":"e71539","PMID":"40958678","PMCID":"PMC12441465","source":"PubMed","title":"Interpretable Machine Learning for Predicting Adverse Pregnancy Outcomes in Gestational Diabetes: Retrospective Cohort Study","title-short":"Interpretable Machine Learning for Predicting Adverse Pregnancy Outcomes in Gestational Diabetes","volume":"13","author":[{"family":"Li","given":"Jiaxi"},{"family":"Liu","given":"Xiali"},{"family":"He","given":"Shenyang"},{"family":"Ren","given":"Yan"}],"issued":{"date-parts":[["2025",9,16]]}}}],"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[70]</w:t>
            </w:r>
            <w:r>
              <w:rPr>
                <w:rFonts w:ascii="Arial" w:eastAsia="Times New Roman" w:hAnsi="Arial" w:cs="Arial"/>
                <w:color w:val="000000"/>
                <w:sz w:val="12"/>
                <w:szCs w:val="12"/>
                <w:lang w:eastAsia="en-GB" w:bidi="th-TH"/>
              </w:rPr>
              <w:fldChar w:fldCharType="end"/>
            </w:r>
          </w:p>
        </w:tc>
      </w:tr>
      <w:tr w:rsidR="00871B31" w:rsidRPr="00756461" w14:paraId="48FE1A47"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5AFF7EE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Lin, et al. 2022</w:t>
            </w:r>
          </w:p>
        </w:tc>
        <w:tc>
          <w:tcPr>
            <w:tcW w:w="1054" w:type="dxa"/>
            <w:tcBorders>
              <w:top w:val="single" w:sz="4" w:space="0" w:color="888888"/>
              <w:left w:val="single" w:sz="4" w:space="0" w:color="888888"/>
              <w:bottom w:val="single" w:sz="4" w:space="0" w:color="888888"/>
              <w:right w:val="single" w:sz="4" w:space="0" w:color="888888"/>
            </w:tcBorders>
          </w:tcPr>
          <w:p w14:paraId="16B3C2F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094AC11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China</w:t>
            </w:r>
          </w:p>
        </w:tc>
        <w:tc>
          <w:tcPr>
            <w:tcW w:w="786" w:type="dxa"/>
            <w:tcBorders>
              <w:top w:val="single" w:sz="4" w:space="0" w:color="888888"/>
              <w:left w:val="single" w:sz="4" w:space="0" w:color="888888"/>
              <w:bottom w:val="single" w:sz="4" w:space="0" w:color="888888"/>
              <w:right w:val="single" w:sz="4" w:space="0" w:color="888888"/>
            </w:tcBorders>
          </w:tcPr>
          <w:p w14:paraId="13DF516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Neonatal mortality</w:t>
            </w:r>
          </w:p>
        </w:tc>
        <w:tc>
          <w:tcPr>
            <w:tcW w:w="786" w:type="dxa"/>
            <w:tcBorders>
              <w:top w:val="single" w:sz="4" w:space="0" w:color="888888"/>
              <w:left w:val="single" w:sz="4" w:space="0" w:color="888888"/>
              <w:bottom w:val="single" w:sz="4" w:space="0" w:color="888888"/>
              <w:right w:val="single" w:sz="4" w:space="0" w:color="888888"/>
            </w:tcBorders>
          </w:tcPr>
          <w:p w14:paraId="7942840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development</w:t>
            </w:r>
          </w:p>
        </w:tc>
        <w:tc>
          <w:tcPr>
            <w:tcW w:w="1051" w:type="dxa"/>
            <w:tcBorders>
              <w:top w:val="single" w:sz="4" w:space="0" w:color="888888"/>
              <w:left w:val="single" w:sz="4" w:space="0" w:color="888888"/>
              <w:bottom w:val="single" w:sz="4" w:space="0" w:color="888888"/>
              <w:right w:val="single" w:sz="4" w:space="0" w:color="888888"/>
            </w:tcBorders>
          </w:tcPr>
          <w:p w14:paraId="07D0EA4D"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Clinical factor</w:t>
            </w:r>
          </w:p>
          <w:p w14:paraId="74B93DF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pH (OR = 0.606, P = 0.000, 95% CI 0.457–0.803)</w:t>
            </w:r>
          </w:p>
          <w:p w14:paraId="018A730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Septicemia (OR = 3.544, P = 0.000, 95% CI 1.851–6.783)</w:t>
            </w:r>
          </w:p>
          <w:p w14:paraId="376BFF8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Abnormal pregnancy history (OR = 3.331, P = 0.008, 95% CI 1.376–8.067)</w:t>
            </w:r>
          </w:p>
        </w:tc>
        <w:tc>
          <w:tcPr>
            <w:tcW w:w="851" w:type="dxa"/>
            <w:tcBorders>
              <w:top w:val="single" w:sz="4" w:space="0" w:color="888888"/>
              <w:left w:val="single" w:sz="4" w:space="0" w:color="888888"/>
              <w:bottom w:val="single" w:sz="4" w:space="0" w:color="888888"/>
              <w:right w:val="single" w:sz="4" w:space="0" w:color="888888"/>
            </w:tcBorders>
          </w:tcPr>
          <w:p w14:paraId="4535CC8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3BF46C73"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2AF158F6"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07EE9F66"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6865D13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nomogram prediction model presented an efficient prediction, with an AUC of 0.737 (95% CI 0.663–0.812).</w:t>
            </w:r>
            <w:r>
              <w:rPr>
                <w:rFonts w:ascii="Arial" w:hAnsi="Arial" w:cs="Arial"/>
                <w:sz w:val="12"/>
                <w:szCs w:val="12"/>
              </w:rPr>
              <w:br/>
            </w:r>
            <w:r>
              <w:rPr>
                <w:rFonts w:ascii="Arial" w:hAnsi="Arial" w:cs="Arial"/>
                <w:sz w:val="12"/>
                <w:szCs w:val="12"/>
              </w:rPr>
              <w:br/>
              <w:t>The result showed no statistical different between real mortality and predictive model result.</w:t>
            </w:r>
          </w:p>
        </w:tc>
        <w:tc>
          <w:tcPr>
            <w:tcW w:w="851" w:type="dxa"/>
            <w:tcBorders>
              <w:top w:val="single" w:sz="4" w:space="0" w:color="888888"/>
              <w:left w:val="single" w:sz="4" w:space="0" w:color="888888"/>
              <w:bottom w:val="single" w:sz="4" w:space="0" w:color="888888"/>
              <w:right w:val="single" w:sz="4" w:space="0" w:color="888888"/>
            </w:tcBorders>
          </w:tcPr>
          <w:p w14:paraId="2517F78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w:t>
            </w:r>
          </w:p>
        </w:tc>
        <w:tc>
          <w:tcPr>
            <w:tcW w:w="817" w:type="dxa"/>
            <w:tcBorders>
              <w:top w:val="single" w:sz="4" w:space="0" w:color="888888"/>
              <w:left w:val="single" w:sz="4" w:space="0" w:color="888888"/>
              <w:bottom w:val="single" w:sz="4" w:space="0" w:color="888888"/>
              <w:right w:val="single" w:sz="4" w:space="0" w:color="888888"/>
            </w:tcBorders>
          </w:tcPr>
          <w:p w14:paraId="2380F4D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253E291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220 newborns</w:t>
            </w:r>
          </w:p>
        </w:tc>
        <w:tc>
          <w:tcPr>
            <w:tcW w:w="851" w:type="dxa"/>
            <w:tcBorders>
              <w:top w:val="single" w:sz="4" w:space="0" w:color="888888"/>
              <w:left w:val="single" w:sz="4" w:space="0" w:color="888888"/>
              <w:bottom w:val="single" w:sz="4" w:space="0" w:color="888888"/>
              <w:right w:val="single" w:sz="4" w:space="0" w:color="888888"/>
            </w:tcBorders>
          </w:tcPr>
          <w:p w14:paraId="5CBBEFD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This work was supported by grants from the Technology Project of Sichuan Province of China (2021YFQ0061) and the National Natural Science Foundation of China (82270249).</w:t>
            </w:r>
          </w:p>
        </w:tc>
        <w:tc>
          <w:tcPr>
            <w:tcW w:w="1134" w:type="dxa"/>
            <w:tcBorders>
              <w:top w:val="single" w:sz="4" w:space="0" w:color="888888"/>
              <w:left w:val="single" w:sz="4" w:space="0" w:color="888888"/>
              <w:bottom w:val="single" w:sz="4" w:space="0" w:color="888888"/>
              <w:right w:val="single" w:sz="4" w:space="0" w:color="888888"/>
            </w:tcBorders>
          </w:tcPr>
          <w:p w14:paraId="30EBD3D5"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55.3%</w:t>
            </w:r>
          </w:p>
        </w:tc>
        <w:tc>
          <w:tcPr>
            <w:tcW w:w="841" w:type="dxa"/>
            <w:tcBorders>
              <w:top w:val="single" w:sz="4" w:space="0" w:color="888888"/>
              <w:left w:val="single" w:sz="4" w:space="0" w:color="888888"/>
              <w:bottom w:val="single" w:sz="4" w:space="0" w:color="888888"/>
              <w:right w:val="single" w:sz="4" w:space="0" w:color="888888"/>
            </w:tcBorders>
          </w:tcPr>
          <w:p w14:paraId="622A60FA"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Unclear risk</w:t>
            </w:r>
            <w:r>
              <w:rPr>
                <w:rFonts w:ascii="Arial" w:hAnsi="Arial" w:cs="Arial"/>
                <w:color w:val="000000"/>
                <w:sz w:val="12"/>
                <w:szCs w:val="12"/>
              </w:rPr>
              <w:br/>
              <w:t>D3: Low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0ED7456B"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The data is available via supplement material section. However, extra data is available upon request.</w:t>
            </w:r>
          </w:p>
        </w:tc>
        <w:tc>
          <w:tcPr>
            <w:tcW w:w="442" w:type="dxa"/>
            <w:tcBorders>
              <w:top w:val="single" w:sz="4" w:space="0" w:color="888888"/>
              <w:left w:val="single" w:sz="4" w:space="0" w:color="888888"/>
              <w:bottom w:val="single" w:sz="4" w:space="0" w:color="888888"/>
              <w:right w:val="single" w:sz="4" w:space="0" w:color="888888"/>
            </w:tcBorders>
          </w:tcPr>
          <w:p w14:paraId="738ED13E"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{"citationID":"dcCkCQrt","properties":{"formattedCitation":"[71]","plainCitation":"[71]","noteIndex":0},"citationItems":[{"id":"b2OWig5M/QYrk5Det","uris":["http://zotero.org/users/18230940/items/MGB8YBSD"],"itemData":{"id":749,"type":"article-journal","abstract":"Background: Persistent pulmonary hypertension of the newborn (PPHN) is a major lethal disorder in neonates that leads to an extremely high mortality rate. Thus, the early identification of adverse outcomes in PPHN is critical for clinical practice. This research attempted to develop a nomogram prediction system for assessing the mortality of newborns with PPHN.Methods: Two hundred and three newborns with PPHN diagnosed from Jan 2015 to Mar 2022 were involved in the study. The clinical features of these newborns and pregnancy details were compared between newborns in the survival and lethal groups. Univariable and multivariate analyses were established in sequence to demonstrate the essential risk factors. The nomogram prediction model was built.Results: A total of 203 newborns were included in the analysis. Of these, 136 (67.0%) newborns represented the hospital survival group. Plasma pH value (OR = 0.606, p = 0.000, 95% CI 0.45715–0.80315), septicemia (OR = 3.544, p = 0.000, 95% CI 1.85160–6.78300) and abnormal pregnancy history (OR = 3.331, p = 0.008, 95% CI 1.37550–8.06680) were identified as independent risk factors for neonatal death in newborns associated with PPHN. Finally, the nomogram predictive model was established based on multivariate analysis results, indicating the efficacies of prediction and calibration.Conclusion: This study generated an applicable risk score formula using the plasma pH value, septicemia and abnormal pregnancy history to recognize neonatal death in newborns with PPHN, presenting with a sufficient predictive value and calibration.","container-title":"Frontiers in Cardiovascular Medicine","DOI":"10.3389/fcvm.2022.1077339","ISSN":"2297-055X","journalAbbreviation":"Front. Cardiovasc. Med.","language":"English","publisher":"Frontiers","source":"Frontiers","title":"A nomogram prediction model for early death in patients with persistent pulmonary hypertension of the newborn","URL":"https://www.frontiersin.org/journals/cardiovascular-medicine/articles/10.3389/fcvm.2022.1077339/full","volume":"9","author":[{"family":"Lin","given":"Chuyang"},{"family":"Mi","given":"Jiao"},{"family":"Zhang","given":"Yinyue"},{"family":"Duan","given":"Sichen"},{"family":"Wu","given":"Jinlin"},{"family":"Li","given":"Yifei"}],"accessed":{"date-parts":[["2026",2,19]]},"issued":{"date-parts":[["2022",12,22]]}}}],"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[71]</w:t>
            </w:r>
            <w:r>
              <w:rPr>
                <w:rFonts w:ascii="Arial" w:eastAsia="Times New Roman" w:hAnsi="Arial" w:cs="Arial"/>
                <w:color w:val="000000"/>
                <w:sz w:val="12"/>
                <w:szCs w:val="12"/>
                <w:lang w:eastAsia="en-GB" w:bidi="th-TH"/>
              </w:rPr>
              <w:fldChar w:fldCharType="end"/>
            </w:r>
          </w:p>
        </w:tc>
      </w:tr>
      <w:tr w:rsidR="00871B31" w:rsidRPr="00756461" w14:paraId="492A4425"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5742FF3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Olde Loohuis, et al 2025</w:t>
            </w:r>
          </w:p>
        </w:tc>
        <w:tc>
          <w:tcPr>
            <w:tcW w:w="1054" w:type="dxa"/>
            <w:tcBorders>
              <w:top w:val="single" w:sz="4" w:space="0" w:color="888888"/>
              <w:left w:val="single" w:sz="4" w:space="0" w:color="888888"/>
              <w:bottom w:val="single" w:sz="4" w:space="0" w:color="888888"/>
              <w:right w:val="single" w:sz="4" w:space="0" w:color="888888"/>
            </w:tcBorders>
          </w:tcPr>
          <w:p w14:paraId="4045D0A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Prospective study</w:t>
            </w:r>
          </w:p>
        </w:tc>
        <w:tc>
          <w:tcPr>
            <w:tcW w:w="742" w:type="dxa"/>
            <w:tcBorders>
              <w:top w:val="single" w:sz="4" w:space="0" w:color="888888"/>
              <w:left w:val="single" w:sz="4" w:space="0" w:color="888888"/>
              <w:bottom w:val="single" w:sz="4" w:space="0" w:color="888888"/>
              <w:right w:val="single" w:sz="4" w:space="0" w:color="888888"/>
            </w:tcBorders>
          </w:tcPr>
          <w:p w14:paraId="5161565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Ghana</w:t>
            </w:r>
          </w:p>
        </w:tc>
        <w:tc>
          <w:tcPr>
            <w:tcW w:w="786" w:type="dxa"/>
            <w:tcBorders>
              <w:top w:val="single" w:sz="4" w:space="0" w:color="888888"/>
              <w:left w:val="single" w:sz="4" w:space="0" w:color="888888"/>
              <w:bottom w:val="single" w:sz="4" w:space="0" w:color="888888"/>
              <w:right w:val="single" w:sz="4" w:space="0" w:color="888888"/>
            </w:tcBorders>
          </w:tcPr>
          <w:p w14:paraId="1E39A3F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Perinatal death (stillbirth + early </w:t>
            </w:r>
            <w:r>
              <w:rPr>
                <w:rFonts w:ascii="Arial" w:hAnsi="Arial" w:cs="Arial"/>
                <w:sz w:val="12"/>
                <w:szCs w:val="12"/>
              </w:rPr>
              <w:lastRenderedPageBreak/>
              <w:t>neonatal death)</w:t>
            </w:r>
          </w:p>
        </w:tc>
        <w:tc>
          <w:tcPr>
            <w:tcW w:w="786" w:type="dxa"/>
            <w:tcBorders>
              <w:top w:val="single" w:sz="4" w:space="0" w:color="888888"/>
              <w:left w:val="single" w:sz="4" w:space="0" w:color="888888"/>
              <w:bottom w:val="single" w:sz="4" w:space="0" w:color="888888"/>
              <w:right w:val="single" w:sz="4" w:space="0" w:color="888888"/>
            </w:tcBorders>
          </w:tcPr>
          <w:p w14:paraId="24531CB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External validate exsiting models</w:t>
            </w:r>
          </w:p>
        </w:tc>
        <w:tc>
          <w:tcPr>
            <w:tcW w:w="1051" w:type="dxa"/>
            <w:tcBorders>
              <w:top w:val="single" w:sz="4" w:space="0" w:color="888888"/>
              <w:left w:val="single" w:sz="4" w:space="0" w:color="888888"/>
              <w:bottom w:val="single" w:sz="4" w:space="0" w:color="888888"/>
              <w:right w:val="single" w:sz="4" w:space="0" w:color="888888"/>
            </w:tcBorders>
          </w:tcPr>
          <w:p w14:paraId="23812286"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2C162F3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age</w:t>
            </w:r>
          </w:p>
          <w:p w14:paraId="6A1D53B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Proteinuria</w:t>
            </w:r>
          </w:p>
        </w:tc>
        <w:tc>
          <w:tcPr>
            <w:tcW w:w="851" w:type="dxa"/>
            <w:tcBorders>
              <w:top w:val="single" w:sz="4" w:space="0" w:color="888888"/>
              <w:left w:val="single" w:sz="4" w:space="0" w:color="888888"/>
              <w:bottom w:val="single" w:sz="4" w:space="0" w:color="888888"/>
              <w:right w:val="single" w:sz="4" w:space="0" w:color="888888"/>
            </w:tcBorders>
          </w:tcPr>
          <w:p w14:paraId="0220DF4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4221A9AA"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2076AB90"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03A084C3"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4011F15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This perinatal prediction model performed poorly in this </w:t>
            </w:r>
            <w:r>
              <w:rPr>
                <w:rFonts w:ascii="Arial" w:hAnsi="Arial" w:cs="Arial"/>
                <w:sz w:val="12"/>
                <w:szCs w:val="12"/>
              </w:rPr>
              <w:lastRenderedPageBreak/>
              <w:t>cohort in Ghana</w:t>
            </w:r>
          </w:p>
        </w:tc>
        <w:tc>
          <w:tcPr>
            <w:tcW w:w="851" w:type="dxa"/>
            <w:tcBorders>
              <w:top w:val="single" w:sz="4" w:space="0" w:color="888888"/>
              <w:left w:val="single" w:sz="4" w:space="0" w:color="888888"/>
              <w:bottom w:val="single" w:sz="4" w:space="0" w:color="888888"/>
              <w:right w:val="single" w:sz="4" w:space="0" w:color="888888"/>
            </w:tcBorders>
          </w:tcPr>
          <w:p w14:paraId="0B63D7B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 xml:space="preserve">Calibration-in-the-large coefficient, calibration </w:t>
            </w:r>
            <w:r>
              <w:rPr>
                <w:rFonts w:ascii="Arial" w:hAnsi="Arial" w:cs="Arial"/>
                <w:sz w:val="12"/>
                <w:szCs w:val="12"/>
              </w:rPr>
              <w:lastRenderedPageBreak/>
              <w:t>slope, c-statistic</w:t>
            </w:r>
          </w:p>
        </w:tc>
        <w:tc>
          <w:tcPr>
            <w:tcW w:w="817" w:type="dxa"/>
            <w:tcBorders>
              <w:top w:val="single" w:sz="4" w:space="0" w:color="888888"/>
              <w:left w:val="single" w:sz="4" w:space="0" w:color="888888"/>
              <w:bottom w:val="single" w:sz="4" w:space="0" w:color="888888"/>
              <w:right w:val="single" w:sz="4" w:space="0" w:color="888888"/>
            </w:tcBorders>
          </w:tcPr>
          <w:p w14:paraId="10585EA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Both internal and external validation</w:t>
            </w:r>
          </w:p>
        </w:tc>
        <w:tc>
          <w:tcPr>
            <w:tcW w:w="742" w:type="dxa"/>
            <w:tcBorders>
              <w:top w:val="single" w:sz="4" w:space="0" w:color="888888"/>
              <w:left w:val="single" w:sz="4" w:space="0" w:color="888888"/>
              <w:bottom w:val="single" w:sz="4" w:space="0" w:color="888888"/>
              <w:right w:val="single" w:sz="4" w:space="0" w:color="888888"/>
            </w:tcBorders>
          </w:tcPr>
          <w:p w14:paraId="2934033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543</w:t>
            </w:r>
          </w:p>
        </w:tc>
        <w:tc>
          <w:tcPr>
            <w:tcW w:w="851" w:type="dxa"/>
            <w:tcBorders>
              <w:top w:val="single" w:sz="4" w:space="0" w:color="888888"/>
              <w:left w:val="single" w:sz="4" w:space="0" w:color="888888"/>
              <w:bottom w:val="single" w:sz="4" w:space="0" w:color="888888"/>
              <w:right w:val="single" w:sz="4" w:space="0" w:color="888888"/>
            </w:tcBorders>
          </w:tcPr>
          <w:p w14:paraId="4B6C009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No specific funding for this work.</w:t>
            </w:r>
          </w:p>
        </w:tc>
        <w:tc>
          <w:tcPr>
            <w:tcW w:w="1134" w:type="dxa"/>
            <w:tcBorders>
              <w:top w:val="single" w:sz="4" w:space="0" w:color="888888"/>
              <w:left w:val="single" w:sz="4" w:space="0" w:color="888888"/>
              <w:bottom w:val="single" w:sz="4" w:space="0" w:color="888888"/>
              <w:right w:val="single" w:sz="4" w:space="0" w:color="888888"/>
            </w:tcBorders>
          </w:tcPr>
          <w:p w14:paraId="095F6FC2"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76.0%</w:t>
            </w:r>
          </w:p>
        </w:tc>
        <w:tc>
          <w:tcPr>
            <w:tcW w:w="841" w:type="dxa"/>
            <w:tcBorders>
              <w:top w:val="single" w:sz="4" w:space="0" w:color="888888"/>
              <w:left w:val="single" w:sz="4" w:space="0" w:color="888888"/>
              <w:bottom w:val="single" w:sz="4" w:space="0" w:color="888888"/>
              <w:right w:val="single" w:sz="4" w:space="0" w:color="888888"/>
            </w:tcBorders>
          </w:tcPr>
          <w:p w14:paraId="2D4F2338"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 xml:space="preserve">D3: Low </w:t>
            </w:r>
            <w:r>
              <w:rPr>
                <w:rFonts w:ascii="Arial" w:hAnsi="Arial" w:cs="Arial"/>
                <w:color w:val="000000"/>
                <w:sz w:val="12"/>
                <w:szCs w:val="12"/>
              </w:rPr>
              <w:lastRenderedPageBreak/>
              <w:t>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5006E898"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lastRenderedPageBreak/>
              <w:t>Not publicly available</w:t>
            </w:r>
            <w:r>
              <w:rPr>
                <w:rFonts w:ascii="Arial" w:hAnsi="Arial" w:cs="Arial"/>
                <w:color w:val="000000"/>
                <w:sz w:val="12"/>
                <w:szCs w:val="12"/>
              </w:rPr>
              <w:br/>
              <w:t xml:space="preserve">Available via inquiries to </w:t>
            </w:r>
            <w:r>
              <w:rPr>
                <w:rFonts w:ascii="Arial" w:hAnsi="Arial" w:cs="Arial"/>
                <w:color w:val="000000"/>
                <w:sz w:val="12"/>
                <w:szCs w:val="12"/>
              </w:rPr>
              <w:lastRenderedPageBreak/>
              <w:t>corresponding author</w:t>
            </w:r>
          </w:p>
        </w:tc>
        <w:tc>
          <w:tcPr>
            <w:tcW w:w="442" w:type="dxa"/>
            <w:tcBorders>
              <w:top w:val="single" w:sz="4" w:space="0" w:color="888888"/>
              <w:left w:val="single" w:sz="4" w:space="0" w:color="888888"/>
              <w:bottom w:val="single" w:sz="4" w:space="0" w:color="888888"/>
              <w:right w:val="single" w:sz="4" w:space="0" w:color="888888"/>
            </w:tcBorders>
          </w:tcPr>
          <w:p w14:paraId="3415F379"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lastRenderedPageBreak/>
              <w:fldChar w:fldCharType="begin"/>
            </w:r>
            <w:r>
              <w:rPr>
                <w:rFonts w:ascii="Arial" w:eastAsia="Times New Roman" w:hAnsi="Arial" w:cs="Arial"/>
                <w:color w:val="000000"/>
                <w:sz w:val="12"/>
                <w:szCs w:val="12"/>
                <w:lang w:eastAsia="en-GB" w:bidi="th-TH"/>
              </w:rPr>
              <w:instrText xml:space="preserve"> ADDIN ZOTERO_ITEM CSL_CITATION {"citationID":"WAhBtD1k","properties":{"formattedCitation":"[72]","plainCitation":"[72]","noteIndex":0},"citationItems":[{"id":"b2OWig5M/T9Tg9RBt","uris":["http://zotero.org/users/18230940/items/RGI7TX63"],"itemData":{"id":751,"type":"article-journal","abstract":"BACKGROUND\nPrediction models can be used as simple evidence-based tools to identify fetuses at risk of perinatal death. Payne et al developed a prognostic model for perinatal death in women with hypertensive disorders of pregnancy, a leading cause of maternal/fetal morbidity and mortality.\nOBJECTIVE\nThis study aimed to externally validate the predictive performance of this model in pregnant women with hypertensive disorders of pregnancy admitted between 26 and 34 weeks of gestation in Ghana.\nSTUDY DESIGN\nThe perinatal model was applied in the SPOT (Severe Pre-eclampsia adverse Outcome Triage) study, a cohort of women with hypertensive disorders of pregnancy admitted between 26 and 34 weeks of gestation to referral facilities in Ghana. Predictive performance was assessed by calibration (calibration-in-the-large coefficient and calibration slope) and discrimination (based on the c-statistic).\nRESULTS\nOf the 543 women included in the validation analysis, 87 (16%) experienced perinatal death from delivery until hospital discharge. Predictive performance of the model was poor. The calibration-in-the-large coefficient was 1.12 (95% confidence interval, 0.87–1.36, 0 for good calibration), calibration slope was 0.08 (95% confidence interval, −0.21 to 0.36, 1 for good calibration), and c-statistic was 0.52 (95% confidence interval, 0.44–0.59).\nCONCLUSION\nThis perinatal prediction model performed poorly in this cohort in Ghana. Possible reasons include differences in case mix, clinical management strategies, or data collection procedures between development and validation settings; suboptimal modeling strategies at development; or omission of important predictors. Given the burden of perinatal mortality and importance of risk stratification, new prediction model development and validation is recommended.","container-title":"AJOG Global Reports","DOI":"10.1016/j.xagr.2025.100455","ISSN":"2666-5778","issue":"2","journalAbbreviation":"AJOG Global Reports","page":"100455","source":"ScienceDirect","title":"Predicting complications in hypertensive disorders of pregnancy: external validation of a prognostic model for adverse perinatal outcomes","title-short":"Predicting complications in hypertensive disorders of pregnancy","volume":"5","author":[{"family":"Olde Loohuis","given":"Klaartje M."},{"family":"Luijken","given":"Kim"},{"family":"Brown Amoakoh","given":"Hannah"},{"family":"Adu-Bonsaffoh","given":"Kwame"},{"family":"Grobbee","given":"Diederick E."},{"family":"Klipstein-Grobusch","given":"Kerstin"},{"family":"Srofenyoh","given":"Emmanuel"},{"family":"Amoakoh-Coleman","given":"Mary"},{"family":"Browne","given":"Joyce L."}],"issued":{"date-parts":[["2025",5,1]]}}}],"schema":"https://github.com/citation-style-language/schema/raw/master/csl-citation.json"}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[72]</w:t>
            </w:r>
            <w:r>
              <w:rPr>
                <w:rFonts w:ascii="Arial" w:eastAsia="Times New Roman" w:hAnsi="Arial" w:cs="Arial"/>
                <w:color w:val="000000"/>
                <w:sz w:val="12"/>
                <w:szCs w:val="12"/>
                <w:lang w:eastAsia="en-GB" w:bidi="th-TH"/>
              </w:rPr>
              <w:fldChar w:fldCharType="end"/>
            </w:r>
          </w:p>
        </w:tc>
      </w:tr>
      <w:tr w:rsidR="00871B31" w:rsidRPr="00756461" w14:paraId="6C28F839"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75851B7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Malacov, et al. 2020</w:t>
            </w:r>
          </w:p>
        </w:tc>
        <w:tc>
          <w:tcPr>
            <w:tcW w:w="1054" w:type="dxa"/>
            <w:tcBorders>
              <w:top w:val="single" w:sz="4" w:space="0" w:color="888888"/>
              <w:left w:val="single" w:sz="4" w:space="0" w:color="888888"/>
              <w:bottom w:val="single" w:sz="4" w:space="0" w:color="888888"/>
              <w:right w:val="single" w:sz="4" w:space="0" w:color="888888"/>
            </w:tcBorders>
          </w:tcPr>
          <w:p w14:paraId="0E7B0D1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21B18D5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Australia</w:t>
            </w:r>
          </w:p>
        </w:tc>
        <w:tc>
          <w:tcPr>
            <w:tcW w:w="786" w:type="dxa"/>
            <w:tcBorders>
              <w:top w:val="single" w:sz="4" w:space="0" w:color="888888"/>
              <w:left w:val="single" w:sz="4" w:space="0" w:color="888888"/>
              <w:bottom w:val="single" w:sz="4" w:space="0" w:color="888888"/>
              <w:right w:val="single" w:sz="4" w:space="0" w:color="888888"/>
            </w:tcBorders>
          </w:tcPr>
          <w:p w14:paraId="3386EFC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Stillbirth </w:t>
            </w:r>
          </w:p>
        </w:tc>
        <w:tc>
          <w:tcPr>
            <w:tcW w:w="786" w:type="dxa"/>
            <w:tcBorders>
              <w:top w:val="single" w:sz="4" w:space="0" w:color="888888"/>
              <w:left w:val="single" w:sz="4" w:space="0" w:color="888888"/>
              <w:bottom w:val="single" w:sz="4" w:space="0" w:color="888888"/>
              <w:right w:val="single" w:sz="4" w:space="0" w:color="888888"/>
            </w:tcBorders>
          </w:tcPr>
          <w:p w14:paraId="5AA8BA1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 Model validation</w:t>
            </w:r>
            <w:r>
              <w:rPr>
                <w:rFonts w:ascii="Arial" w:hAnsi="Arial" w:cs="Arial"/>
                <w:sz w:val="12"/>
                <w:szCs w:val="12"/>
              </w:rPr>
              <w:br/>
              <w:t>2. Model comparison</w:t>
            </w:r>
          </w:p>
        </w:tc>
        <w:tc>
          <w:tcPr>
            <w:tcW w:w="1051" w:type="dxa"/>
            <w:tcBorders>
              <w:top w:val="single" w:sz="4" w:space="0" w:color="888888"/>
              <w:left w:val="single" w:sz="4" w:space="0" w:color="888888"/>
              <w:bottom w:val="single" w:sz="4" w:space="0" w:color="888888"/>
              <w:right w:val="single" w:sz="4" w:space="0" w:color="888888"/>
            </w:tcBorders>
          </w:tcPr>
          <w:p w14:paraId="15F72127"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44BF9C2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age</w:t>
            </w:r>
          </w:p>
          <w:p w14:paraId="05D551F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Parity</w:t>
            </w:r>
          </w:p>
          <w:p w14:paraId="63B732F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Pre-existing diabetes mellitus</w:t>
            </w:r>
          </w:p>
          <w:p w14:paraId="062C438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Essential hypertension</w:t>
            </w:r>
          </w:p>
          <w:p w14:paraId="6B27FC5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Asthma</w:t>
            </w:r>
          </w:p>
          <w:p w14:paraId="7808956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Obesity</w:t>
            </w:r>
          </w:p>
          <w:p w14:paraId="7C5998A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Circulatory system disease</w:t>
            </w:r>
          </w:p>
          <w:p w14:paraId="1442ADC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cancer history</w:t>
            </w:r>
          </w:p>
          <w:p w14:paraId="5D11035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Previous stillbirth</w:t>
            </w:r>
          </w:p>
          <w:p w14:paraId="70BA9B0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Previous caesarean section</w:t>
            </w:r>
          </w:p>
          <w:p w14:paraId="41D9C3F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Previous gestational diabetes</w:t>
            </w:r>
          </w:p>
          <w:p w14:paraId="5A3EC62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Previous miscarriage</w:t>
            </w:r>
          </w:p>
          <w:p w14:paraId="3544723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Previous congenital anomaly</w:t>
            </w:r>
          </w:p>
          <w:p w14:paraId="1DDEED6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Parental SGA history</w:t>
            </w:r>
          </w:p>
          <w:p w14:paraId="0C46ED4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Parental preterm birth history</w:t>
            </w:r>
          </w:p>
          <w:p w14:paraId="18087FC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Parental congenital anomaly history</w:t>
            </w:r>
          </w:p>
          <w:p w14:paraId="1919B7E1"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0AAFDF0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Plurality (multiple gestation)</w:t>
            </w:r>
          </w:p>
          <w:p w14:paraId="180BAA1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Small-for-gestational-age (birthweight &lt;10th percentile)</w:t>
            </w:r>
          </w:p>
          <w:p w14:paraId="1288338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Congenital anomaly</w:t>
            </w:r>
          </w:p>
          <w:p w14:paraId="0E2E9F36"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Clinical factor</w:t>
            </w:r>
          </w:p>
          <w:p w14:paraId="2D9E9F2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Placenta praevia</w:t>
            </w:r>
          </w:p>
          <w:p w14:paraId="394D62E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Antepartum haemorrhage (unspecified)</w:t>
            </w:r>
          </w:p>
          <w:p w14:paraId="68D824C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Pre-labour rupture of membranes</w:t>
            </w:r>
          </w:p>
          <w:p w14:paraId="4708304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Pre-eclampsia</w:t>
            </w:r>
          </w:p>
          <w:p w14:paraId="2031C86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Threatened miscarriage</w:t>
            </w:r>
          </w:p>
          <w:p w14:paraId="30E2B7E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Threatened preterm birth</w:t>
            </w:r>
          </w:p>
          <w:p w14:paraId="04B58BC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Urinary tract infection</w:t>
            </w:r>
          </w:p>
          <w:p w14:paraId="43C13FD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 xml:space="preserve">  - Gestational hypertension</w:t>
            </w:r>
          </w:p>
          <w:p w14:paraId="67BB0B6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Gestational diabetes</w:t>
            </w:r>
          </w:p>
          <w:p w14:paraId="0DB212CB"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Sociodemographic factor</w:t>
            </w:r>
          </w:p>
          <w:p w14:paraId="0387A01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Ethnicity (Caucasian, Indigenous, Other)</w:t>
            </w:r>
          </w:p>
          <w:p w14:paraId="0515112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Urbanicity (rural/urban)</w:t>
            </w:r>
          </w:p>
          <w:p w14:paraId="144008F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Area-level socioeconomic status</w:t>
            </w:r>
          </w:p>
          <w:p w14:paraId="77A4D8F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Year of birth</w:t>
            </w:r>
          </w:p>
        </w:tc>
        <w:tc>
          <w:tcPr>
            <w:tcW w:w="851" w:type="dxa"/>
            <w:tcBorders>
              <w:top w:val="single" w:sz="4" w:space="0" w:color="888888"/>
              <w:left w:val="single" w:sz="4" w:space="0" w:color="888888"/>
              <w:bottom w:val="single" w:sz="4" w:space="0" w:color="888888"/>
              <w:right w:val="single" w:sz="4" w:space="0" w:color="888888"/>
            </w:tcBorders>
          </w:tcPr>
          <w:p w14:paraId="0A24C23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3F3B9844"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6C4D2BD6"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6797A75A"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992" w:type="dxa"/>
            <w:tcBorders>
              <w:top w:val="single" w:sz="4" w:space="0" w:color="888888"/>
              <w:left w:val="single" w:sz="4" w:space="0" w:color="888888"/>
              <w:bottom w:val="single" w:sz="4" w:space="0" w:color="888888"/>
              <w:right w:val="single" w:sz="4" w:space="0" w:color="888888"/>
            </w:tcBorders>
          </w:tcPr>
          <w:p w14:paraId="3FFC163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best performing model (XGBoost) predicted 45% of stillbirths for all women and 45% after including previous pregnancy history 6. This model achieved a sensitivity of 45.3% and a positive predictive value (PPV) of 4.81% at a 5% false positive rate</w:t>
            </w:r>
          </w:p>
        </w:tc>
        <w:tc>
          <w:tcPr>
            <w:tcW w:w="851" w:type="dxa"/>
            <w:tcBorders>
              <w:top w:val="single" w:sz="4" w:space="0" w:color="888888"/>
              <w:left w:val="single" w:sz="4" w:space="0" w:color="888888"/>
              <w:bottom w:val="single" w:sz="4" w:space="0" w:color="888888"/>
              <w:right w:val="single" w:sz="4" w:space="0" w:color="888888"/>
            </w:tcBorders>
          </w:tcPr>
          <w:p w14:paraId="44ED12B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Sensitivity, Positive predictive value (PPV), False positive rate</w:t>
            </w:r>
          </w:p>
        </w:tc>
        <w:tc>
          <w:tcPr>
            <w:tcW w:w="817" w:type="dxa"/>
            <w:tcBorders>
              <w:top w:val="single" w:sz="4" w:space="0" w:color="888888"/>
              <w:left w:val="single" w:sz="4" w:space="0" w:color="888888"/>
              <w:bottom w:val="single" w:sz="4" w:space="0" w:color="888888"/>
              <w:right w:val="single" w:sz="4" w:space="0" w:color="888888"/>
            </w:tcBorders>
          </w:tcPr>
          <w:p w14:paraId="55F5104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357DC33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study population included 947,025 livebirths and 5,788 stillbirths occurring in Western Australia between 1980 and 2015</w:t>
            </w:r>
          </w:p>
        </w:tc>
        <w:tc>
          <w:tcPr>
            <w:tcW w:w="851" w:type="dxa"/>
            <w:tcBorders>
              <w:top w:val="single" w:sz="4" w:space="0" w:color="888888"/>
              <w:left w:val="single" w:sz="4" w:space="0" w:color="888888"/>
              <w:bottom w:val="single" w:sz="4" w:space="0" w:color="888888"/>
              <w:right w:val="single" w:sz="4" w:space="0" w:color="888888"/>
            </w:tcBorders>
          </w:tcPr>
          <w:p w14:paraId="34B7E06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project was supported by the National Health and Medical Research Council, the Research Council of Norway, the Australian Research Council, the Raine Medical Research Foundation, the WA Department of Health, and the Curtin Institute for Computation</w:t>
            </w:r>
          </w:p>
        </w:tc>
        <w:tc>
          <w:tcPr>
            <w:tcW w:w="1134" w:type="dxa"/>
            <w:tcBorders>
              <w:top w:val="single" w:sz="4" w:space="0" w:color="888888"/>
              <w:left w:val="single" w:sz="4" w:space="0" w:color="888888"/>
              <w:bottom w:val="single" w:sz="4" w:space="0" w:color="888888"/>
              <w:right w:val="single" w:sz="4" w:space="0" w:color="888888"/>
            </w:tcBorders>
          </w:tcPr>
          <w:p w14:paraId="0D281F05"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62.5%</w:t>
            </w:r>
          </w:p>
        </w:tc>
        <w:tc>
          <w:tcPr>
            <w:tcW w:w="841" w:type="dxa"/>
            <w:tcBorders>
              <w:top w:val="single" w:sz="4" w:space="0" w:color="888888"/>
              <w:left w:val="single" w:sz="4" w:space="0" w:color="888888"/>
              <w:bottom w:val="single" w:sz="4" w:space="0" w:color="888888"/>
              <w:right w:val="single" w:sz="4" w:space="0" w:color="888888"/>
            </w:tcBorders>
          </w:tcPr>
          <w:p w14:paraId="573AA941"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High risk</w:t>
            </w:r>
            <w:r>
              <w:rPr>
                <w:rFonts w:ascii="Arial" w:hAnsi="Arial" w:cs="Arial"/>
                <w:color w:val="000000"/>
                <w:sz w:val="12"/>
                <w:szCs w:val="12"/>
              </w:rPr>
              <w:br/>
              <w:t>D3: Low risk</w:t>
            </w:r>
            <w:r>
              <w:rPr>
                <w:rFonts w:ascii="Arial" w:hAnsi="Arial" w:cs="Arial"/>
                <w:color w:val="000000"/>
                <w:sz w:val="12"/>
                <w:szCs w:val="12"/>
              </w:rPr>
              <w:br/>
              <w:t xml:space="preserve">D4: </w:t>
            </w:r>
            <w:proofErr w:type="gramStart"/>
            <w:r>
              <w:rPr>
                <w:rFonts w:ascii="Arial" w:hAnsi="Arial" w:cs="Arial"/>
                <w:color w:val="000000"/>
                <w:sz w:val="12"/>
                <w:szCs w:val="12"/>
              </w:rPr>
              <w:t>Unclear  risk</w:t>
            </w:r>
            <w:proofErr w:type="gramEnd"/>
          </w:p>
        </w:tc>
        <w:tc>
          <w:tcPr>
            <w:tcW w:w="860" w:type="dxa"/>
            <w:tcBorders>
              <w:top w:val="single" w:sz="4" w:space="0" w:color="888888"/>
              <w:left w:val="single" w:sz="4" w:space="0" w:color="888888"/>
              <w:bottom w:val="single" w:sz="4" w:space="0" w:color="888888"/>
              <w:right w:val="single" w:sz="4" w:space="0" w:color="888888"/>
            </w:tcBorders>
          </w:tcPr>
          <w:p w14:paraId="007C036D" w14:textId="77777777" w:rsidR="00871B31" w:rsidRPr="00756461" w:rsidRDefault="00871B31" w:rsidP="00BC1F31">
            <w:pPr>
              <w:spacing w:after="0" w:line="240" w:lineRule="auto"/>
              <w:rPr>
                <w:rFonts w:ascii="Arial" w:hAnsi="Arial" w:cs="Arial"/>
                <w:color w:val="000000"/>
                <w:sz w:val="12"/>
                <w:szCs w:val="12"/>
              </w:rPr>
            </w:pPr>
            <w:r>
              <w:rPr>
                <w:rFonts w:ascii="Arial" w:hAnsi="Arial" w:cs="Arial"/>
                <w:color w:val="000000"/>
                <w:sz w:val="12"/>
                <w:szCs w:val="12"/>
              </w:rPr>
              <w:t>Not publicly available</w:t>
            </w:r>
            <w:r>
              <w:rPr>
                <w:rFonts w:ascii="Arial" w:hAnsi="Arial" w:cs="Arial"/>
                <w:color w:val="000000"/>
                <w:sz w:val="12"/>
                <w:szCs w:val="12"/>
              </w:rPr>
              <w:br/>
            </w:r>
          </w:p>
          <w:p w14:paraId="309C13C9"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Available via inquiries to corresponding author</w:t>
            </w:r>
          </w:p>
        </w:tc>
        <w:tc>
          <w:tcPr>
            <w:tcW w:w="442" w:type="dxa"/>
            <w:tcBorders>
              <w:top w:val="single" w:sz="4" w:space="0" w:color="888888"/>
              <w:left w:val="single" w:sz="4" w:space="0" w:color="888888"/>
              <w:bottom w:val="single" w:sz="4" w:space="0" w:color="888888"/>
              <w:right w:val="single" w:sz="4" w:space="0" w:color="888888"/>
            </w:tcBorders>
          </w:tcPr>
          <w:p w14:paraId="6EAFDFC8"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{"citationID":"lCuyU80s","properties":{"formattedCitation":"[73]","plainCitation":"[73]","noteIndex":0},"citationItems":[{"id":"b2OWig5M/8pxvGsDg","uris":["http://zotero.org/users/18230940/items/S75TX8MD"],"itemData":{"id":424,"type":"article-journal","abstract":"Quantification of stillbirth risk has potential to support clinical decision-making. Studies that have attempted to quantify stillbirth risk have been hampered by small event rates, a limited range of predictors that typically exclude obstetric history, lack of validation, and restriction to a single classifier (logistic regression). Consequently, predictive performance remains low, and risk quantification has not been adopted into antenatal practice. The study population consisted of all births to women in Western Australia from 1980 to 2015, excluding terminations. After all exclusions there were 947,025 livebirths and 5,788 stillbirths. Predictive models for stillbirth were developed using multiple machine learning classifiers: regularised logistic regression, decision trees based on classification and regression trees, random forest, extreme gradient boosting (XGBoost), and a multilayer perceptron neural network. We applied 10-fold cross-validation using independent data not used to develop the models. Predictors included maternal socio-demographic characteristics, chronic medical conditions, obstetric complications and family history in both the current and previous pregnancy. In this cohort, 66% of stillbirths were observed for multiparous women. The best performing classifier (XGBoost) predicted 45% (95% CI: 43%, 46%) of stillbirths for all women and 45% (95% CI: 43%, 47%) of stillbirths after the inclusion of previous pregnancy history. Almost half of stillbirths could be potentially identified antenatally based on a combination of current pregnancy complications, congenital anomalies, maternal characteristics, and medical history. Greatest sensitivity is achieved with addition of current pregnancy complications. Ensemble classifiers offered marginal improvement for prediction compared to logistic regression. © 2020 Elsevier B.V., All rights reserved.","archive":"Scopus","container-title":"Scientific Reports","DOI":"10.1038/s41598-020-62210-9","ISSN":"20452322 (ISSN)","issue":"1","language":"English","publisher":"Nature Research","title":"Stillbirth risk prediction using machine learning for a large cohort of births from Western Australia, 1980–2015","URL":"https://www.scopus.com/inward/record.uri?eid=2-s2.0-85082380869&amp;doi=10.1038%2Fs41598-020-62210-9&amp;partnerID=40&amp;md5=6238ffaec70e268944b7ae06091b7f8d","volume":"10","author":[{"family":"Malacova","given":"E."},{"family":"Tippaya","given":"S."},{"family":"Bailey","given":"H.D."},{"family":"Chai","given":"K."},{"family":"Farrant","given":"B.M."},{"family":"Gebremedhin","given":"A.T."},{"family":"Leonard","given":"H."},{"family":"Marinovich","given":"M.L."},{"family":"Nassar","given":"N."},{"family":"Phatak","given":"A."},{"family":"Raynes-Greenow","given":"C."},{"family":"Regan","given":"A.K."},{"family":"Shand","given":"A.W."},{"family":"Shepherd","given":"C.C.J."},{"family":"Srinivasjois","given":"R."},{"family":"Tessema","given":"G.A."},{"family":"Pereira","given":"G."}],"issued":{"date-parts":[["2020"]]}}}],"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[73]</w:t>
            </w:r>
            <w:r>
              <w:rPr>
                <w:rFonts w:ascii="Arial" w:eastAsia="Times New Roman" w:hAnsi="Arial" w:cs="Arial"/>
                <w:color w:val="000000"/>
                <w:sz w:val="12"/>
                <w:szCs w:val="12"/>
                <w:lang w:eastAsia="en-GB" w:bidi="th-TH"/>
              </w:rPr>
              <w:fldChar w:fldCharType="end"/>
            </w:r>
          </w:p>
        </w:tc>
      </w:tr>
      <w:tr w:rsidR="00871B31" w:rsidRPr="00756461" w14:paraId="683A3DE0"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7AC78EF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Mastrodima, et al. 2016</w:t>
            </w:r>
          </w:p>
        </w:tc>
        <w:tc>
          <w:tcPr>
            <w:tcW w:w="1054" w:type="dxa"/>
            <w:tcBorders>
              <w:top w:val="single" w:sz="4" w:space="0" w:color="888888"/>
              <w:left w:val="single" w:sz="4" w:space="0" w:color="888888"/>
              <w:bottom w:val="single" w:sz="4" w:space="0" w:color="888888"/>
              <w:right w:val="single" w:sz="4" w:space="0" w:color="888888"/>
            </w:tcBorders>
          </w:tcPr>
          <w:p w14:paraId="54C4F8C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Prospective study</w:t>
            </w:r>
          </w:p>
        </w:tc>
        <w:tc>
          <w:tcPr>
            <w:tcW w:w="742" w:type="dxa"/>
            <w:tcBorders>
              <w:top w:val="single" w:sz="4" w:space="0" w:color="888888"/>
              <w:left w:val="single" w:sz="4" w:space="0" w:color="888888"/>
              <w:bottom w:val="single" w:sz="4" w:space="0" w:color="888888"/>
              <w:right w:val="single" w:sz="4" w:space="0" w:color="888888"/>
            </w:tcBorders>
          </w:tcPr>
          <w:p w14:paraId="238953D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United Kingdom</w:t>
            </w:r>
          </w:p>
        </w:tc>
        <w:tc>
          <w:tcPr>
            <w:tcW w:w="786" w:type="dxa"/>
            <w:tcBorders>
              <w:top w:val="single" w:sz="4" w:space="0" w:color="888888"/>
              <w:left w:val="single" w:sz="4" w:space="0" w:color="888888"/>
              <w:bottom w:val="single" w:sz="4" w:space="0" w:color="888888"/>
              <w:right w:val="single" w:sz="4" w:space="0" w:color="888888"/>
            </w:tcBorders>
          </w:tcPr>
          <w:p w14:paraId="666265F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w:t>
            </w:r>
          </w:p>
        </w:tc>
        <w:tc>
          <w:tcPr>
            <w:tcW w:w="786" w:type="dxa"/>
            <w:tcBorders>
              <w:top w:val="single" w:sz="4" w:space="0" w:color="888888"/>
              <w:left w:val="single" w:sz="4" w:space="0" w:color="888888"/>
              <w:bottom w:val="single" w:sz="4" w:space="0" w:color="888888"/>
              <w:right w:val="single" w:sz="4" w:space="0" w:color="888888"/>
            </w:tcBorders>
          </w:tcPr>
          <w:p w14:paraId="67EEFFD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 Model development</w:t>
            </w:r>
            <w:r>
              <w:rPr>
                <w:rFonts w:ascii="Arial" w:hAnsi="Arial" w:cs="Arial"/>
                <w:sz w:val="12"/>
                <w:szCs w:val="12"/>
              </w:rPr>
              <w:br/>
              <w:t>2. Model evaluation</w:t>
            </w:r>
          </w:p>
        </w:tc>
        <w:tc>
          <w:tcPr>
            <w:tcW w:w="1051" w:type="dxa"/>
            <w:tcBorders>
              <w:top w:val="single" w:sz="4" w:space="0" w:color="888888"/>
              <w:left w:val="single" w:sz="4" w:space="0" w:color="888888"/>
              <w:bottom w:val="single" w:sz="4" w:space="0" w:color="888888"/>
              <w:right w:val="single" w:sz="4" w:space="0" w:color="888888"/>
            </w:tcBorders>
          </w:tcPr>
          <w:p w14:paraId="56DA852B"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1833B23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factors</w:t>
            </w:r>
          </w:p>
          <w:p w14:paraId="1247C70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Pregnancy-associated plasma protein-A (PAPP-A)</w:t>
            </w:r>
          </w:p>
          <w:p w14:paraId="66AB77D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Uterine artery pulsatility index (UtA-PI)</w:t>
            </w:r>
          </w:p>
          <w:p w14:paraId="5B2054B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Ductus venosus pulsatility index for veins (DV-PIV)</w:t>
            </w:r>
          </w:p>
        </w:tc>
        <w:tc>
          <w:tcPr>
            <w:tcW w:w="851" w:type="dxa"/>
            <w:tcBorders>
              <w:top w:val="single" w:sz="4" w:space="0" w:color="888888"/>
              <w:left w:val="single" w:sz="4" w:space="0" w:color="888888"/>
              <w:bottom w:val="single" w:sz="4" w:space="0" w:color="888888"/>
              <w:right w:val="single" w:sz="4" w:space="0" w:color="888888"/>
            </w:tcBorders>
          </w:tcPr>
          <w:p w14:paraId="025E7E0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7E16411C"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36CCDC91"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6C3667C9"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7E38844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At a 10% false-positive rate, the model predicted 40% of all stillbirths and 55% of stillbirths due to impaired placentation. The detection rate for preterm stillbirth (&lt;32 weeks) was higher than for term stillbirth (≥37 weeks) (64% vs. 42%)</w:t>
            </w:r>
          </w:p>
        </w:tc>
        <w:tc>
          <w:tcPr>
            <w:tcW w:w="851" w:type="dxa"/>
            <w:tcBorders>
              <w:top w:val="single" w:sz="4" w:space="0" w:color="888888"/>
              <w:left w:val="single" w:sz="4" w:space="0" w:color="888888"/>
              <w:bottom w:val="single" w:sz="4" w:space="0" w:color="888888"/>
              <w:right w:val="single" w:sz="4" w:space="0" w:color="888888"/>
            </w:tcBorders>
          </w:tcPr>
          <w:p w14:paraId="5938689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False positive rate</w:t>
            </w:r>
          </w:p>
        </w:tc>
        <w:tc>
          <w:tcPr>
            <w:tcW w:w="817" w:type="dxa"/>
            <w:tcBorders>
              <w:top w:val="single" w:sz="4" w:space="0" w:color="888888"/>
              <w:left w:val="single" w:sz="4" w:space="0" w:color="888888"/>
              <w:bottom w:val="single" w:sz="4" w:space="0" w:color="888888"/>
              <w:right w:val="single" w:sz="4" w:space="0" w:color="888888"/>
            </w:tcBorders>
          </w:tcPr>
          <w:p w14:paraId="64117B5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Neither internal </w:t>
            </w:r>
            <w:proofErr w:type="gramStart"/>
            <w:r>
              <w:rPr>
                <w:rFonts w:ascii="Arial" w:hAnsi="Arial" w:cs="Arial"/>
                <w:sz w:val="12"/>
                <w:szCs w:val="12"/>
              </w:rPr>
              <w:t>and</w:t>
            </w:r>
            <w:proofErr w:type="gramEnd"/>
            <w:r>
              <w:rPr>
                <w:rFonts w:ascii="Arial" w:hAnsi="Arial" w:cs="Arial"/>
                <w:sz w:val="12"/>
                <w:szCs w:val="12"/>
              </w:rPr>
              <w:t xml:space="preserve"> external validation</w:t>
            </w:r>
          </w:p>
        </w:tc>
        <w:tc>
          <w:tcPr>
            <w:tcW w:w="742" w:type="dxa"/>
            <w:tcBorders>
              <w:top w:val="single" w:sz="4" w:space="0" w:color="888888"/>
              <w:left w:val="single" w:sz="4" w:space="0" w:color="888888"/>
              <w:bottom w:val="single" w:sz="4" w:space="0" w:color="888888"/>
              <w:right w:val="single" w:sz="4" w:space="0" w:color="888888"/>
            </w:tcBorders>
          </w:tcPr>
          <w:p w14:paraId="0DB5969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b/>
              <w:t>76,897 singleton pregnancies, which included 76,629 live births and 268 antepartum stillbirths</w:t>
            </w:r>
          </w:p>
        </w:tc>
        <w:tc>
          <w:tcPr>
            <w:tcW w:w="851" w:type="dxa"/>
            <w:tcBorders>
              <w:top w:val="single" w:sz="4" w:space="0" w:color="888888"/>
              <w:left w:val="single" w:sz="4" w:space="0" w:color="888888"/>
              <w:bottom w:val="single" w:sz="4" w:space="0" w:color="888888"/>
              <w:right w:val="single" w:sz="4" w:space="0" w:color="888888"/>
            </w:tcBorders>
          </w:tcPr>
          <w:p w14:paraId="0A5E09F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study was supported by a grant from The Fetal Medicine Foundation (Charity No: 1037116) </w:t>
            </w:r>
          </w:p>
        </w:tc>
        <w:tc>
          <w:tcPr>
            <w:tcW w:w="1134" w:type="dxa"/>
            <w:tcBorders>
              <w:top w:val="single" w:sz="4" w:space="0" w:color="888888"/>
              <w:left w:val="single" w:sz="4" w:space="0" w:color="888888"/>
              <w:bottom w:val="single" w:sz="4" w:space="0" w:color="888888"/>
              <w:right w:val="single" w:sz="4" w:space="0" w:color="888888"/>
            </w:tcBorders>
          </w:tcPr>
          <w:p w14:paraId="54B1725E"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50.0%</w:t>
            </w:r>
          </w:p>
        </w:tc>
        <w:tc>
          <w:tcPr>
            <w:tcW w:w="841" w:type="dxa"/>
            <w:tcBorders>
              <w:top w:val="single" w:sz="4" w:space="0" w:color="888888"/>
              <w:left w:val="single" w:sz="4" w:space="0" w:color="888888"/>
              <w:bottom w:val="single" w:sz="4" w:space="0" w:color="888888"/>
              <w:right w:val="single" w:sz="4" w:space="0" w:color="888888"/>
            </w:tcBorders>
          </w:tcPr>
          <w:p w14:paraId="367D62FB"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Low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034B0111"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Not mentioned</w:t>
            </w:r>
          </w:p>
        </w:tc>
        <w:tc>
          <w:tcPr>
            <w:tcW w:w="442" w:type="dxa"/>
            <w:tcBorders>
              <w:top w:val="single" w:sz="4" w:space="0" w:color="888888"/>
              <w:left w:val="single" w:sz="4" w:space="0" w:color="888888"/>
              <w:bottom w:val="single" w:sz="4" w:space="0" w:color="888888"/>
              <w:right w:val="single" w:sz="4" w:space="0" w:color="888888"/>
            </w:tcBorders>
          </w:tcPr>
          <w:p w14:paraId="6F74A065"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{"citationID":"26xXHOPK","properties":{"formattedCitation":"[74]","plainCitation":"[74]","noteIndex":0},"citationItems":[{"id":"b2OWig5M/M7xVZlTC","uris":["http://zotero.org/users/18230940/items/RDP5H9U7"],"itemData":{"id":756,"type":"article-journal","abstract":"OBJECTIVES: To develop a model for the prediction of stillbirth that is based on a combination of maternal characteristics and medical history with first-trimester biochemical and biophysical markers and to evaluate the performance of screening with this model for all stillbirths and those due to impaired placentation and unexplained causes.\nMETHODS: This was a prospective screening study of 76 897 singleton pregnancies, including 76 629 live births and 268 (0.35%) antepartum stillbirths; 157 (59%) were secondary to impaired placentation and 111 (41%) were due to other or unexplained causes. Multivariable logistic regression analysis was used to determine if there was a significant contribution to prediction of stillbirth from the maternal factor-derived a-priori risk, fetal nuchal translucency thickness, ductus venosus pulsatility index for veins (DV-PIV), uterine artery pulsatility index (UtA-PI) and maternal serum free β-human chorionic gonadotropin and pregnancy-associated plasma protein-A (PAPP-A). The significant contributors were used to derive a model for first-trimester prediction of stillbirth.\nRESULTS: Significant contribution to prediction of stillbirth was provided by maternal factors, PAPP-A, UtA-PI and DV-PIV. A model combining these variables predicted 40% of all stillbirths and 55% of those due to impaired placentation, at a false-positive rate of 10%. Within the impaired-placentation group, the detection rate of stillbirth &lt; 32 weeks' gestation was higher than that of stillbirth ≥ 37 weeks (64% vs 42%).\nCONCLUSIONS: A model based on maternal factors and first-trimester biomarkers can potentially predict more than half of subsequent stillbirths that occur due to impaired placentation. The extent to which such stillbirths could be prevented remains to be determined. Copyright © 2016 ISUOG. Published by John Wiley &amp; Sons Ltd.","container-title":"Ultrasound in Obstetrics &amp; Gynecology: The Official Journal of the International Society of Ultrasound in Obstetrics and Gynecology","DOI":"10.1002/uog.17289","ISSN":"1469-0705","issue":"5","journalAbbreviation":"Ultrasound Obstet Gynecol","language":"eng","page":"613-617","PMID":"27561595","source":"PubMed","title":"Prediction of stillbirth from biochemical and biophysical markers at 11-13 weeks","volume":"48","author":[{"family":"Mastrodima","given":"S."},{"family":"Akolekar","given":"R."},{"family":"Yerlikaya","given":"G."},{"family":"Tzelepis","given":"T."},{"family":"Nicolaides","given":"K. H."}],"issued":{"date-parts":[["2016",11]]}}}],"schema":"https://github.com/citation-style-language/schema/raw/master/csl-citation.json"}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[74]</w:t>
            </w:r>
            <w:r>
              <w:rPr>
                <w:rFonts w:ascii="Arial" w:eastAsia="Times New Roman" w:hAnsi="Arial" w:cs="Arial"/>
                <w:color w:val="000000"/>
                <w:sz w:val="12"/>
                <w:szCs w:val="12"/>
                <w:lang w:eastAsia="en-GB" w:bidi="th-TH"/>
              </w:rPr>
              <w:fldChar w:fldCharType="end"/>
            </w:r>
          </w:p>
        </w:tc>
      </w:tr>
      <w:tr w:rsidR="00871B31" w:rsidRPr="00756461" w14:paraId="6E00CE1B"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1D649C9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Mboya I.B., et al. 2020</w:t>
            </w:r>
          </w:p>
        </w:tc>
        <w:tc>
          <w:tcPr>
            <w:tcW w:w="1054" w:type="dxa"/>
            <w:tcBorders>
              <w:top w:val="single" w:sz="4" w:space="0" w:color="888888"/>
              <w:left w:val="single" w:sz="4" w:space="0" w:color="888888"/>
              <w:bottom w:val="single" w:sz="4" w:space="0" w:color="888888"/>
              <w:right w:val="single" w:sz="4" w:space="0" w:color="888888"/>
            </w:tcBorders>
          </w:tcPr>
          <w:p w14:paraId="37D8C52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1210DAD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Tanzania</w:t>
            </w:r>
          </w:p>
        </w:tc>
        <w:tc>
          <w:tcPr>
            <w:tcW w:w="786" w:type="dxa"/>
            <w:tcBorders>
              <w:top w:val="single" w:sz="4" w:space="0" w:color="888888"/>
              <w:left w:val="single" w:sz="4" w:space="0" w:color="888888"/>
              <w:bottom w:val="single" w:sz="4" w:space="0" w:color="888888"/>
              <w:right w:val="single" w:sz="4" w:space="0" w:color="888888"/>
            </w:tcBorders>
          </w:tcPr>
          <w:p w14:paraId="2BA72F6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Perinatal death (stillbirth + early neonatal death)</w:t>
            </w:r>
          </w:p>
        </w:tc>
        <w:tc>
          <w:tcPr>
            <w:tcW w:w="786" w:type="dxa"/>
            <w:tcBorders>
              <w:top w:val="single" w:sz="4" w:space="0" w:color="888888"/>
              <w:left w:val="single" w:sz="4" w:space="0" w:color="888888"/>
              <w:bottom w:val="single" w:sz="4" w:space="0" w:color="888888"/>
              <w:right w:val="single" w:sz="4" w:space="0" w:color="888888"/>
            </w:tcBorders>
          </w:tcPr>
          <w:p w14:paraId="47D1A9E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1. Determine the key predictors of perinatal deaths </w:t>
            </w:r>
            <w:r>
              <w:rPr>
                <w:rFonts w:ascii="Arial" w:hAnsi="Arial" w:cs="Arial"/>
                <w:sz w:val="12"/>
                <w:szCs w:val="12"/>
              </w:rPr>
              <w:br/>
              <w:t>2. Model comparison (machine learning models vs logistic regression mode)</w:t>
            </w:r>
          </w:p>
        </w:tc>
        <w:tc>
          <w:tcPr>
            <w:tcW w:w="1051" w:type="dxa"/>
            <w:tcBorders>
              <w:top w:val="single" w:sz="4" w:space="0" w:color="888888"/>
              <w:left w:val="single" w:sz="4" w:space="0" w:color="888888"/>
              <w:bottom w:val="single" w:sz="4" w:space="0" w:color="888888"/>
              <w:right w:val="single" w:sz="4" w:space="0" w:color="888888"/>
            </w:tcBorders>
          </w:tcPr>
          <w:p w14:paraId="5170D571"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70B942E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age</w:t>
            </w:r>
          </w:p>
          <w:p w14:paraId="0E48F64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Anaemia / haemoglobin</w:t>
            </w:r>
          </w:p>
          <w:p w14:paraId="201DEC6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Hypertensive disorders of pregnancy</w:t>
            </w:r>
          </w:p>
          <w:p w14:paraId="3701D0C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Smoking / substance use</w:t>
            </w:r>
          </w:p>
          <w:p w14:paraId="5BB33B15"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Sociodemographic factor</w:t>
            </w:r>
          </w:p>
          <w:p w14:paraId="05EE77D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Geographic region / residence</w:t>
            </w:r>
          </w:p>
        </w:tc>
        <w:tc>
          <w:tcPr>
            <w:tcW w:w="851" w:type="dxa"/>
            <w:tcBorders>
              <w:top w:val="single" w:sz="4" w:space="0" w:color="888888"/>
              <w:left w:val="single" w:sz="4" w:space="0" w:color="888888"/>
              <w:bottom w:val="single" w:sz="4" w:space="0" w:color="888888"/>
              <w:right w:val="single" w:sz="4" w:space="0" w:color="888888"/>
            </w:tcBorders>
          </w:tcPr>
          <w:p w14:paraId="2878131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Population/ Registry</w:t>
            </w:r>
          </w:p>
        </w:tc>
        <w:tc>
          <w:tcPr>
            <w:tcW w:w="851" w:type="dxa"/>
            <w:tcBorders>
              <w:top w:val="single" w:sz="4" w:space="0" w:color="888888"/>
              <w:left w:val="single" w:sz="4" w:space="0" w:color="888888"/>
              <w:bottom w:val="single" w:sz="4" w:space="0" w:color="888888"/>
              <w:right w:val="single" w:sz="4" w:space="0" w:color="888888"/>
            </w:tcBorders>
          </w:tcPr>
          <w:p w14:paraId="2181956D"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034E4D4B"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6DF7EFCA"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992" w:type="dxa"/>
            <w:tcBorders>
              <w:top w:val="single" w:sz="4" w:space="0" w:color="888888"/>
              <w:left w:val="single" w:sz="4" w:space="0" w:color="888888"/>
              <w:bottom w:val="single" w:sz="4" w:space="0" w:color="888888"/>
              <w:right w:val="single" w:sz="4" w:space="0" w:color="888888"/>
            </w:tcBorders>
          </w:tcPr>
          <w:p w14:paraId="5BB7056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20/32 var = importance variables // There</w:t>
            </w:r>
            <w:r>
              <w:rPr>
                <w:rFonts w:ascii="Arial" w:hAnsi="Arial" w:cs="Arial"/>
                <w:sz w:val="12"/>
                <w:szCs w:val="12"/>
              </w:rPr>
              <w:br/>
              <w:t>were no significant differences (p&gt;0.05) in the AUC the ROC curve between Lreg with RF, ANN, boosting and NB.</w:t>
            </w:r>
          </w:p>
        </w:tc>
        <w:tc>
          <w:tcPr>
            <w:tcW w:w="851" w:type="dxa"/>
            <w:tcBorders>
              <w:top w:val="single" w:sz="4" w:space="0" w:color="888888"/>
              <w:left w:val="single" w:sz="4" w:space="0" w:color="888888"/>
              <w:bottom w:val="single" w:sz="4" w:space="0" w:color="888888"/>
              <w:right w:val="single" w:sz="4" w:space="0" w:color="888888"/>
            </w:tcBorders>
          </w:tcPr>
          <w:p w14:paraId="17573C4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 p-value</w:t>
            </w:r>
          </w:p>
        </w:tc>
        <w:tc>
          <w:tcPr>
            <w:tcW w:w="817" w:type="dxa"/>
            <w:tcBorders>
              <w:top w:val="single" w:sz="4" w:space="0" w:color="888888"/>
              <w:left w:val="single" w:sz="4" w:space="0" w:color="888888"/>
              <w:bottom w:val="single" w:sz="4" w:space="0" w:color="888888"/>
              <w:right w:val="single" w:sz="4" w:space="0" w:color="888888"/>
            </w:tcBorders>
          </w:tcPr>
          <w:p w14:paraId="08B02CF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69B8AF0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42319</w:t>
            </w:r>
          </w:p>
        </w:tc>
        <w:tc>
          <w:tcPr>
            <w:tcW w:w="851" w:type="dxa"/>
            <w:tcBorders>
              <w:top w:val="single" w:sz="4" w:space="0" w:color="888888"/>
              <w:left w:val="single" w:sz="4" w:space="0" w:color="888888"/>
              <w:bottom w:val="single" w:sz="4" w:space="0" w:color="888888"/>
              <w:right w:val="single" w:sz="4" w:space="0" w:color="888888"/>
            </w:tcBorders>
          </w:tcPr>
          <w:p w14:paraId="6D208AF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GSK Africa Non-Communicable Disease Open Lab through the DELTAS Africa Sub-Saharan African Consortium for Advanced Biostatistics (SSACAB) Grant No. 107754/Z/15/Z- training programme.</w:t>
            </w:r>
          </w:p>
        </w:tc>
        <w:tc>
          <w:tcPr>
            <w:tcW w:w="1134" w:type="dxa"/>
            <w:tcBorders>
              <w:top w:val="single" w:sz="4" w:space="0" w:color="888888"/>
              <w:left w:val="single" w:sz="4" w:space="0" w:color="888888"/>
              <w:bottom w:val="single" w:sz="4" w:space="0" w:color="888888"/>
              <w:right w:val="single" w:sz="4" w:space="0" w:color="888888"/>
            </w:tcBorders>
          </w:tcPr>
          <w:p w14:paraId="147F3E1C"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52.1%</w:t>
            </w:r>
          </w:p>
        </w:tc>
        <w:tc>
          <w:tcPr>
            <w:tcW w:w="841" w:type="dxa"/>
            <w:tcBorders>
              <w:top w:val="single" w:sz="4" w:space="0" w:color="888888"/>
              <w:left w:val="single" w:sz="4" w:space="0" w:color="888888"/>
              <w:bottom w:val="single" w:sz="4" w:space="0" w:color="888888"/>
              <w:right w:val="single" w:sz="4" w:space="0" w:color="888888"/>
            </w:tcBorders>
          </w:tcPr>
          <w:p w14:paraId="707E63B4"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High risk</w:t>
            </w:r>
            <w:r>
              <w:rPr>
                <w:rFonts w:ascii="Arial" w:hAnsi="Arial" w:cs="Arial"/>
                <w:color w:val="000000"/>
                <w:sz w:val="12"/>
                <w:szCs w:val="12"/>
              </w:rPr>
              <w:br/>
              <w:t>D3: Low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3BC3DEB0" w14:textId="77777777" w:rsidR="00871B31" w:rsidRPr="00756461" w:rsidRDefault="00871B31" w:rsidP="00BC1F31">
            <w:pPr>
              <w:spacing w:after="0" w:line="240" w:lineRule="auto"/>
              <w:rPr>
                <w:rFonts w:ascii="Arial" w:hAnsi="Arial" w:cs="Arial"/>
                <w:color w:val="000000"/>
                <w:sz w:val="12"/>
                <w:szCs w:val="12"/>
              </w:rPr>
            </w:pPr>
            <w:r>
              <w:rPr>
                <w:rFonts w:ascii="Arial" w:hAnsi="Arial" w:cs="Arial"/>
                <w:color w:val="000000"/>
                <w:sz w:val="12"/>
                <w:szCs w:val="12"/>
              </w:rPr>
              <w:t>Not publicly available</w:t>
            </w:r>
            <w:r>
              <w:rPr>
                <w:rFonts w:ascii="Arial" w:hAnsi="Arial" w:cs="Arial"/>
                <w:color w:val="000000"/>
                <w:sz w:val="12"/>
                <w:szCs w:val="12"/>
              </w:rPr>
              <w:br/>
            </w:r>
          </w:p>
          <w:p w14:paraId="6442C7CC"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Available via inquiries to corresponding author</w:t>
            </w:r>
          </w:p>
        </w:tc>
        <w:tc>
          <w:tcPr>
            <w:tcW w:w="442" w:type="dxa"/>
            <w:tcBorders>
              <w:top w:val="single" w:sz="4" w:space="0" w:color="888888"/>
              <w:left w:val="single" w:sz="4" w:space="0" w:color="888888"/>
              <w:bottom w:val="single" w:sz="4" w:space="0" w:color="888888"/>
              <w:right w:val="single" w:sz="4" w:space="0" w:color="888888"/>
            </w:tcBorders>
          </w:tcPr>
          <w:p w14:paraId="70F7D059"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{"citationID":"SwoEfxZR","properties":{"formattedCitation":"[75]","plainCitation":"[75]","noteIndex":0},"citationItems":[{"id":"b2OWig5M/2irewETa","uris":["http://zotero.org/users/18230940/items/JKXJHXZM"],"itemData":{"id":758,"type":"article-journal","abstract":"Objective We aimed to determine the key predictors of perinatal deaths using machine learning models compared with the logistic regression model.\n\nDesign A secondary data analysis using the Kilimanjaro Christian Medical Centre (KCMC) Medical Birth Registry cohort from 2000 to 2015. We assessed the discriminative ability of models using the area under the receiver operating characteristics curve (AUC) and the net benefit using decision curve analysis.\n\nSetting The KCMC is a zonal referral hospital located in Moshi Municipality, Kilimanjaro region, Northern Tanzania. The Medical Birth Registry is within the hospital grounds at the Reproductive and Child Health Centre.\n\nParticipants Singleton deliveries (n=42 319) with complete records from 2000 to 2015.\n\nPrimary outcome measures Perinatal death (composite of stillbirths and early neonatal deaths). These outcomes were only captured before mothers were discharged from the hospital.\n\nResults The proportion of perinatal deaths was 3.7%. There were no statistically significant differences in the predictive performance of four machine learning models except for bagging, which had a significantly lower performance (AUC 0.76, 95% CI 0.74 to 0.79, p=0.006) compared with the logistic regression model (AUC 0.78, 95% CI 0.76 to 0.81). However, in the decision curve analysis, the machine learning models had a higher net benefit (ie, the correct classification of perinatal deaths considering a trade-off between false-negatives and false-positives)—over the logistic regression model across a range of threshold probability values.\n\nConclusions In this cohort, there was no significant difference in the prediction of perinatal deaths between machine learning and logistic regression models, except for bagging. The machine learning models had a higher net benefit, as its predictive ability of perinatal death was considerably superior over the logistic regression model. The machine learning models, as demonstrated by our study, can be used to improve the prediction of perinatal deaths and triage for women at risk.","DOI":"10.1136/bmjopen-2020-040132","language":"en","license":"© Author(s) (or their employer(s)) 2020. Re-use permitted under CC BY. Published by BMJ.. https://creativecommons.org/licenses/by/4.0/This is an open access article distributed in accordance with the Creative Commons Attribution 4.0 Unported (CC BY 4.0) license, which permits others to copy, redistribute, remix, transform and build upon this work for any purpose, provided the original work is properly cited, a link to the licence is given, and indication of whether changes were made. See: https://creativecommons.org/licenses/by/4.0/.","publisher":"British Medical Journal Publishing Group","section":"Paediatrics","source":"bmjopen.bmj.com","title":"Prediction of perinatal death using machine learning models: a birth registry-based cohort study in northern Tanzania","title-short":"Prediction of perinatal death using machine learning models","URL":"https://bmjopen.bmj.com/content/10/10/e040132.long","author":[{"family":"Mboya","given":"Innocent B."},{"family":"Mahande","given":"Michael J."},{"family":"Mohammed","given":"Mohanad"},{"family":"Obure","given":"Joseph"},{"family":"Mwambi","given":"Henry G."}],"accessed":{"date-parts":[["2026",2,19]]},"issued":{"date-parts":[["2020",10,1]]}}}],"schema":"https://github.com/citation-style-language/schema/raw/master/csl-citation.json"}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[75]</w:t>
            </w:r>
            <w:r>
              <w:rPr>
                <w:rFonts w:ascii="Arial" w:eastAsia="Times New Roman" w:hAnsi="Arial" w:cs="Arial"/>
                <w:color w:val="000000"/>
                <w:sz w:val="12"/>
                <w:szCs w:val="12"/>
                <w:lang w:eastAsia="en-GB" w:bidi="th-TH"/>
              </w:rPr>
              <w:fldChar w:fldCharType="end"/>
            </w:r>
          </w:p>
        </w:tc>
      </w:tr>
      <w:tr w:rsidR="00871B31" w:rsidRPr="00756461" w14:paraId="3FD21A16"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2FEFD1A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McLachlan, et al. 2025</w:t>
            </w:r>
          </w:p>
        </w:tc>
        <w:tc>
          <w:tcPr>
            <w:tcW w:w="1054" w:type="dxa"/>
            <w:tcBorders>
              <w:top w:val="single" w:sz="4" w:space="0" w:color="888888"/>
              <w:left w:val="single" w:sz="4" w:space="0" w:color="888888"/>
              <w:bottom w:val="single" w:sz="4" w:space="0" w:color="888888"/>
              <w:right w:val="single" w:sz="4" w:space="0" w:color="888888"/>
            </w:tcBorders>
          </w:tcPr>
          <w:p w14:paraId="1E4BBB0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5A52EBE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United Kingdom</w:t>
            </w:r>
          </w:p>
        </w:tc>
        <w:tc>
          <w:tcPr>
            <w:tcW w:w="786" w:type="dxa"/>
            <w:tcBorders>
              <w:top w:val="single" w:sz="4" w:space="0" w:color="888888"/>
              <w:left w:val="single" w:sz="4" w:space="0" w:color="888888"/>
              <w:bottom w:val="single" w:sz="4" w:space="0" w:color="888888"/>
              <w:right w:val="single" w:sz="4" w:space="0" w:color="888888"/>
            </w:tcBorders>
          </w:tcPr>
          <w:p w14:paraId="3A321B5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 and neonatal mortality</w:t>
            </w:r>
          </w:p>
        </w:tc>
        <w:tc>
          <w:tcPr>
            <w:tcW w:w="786" w:type="dxa"/>
            <w:tcBorders>
              <w:top w:val="single" w:sz="4" w:space="0" w:color="888888"/>
              <w:left w:val="single" w:sz="4" w:space="0" w:color="888888"/>
              <w:bottom w:val="single" w:sz="4" w:space="0" w:color="888888"/>
              <w:right w:val="single" w:sz="4" w:space="0" w:color="888888"/>
            </w:tcBorders>
          </w:tcPr>
          <w:p w14:paraId="2F4FF1E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development</w:t>
            </w:r>
          </w:p>
        </w:tc>
        <w:tc>
          <w:tcPr>
            <w:tcW w:w="1051" w:type="dxa"/>
            <w:tcBorders>
              <w:top w:val="single" w:sz="4" w:space="0" w:color="888888"/>
              <w:left w:val="single" w:sz="4" w:space="0" w:color="888888"/>
              <w:bottom w:val="single" w:sz="4" w:space="0" w:color="888888"/>
              <w:right w:val="single" w:sz="4" w:space="0" w:color="888888"/>
            </w:tcBorders>
          </w:tcPr>
          <w:p w14:paraId="2900438C"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0A2C2BC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age</w:t>
            </w:r>
          </w:p>
          <w:p w14:paraId="5B98239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body mass index</w:t>
            </w:r>
          </w:p>
          <w:p w14:paraId="76996D4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Parity</w:t>
            </w:r>
          </w:p>
        </w:tc>
        <w:tc>
          <w:tcPr>
            <w:tcW w:w="851" w:type="dxa"/>
            <w:tcBorders>
              <w:top w:val="single" w:sz="4" w:space="0" w:color="888888"/>
              <w:left w:val="single" w:sz="4" w:space="0" w:color="888888"/>
              <w:bottom w:val="single" w:sz="4" w:space="0" w:color="888888"/>
              <w:right w:val="single" w:sz="4" w:space="0" w:color="888888"/>
            </w:tcBorders>
          </w:tcPr>
          <w:p w14:paraId="77033E4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Population/ Registry</w:t>
            </w:r>
          </w:p>
        </w:tc>
        <w:tc>
          <w:tcPr>
            <w:tcW w:w="851" w:type="dxa"/>
            <w:tcBorders>
              <w:top w:val="single" w:sz="4" w:space="0" w:color="888888"/>
              <w:left w:val="single" w:sz="4" w:space="0" w:color="888888"/>
              <w:bottom w:val="single" w:sz="4" w:space="0" w:color="888888"/>
              <w:right w:val="single" w:sz="4" w:space="0" w:color="888888"/>
            </w:tcBorders>
          </w:tcPr>
          <w:p w14:paraId="5279D847"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276B0093"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4F01C6A4"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122E671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model's predictions were compared against vignettes from other models, producing comparable results. For pre-</w:t>
            </w:r>
            <w:r>
              <w:rPr>
                <w:rFonts w:ascii="Arial" w:hAnsi="Arial" w:cs="Arial"/>
                <w:sz w:val="12"/>
                <w:szCs w:val="12"/>
              </w:rPr>
              <w:lastRenderedPageBreak/>
              <w:t>eclampsia, the model predicted 43.25% probability versus 39% in the original study. For preterm birth, it predicted 8.715% versus 12-13% in the source paper. For survivability in pregnancies with GDM, it predicted an 84.674% live birth rate versus 82-83% in the original nomogram</w:t>
            </w:r>
          </w:p>
        </w:tc>
        <w:tc>
          <w:tcPr>
            <w:tcW w:w="851" w:type="dxa"/>
            <w:tcBorders>
              <w:top w:val="single" w:sz="4" w:space="0" w:color="888888"/>
              <w:left w:val="single" w:sz="4" w:space="0" w:color="888888"/>
              <w:bottom w:val="single" w:sz="4" w:space="0" w:color="888888"/>
              <w:right w:val="single" w:sz="4" w:space="0" w:color="888888"/>
            </w:tcBorders>
          </w:tcPr>
          <w:p w14:paraId="1936555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Concurrent validity</w:t>
            </w:r>
          </w:p>
        </w:tc>
        <w:tc>
          <w:tcPr>
            <w:tcW w:w="817" w:type="dxa"/>
            <w:tcBorders>
              <w:top w:val="single" w:sz="4" w:space="0" w:color="888888"/>
              <w:left w:val="single" w:sz="4" w:space="0" w:color="888888"/>
              <w:bottom w:val="single" w:sz="4" w:space="0" w:color="888888"/>
              <w:right w:val="single" w:sz="4" w:space="0" w:color="888888"/>
            </w:tcBorders>
          </w:tcPr>
          <w:p w14:paraId="5475D9D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48327C5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The data encompasses 624,828 pregnancies and 624,162 live births that occurred in </w:t>
            </w:r>
            <w:r>
              <w:rPr>
                <w:rFonts w:ascii="Arial" w:hAnsi="Arial" w:cs="Arial"/>
                <w:sz w:val="12"/>
                <w:szCs w:val="12"/>
              </w:rPr>
              <w:lastRenderedPageBreak/>
              <w:t>England and Wales during 2021</w:t>
            </w:r>
          </w:p>
        </w:tc>
        <w:tc>
          <w:tcPr>
            <w:tcW w:w="851" w:type="dxa"/>
            <w:tcBorders>
              <w:top w:val="single" w:sz="4" w:space="0" w:color="888888"/>
              <w:left w:val="single" w:sz="4" w:space="0" w:color="888888"/>
              <w:bottom w:val="single" w:sz="4" w:space="0" w:color="888888"/>
              <w:right w:val="single" w:sz="4" w:space="0" w:color="888888"/>
            </w:tcBorders>
          </w:tcPr>
          <w:p w14:paraId="53D83B9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 xml:space="preserve">The study was funded by the 2023 Seedcorn Funding round from the Florence Nightingale School of Nursing, </w:t>
            </w:r>
            <w:r>
              <w:rPr>
                <w:rFonts w:ascii="Arial" w:hAnsi="Arial" w:cs="Arial"/>
                <w:sz w:val="12"/>
                <w:szCs w:val="12"/>
              </w:rPr>
              <w:lastRenderedPageBreak/>
              <w:t>Midwifery and Palliative Care (NMPC) at King's College London</w:t>
            </w:r>
          </w:p>
        </w:tc>
        <w:tc>
          <w:tcPr>
            <w:tcW w:w="1134" w:type="dxa"/>
            <w:tcBorders>
              <w:top w:val="single" w:sz="4" w:space="0" w:color="888888"/>
              <w:left w:val="single" w:sz="4" w:space="0" w:color="888888"/>
              <w:bottom w:val="single" w:sz="4" w:space="0" w:color="888888"/>
              <w:right w:val="single" w:sz="4" w:space="0" w:color="888888"/>
            </w:tcBorders>
          </w:tcPr>
          <w:p w14:paraId="2973F078"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lastRenderedPageBreak/>
              <w:t>60.0%</w:t>
            </w:r>
          </w:p>
        </w:tc>
        <w:tc>
          <w:tcPr>
            <w:tcW w:w="841" w:type="dxa"/>
            <w:tcBorders>
              <w:top w:val="single" w:sz="4" w:space="0" w:color="888888"/>
              <w:left w:val="single" w:sz="4" w:space="0" w:color="888888"/>
              <w:bottom w:val="single" w:sz="4" w:space="0" w:color="888888"/>
              <w:right w:val="single" w:sz="4" w:space="0" w:color="888888"/>
            </w:tcBorders>
          </w:tcPr>
          <w:p w14:paraId="5FDCFDCA"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Low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3C011230"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The data is publicly accessible.</w:t>
            </w:r>
          </w:p>
        </w:tc>
        <w:tc>
          <w:tcPr>
            <w:tcW w:w="442" w:type="dxa"/>
            <w:tcBorders>
              <w:top w:val="single" w:sz="4" w:space="0" w:color="888888"/>
              <w:left w:val="single" w:sz="4" w:space="0" w:color="888888"/>
              <w:bottom w:val="single" w:sz="4" w:space="0" w:color="888888"/>
              <w:right w:val="single" w:sz="4" w:space="0" w:color="888888"/>
            </w:tcBorders>
          </w:tcPr>
          <w:p w14:paraId="1023932F"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{"citationID":"kokq5ZzD","properties":{"formattedCitation":"[76]","plainCitation":"[76]","noteIndex":0},"citationItems":[{"id":"b2OWig5M/hohDRyEQ","uris":["http://zotero.org/users/18230940/items/FV6W67NJ"],"itemData":{"id":760,"type":"article-journal","abstract":"Efforts to fully exploit the rich potential of Bayesian Networks (BNs) have hitherto not seen a practical approach for development of domain-specific models using large-scale public statistics which have the potential to reduce the time required to develop probability tables and train the model. As a result, the duration of projects seeking to develop health BNs tend to be measured in years due to their reliance on obtaining ethics approval and collecting, normalising, and discretising collections of patient EHRs. This work addresses this challenge by investigating a new approach to developing health BNs that combines expert elicitation with knowledge from literature and national health statistics. The approach presented here is evaluated through the development of a BN for pregnancy complications and outcomes using national health statistics for all births in England and Wales during 2021. The result is a BN that when validated using vignettes against other common types of predictive models including logistic regression and nomograms produces comparable predictions. The BN using our approach and large-scale public statistics was also developed in a project with a duration measured in months rather than years. The unique contributions of this paper are a new efficient approach to BN development and a working BN capable of reasoning over a broad range of pregnancy-related conditions and outcomes.","container-title":"Computers in Biology and Medicine","DOI":"10.1016/j.compbiomed.2025.110026","ISSN":"1879-0534","journalAbbreviation":"Comput Biol Med","language":"eng","page":"110026","PMID":"40090186","source":"PubMed","title":"A Bayesian Network model of pregnancy outcomes for England and Wales","volume":"189","author":[{"family":"McLachlan","given":"Scott"},{"family":"Daley","given":"Bridget J."},{"family":"Saidi","given":"Sam"},{"family":"Kyrimi","given":"Evangelia"},{"family":"Dube","given":"Kudawashe"},{"family":"Grosan","given":"Crina"},{"family":"Neil","given":"Martin"},{"family":"Rose","given":"Louise"},{"family":"Fenton","given":"Norman E."}],"issued":{"date-parts":[["2025",5]]}}}],"schema":"https://github.com/citation-style-language/schema/raw/master/csl-citation.json"}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[76]</w:t>
            </w:r>
            <w:r>
              <w:rPr>
                <w:rFonts w:ascii="Arial" w:eastAsia="Times New Roman" w:hAnsi="Arial" w:cs="Arial"/>
                <w:color w:val="000000"/>
                <w:sz w:val="12"/>
                <w:szCs w:val="12"/>
                <w:lang w:eastAsia="en-GB" w:bidi="th-TH"/>
              </w:rPr>
              <w:fldChar w:fldCharType="end"/>
            </w:r>
          </w:p>
        </w:tc>
      </w:tr>
      <w:tr w:rsidR="00871B31" w:rsidRPr="00756461" w14:paraId="36A324B9"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7A3F97A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Mello, et al. 2025</w:t>
            </w:r>
          </w:p>
        </w:tc>
        <w:tc>
          <w:tcPr>
            <w:tcW w:w="1054" w:type="dxa"/>
            <w:tcBorders>
              <w:top w:val="single" w:sz="4" w:space="0" w:color="888888"/>
              <w:left w:val="single" w:sz="4" w:space="0" w:color="888888"/>
              <w:bottom w:val="single" w:sz="4" w:space="0" w:color="888888"/>
              <w:right w:val="single" w:sz="4" w:space="0" w:color="888888"/>
            </w:tcBorders>
          </w:tcPr>
          <w:p w14:paraId="74AAD84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5939305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Brazil</w:t>
            </w:r>
          </w:p>
        </w:tc>
        <w:tc>
          <w:tcPr>
            <w:tcW w:w="786" w:type="dxa"/>
            <w:tcBorders>
              <w:top w:val="single" w:sz="4" w:space="0" w:color="888888"/>
              <w:left w:val="single" w:sz="4" w:space="0" w:color="888888"/>
              <w:bottom w:val="single" w:sz="4" w:space="0" w:color="888888"/>
              <w:right w:val="single" w:sz="4" w:space="0" w:color="888888"/>
            </w:tcBorders>
          </w:tcPr>
          <w:p w14:paraId="01FFFA6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w:t>
            </w:r>
          </w:p>
        </w:tc>
        <w:tc>
          <w:tcPr>
            <w:tcW w:w="786" w:type="dxa"/>
            <w:tcBorders>
              <w:top w:val="single" w:sz="4" w:space="0" w:color="888888"/>
              <w:left w:val="single" w:sz="4" w:space="0" w:color="888888"/>
              <w:bottom w:val="single" w:sz="4" w:space="0" w:color="888888"/>
              <w:right w:val="single" w:sz="4" w:space="0" w:color="888888"/>
            </w:tcBorders>
          </w:tcPr>
          <w:p w14:paraId="543727B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evaluation</w:t>
            </w:r>
          </w:p>
        </w:tc>
        <w:tc>
          <w:tcPr>
            <w:tcW w:w="1051" w:type="dxa"/>
            <w:tcBorders>
              <w:top w:val="single" w:sz="4" w:space="0" w:color="888888"/>
              <w:left w:val="single" w:sz="4" w:space="0" w:color="888888"/>
              <w:bottom w:val="single" w:sz="4" w:space="0" w:color="888888"/>
              <w:right w:val="single" w:sz="4" w:space="0" w:color="888888"/>
            </w:tcBorders>
          </w:tcPr>
          <w:p w14:paraId="62FBD546"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7231D2F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age</w:t>
            </w:r>
          </w:p>
          <w:p w14:paraId="7C7652B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education</w:t>
            </w:r>
          </w:p>
          <w:p w14:paraId="624F6D4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Interpregnancy interval</w:t>
            </w:r>
          </w:p>
          <w:p w14:paraId="1C2004F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Antenatal care visits</w:t>
            </w:r>
          </w:p>
        </w:tc>
        <w:tc>
          <w:tcPr>
            <w:tcW w:w="851" w:type="dxa"/>
            <w:tcBorders>
              <w:top w:val="single" w:sz="4" w:space="0" w:color="888888"/>
              <w:left w:val="single" w:sz="4" w:space="0" w:color="888888"/>
              <w:bottom w:val="single" w:sz="4" w:space="0" w:color="888888"/>
              <w:right w:val="single" w:sz="4" w:space="0" w:color="888888"/>
            </w:tcBorders>
          </w:tcPr>
          <w:p w14:paraId="136AB50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Population/ Registry</w:t>
            </w:r>
          </w:p>
        </w:tc>
        <w:tc>
          <w:tcPr>
            <w:tcW w:w="851" w:type="dxa"/>
            <w:tcBorders>
              <w:top w:val="single" w:sz="4" w:space="0" w:color="888888"/>
              <w:left w:val="single" w:sz="4" w:space="0" w:color="888888"/>
              <w:bottom w:val="single" w:sz="4" w:space="0" w:color="888888"/>
              <w:right w:val="single" w:sz="4" w:space="0" w:color="888888"/>
            </w:tcBorders>
          </w:tcPr>
          <w:p w14:paraId="7FB04DDE"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29A84CEA"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389B6BE0"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3D86331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 the Hybrid Undersampling 2x (H2X) scenario, the XGBoost model achieved the highest specificity at 81.06%. In the Random Undersampling (RU) scenario, the Random Forest model demonstrated the highest sensitivity at 67.73%</w:t>
            </w:r>
          </w:p>
        </w:tc>
        <w:tc>
          <w:tcPr>
            <w:tcW w:w="851" w:type="dxa"/>
            <w:tcBorders>
              <w:top w:val="single" w:sz="4" w:space="0" w:color="888888"/>
              <w:left w:val="single" w:sz="4" w:space="0" w:color="888888"/>
              <w:bottom w:val="single" w:sz="4" w:space="0" w:color="888888"/>
              <w:right w:val="single" w:sz="4" w:space="0" w:color="888888"/>
            </w:tcBorders>
          </w:tcPr>
          <w:p w14:paraId="6061B99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Specificity, sensitivity</w:t>
            </w:r>
          </w:p>
        </w:tc>
        <w:tc>
          <w:tcPr>
            <w:tcW w:w="817" w:type="dxa"/>
            <w:tcBorders>
              <w:top w:val="single" w:sz="4" w:space="0" w:color="888888"/>
              <w:left w:val="single" w:sz="4" w:space="0" w:color="888888"/>
              <w:bottom w:val="single" w:sz="4" w:space="0" w:color="888888"/>
              <w:right w:val="single" w:sz="4" w:space="0" w:color="888888"/>
            </w:tcBorders>
          </w:tcPr>
          <w:p w14:paraId="201A9CD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37FFD80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The initial dataset contained 231,505 records </w:t>
            </w:r>
          </w:p>
        </w:tc>
        <w:tc>
          <w:tcPr>
            <w:tcW w:w="851" w:type="dxa"/>
            <w:tcBorders>
              <w:top w:val="single" w:sz="4" w:space="0" w:color="888888"/>
              <w:left w:val="single" w:sz="4" w:space="0" w:color="888888"/>
              <w:bottom w:val="single" w:sz="4" w:space="0" w:color="888888"/>
              <w:right w:val="single" w:sz="4" w:space="0" w:color="888888"/>
            </w:tcBorders>
          </w:tcPr>
          <w:p w14:paraId="6D0F119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The study was funded by FACEPE - Fundação de Amparo à Ciência e Tecnologia de Pernambuco </w:t>
            </w:r>
          </w:p>
        </w:tc>
        <w:tc>
          <w:tcPr>
            <w:tcW w:w="1134" w:type="dxa"/>
            <w:tcBorders>
              <w:top w:val="single" w:sz="4" w:space="0" w:color="888888"/>
              <w:left w:val="single" w:sz="4" w:space="0" w:color="888888"/>
              <w:bottom w:val="single" w:sz="4" w:space="0" w:color="888888"/>
              <w:right w:val="single" w:sz="4" w:space="0" w:color="888888"/>
            </w:tcBorders>
          </w:tcPr>
          <w:p w14:paraId="76224BD4"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58.0%</w:t>
            </w:r>
          </w:p>
        </w:tc>
        <w:tc>
          <w:tcPr>
            <w:tcW w:w="841" w:type="dxa"/>
            <w:tcBorders>
              <w:top w:val="single" w:sz="4" w:space="0" w:color="888888"/>
              <w:left w:val="single" w:sz="4" w:space="0" w:color="888888"/>
              <w:bottom w:val="single" w:sz="4" w:space="0" w:color="888888"/>
              <w:right w:val="single" w:sz="4" w:space="0" w:color="888888"/>
            </w:tcBorders>
          </w:tcPr>
          <w:p w14:paraId="1CC407F8"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High risk</w:t>
            </w:r>
            <w:r>
              <w:rPr>
                <w:rFonts w:ascii="Arial" w:hAnsi="Arial" w:cs="Arial"/>
                <w:color w:val="000000"/>
                <w:sz w:val="12"/>
                <w:szCs w:val="12"/>
              </w:rPr>
              <w:br/>
              <w:t>D3: Low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277263A0"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The data is publicly accessible via website.</w:t>
            </w:r>
          </w:p>
        </w:tc>
        <w:tc>
          <w:tcPr>
            <w:tcW w:w="442" w:type="dxa"/>
            <w:tcBorders>
              <w:top w:val="single" w:sz="4" w:space="0" w:color="888888"/>
              <w:left w:val="single" w:sz="4" w:space="0" w:color="888888"/>
              <w:bottom w:val="single" w:sz="4" w:space="0" w:color="888888"/>
              <w:right w:val="single" w:sz="4" w:space="0" w:color="888888"/>
            </w:tcBorders>
          </w:tcPr>
          <w:p w14:paraId="6A64C33F"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{"citationID":"zhm0bwAh","properties":{"formattedCitation":"[77]","plainCitation":"[77]","noteIndex":0},"citationItems":[{"id":"b2OWig5M/0pikArPz","uris":["http://zotero.org/users/18230940/items/MEWN7ETJ"],"itemData":{"id":104,"type":"article-journal","abstract":"Purpose\nThis study aims to evaluate the performance of machine learning models using different data imputation techniques in different balancing scenarios, employing sociodemographic attributes and maternal health history, using data of a population from the state of Pernambuco, Brazil, to predict fetal death during pregnancy.\n\nMethods\nWe used a dataset from a social program in Pernambuco, Brazil, covering the period from 2008 to 2022, that includes sociodemographic, prenatal, maternal and family health history data. We separated two scenarios with two balancing techniques to train the models, Random Undersampling (RU scenario) and Hybrid Undersampling 2x (H2X scenario) and we explored using four tree-based machine learning models, each of which was evaluated based on their performance and feature importance.\n\nResults\nThe models were evaluated under different metrics. The XGBoost model stood out with 81.06% specificity and the Random Forest model stood out with 67.73% sensitivity, in different scenarios. The attributes that most impacted the learning process were first prenatal care, age, education and interpregnancy interval.\n\nConclusion\nThis application is particularly valuable in the context of social projects, such as those in Brazil, where innovative solutions can contribute to achieving the SDGs offering a unique perspective on the intersection of technology, healthcare, and social impact.","container-title":"BMC Pregnancy and Childbirth","DOI":"10.1186/s12884-025-08028-7","ISSN":"1471-2393","journalAbbreviation":"BMC Pregnancy Childbirth","page":"906","PMID":"40890692","PMCID":"PMC12400716","source":"PubMed Central","title":"Machine learning for preventing stillbirths: is it possible to transform data into life-saving insights?","title-short":"Machine learning for preventing stillbirths","volume":"25","author":[{"family":"Ferro de Mello","given":"Maria Eduarda"},{"family":"Silva Rocha","given":"Élisson","non-dropping-particle":"da"},{"family":"Endo","given":"Patricia Takako"}],"issued":{"date-parts":[["2025",9,1]]}}}],"schema":"https://github.com/citation-style-language/schema/raw/master/csl-citation.json"}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[77]</w:t>
            </w:r>
            <w:r>
              <w:rPr>
                <w:rFonts w:ascii="Arial" w:eastAsia="Times New Roman" w:hAnsi="Arial" w:cs="Arial"/>
                <w:color w:val="000000"/>
                <w:sz w:val="12"/>
                <w:szCs w:val="12"/>
                <w:lang w:eastAsia="en-GB" w:bidi="th-TH"/>
              </w:rPr>
              <w:fldChar w:fldCharType="end"/>
            </w:r>
          </w:p>
        </w:tc>
      </w:tr>
      <w:tr w:rsidR="00871B31" w:rsidRPr="00756461" w14:paraId="346A08AB"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2BC4A91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Meng, et al. 2025</w:t>
            </w:r>
          </w:p>
        </w:tc>
        <w:tc>
          <w:tcPr>
            <w:tcW w:w="1054" w:type="dxa"/>
            <w:tcBorders>
              <w:top w:val="single" w:sz="4" w:space="0" w:color="888888"/>
              <w:left w:val="single" w:sz="4" w:space="0" w:color="888888"/>
              <w:bottom w:val="single" w:sz="4" w:space="0" w:color="888888"/>
              <w:right w:val="single" w:sz="4" w:space="0" w:color="888888"/>
            </w:tcBorders>
          </w:tcPr>
          <w:p w14:paraId="3296E58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61F0BC5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China</w:t>
            </w:r>
          </w:p>
        </w:tc>
        <w:tc>
          <w:tcPr>
            <w:tcW w:w="786" w:type="dxa"/>
            <w:tcBorders>
              <w:top w:val="single" w:sz="4" w:space="0" w:color="888888"/>
              <w:left w:val="single" w:sz="4" w:space="0" w:color="888888"/>
              <w:bottom w:val="single" w:sz="4" w:space="0" w:color="888888"/>
              <w:right w:val="single" w:sz="4" w:space="0" w:color="888888"/>
            </w:tcBorders>
          </w:tcPr>
          <w:p w14:paraId="6B76544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Perinatal death (stillbirth + early neonatal death)</w:t>
            </w:r>
          </w:p>
        </w:tc>
        <w:tc>
          <w:tcPr>
            <w:tcW w:w="786" w:type="dxa"/>
            <w:tcBorders>
              <w:top w:val="single" w:sz="4" w:space="0" w:color="888888"/>
              <w:left w:val="single" w:sz="4" w:space="0" w:color="888888"/>
              <w:bottom w:val="single" w:sz="4" w:space="0" w:color="888888"/>
              <w:right w:val="single" w:sz="4" w:space="0" w:color="888888"/>
            </w:tcBorders>
          </w:tcPr>
          <w:p w14:paraId="358D3A7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 Model development</w:t>
            </w:r>
            <w:r>
              <w:rPr>
                <w:rFonts w:ascii="Arial" w:hAnsi="Arial" w:cs="Arial"/>
                <w:sz w:val="12"/>
                <w:szCs w:val="12"/>
              </w:rPr>
              <w:br/>
              <w:t>2. Model validation</w:t>
            </w:r>
          </w:p>
        </w:tc>
        <w:tc>
          <w:tcPr>
            <w:tcW w:w="1051" w:type="dxa"/>
            <w:tcBorders>
              <w:top w:val="single" w:sz="4" w:space="0" w:color="888888"/>
              <w:left w:val="single" w:sz="4" w:space="0" w:color="888888"/>
              <w:bottom w:val="single" w:sz="4" w:space="0" w:color="888888"/>
              <w:right w:val="single" w:sz="4" w:space="0" w:color="888888"/>
            </w:tcBorders>
          </w:tcPr>
          <w:p w14:paraId="060879BE"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0E331C5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body mass index</w:t>
            </w:r>
          </w:p>
          <w:p w14:paraId="59D2A61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Hypertensive disorders of pregnancy</w:t>
            </w:r>
          </w:p>
          <w:p w14:paraId="013ACFEC"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4847451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Gestational age</w:t>
            </w:r>
          </w:p>
          <w:p w14:paraId="71331BB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Birth weight</w:t>
            </w:r>
          </w:p>
          <w:p w14:paraId="50BBFB6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Umbilical artery Doppler</w:t>
            </w:r>
          </w:p>
        </w:tc>
        <w:tc>
          <w:tcPr>
            <w:tcW w:w="851" w:type="dxa"/>
            <w:tcBorders>
              <w:top w:val="single" w:sz="4" w:space="0" w:color="888888"/>
              <w:left w:val="single" w:sz="4" w:space="0" w:color="888888"/>
              <w:bottom w:val="single" w:sz="4" w:space="0" w:color="888888"/>
              <w:right w:val="single" w:sz="4" w:space="0" w:color="888888"/>
            </w:tcBorders>
          </w:tcPr>
          <w:p w14:paraId="56A94F7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3859DA3A"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6A15A8AD"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5BF4EB3C"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5DF1365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The Stacking model achieved the best performance, with an Area Under the Receiver Operating Characteristic Curve (AUROC) of 0.861 in the internal test set and 0.906 in the external test set </w:t>
            </w:r>
          </w:p>
        </w:tc>
        <w:tc>
          <w:tcPr>
            <w:tcW w:w="851" w:type="dxa"/>
            <w:tcBorders>
              <w:top w:val="single" w:sz="4" w:space="0" w:color="888888"/>
              <w:left w:val="single" w:sz="4" w:space="0" w:color="888888"/>
              <w:bottom w:val="single" w:sz="4" w:space="0" w:color="888888"/>
              <w:right w:val="single" w:sz="4" w:space="0" w:color="888888"/>
            </w:tcBorders>
          </w:tcPr>
          <w:p w14:paraId="09BE5D6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AUROC</w:t>
            </w:r>
          </w:p>
        </w:tc>
        <w:tc>
          <w:tcPr>
            <w:tcW w:w="817" w:type="dxa"/>
            <w:tcBorders>
              <w:top w:val="single" w:sz="4" w:space="0" w:color="888888"/>
              <w:left w:val="single" w:sz="4" w:space="0" w:color="888888"/>
              <w:bottom w:val="single" w:sz="4" w:space="0" w:color="888888"/>
              <w:right w:val="single" w:sz="4" w:space="0" w:color="888888"/>
            </w:tcBorders>
          </w:tcPr>
          <w:p w14:paraId="6712224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Both internal and external validation</w:t>
            </w:r>
          </w:p>
        </w:tc>
        <w:tc>
          <w:tcPr>
            <w:tcW w:w="742" w:type="dxa"/>
            <w:tcBorders>
              <w:top w:val="single" w:sz="4" w:space="0" w:color="888888"/>
              <w:left w:val="single" w:sz="4" w:space="0" w:color="888888"/>
              <w:bottom w:val="single" w:sz="4" w:space="0" w:color="888888"/>
              <w:right w:val="single" w:sz="4" w:space="0" w:color="888888"/>
            </w:tcBorders>
          </w:tcPr>
          <w:p w14:paraId="3DBA63F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total of 411 pregnancies, which were divided into a training set (n=253), an internal test set (n=108), and an external test set (n=50)</w:t>
            </w:r>
          </w:p>
        </w:tc>
        <w:tc>
          <w:tcPr>
            <w:tcW w:w="851" w:type="dxa"/>
            <w:tcBorders>
              <w:top w:val="single" w:sz="4" w:space="0" w:color="888888"/>
              <w:left w:val="single" w:sz="4" w:space="0" w:color="888888"/>
              <w:bottom w:val="single" w:sz="4" w:space="0" w:color="888888"/>
              <w:right w:val="single" w:sz="4" w:space="0" w:color="888888"/>
            </w:tcBorders>
          </w:tcPr>
          <w:p w14:paraId="329A214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study received funding from the National Key Research and Development Program of China and the Beijing Municipal Health Commission</w:t>
            </w:r>
          </w:p>
        </w:tc>
        <w:tc>
          <w:tcPr>
            <w:tcW w:w="1134" w:type="dxa"/>
            <w:tcBorders>
              <w:top w:val="single" w:sz="4" w:space="0" w:color="888888"/>
              <w:left w:val="single" w:sz="4" w:space="0" w:color="888888"/>
              <w:bottom w:val="single" w:sz="4" w:space="0" w:color="888888"/>
              <w:right w:val="single" w:sz="4" w:space="0" w:color="888888"/>
            </w:tcBorders>
          </w:tcPr>
          <w:p w14:paraId="5DFC3248"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48.0%</w:t>
            </w:r>
          </w:p>
        </w:tc>
        <w:tc>
          <w:tcPr>
            <w:tcW w:w="841" w:type="dxa"/>
            <w:tcBorders>
              <w:top w:val="single" w:sz="4" w:space="0" w:color="888888"/>
              <w:left w:val="single" w:sz="4" w:space="0" w:color="888888"/>
              <w:bottom w:val="single" w:sz="4" w:space="0" w:color="888888"/>
              <w:right w:val="single" w:sz="4" w:space="0" w:color="888888"/>
            </w:tcBorders>
          </w:tcPr>
          <w:p w14:paraId="2F21CD8C"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Low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3ED74216" w14:textId="77777777" w:rsidR="00871B31" w:rsidRPr="00756461" w:rsidRDefault="00871B31" w:rsidP="00BC1F31">
            <w:pPr>
              <w:spacing w:after="0" w:line="240" w:lineRule="auto"/>
              <w:rPr>
                <w:rFonts w:ascii="Arial" w:hAnsi="Arial" w:cs="Arial"/>
                <w:color w:val="000000"/>
                <w:sz w:val="12"/>
                <w:szCs w:val="12"/>
              </w:rPr>
            </w:pPr>
            <w:r>
              <w:rPr>
                <w:rFonts w:ascii="Arial" w:hAnsi="Arial" w:cs="Arial"/>
                <w:color w:val="000000"/>
                <w:sz w:val="12"/>
                <w:szCs w:val="12"/>
              </w:rPr>
              <w:t>Not publicly available</w:t>
            </w:r>
            <w:r>
              <w:rPr>
                <w:rFonts w:ascii="Arial" w:hAnsi="Arial" w:cs="Arial"/>
                <w:color w:val="000000"/>
                <w:sz w:val="12"/>
                <w:szCs w:val="12"/>
              </w:rPr>
              <w:br/>
            </w:r>
          </w:p>
          <w:p w14:paraId="630F11BE"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Available via inquiries to corresponding author</w:t>
            </w:r>
          </w:p>
        </w:tc>
        <w:tc>
          <w:tcPr>
            <w:tcW w:w="442" w:type="dxa"/>
            <w:tcBorders>
              <w:top w:val="single" w:sz="4" w:space="0" w:color="888888"/>
              <w:left w:val="single" w:sz="4" w:space="0" w:color="888888"/>
              <w:bottom w:val="single" w:sz="4" w:space="0" w:color="888888"/>
              <w:right w:val="single" w:sz="4" w:space="0" w:color="888888"/>
            </w:tcBorders>
          </w:tcPr>
          <w:p w14:paraId="5428985D"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{"citationID":"yXohDlhh","properties":{"formattedCitation":"[78]","plainCitation":"[78]","noteIndex":0},"citationItems":[{"id":"b2OWig5M/ARFFI20a","uris":["http://zotero.org/users/18230940/items/VD4SNK3G"],"itemData":{"id":130,"type":"article-journal","abstract":"Objective: To create and validate a machine learning (ML)-based model for predicting the adverse perinatal outcome (APO) in foetal growth restriction (FGR) at diagnosis. Design: A retrospective study. Setting: Multi-centre in China. Population: Pregnancies affected by FGR. Methods: We enrolled singleton foetuses with a perinatal diagnosis of FGR who were admitted between January 2021 and November 2023. A total of 361 pregnancies from Beijing Obstetrics and Gynecology Hospital were used as the training set and the internal test set. In comparison, data from 50 pregnancies from Haidian Maternal and Child Health Hospital were used as the external test set. Feature screening was performed using the random forest (RF), the Least Absolute Shrinkage and Selection Operator (LASSO) and logistic regression (LR). Subsequently, six ML methods, including Stacking, were used to construct models to predict the APO of FGR. Main Outcome Measures: Model's performance was evaluated through indicators such as the area under the receiver operating characteristic curve (AUROC). The Shapley Additive Explanation analysis was used to rank each model feature and explain the final model. Results: Mean ± SD gestational age at diagnosis was 32.3 ± 4.8 weeks in the absent APO group and 27.3 ± 3.7 in the present APO group. Women enrolled in the present APO group had a higher rate of hypertension related to pregnancy (74.8% vs. 18.8%, p &lt; 0.001). Among 17 candidate predictors (including maternal characteristics, maternal comorbidities, obstetric characteristics and ultrasound parameters), the integration of RF, LASSO and LR methodologies identified maternal body mass index, hypertension, gestational age at diagnosis of FGR, estimated foetal weight (EFW) z score, EFW growth velocity and abnormal umbilical artery Doppler (defined as a pulsatility index above the 95th percentile or instances of absent/reversed diastolic flow) as significant predictors. The Stacking model demonstrated a good performance in both the internal test set [AUROC: 0.861, 95% confidence interval (CI), 0.838–0.896] and the external test set [AUROC: 0.906, 95% CI, 0.875–0.947]. The calibration curve showed high agreement between the predicted and observed risks. The Hosmer–Lemeshow test for the internal and external test sets was p = 0.387 and p = 0.825, respectively. Conclusions: The ML algorithm for APO, which integrates maternal clinical factors and ultrasound parameters, demonstrates good predictive value for APO in FGR at diagnosis. This suggested that ML techniques may be a valid approach for the early detection of high-risk APO in FGR pregnancies. © 2025 Elsevier B.V., All rights reserved.","archive":"Scopus","container-title":"BJOG: An International Journal of Obstetrics and Gynaecology","DOI":"10.1111/1471-0528.18226","ISSN":"14700328 (ISSN); 14710528 (ISSN)","issue":"10","language":"English","page":"1514-1523","publisher":"John Wiley and Sons Inc","title":"Construction of a Prediction Model for Adverse Perinatal Outcomes in Foetal Growth Restriction Based on a Machine Learning Algorithm: A Retrospective Study","volume":"132","author":[{"family":"Meng","given":"X."},{"family":"Wang","given":"L."},{"family":"Wu","given":"M."},{"family":"Zhang","given":"N."},{"family":"Li","given":"X."},{"family":"Wu","given":"Q."}],"issued":{"date-parts":[["2025"]]}}}],"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[78]</w:t>
            </w:r>
            <w:r>
              <w:rPr>
                <w:rFonts w:ascii="Arial" w:eastAsia="Times New Roman" w:hAnsi="Arial" w:cs="Arial"/>
                <w:color w:val="000000"/>
                <w:sz w:val="12"/>
                <w:szCs w:val="12"/>
                <w:lang w:eastAsia="en-GB" w:bidi="th-TH"/>
              </w:rPr>
              <w:fldChar w:fldCharType="end"/>
            </w:r>
          </w:p>
        </w:tc>
      </w:tr>
      <w:tr w:rsidR="00871B31" w:rsidRPr="00756461" w14:paraId="7671FCE6"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62DB5CA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Mengying, et al. 2024</w:t>
            </w:r>
          </w:p>
        </w:tc>
        <w:tc>
          <w:tcPr>
            <w:tcW w:w="1054" w:type="dxa"/>
            <w:tcBorders>
              <w:top w:val="single" w:sz="4" w:space="0" w:color="888888"/>
              <w:left w:val="single" w:sz="4" w:space="0" w:color="888888"/>
              <w:bottom w:val="single" w:sz="4" w:space="0" w:color="888888"/>
              <w:right w:val="single" w:sz="4" w:space="0" w:color="888888"/>
            </w:tcBorders>
          </w:tcPr>
          <w:p w14:paraId="147DD53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3A69B6C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China</w:t>
            </w:r>
          </w:p>
        </w:tc>
        <w:tc>
          <w:tcPr>
            <w:tcW w:w="786" w:type="dxa"/>
            <w:tcBorders>
              <w:top w:val="single" w:sz="4" w:space="0" w:color="888888"/>
              <w:left w:val="single" w:sz="4" w:space="0" w:color="888888"/>
              <w:bottom w:val="single" w:sz="4" w:space="0" w:color="888888"/>
              <w:right w:val="single" w:sz="4" w:space="0" w:color="888888"/>
            </w:tcBorders>
          </w:tcPr>
          <w:p w14:paraId="0496170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Early death (within 30 days of operation) </w:t>
            </w:r>
            <w:r>
              <w:rPr>
                <w:rFonts w:ascii="Arial" w:hAnsi="Arial" w:cs="Arial"/>
                <w:sz w:val="12"/>
                <w:szCs w:val="12"/>
              </w:rPr>
              <w:lastRenderedPageBreak/>
              <w:t xml:space="preserve">in neonates with gastric perforation (NGP) </w:t>
            </w:r>
          </w:p>
        </w:tc>
        <w:tc>
          <w:tcPr>
            <w:tcW w:w="786" w:type="dxa"/>
            <w:tcBorders>
              <w:top w:val="single" w:sz="4" w:space="0" w:color="888888"/>
              <w:left w:val="single" w:sz="4" w:space="0" w:color="888888"/>
              <w:bottom w:val="single" w:sz="4" w:space="0" w:color="888888"/>
              <w:right w:val="single" w:sz="4" w:space="0" w:color="888888"/>
            </w:tcBorders>
          </w:tcPr>
          <w:p w14:paraId="0CFD875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1. Model development</w:t>
            </w:r>
            <w:r>
              <w:rPr>
                <w:rFonts w:ascii="Arial" w:hAnsi="Arial" w:cs="Arial"/>
                <w:sz w:val="12"/>
                <w:szCs w:val="12"/>
              </w:rPr>
              <w:br/>
              <w:t xml:space="preserve">2. Identify </w:t>
            </w:r>
            <w:r>
              <w:rPr>
                <w:rFonts w:ascii="Arial" w:hAnsi="Arial" w:cs="Arial"/>
                <w:sz w:val="12"/>
                <w:szCs w:val="12"/>
              </w:rPr>
              <w:lastRenderedPageBreak/>
              <w:t>important predictors</w:t>
            </w:r>
          </w:p>
        </w:tc>
        <w:tc>
          <w:tcPr>
            <w:tcW w:w="1051" w:type="dxa"/>
            <w:tcBorders>
              <w:top w:val="single" w:sz="4" w:space="0" w:color="888888"/>
              <w:left w:val="single" w:sz="4" w:space="0" w:color="888888"/>
              <w:bottom w:val="single" w:sz="4" w:space="0" w:color="888888"/>
              <w:right w:val="single" w:sz="4" w:space="0" w:color="888888"/>
            </w:tcBorders>
          </w:tcPr>
          <w:p w14:paraId="753DBF63"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lastRenderedPageBreak/>
              <w:t>Clinical factor</w:t>
            </w:r>
          </w:p>
          <w:p w14:paraId="5CE42E4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Serum potassium</w:t>
            </w:r>
          </w:p>
          <w:p w14:paraId="38D12B3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 xml:space="preserve">  - Arterial partial pressure of oxygen</w:t>
            </w:r>
          </w:p>
          <w:p w14:paraId="4B72F43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Bicarbonate</w:t>
            </w:r>
          </w:p>
          <w:p w14:paraId="141057D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Platelet count (PLT)</w:t>
            </w:r>
          </w:p>
        </w:tc>
        <w:tc>
          <w:tcPr>
            <w:tcW w:w="851" w:type="dxa"/>
            <w:tcBorders>
              <w:top w:val="single" w:sz="4" w:space="0" w:color="888888"/>
              <w:left w:val="single" w:sz="4" w:space="0" w:color="888888"/>
              <w:bottom w:val="single" w:sz="4" w:space="0" w:color="888888"/>
              <w:right w:val="single" w:sz="4" w:space="0" w:color="888888"/>
            </w:tcBorders>
          </w:tcPr>
          <w:p w14:paraId="5205EBB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48303F1E"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7DF23CDC"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5115B164"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484331B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The nomogram model showed good predictive </w:t>
            </w:r>
            <w:r>
              <w:rPr>
                <w:rFonts w:ascii="Arial" w:hAnsi="Arial" w:cs="Arial"/>
                <w:sz w:val="12"/>
                <w:szCs w:val="12"/>
              </w:rPr>
              <w:lastRenderedPageBreak/>
              <w:t>accuracy with an area under the curve (AUC) of 0.828, a sensitivity of 80.0%, and a specificity of 76.9%</w:t>
            </w:r>
          </w:p>
        </w:tc>
        <w:tc>
          <w:tcPr>
            <w:tcW w:w="851" w:type="dxa"/>
            <w:tcBorders>
              <w:top w:val="single" w:sz="4" w:space="0" w:color="888888"/>
              <w:left w:val="single" w:sz="4" w:space="0" w:color="888888"/>
              <w:bottom w:val="single" w:sz="4" w:space="0" w:color="888888"/>
              <w:right w:val="single" w:sz="4" w:space="0" w:color="888888"/>
            </w:tcBorders>
          </w:tcPr>
          <w:p w14:paraId="54D6A13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AUC, Sensitivity, Specificity</w:t>
            </w:r>
          </w:p>
        </w:tc>
        <w:tc>
          <w:tcPr>
            <w:tcW w:w="817" w:type="dxa"/>
            <w:tcBorders>
              <w:top w:val="single" w:sz="4" w:space="0" w:color="888888"/>
              <w:left w:val="single" w:sz="4" w:space="0" w:color="888888"/>
              <w:bottom w:val="single" w:sz="4" w:space="0" w:color="888888"/>
              <w:right w:val="single" w:sz="4" w:space="0" w:color="888888"/>
            </w:tcBorders>
          </w:tcPr>
          <w:p w14:paraId="48F3276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333C4AC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111 neonates who underwent </w:t>
            </w:r>
            <w:r>
              <w:rPr>
                <w:rFonts w:ascii="Arial" w:hAnsi="Arial" w:cs="Arial"/>
                <w:sz w:val="12"/>
                <w:szCs w:val="12"/>
              </w:rPr>
              <w:lastRenderedPageBreak/>
              <w:t>laparotomy for NGP</w:t>
            </w:r>
          </w:p>
        </w:tc>
        <w:tc>
          <w:tcPr>
            <w:tcW w:w="851" w:type="dxa"/>
            <w:tcBorders>
              <w:top w:val="single" w:sz="4" w:space="0" w:color="888888"/>
              <w:left w:val="single" w:sz="4" w:space="0" w:color="888888"/>
              <w:bottom w:val="single" w:sz="4" w:space="0" w:color="888888"/>
              <w:right w:val="single" w:sz="4" w:space="0" w:color="888888"/>
            </w:tcBorders>
          </w:tcPr>
          <w:p w14:paraId="2B0D876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 xml:space="preserve">The authors received no financial support for </w:t>
            </w:r>
            <w:r>
              <w:rPr>
                <w:rFonts w:ascii="Arial" w:hAnsi="Arial" w:cs="Arial"/>
                <w:sz w:val="12"/>
                <w:szCs w:val="12"/>
              </w:rPr>
              <w:lastRenderedPageBreak/>
              <w:t>this research</w:t>
            </w:r>
          </w:p>
        </w:tc>
        <w:tc>
          <w:tcPr>
            <w:tcW w:w="1134" w:type="dxa"/>
            <w:tcBorders>
              <w:top w:val="single" w:sz="4" w:space="0" w:color="888888"/>
              <w:left w:val="single" w:sz="4" w:space="0" w:color="888888"/>
              <w:bottom w:val="single" w:sz="4" w:space="0" w:color="888888"/>
              <w:right w:val="single" w:sz="4" w:space="0" w:color="888888"/>
            </w:tcBorders>
          </w:tcPr>
          <w:p w14:paraId="410FCBAA"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lastRenderedPageBreak/>
              <w:t>54.2%</w:t>
            </w:r>
          </w:p>
        </w:tc>
        <w:tc>
          <w:tcPr>
            <w:tcW w:w="841" w:type="dxa"/>
            <w:tcBorders>
              <w:top w:val="single" w:sz="4" w:space="0" w:color="888888"/>
              <w:left w:val="single" w:sz="4" w:space="0" w:color="888888"/>
              <w:bottom w:val="single" w:sz="4" w:space="0" w:color="888888"/>
              <w:right w:val="single" w:sz="4" w:space="0" w:color="888888"/>
            </w:tcBorders>
          </w:tcPr>
          <w:p w14:paraId="1605056A"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 xml:space="preserve">D3: Low </w:t>
            </w:r>
            <w:r>
              <w:rPr>
                <w:rFonts w:ascii="Arial" w:hAnsi="Arial" w:cs="Arial"/>
                <w:color w:val="000000"/>
                <w:sz w:val="12"/>
                <w:szCs w:val="12"/>
              </w:rPr>
              <w:lastRenderedPageBreak/>
              <w:t>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59AD6004"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lastRenderedPageBreak/>
              <w:t>No information</w:t>
            </w:r>
          </w:p>
        </w:tc>
        <w:tc>
          <w:tcPr>
            <w:tcW w:w="442" w:type="dxa"/>
            <w:tcBorders>
              <w:top w:val="single" w:sz="4" w:space="0" w:color="888888"/>
              <w:left w:val="single" w:sz="4" w:space="0" w:color="888888"/>
              <w:bottom w:val="single" w:sz="4" w:space="0" w:color="888888"/>
              <w:right w:val="single" w:sz="4" w:space="0" w:color="888888"/>
            </w:tcBorders>
          </w:tcPr>
          <w:p w14:paraId="6B494F3E"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{"citationID":"pPhjJSWT","properties":{"formattedCitation":"[79]","plainCitation":"[79]","noteIndex":0},"citationItems":[{"id":"b2OWig5M/xvbLHDat","uris":["http://zotero.org/users/18230940/items/BZ6KBRD4"],"itemData":{"id":767,"type":"article-journal","abstract":"A retrospective analysis was performed from May 2003 to October 2021 at our hospital. One hundred and eleven neonates diagnosed with gastric perforation were categorized into non-survivor and survivor groups based on prognosis. The mortality rate was 23.42%. Logistic regression was used to analyze the factors influencing the early neonatal death. The non-survivor groups showed more abdominal distension, vomiting, hypoxia, acidosis, hyperkalemia, and coagulation abnormalities. Serum potassium concentration (odds ratio [OR] 2.148, P = .043) was an independent risk factor; however, arterial partial pressure of oxygen (OR 0.977, P = .024), bicarbonate (OR 0.779, P = .023), and platelet count (OR 0.986, P = .014) had protective effects on neonatal death. Based on this, a visualized nomogram prediction model was constructed, patients who had a nomogram score of more than 163.787 was considered to have high risks of mortality, the area under the curve of this was up to 0.828 (95% confidence interval [0.733, 0.923]), the sensitivity was 80.0%, and the specificity was 76.9%.","container-title":"Clinical Pediatrics","DOI":"10.1177/00099228231201315","ISSN":"0009-9228","issue":"7","journalAbbreviation":"Clin Pediatr (Phila)","language":"EN","page":"986-994","publisher":"SAGE Publications Inc","source":"SAGE Journals","title":"Visualization of Risk Factors and Predictive Models for Early Death of Neonatal Gastric Perforation","volume":"63","author":[{"family":"Mengying","given":"Cui"},{"family":"Pengfei","given":"Chen"},{"family":"Jinfeng","given":"Hou"},{"family":"Yi","given":"Wang"},{"family":"Wei","given":"Liu"},{"family":"Zhenhua","given":"Guo"}],"issued":{"date-parts":[["2024",7,1]]}}}],"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[79]</w:t>
            </w:r>
            <w:r>
              <w:rPr>
                <w:rFonts w:ascii="Arial" w:eastAsia="Times New Roman" w:hAnsi="Arial" w:cs="Arial"/>
                <w:color w:val="000000"/>
                <w:sz w:val="12"/>
                <w:szCs w:val="12"/>
                <w:lang w:eastAsia="en-GB" w:bidi="th-TH"/>
              </w:rPr>
              <w:fldChar w:fldCharType="end"/>
            </w:r>
          </w:p>
        </w:tc>
      </w:tr>
      <w:tr w:rsidR="00871B31" w:rsidRPr="00756461" w14:paraId="6B5958E8"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0DFFFBA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Mieghem, et al. 2022</w:t>
            </w:r>
          </w:p>
        </w:tc>
        <w:tc>
          <w:tcPr>
            <w:tcW w:w="1054" w:type="dxa"/>
            <w:tcBorders>
              <w:top w:val="single" w:sz="4" w:space="0" w:color="888888"/>
              <w:left w:val="single" w:sz="4" w:space="0" w:color="888888"/>
              <w:bottom w:val="single" w:sz="4" w:space="0" w:color="888888"/>
              <w:right w:val="single" w:sz="4" w:space="0" w:color="888888"/>
            </w:tcBorders>
          </w:tcPr>
          <w:p w14:paraId="3066893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68A9EDD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Canada</w:t>
            </w:r>
          </w:p>
        </w:tc>
        <w:tc>
          <w:tcPr>
            <w:tcW w:w="786" w:type="dxa"/>
            <w:tcBorders>
              <w:top w:val="single" w:sz="4" w:space="0" w:color="888888"/>
              <w:left w:val="single" w:sz="4" w:space="0" w:color="888888"/>
              <w:bottom w:val="single" w:sz="4" w:space="0" w:color="888888"/>
              <w:right w:val="single" w:sz="4" w:space="0" w:color="888888"/>
            </w:tcBorders>
          </w:tcPr>
          <w:p w14:paraId="5A17726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Foetal death</w:t>
            </w:r>
          </w:p>
        </w:tc>
        <w:tc>
          <w:tcPr>
            <w:tcW w:w="786" w:type="dxa"/>
            <w:tcBorders>
              <w:top w:val="single" w:sz="4" w:space="0" w:color="888888"/>
              <w:left w:val="single" w:sz="4" w:space="0" w:color="888888"/>
              <w:bottom w:val="single" w:sz="4" w:space="0" w:color="888888"/>
              <w:right w:val="single" w:sz="4" w:space="0" w:color="888888"/>
            </w:tcBorders>
          </w:tcPr>
          <w:p w14:paraId="508BE26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 Identify risk factor</w:t>
            </w:r>
            <w:r>
              <w:rPr>
                <w:rFonts w:ascii="Arial" w:hAnsi="Arial" w:cs="Arial"/>
                <w:sz w:val="12"/>
                <w:szCs w:val="12"/>
              </w:rPr>
              <w:br/>
              <w:t>2. Model development</w:t>
            </w:r>
          </w:p>
        </w:tc>
        <w:tc>
          <w:tcPr>
            <w:tcW w:w="1051" w:type="dxa"/>
            <w:tcBorders>
              <w:top w:val="single" w:sz="4" w:space="0" w:color="888888"/>
              <w:left w:val="single" w:sz="4" w:space="0" w:color="888888"/>
              <w:bottom w:val="single" w:sz="4" w:space="0" w:color="888888"/>
              <w:right w:val="single" w:sz="4" w:space="0" w:color="888888"/>
            </w:tcBorders>
          </w:tcPr>
          <w:p w14:paraId="217A8515"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7450386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Gestational age</w:t>
            </w:r>
          </w:p>
          <w:p w14:paraId="449126C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Amniotic fluid / meconium</w:t>
            </w:r>
          </w:p>
          <w:p w14:paraId="0F898C4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Plurality (singleton/multiple)</w:t>
            </w:r>
          </w:p>
        </w:tc>
        <w:tc>
          <w:tcPr>
            <w:tcW w:w="851" w:type="dxa"/>
            <w:tcBorders>
              <w:top w:val="single" w:sz="4" w:space="0" w:color="888888"/>
              <w:left w:val="single" w:sz="4" w:space="0" w:color="888888"/>
              <w:bottom w:val="single" w:sz="4" w:space="0" w:color="888888"/>
              <w:right w:val="single" w:sz="4" w:space="0" w:color="888888"/>
            </w:tcBorders>
          </w:tcPr>
          <w:p w14:paraId="2AD6DCB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International database</w:t>
            </w:r>
          </w:p>
        </w:tc>
        <w:tc>
          <w:tcPr>
            <w:tcW w:w="851" w:type="dxa"/>
            <w:tcBorders>
              <w:top w:val="single" w:sz="4" w:space="0" w:color="888888"/>
              <w:left w:val="single" w:sz="4" w:space="0" w:color="888888"/>
              <w:bottom w:val="single" w:sz="4" w:space="0" w:color="888888"/>
              <w:right w:val="single" w:sz="4" w:space="0" w:color="888888"/>
            </w:tcBorders>
          </w:tcPr>
          <w:p w14:paraId="0FDEA51D"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6B70FF55"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690049C0"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4B1A3DE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 of 0.61 in the training set and 0.55 in the validation set (Suboptimal)</w:t>
            </w:r>
          </w:p>
        </w:tc>
        <w:tc>
          <w:tcPr>
            <w:tcW w:w="851" w:type="dxa"/>
            <w:tcBorders>
              <w:top w:val="single" w:sz="4" w:space="0" w:color="888888"/>
              <w:left w:val="single" w:sz="4" w:space="0" w:color="888888"/>
              <w:bottom w:val="single" w:sz="4" w:space="0" w:color="888888"/>
              <w:right w:val="single" w:sz="4" w:space="0" w:color="888888"/>
            </w:tcBorders>
          </w:tcPr>
          <w:p w14:paraId="48C61AD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w:t>
            </w:r>
          </w:p>
        </w:tc>
        <w:tc>
          <w:tcPr>
            <w:tcW w:w="817" w:type="dxa"/>
            <w:tcBorders>
              <w:top w:val="single" w:sz="4" w:space="0" w:color="888888"/>
              <w:left w:val="single" w:sz="4" w:space="0" w:color="888888"/>
              <w:bottom w:val="single" w:sz="4" w:space="0" w:color="888888"/>
              <w:right w:val="single" w:sz="4" w:space="0" w:color="888888"/>
            </w:tcBorders>
          </w:tcPr>
          <w:p w14:paraId="72FF917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517CCF1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308 twin pregnancies (616 foetuses)</w:t>
            </w:r>
          </w:p>
        </w:tc>
        <w:tc>
          <w:tcPr>
            <w:tcW w:w="851" w:type="dxa"/>
            <w:tcBorders>
              <w:top w:val="single" w:sz="4" w:space="0" w:color="888888"/>
              <w:left w:val="single" w:sz="4" w:space="0" w:color="888888"/>
              <w:bottom w:val="single" w:sz="4" w:space="0" w:color="888888"/>
              <w:right w:val="single" w:sz="4" w:space="0" w:color="888888"/>
            </w:tcBorders>
          </w:tcPr>
          <w:p w14:paraId="3C2149D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Not mentioned</w:t>
            </w:r>
          </w:p>
        </w:tc>
        <w:tc>
          <w:tcPr>
            <w:tcW w:w="1134" w:type="dxa"/>
            <w:tcBorders>
              <w:top w:val="single" w:sz="4" w:space="0" w:color="888888"/>
              <w:left w:val="single" w:sz="4" w:space="0" w:color="888888"/>
              <w:bottom w:val="single" w:sz="4" w:space="0" w:color="888888"/>
              <w:right w:val="single" w:sz="4" w:space="0" w:color="888888"/>
            </w:tcBorders>
          </w:tcPr>
          <w:p w14:paraId="641ACEEA"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50.0%</w:t>
            </w:r>
          </w:p>
        </w:tc>
        <w:tc>
          <w:tcPr>
            <w:tcW w:w="841" w:type="dxa"/>
            <w:tcBorders>
              <w:top w:val="single" w:sz="4" w:space="0" w:color="888888"/>
              <w:left w:val="single" w:sz="4" w:space="0" w:color="888888"/>
              <w:bottom w:val="single" w:sz="4" w:space="0" w:color="888888"/>
              <w:right w:val="single" w:sz="4" w:space="0" w:color="888888"/>
            </w:tcBorders>
          </w:tcPr>
          <w:p w14:paraId="7380D2FA"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Low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302AB735"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No information</w:t>
            </w:r>
          </w:p>
        </w:tc>
        <w:tc>
          <w:tcPr>
            <w:tcW w:w="442" w:type="dxa"/>
            <w:tcBorders>
              <w:top w:val="single" w:sz="4" w:space="0" w:color="888888"/>
              <w:left w:val="single" w:sz="4" w:space="0" w:color="888888"/>
              <w:bottom w:val="single" w:sz="4" w:space="0" w:color="888888"/>
              <w:right w:val="single" w:sz="4" w:space="0" w:color="888888"/>
            </w:tcBorders>
          </w:tcPr>
          <w:p w14:paraId="71C345CA"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{"citationID":"1hq58a5y","properties":{"formattedCitation":"[80]","plainCitation":"[80]","noteIndex":0},"citationItems":[{"id":"b2OWig5M/rw997Lwy","uris":["http://zotero.org/users/18230940/items/JFRYJPJW"],"itemData":{"id":769,"type":"article-journal","abstract":"OBJECTIVE: Monochorionic diamniotic twin pregnancies complicated by Type-III selective fetal growth restriction (sFGR) are at high risk of fetal death. The aim of this study was to identify predictors of fetal death in these pregnancies.\nMETHODS: This was an international multicenter retrospective cohort study. Type-III sFGR was defined as fetal estimated fetal weight (EFW) of one twin below the 10th percentile and intertwin EFW discordance of ≥25% in combination with intermittent absent or reversed end-diastolic flow in the umbilical artery of the smaller fetus. Predictors of fetal death were recorded longitudinally throughout gestation and assessed in univariable and multivariable logistic regression models. The classification and regression trees (CART) method was used to construct a prediction model of fetal death using significant predictors derived from the univariable analysis.\nRESULTS: A total of 308 twin pregnancies (616 fetuses) were included in the analysis. In 273 (88.6%) pregnancies, both twins were liveborn, whereas 35 pregnancies had single (n=19 (6.2%)) or double (n=16 (5.2%)) fetal death. On univariable analysis, earlier gestational age at diagnosis of Type-III sFGR, oligohydramnios in the smaller twin and deterioration in umbilical artery Doppler flow were associated with an increased risk of fetal death, as was larger fetal EFW discordance, particularly between 24 and 32weeks' gestation. None of the parameters identified on univariable analysis maintained statistical significance on multivariable analysis. The CART model allowed us to identify three risk groups: a low-risk group (6.8% risk of fetal death), in which umbilical artery Doppler did not deteriorate; an intermediate-risk group (16.3% risk of fetal death), in which umbilical artery Doppler deteriorated but the diagnosis of sFGR was made at or after 16+5weeks' gestation; and a high-risk group (58.3% risk of fetal death), in which umbilical artery Doppler deteriorated and gestational age at diagnosis was &lt;16+5weeks' gestation.\nCONCLUSIONS: Type-III sFGR is associated with a high risk of fetal death. A prediction algorithm can help to identify the highest-risk group, which is characterized by Doppler deterioration and early referral. Further studies should investigate the potential benefit of fetal surveillance and intervention in this cohort. © 2022 International Society of Ultrasound in Obstetrics and Gynecology.","container-title":"Ultrasound in Obstetrics &amp; Gynecology: The Official Journal of the International Society of Ultrasound in Obstetrics and Gynecology","DOI":"10.1002/uog.24896","ISSN":"1469-0705","issue":"6","journalAbbreviation":"Ultrasound Obstet Gynecol","language":"eng","page":"756-762","PMID":"35258125","source":"PubMed","title":"Prediction of fetal death in monochorionic twin pregnancies complicated by Type-III selective fetal growth restriction","volume":"59","author":[{"family":"Van Mieghem","given":"T."},{"family":"Lewi","given":"L."},{"family":"Slaghekke","given":"F."},{"family":"Lopriore","given":"E."},{"family":"Yinon","given":"Y."},{"family":"Raio","given":"L."},{"family":"Baud","given":"D."},{"family":"Dekoninck","given":"P."},{"family":"Melamed","given":"N."},{"family":"Huszti","given":"E."},{"family":"Sun","given":"L."},{"family":"Shinar","given":"S."},{"literal":"Collaborators"}],"issued":{"date-parts":[["2022",6]]}}}],"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[80]</w:t>
            </w:r>
            <w:r>
              <w:rPr>
                <w:rFonts w:ascii="Arial" w:eastAsia="Times New Roman" w:hAnsi="Arial" w:cs="Arial"/>
                <w:color w:val="000000"/>
                <w:sz w:val="12"/>
                <w:szCs w:val="12"/>
                <w:lang w:eastAsia="en-GB" w:bidi="th-TH"/>
              </w:rPr>
              <w:fldChar w:fldCharType="end"/>
            </w:r>
          </w:p>
        </w:tc>
      </w:tr>
      <w:tr w:rsidR="00871B31" w:rsidRPr="00756461" w14:paraId="76AE5A2A"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5DB4A64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Monfared, et al. 2023</w:t>
            </w:r>
          </w:p>
        </w:tc>
        <w:tc>
          <w:tcPr>
            <w:tcW w:w="1054" w:type="dxa"/>
            <w:tcBorders>
              <w:top w:val="single" w:sz="4" w:space="0" w:color="888888"/>
              <w:left w:val="single" w:sz="4" w:space="0" w:color="888888"/>
              <w:bottom w:val="single" w:sz="4" w:space="0" w:color="888888"/>
              <w:right w:val="single" w:sz="4" w:space="0" w:color="888888"/>
            </w:tcBorders>
          </w:tcPr>
          <w:p w14:paraId="765CD91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6300867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Iran</w:t>
            </w:r>
          </w:p>
        </w:tc>
        <w:tc>
          <w:tcPr>
            <w:tcW w:w="786" w:type="dxa"/>
            <w:tcBorders>
              <w:top w:val="single" w:sz="4" w:space="0" w:color="888888"/>
              <w:left w:val="single" w:sz="4" w:space="0" w:color="888888"/>
              <w:bottom w:val="single" w:sz="4" w:space="0" w:color="888888"/>
              <w:right w:val="single" w:sz="4" w:space="0" w:color="888888"/>
            </w:tcBorders>
          </w:tcPr>
          <w:p w14:paraId="2633780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Neonatal mortality</w:t>
            </w:r>
          </w:p>
        </w:tc>
        <w:tc>
          <w:tcPr>
            <w:tcW w:w="786" w:type="dxa"/>
            <w:tcBorders>
              <w:top w:val="single" w:sz="4" w:space="0" w:color="888888"/>
              <w:left w:val="single" w:sz="4" w:space="0" w:color="888888"/>
              <w:bottom w:val="single" w:sz="4" w:space="0" w:color="888888"/>
              <w:right w:val="single" w:sz="4" w:space="0" w:color="888888"/>
            </w:tcBorders>
          </w:tcPr>
          <w:p w14:paraId="1F911EA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 Model development</w:t>
            </w:r>
            <w:r>
              <w:rPr>
                <w:rFonts w:ascii="Arial" w:hAnsi="Arial" w:cs="Arial"/>
                <w:sz w:val="12"/>
                <w:szCs w:val="12"/>
              </w:rPr>
              <w:br/>
              <w:t>2. Model evaluation</w:t>
            </w:r>
          </w:p>
        </w:tc>
        <w:tc>
          <w:tcPr>
            <w:tcW w:w="1051" w:type="dxa"/>
            <w:tcBorders>
              <w:top w:val="single" w:sz="4" w:space="0" w:color="888888"/>
              <w:left w:val="single" w:sz="4" w:space="0" w:color="888888"/>
              <w:bottom w:val="single" w:sz="4" w:space="0" w:color="888888"/>
              <w:right w:val="single" w:sz="4" w:space="0" w:color="888888"/>
            </w:tcBorders>
          </w:tcPr>
          <w:p w14:paraId="1D51D2A6"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670AE5F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Gestational age</w:t>
            </w:r>
          </w:p>
          <w:p w14:paraId="2824653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Birth weight</w:t>
            </w:r>
          </w:p>
          <w:p w14:paraId="174C6CF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APGAR score</w:t>
            </w:r>
          </w:p>
        </w:tc>
        <w:tc>
          <w:tcPr>
            <w:tcW w:w="851" w:type="dxa"/>
            <w:tcBorders>
              <w:top w:val="single" w:sz="4" w:space="0" w:color="888888"/>
              <w:left w:val="single" w:sz="4" w:space="0" w:color="888888"/>
              <w:bottom w:val="single" w:sz="4" w:space="0" w:color="888888"/>
              <w:right w:val="single" w:sz="4" w:space="0" w:color="888888"/>
            </w:tcBorders>
          </w:tcPr>
          <w:p w14:paraId="69FDF69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4EEA8A33"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16C4A3F7"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10D3019E"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09F1B76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XGBClassifier model demonstrated the best performance with an F1-Score of 91.50%, followed by Random Forest at 90.45% and SVM at 90.35%</w:t>
            </w:r>
          </w:p>
        </w:tc>
        <w:tc>
          <w:tcPr>
            <w:tcW w:w="851" w:type="dxa"/>
            <w:tcBorders>
              <w:top w:val="single" w:sz="4" w:space="0" w:color="888888"/>
              <w:left w:val="single" w:sz="4" w:space="0" w:color="888888"/>
              <w:bottom w:val="single" w:sz="4" w:space="0" w:color="888888"/>
              <w:right w:val="single" w:sz="4" w:space="0" w:color="888888"/>
            </w:tcBorders>
          </w:tcPr>
          <w:p w14:paraId="1916D72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F1-score</w:t>
            </w:r>
          </w:p>
        </w:tc>
        <w:tc>
          <w:tcPr>
            <w:tcW w:w="817" w:type="dxa"/>
            <w:tcBorders>
              <w:top w:val="single" w:sz="4" w:space="0" w:color="888888"/>
              <w:left w:val="single" w:sz="4" w:space="0" w:color="888888"/>
              <w:bottom w:val="single" w:sz="4" w:space="0" w:color="888888"/>
              <w:right w:val="single" w:sz="4" w:space="0" w:color="888888"/>
            </w:tcBorders>
          </w:tcPr>
          <w:p w14:paraId="1C496F2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4839FF8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1,610 preterm infants born between 26 and 37 weeks of gestation</w:t>
            </w:r>
          </w:p>
        </w:tc>
        <w:tc>
          <w:tcPr>
            <w:tcW w:w="851" w:type="dxa"/>
            <w:tcBorders>
              <w:top w:val="single" w:sz="4" w:space="0" w:color="888888"/>
              <w:left w:val="single" w:sz="4" w:space="0" w:color="888888"/>
              <w:bottom w:val="single" w:sz="4" w:space="0" w:color="888888"/>
              <w:right w:val="single" w:sz="4" w:space="0" w:color="888888"/>
            </w:tcBorders>
          </w:tcPr>
          <w:p w14:paraId="740D18D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study received no financial support</w:t>
            </w:r>
          </w:p>
        </w:tc>
        <w:tc>
          <w:tcPr>
            <w:tcW w:w="1134" w:type="dxa"/>
            <w:tcBorders>
              <w:top w:val="single" w:sz="4" w:space="0" w:color="888888"/>
              <w:left w:val="single" w:sz="4" w:space="0" w:color="888888"/>
              <w:bottom w:val="single" w:sz="4" w:space="0" w:color="888888"/>
              <w:right w:val="single" w:sz="4" w:space="0" w:color="888888"/>
            </w:tcBorders>
          </w:tcPr>
          <w:p w14:paraId="357EC36D"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40.0%</w:t>
            </w:r>
          </w:p>
        </w:tc>
        <w:tc>
          <w:tcPr>
            <w:tcW w:w="841" w:type="dxa"/>
            <w:tcBorders>
              <w:top w:val="single" w:sz="4" w:space="0" w:color="888888"/>
              <w:left w:val="single" w:sz="4" w:space="0" w:color="888888"/>
              <w:bottom w:val="single" w:sz="4" w:space="0" w:color="888888"/>
              <w:right w:val="single" w:sz="4" w:space="0" w:color="888888"/>
            </w:tcBorders>
          </w:tcPr>
          <w:p w14:paraId="5B1C05D6"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Low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5D18C964"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No information</w:t>
            </w:r>
          </w:p>
        </w:tc>
        <w:tc>
          <w:tcPr>
            <w:tcW w:w="442" w:type="dxa"/>
            <w:tcBorders>
              <w:top w:val="single" w:sz="4" w:space="0" w:color="888888"/>
              <w:left w:val="single" w:sz="4" w:space="0" w:color="888888"/>
              <w:bottom w:val="single" w:sz="4" w:space="0" w:color="888888"/>
              <w:right w:val="single" w:sz="4" w:space="0" w:color="888888"/>
            </w:tcBorders>
          </w:tcPr>
          <w:p w14:paraId="1AF2FBB0"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{"citationID":"DRdRrrZ1","properties":{"formattedCitation":"[81]","plainCitation":"[81]","noteIndex":0},"citationItems":[{"id":"b2OWig5M/gqFMUsRo","uris":["http://zotero.org/users/18230940/items/BE5A69SK"],"itemData":{"id":771,"type":"article","abstract":"Prediction analysis of preterm neonate mortality is necessary and significant for benchmarking and evaluating healthcare services in Hospitals and other medical centers. Application of artificial intelligence and machine learning models, which is a hot topic in medicine/healthcare and engineering, may improve physicians’ skill to predict the preterm neonatal deaths. The main purpose of this research article is to introduce a preterm neonatal mortality risk prediction by means of machine learning/ML predictive models to survive infants using supervised ML models if possible. Moreover, this paper presents some effective parameters and features which affect to survive the infants directly. It means, the obtained model has an accuracy of about 91.5% to predict the status of infant after delivery. After recognizing the critical status for an infant, physicians and other healthcare personnel can help to infant for possible surviving using special medical NICU cares. It has been tried to get some suitable models with high accuracy and comparing the results. In a word, a survival prediction analysis of preterm neonate mortality has been carried out using machine learning methods via Python programming (possible surviving infants after delivery in the hospital).","DOI":"10.1101/2023.01.20.524905","language":"en","license":"© 2024, Posted by Cold Spring Harbor Laboratory. This pre-print is available under a Creative Commons License (Attribution-NoDerivs 4.0 International), CC BY-ND 4.0, as described at http://creativecommons.org/licenses/by-nd/4.0/","note":"page: 2023.01.20.524905\nsection: New Results","publisher":"bioRxiv","source":"bioRxiv","title":"Prediction Analysis of Preterm Neonates Mortality using Machine Learning Algorithms via Python Programming","URL":"https://www.biorxiv.org/content/10.1101/2023.01.20.524905v3","author":[{"family":"Monfared","given":"Vahid"},{"family":"Hashemi","given":"Afkham"}],"accessed":{"date-parts":[["2026",2,19]]},"issued":{"date-parts":[["2024",8,22]]}}}],"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[81]</w:t>
            </w:r>
            <w:r>
              <w:rPr>
                <w:rFonts w:ascii="Arial" w:eastAsia="Times New Roman" w:hAnsi="Arial" w:cs="Arial"/>
                <w:color w:val="000000"/>
                <w:sz w:val="12"/>
                <w:szCs w:val="12"/>
                <w:lang w:eastAsia="en-GB" w:bidi="th-TH"/>
              </w:rPr>
              <w:fldChar w:fldCharType="end"/>
            </w:r>
          </w:p>
        </w:tc>
      </w:tr>
      <w:tr w:rsidR="00871B31" w:rsidRPr="00756461" w14:paraId="22282BC7"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19C5E53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Narayan, et al. 2025</w:t>
            </w:r>
          </w:p>
        </w:tc>
        <w:tc>
          <w:tcPr>
            <w:tcW w:w="1054" w:type="dxa"/>
            <w:tcBorders>
              <w:top w:val="single" w:sz="4" w:space="0" w:color="888888"/>
              <w:left w:val="single" w:sz="4" w:space="0" w:color="888888"/>
              <w:bottom w:val="single" w:sz="4" w:space="0" w:color="888888"/>
              <w:right w:val="single" w:sz="4" w:space="0" w:color="888888"/>
            </w:tcBorders>
          </w:tcPr>
          <w:p w14:paraId="57F6138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Case-control study</w:t>
            </w:r>
          </w:p>
        </w:tc>
        <w:tc>
          <w:tcPr>
            <w:tcW w:w="742" w:type="dxa"/>
            <w:tcBorders>
              <w:top w:val="single" w:sz="4" w:space="0" w:color="888888"/>
              <w:left w:val="single" w:sz="4" w:space="0" w:color="888888"/>
              <w:bottom w:val="single" w:sz="4" w:space="0" w:color="888888"/>
              <w:right w:val="single" w:sz="4" w:space="0" w:color="888888"/>
            </w:tcBorders>
          </w:tcPr>
          <w:p w14:paraId="165787D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India</w:t>
            </w:r>
          </w:p>
        </w:tc>
        <w:tc>
          <w:tcPr>
            <w:tcW w:w="786" w:type="dxa"/>
            <w:tcBorders>
              <w:top w:val="single" w:sz="4" w:space="0" w:color="888888"/>
              <w:left w:val="single" w:sz="4" w:space="0" w:color="888888"/>
              <w:bottom w:val="single" w:sz="4" w:space="0" w:color="888888"/>
              <w:right w:val="single" w:sz="4" w:space="0" w:color="888888"/>
            </w:tcBorders>
          </w:tcPr>
          <w:p w14:paraId="3702471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Foetal death</w:t>
            </w:r>
          </w:p>
        </w:tc>
        <w:tc>
          <w:tcPr>
            <w:tcW w:w="786" w:type="dxa"/>
            <w:tcBorders>
              <w:top w:val="single" w:sz="4" w:space="0" w:color="888888"/>
              <w:left w:val="single" w:sz="4" w:space="0" w:color="888888"/>
              <w:bottom w:val="single" w:sz="4" w:space="0" w:color="888888"/>
              <w:right w:val="single" w:sz="4" w:space="0" w:color="888888"/>
            </w:tcBorders>
          </w:tcPr>
          <w:p w14:paraId="6D6E72A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comparison</w:t>
            </w:r>
          </w:p>
        </w:tc>
        <w:tc>
          <w:tcPr>
            <w:tcW w:w="1051" w:type="dxa"/>
            <w:tcBorders>
              <w:top w:val="single" w:sz="4" w:space="0" w:color="888888"/>
              <w:left w:val="single" w:sz="4" w:space="0" w:color="888888"/>
              <w:bottom w:val="single" w:sz="4" w:space="0" w:color="888888"/>
              <w:right w:val="single" w:sz="4" w:space="0" w:color="888888"/>
            </w:tcBorders>
          </w:tcPr>
          <w:p w14:paraId="41326CEE"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4689B9B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body mass index</w:t>
            </w:r>
          </w:p>
          <w:p w14:paraId="2CA6270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Blood pressure</w:t>
            </w:r>
          </w:p>
          <w:p w14:paraId="7D33FBF3"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4E55934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Umbilical artery Doppler</w:t>
            </w:r>
          </w:p>
          <w:p w14:paraId="43FF401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Amniotic fluid / meconium</w:t>
            </w:r>
          </w:p>
        </w:tc>
        <w:tc>
          <w:tcPr>
            <w:tcW w:w="851" w:type="dxa"/>
            <w:tcBorders>
              <w:top w:val="single" w:sz="4" w:space="0" w:color="888888"/>
              <w:left w:val="single" w:sz="4" w:space="0" w:color="888888"/>
              <w:bottom w:val="single" w:sz="4" w:space="0" w:color="888888"/>
              <w:right w:val="single" w:sz="4" w:space="0" w:color="888888"/>
            </w:tcBorders>
          </w:tcPr>
          <w:p w14:paraId="324A888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7064522C"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53B1457D"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52C3AEA4"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992" w:type="dxa"/>
            <w:tcBorders>
              <w:top w:val="single" w:sz="4" w:space="0" w:color="888888"/>
              <w:left w:val="single" w:sz="4" w:space="0" w:color="888888"/>
              <w:bottom w:val="single" w:sz="4" w:space="0" w:color="888888"/>
              <w:right w:val="single" w:sz="4" w:space="0" w:color="888888"/>
            </w:tcBorders>
          </w:tcPr>
          <w:p w14:paraId="380FA87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Random Forest model demonstrated the best performance, achieving an accuracy of 92.1%, sensitivity of 90.0%, and an Area Under the Curve (AUC) of 0.94</w:t>
            </w:r>
          </w:p>
        </w:tc>
        <w:tc>
          <w:tcPr>
            <w:tcW w:w="851" w:type="dxa"/>
            <w:tcBorders>
              <w:top w:val="single" w:sz="4" w:space="0" w:color="888888"/>
              <w:left w:val="single" w:sz="4" w:space="0" w:color="888888"/>
              <w:bottom w:val="single" w:sz="4" w:space="0" w:color="888888"/>
              <w:right w:val="single" w:sz="4" w:space="0" w:color="888888"/>
            </w:tcBorders>
          </w:tcPr>
          <w:p w14:paraId="4BBDA8E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 Sensitivity, Accuracy</w:t>
            </w:r>
          </w:p>
        </w:tc>
        <w:tc>
          <w:tcPr>
            <w:tcW w:w="817" w:type="dxa"/>
            <w:tcBorders>
              <w:top w:val="single" w:sz="4" w:space="0" w:color="888888"/>
              <w:left w:val="single" w:sz="4" w:space="0" w:color="888888"/>
              <w:bottom w:val="single" w:sz="4" w:space="0" w:color="888888"/>
              <w:right w:val="single" w:sz="4" w:space="0" w:color="888888"/>
            </w:tcBorders>
          </w:tcPr>
          <w:p w14:paraId="4604918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3851024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500 pregnancies, which were divided into 250 IUFD cases and 250 matched controls</w:t>
            </w:r>
          </w:p>
        </w:tc>
        <w:tc>
          <w:tcPr>
            <w:tcW w:w="851" w:type="dxa"/>
            <w:tcBorders>
              <w:top w:val="single" w:sz="4" w:space="0" w:color="888888"/>
              <w:left w:val="single" w:sz="4" w:space="0" w:color="888888"/>
              <w:bottom w:val="single" w:sz="4" w:space="0" w:color="888888"/>
              <w:right w:val="single" w:sz="4" w:space="0" w:color="888888"/>
            </w:tcBorders>
          </w:tcPr>
          <w:p w14:paraId="16D123C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paper does not contain any information regarding funding sources.</w:t>
            </w:r>
          </w:p>
        </w:tc>
        <w:tc>
          <w:tcPr>
            <w:tcW w:w="1134" w:type="dxa"/>
            <w:tcBorders>
              <w:top w:val="single" w:sz="4" w:space="0" w:color="888888"/>
              <w:left w:val="single" w:sz="4" w:space="0" w:color="888888"/>
              <w:bottom w:val="single" w:sz="4" w:space="0" w:color="888888"/>
              <w:right w:val="single" w:sz="4" w:space="0" w:color="888888"/>
            </w:tcBorders>
          </w:tcPr>
          <w:p w14:paraId="705655CB"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57.1%</w:t>
            </w:r>
          </w:p>
        </w:tc>
        <w:tc>
          <w:tcPr>
            <w:tcW w:w="841" w:type="dxa"/>
            <w:tcBorders>
              <w:top w:val="single" w:sz="4" w:space="0" w:color="888888"/>
              <w:left w:val="single" w:sz="4" w:space="0" w:color="888888"/>
              <w:bottom w:val="single" w:sz="4" w:space="0" w:color="888888"/>
              <w:right w:val="single" w:sz="4" w:space="0" w:color="888888"/>
            </w:tcBorders>
          </w:tcPr>
          <w:p w14:paraId="3B26380B"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Unclear risk</w:t>
            </w:r>
            <w:r>
              <w:rPr>
                <w:rFonts w:ascii="Arial" w:hAnsi="Arial" w:cs="Arial"/>
                <w:color w:val="000000"/>
                <w:sz w:val="12"/>
                <w:szCs w:val="12"/>
              </w:rPr>
              <w:br/>
              <w:t>D4: Low risk</w:t>
            </w:r>
          </w:p>
        </w:tc>
        <w:tc>
          <w:tcPr>
            <w:tcW w:w="860" w:type="dxa"/>
            <w:tcBorders>
              <w:top w:val="single" w:sz="4" w:space="0" w:color="888888"/>
              <w:left w:val="single" w:sz="4" w:space="0" w:color="888888"/>
              <w:bottom w:val="single" w:sz="4" w:space="0" w:color="888888"/>
              <w:right w:val="single" w:sz="4" w:space="0" w:color="888888"/>
            </w:tcBorders>
          </w:tcPr>
          <w:p w14:paraId="4440DC08"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No information</w:t>
            </w:r>
          </w:p>
        </w:tc>
        <w:tc>
          <w:tcPr>
            <w:tcW w:w="442" w:type="dxa"/>
            <w:tcBorders>
              <w:top w:val="single" w:sz="4" w:space="0" w:color="888888"/>
              <w:left w:val="single" w:sz="4" w:space="0" w:color="888888"/>
              <w:bottom w:val="single" w:sz="4" w:space="0" w:color="888888"/>
              <w:right w:val="single" w:sz="4" w:space="0" w:color="888888"/>
            </w:tcBorders>
          </w:tcPr>
          <w:p w14:paraId="0745F72D"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{"citationID":"KQqbalMz","properties":{"formattedCitation":"[82]","plainCitation":"[82]","noteIndex":0},"citationItems":[{"id":"b2OWig5M/G65Je2QQ","uris":["http://zotero.org/users/18230940/items/FWNXUTW2"],"itemData":{"id":774,"type":"article-journal","abstract":"Intrauterine Fetal Demise (IUFD) remains a major cause of perinatal mortality, often occurring unexpectedly despite routine antenatal surveillance. Traditional clinical and imaging parameters are limited in their predictive precision, underscoring the need for advanced analytical frameworks. This study investigates the role of Artificial Intelligence (AI) in predicting IUFD through a case-control design involving 500 pregnancies (250 IUFD cases and 250 matched controls). Clinical, biochemical, and ultrasonographic parameters such as maternal age, body mass index, blood pressure, fetal heart rate variability, Doppler indices, and placental characteristics were analyzed. Machine learning models including Logistic Regression, Random Forest, and Gradient Boosting were trained to classify IUFD risk using retrospective hospital data. The Random Forest model achieved the highest performance with an accuracy of 92%, sensitivity of 90%, and an area under the curve (AUC) of 0.94. Key predictors identified included abnormal Doppler flow ratios, reduced fetal movement scores, and elevated maternal diastolic pressure. These findings demonstrate that AI-based predictive modeling can provide significant clinical insights, allowing for early risk stratification and targeted interventions. Integrating AI into obstetric care could transform fetal monitoring from reactive diagnosis to proactive prevention, ultimately reducing fetal mortality in high-risk pregnancies.","container-title":"Vascular and Endovascular Review","issue":"9s","language":"en","page":"58-65","source":"verjournal.com","title":"The Role of Artificial Intelligence in Predicting Intrauterine Fetal Demise: A Case-Control Study","title-short":"The Role of Artificial Intelligence in Predicting Intrauterine Fetal Demise","volume":"8","author":[{"family":"Narayan","given":"Yogendra"},{"family":"Jindal","given":"Dr Nidhi"},{"family":"Ramya","given":"Dr C."},{"family":"A","given":"Dr Mosses"},{"family":"Sathiya","given":"Dr R. D."}],"issued":{"date-parts":[["2025",11,14]]}}}],"schema":"https://github.com/citation-style-language/schema/raw/master/csl-citation.json"}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[82]</w:t>
            </w:r>
            <w:r>
              <w:rPr>
                <w:rFonts w:ascii="Arial" w:eastAsia="Times New Roman" w:hAnsi="Arial" w:cs="Arial"/>
                <w:color w:val="000000"/>
                <w:sz w:val="12"/>
                <w:szCs w:val="12"/>
                <w:lang w:eastAsia="en-GB" w:bidi="th-TH"/>
              </w:rPr>
              <w:fldChar w:fldCharType="end"/>
            </w:r>
          </w:p>
        </w:tc>
      </w:tr>
      <w:tr w:rsidR="00871B31" w:rsidRPr="00756461" w14:paraId="3C2D35FC"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7A242E2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Ngusie, et al. 2024</w:t>
            </w:r>
          </w:p>
        </w:tc>
        <w:tc>
          <w:tcPr>
            <w:tcW w:w="1054" w:type="dxa"/>
            <w:tcBorders>
              <w:top w:val="single" w:sz="4" w:space="0" w:color="888888"/>
              <w:left w:val="single" w:sz="4" w:space="0" w:color="888888"/>
              <w:bottom w:val="single" w:sz="4" w:space="0" w:color="888888"/>
              <w:right w:val="single" w:sz="4" w:space="0" w:color="888888"/>
            </w:tcBorders>
          </w:tcPr>
          <w:p w14:paraId="590ABB1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0BB790F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26 Sub-Saharan African countries</w:t>
            </w:r>
          </w:p>
        </w:tc>
        <w:tc>
          <w:tcPr>
            <w:tcW w:w="786" w:type="dxa"/>
            <w:tcBorders>
              <w:top w:val="single" w:sz="4" w:space="0" w:color="888888"/>
              <w:left w:val="single" w:sz="4" w:space="0" w:color="888888"/>
              <w:bottom w:val="single" w:sz="4" w:space="0" w:color="888888"/>
              <w:right w:val="single" w:sz="4" w:space="0" w:color="888888"/>
            </w:tcBorders>
          </w:tcPr>
          <w:p w14:paraId="1C40E4A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w:t>
            </w:r>
          </w:p>
        </w:tc>
        <w:tc>
          <w:tcPr>
            <w:tcW w:w="786" w:type="dxa"/>
            <w:tcBorders>
              <w:top w:val="single" w:sz="4" w:space="0" w:color="888888"/>
              <w:left w:val="single" w:sz="4" w:space="0" w:color="888888"/>
              <w:bottom w:val="single" w:sz="4" w:space="0" w:color="888888"/>
              <w:right w:val="single" w:sz="4" w:space="0" w:color="888888"/>
            </w:tcBorders>
          </w:tcPr>
          <w:p w14:paraId="0091298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development</w:t>
            </w:r>
          </w:p>
        </w:tc>
        <w:tc>
          <w:tcPr>
            <w:tcW w:w="1051" w:type="dxa"/>
            <w:tcBorders>
              <w:top w:val="single" w:sz="4" w:space="0" w:color="888888"/>
              <w:left w:val="single" w:sz="4" w:space="0" w:color="888888"/>
              <w:bottom w:val="single" w:sz="4" w:space="0" w:color="888888"/>
              <w:right w:val="single" w:sz="4" w:space="0" w:color="888888"/>
            </w:tcBorders>
          </w:tcPr>
          <w:p w14:paraId="5BF3A6E4"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2D565A2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Parity</w:t>
            </w:r>
          </w:p>
          <w:p w14:paraId="64CDBA5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Antenatal care visits</w:t>
            </w:r>
          </w:p>
        </w:tc>
        <w:tc>
          <w:tcPr>
            <w:tcW w:w="851" w:type="dxa"/>
            <w:tcBorders>
              <w:top w:val="single" w:sz="4" w:space="0" w:color="888888"/>
              <w:left w:val="single" w:sz="4" w:space="0" w:color="888888"/>
              <w:bottom w:val="single" w:sz="4" w:space="0" w:color="888888"/>
              <w:right w:val="single" w:sz="4" w:space="0" w:color="888888"/>
            </w:tcBorders>
          </w:tcPr>
          <w:p w14:paraId="4371DD6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Population/ Registry</w:t>
            </w:r>
          </w:p>
        </w:tc>
        <w:tc>
          <w:tcPr>
            <w:tcW w:w="851" w:type="dxa"/>
            <w:tcBorders>
              <w:top w:val="single" w:sz="4" w:space="0" w:color="888888"/>
              <w:left w:val="single" w:sz="4" w:space="0" w:color="888888"/>
              <w:bottom w:val="single" w:sz="4" w:space="0" w:color="888888"/>
              <w:right w:val="single" w:sz="4" w:space="0" w:color="888888"/>
            </w:tcBorders>
          </w:tcPr>
          <w:p w14:paraId="02480E7E"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2160A93A"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1448EB6B"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992" w:type="dxa"/>
            <w:tcBorders>
              <w:top w:val="single" w:sz="4" w:space="0" w:color="888888"/>
              <w:left w:val="single" w:sz="4" w:space="0" w:color="888888"/>
              <w:bottom w:val="single" w:sz="4" w:space="0" w:color="888888"/>
              <w:right w:val="single" w:sz="4" w:space="0" w:color="888888"/>
            </w:tcBorders>
          </w:tcPr>
          <w:p w14:paraId="4C7C2E1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Random forest model emerged as the top-performing machine learning algorithm, with an AUC of 0.95 and an accuracy of 88.0%. The key risk factors identified were home deliveries, lack of prenatal iron supplementation, fewer than four antenatal care (ANC) </w:t>
            </w:r>
            <w:r>
              <w:rPr>
                <w:rFonts w:ascii="Arial" w:hAnsi="Arial" w:cs="Arial"/>
                <w:sz w:val="12"/>
                <w:szCs w:val="12"/>
              </w:rPr>
              <w:lastRenderedPageBreak/>
              <w:t>visits, short and long delivery intervals, unwanted pregnancy, primiparous mothers, and geographic location in the West African region.</w:t>
            </w:r>
          </w:p>
        </w:tc>
        <w:tc>
          <w:tcPr>
            <w:tcW w:w="851" w:type="dxa"/>
            <w:tcBorders>
              <w:top w:val="single" w:sz="4" w:space="0" w:color="888888"/>
              <w:left w:val="single" w:sz="4" w:space="0" w:color="888888"/>
              <w:bottom w:val="single" w:sz="4" w:space="0" w:color="888888"/>
              <w:right w:val="single" w:sz="4" w:space="0" w:color="888888"/>
            </w:tcBorders>
          </w:tcPr>
          <w:p w14:paraId="530096A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AUC, Accuracy</w:t>
            </w:r>
          </w:p>
        </w:tc>
        <w:tc>
          <w:tcPr>
            <w:tcW w:w="817" w:type="dxa"/>
            <w:tcBorders>
              <w:top w:val="single" w:sz="4" w:space="0" w:color="888888"/>
              <w:left w:val="single" w:sz="4" w:space="0" w:color="888888"/>
              <w:bottom w:val="single" w:sz="4" w:space="0" w:color="888888"/>
              <w:right w:val="single" w:sz="4" w:space="0" w:color="888888"/>
            </w:tcBorders>
          </w:tcPr>
          <w:p w14:paraId="58A1236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38D89F0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139659</w:t>
            </w:r>
          </w:p>
        </w:tc>
        <w:tc>
          <w:tcPr>
            <w:tcW w:w="851" w:type="dxa"/>
            <w:tcBorders>
              <w:top w:val="single" w:sz="4" w:space="0" w:color="888888"/>
              <w:left w:val="single" w:sz="4" w:space="0" w:color="888888"/>
              <w:bottom w:val="single" w:sz="4" w:space="0" w:color="888888"/>
              <w:right w:val="single" w:sz="4" w:space="0" w:color="888888"/>
            </w:tcBorders>
          </w:tcPr>
          <w:p w14:paraId="6959C39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No specific funding for this work.</w:t>
            </w:r>
          </w:p>
        </w:tc>
        <w:tc>
          <w:tcPr>
            <w:tcW w:w="1134" w:type="dxa"/>
            <w:tcBorders>
              <w:top w:val="single" w:sz="4" w:space="0" w:color="888888"/>
              <w:left w:val="single" w:sz="4" w:space="0" w:color="888888"/>
              <w:bottom w:val="single" w:sz="4" w:space="0" w:color="888888"/>
              <w:right w:val="single" w:sz="4" w:space="0" w:color="888888"/>
            </w:tcBorders>
          </w:tcPr>
          <w:p w14:paraId="33B1F903"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60.0%</w:t>
            </w:r>
          </w:p>
        </w:tc>
        <w:tc>
          <w:tcPr>
            <w:tcW w:w="841" w:type="dxa"/>
            <w:tcBorders>
              <w:top w:val="single" w:sz="4" w:space="0" w:color="888888"/>
              <w:left w:val="single" w:sz="4" w:space="0" w:color="888888"/>
              <w:bottom w:val="single" w:sz="4" w:space="0" w:color="888888"/>
              <w:right w:val="single" w:sz="4" w:space="0" w:color="888888"/>
            </w:tcBorders>
          </w:tcPr>
          <w:p w14:paraId="4DAAAA8D"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High risk</w:t>
            </w:r>
            <w:r>
              <w:rPr>
                <w:rFonts w:ascii="Arial" w:hAnsi="Arial" w:cs="Arial"/>
                <w:color w:val="000000"/>
                <w:sz w:val="12"/>
                <w:szCs w:val="12"/>
              </w:rPr>
              <w:br/>
              <w:t>D3: High risk</w:t>
            </w:r>
            <w:r>
              <w:rPr>
                <w:rFonts w:ascii="Arial" w:hAnsi="Arial" w:cs="Arial"/>
                <w:color w:val="000000"/>
                <w:sz w:val="12"/>
                <w:szCs w:val="12"/>
              </w:rPr>
              <w:br/>
              <w:t>D4: Low risk</w:t>
            </w:r>
          </w:p>
        </w:tc>
        <w:tc>
          <w:tcPr>
            <w:tcW w:w="860" w:type="dxa"/>
            <w:tcBorders>
              <w:top w:val="single" w:sz="4" w:space="0" w:color="888888"/>
              <w:left w:val="single" w:sz="4" w:space="0" w:color="888888"/>
              <w:bottom w:val="single" w:sz="4" w:space="0" w:color="888888"/>
              <w:right w:val="single" w:sz="4" w:space="0" w:color="888888"/>
            </w:tcBorders>
          </w:tcPr>
          <w:p w14:paraId="275DC17C"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The data is publicly accessible.</w:t>
            </w:r>
          </w:p>
        </w:tc>
        <w:tc>
          <w:tcPr>
            <w:tcW w:w="442" w:type="dxa"/>
            <w:tcBorders>
              <w:top w:val="single" w:sz="4" w:space="0" w:color="888888"/>
              <w:left w:val="single" w:sz="4" w:space="0" w:color="888888"/>
              <w:bottom w:val="single" w:sz="4" w:space="0" w:color="888888"/>
              <w:right w:val="single" w:sz="4" w:space="0" w:color="888888"/>
            </w:tcBorders>
          </w:tcPr>
          <w:p w14:paraId="52D478DA"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{"citationID":"Qxdd4zVh","properties":{"formattedCitation":"[83]","plainCitation":"[83]","noteIndex":0},"citationItems":[{"id":"b2OWig5M/PdADaZuv","uris":["http://zotero.org/users/18230940/items/UDVJGGUB"],"itemData":{"id":776,"type":"article-journal","abstract":"Background: Adverse birth outcomes, including preterm birth, low birth weight, and stillbirth, remain a major global health challenge, particularly in developing regions. Understanding the possible risk factors is crucial for designing effective interventions for birth outcomes. Accordingly, this study aimed to develop a predictive model for adverse birth outcomes among childbearing women in Sub-Saharan Africa using advanced machine learning techniques. Additionally, this study aimed to employ a novel data science interpretability techniques to identify the key risk factors and quantify the impact of each feature on the model prediction. Methods: The study population involved women of childbearing age from 26 Sub-Saharan African countries who had given birth within five years before the data collection, totaling 139,659 participants. Our data source was a recent Demographic Health Survey (DHS). We utilized various data balancing techniques. Ten advanced machine learning algorithms were employed, with the dataset split into 80% training and 20% testing sets. Model evaluation was conducted using various performance metrics, along with hyperparameter optimization. Association rule mining and SHAP analysis were employed to enhance model interpretability. Results: Based on our findings, about 28.59% (95% CI: 28.36, 28.83) of childbearing women in Sub-Saharan Africa experienced adverse birth outcomes. After repeated experimentation and evaluation, the random forest model emerged as the top-performing machine learning algorithm, with an AUC of 0.95 and an accuracy of 88.0%. The key risk factors identified were home deliveries, lack of prenatal iron supplementation, fewer than four antenatal care (ANC) visits, short and long delivery intervals, unwanted pregnancy, primiparous mothers, and geographic location in the West African region. Conclusion: The region continues to face persistent adverse birth outcomes, emphasizing the urgent need for increased attention and action. Encouragingly, advanced machine learning methods, particularly the random forest algorithm, have uncovered crucial insights that can guide targeted actions. Specifically, the analysis identifies risky groups, including first-time mothers, women with short or long birth intervals, and those with unwanted pregnancies. To address the needs of these high-risk women, the researchers recommend immediately providing iron supplements, scheduling comprehensive prenatal care, and strongly encouraging facility-based deliveries or skilled birth attendance. © The Author(s) 2024.","container-title":"BMC Public Health","DOI":"10.1186/s12889-024-19566-8","ISSN":"1471-2458","issue":"1","journalAbbreviation":"BMC Public Health","language":"English","publisher":"BioMed Central Ltd","source":"Scopus","title":"Predicting adverse birth outcome among childbearing women in Sub-Saharan Africa: employing innovative machine learning techniques","title-short":"Predicting adverse birth outcome among childbearing women in Sub-Saharan Africa","volume":"24","author":[{"family":"Ngusie","given":"Habtamu Setegn"},{"family":"Mengiste","given":"Shegaw Anagaw"},{"family":"Zemariam","given":"Alemu Birara"},{"family":"Molla","given":"Bogale"},{"family":"Tesfa","given":"Getanew Aschalew"},{"family":"Seboka","given":"Binyam Tariku"},{"family":"Alene","given":"Tilahun Dessie"},{"family":"Sun","given":"Jing"}],"issued":{"date-parts":[["2024"]]}}}],"schema":"https://github.com/citation-style-language/schema/raw/master/csl-citation.json"}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[83]</w:t>
            </w:r>
            <w:r>
              <w:rPr>
                <w:rFonts w:ascii="Arial" w:eastAsia="Times New Roman" w:hAnsi="Arial" w:cs="Arial"/>
                <w:color w:val="000000"/>
                <w:sz w:val="12"/>
                <w:szCs w:val="12"/>
                <w:lang w:eastAsia="en-GB" w:bidi="th-TH"/>
              </w:rPr>
              <w:fldChar w:fldCharType="end"/>
            </w:r>
          </w:p>
        </w:tc>
      </w:tr>
      <w:tr w:rsidR="00871B31" w:rsidRPr="00756461" w14:paraId="19AB8D42"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2D7CE8E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Ngwenya, et al. 2021</w:t>
            </w:r>
          </w:p>
        </w:tc>
        <w:tc>
          <w:tcPr>
            <w:tcW w:w="1054" w:type="dxa"/>
            <w:tcBorders>
              <w:top w:val="single" w:sz="4" w:space="0" w:color="888888"/>
              <w:left w:val="single" w:sz="4" w:space="0" w:color="888888"/>
              <w:bottom w:val="single" w:sz="4" w:space="0" w:color="888888"/>
              <w:right w:val="single" w:sz="4" w:space="0" w:color="888888"/>
            </w:tcBorders>
          </w:tcPr>
          <w:p w14:paraId="2BFEBB8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666D284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Zimbabwe</w:t>
            </w:r>
          </w:p>
        </w:tc>
        <w:tc>
          <w:tcPr>
            <w:tcW w:w="786" w:type="dxa"/>
            <w:tcBorders>
              <w:top w:val="single" w:sz="4" w:space="0" w:color="888888"/>
              <w:left w:val="single" w:sz="4" w:space="0" w:color="888888"/>
              <w:bottom w:val="single" w:sz="4" w:space="0" w:color="888888"/>
              <w:right w:val="single" w:sz="4" w:space="0" w:color="888888"/>
            </w:tcBorders>
          </w:tcPr>
          <w:p w14:paraId="04AFC7E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 and neonatal mortality</w:t>
            </w:r>
          </w:p>
        </w:tc>
        <w:tc>
          <w:tcPr>
            <w:tcW w:w="786" w:type="dxa"/>
            <w:tcBorders>
              <w:top w:val="single" w:sz="4" w:space="0" w:color="888888"/>
              <w:left w:val="single" w:sz="4" w:space="0" w:color="888888"/>
              <w:bottom w:val="single" w:sz="4" w:space="0" w:color="888888"/>
              <w:right w:val="single" w:sz="4" w:space="0" w:color="888888"/>
            </w:tcBorders>
          </w:tcPr>
          <w:p w14:paraId="66957A2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development</w:t>
            </w:r>
          </w:p>
        </w:tc>
        <w:tc>
          <w:tcPr>
            <w:tcW w:w="1051" w:type="dxa"/>
            <w:tcBorders>
              <w:top w:val="single" w:sz="4" w:space="0" w:color="888888"/>
              <w:left w:val="single" w:sz="4" w:space="0" w:color="888888"/>
              <w:bottom w:val="single" w:sz="4" w:space="0" w:color="888888"/>
              <w:right w:val="single" w:sz="4" w:space="0" w:color="888888"/>
            </w:tcBorders>
          </w:tcPr>
          <w:p w14:paraId="0F7D2190"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4E7D458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age</w:t>
            </w:r>
          </w:p>
          <w:p w14:paraId="36E189C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Anaemia / haemoglobin</w:t>
            </w:r>
          </w:p>
          <w:p w14:paraId="056ED463"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07D6859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Gestational age</w:t>
            </w:r>
          </w:p>
        </w:tc>
        <w:tc>
          <w:tcPr>
            <w:tcW w:w="851" w:type="dxa"/>
            <w:tcBorders>
              <w:top w:val="single" w:sz="4" w:space="0" w:color="888888"/>
              <w:left w:val="single" w:sz="4" w:space="0" w:color="888888"/>
              <w:bottom w:val="single" w:sz="4" w:space="0" w:color="888888"/>
              <w:right w:val="single" w:sz="4" w:space="0" w:color="888888"/>
            </w:tcBorders>
          </w:tcPr>
          <w:p w14:paraId="4BCF274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65239913"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21B46185"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200DE936"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50B8717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The model </w:t>
            </w:r>
            <w:proofErr w:type="gramStart"/>
            <w:r>
              <w:rPr>
                <w:rFonts w:ascii="Arial" w:hAnsi="Arial" w:cs="Arial"/>
                <w:sz w:val="12"/>
                <w:szCs w:val="12"/>
              </w:rPr>
              <w:t>demonstrate</w:t>
            </w:r>
            <w:proofErr w:type="gramEnd"/>
            <w:r>
              <w:rPr>
                <w:rFonts w:ascii="Arial" w:hAnsi="Arial" w:cs="Arial"/>
                <w:sz w:val="12"/>
                <w:szCs w:val="12"/>
              </w:rPr>
              <w:t xml:space="preserve"> good performance predicting advese maternal outcome withing the population, but performace poorly when do external validation. However, it showed strong discriminatory ability predicting adverse neonatal outcome in both sample and population with the AUC ROC of 0.902 (95% CI 0.876–0.927). Additionally, at a cut-off point of 0.4257, the sensitivity was 87.7%, and the specificity was 79.2%</w:t>
            </w:r>
          </w:p>
        </w:tc>
        <w:tc>
          <w:tcPr>
            <w:tcW w:w="851" w:type="dxa"/>
            <w:tcBorders>
              <w:top w:val="single" w:sz="4" w:space="0" w:color="888888"/>
              <w:left w:val="single" w:sz="4" w:space="0" w:color="888888"/>
              <w:bottom w:val="single" w:sz="4" w:space="0" w:color="888888"/>
              <w:right w:val="single" w:sz="4" w:space="0" w:color="888888"/>
            </w:tcBorders>
          </w:tcPr>
          <w:p w14:paraId="4EE4D81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 Sensitivity, Specificity</w:t>
            </w:r>
          </w:p>
        </w:tc>
        <w:tc>
          <w:tcPr>
            <w:tcW w:w="817" w:type="dxa"/>
            <w:tcBorders>
              <w:top w:val="single" w:sz="4" w:space="0" w:color="888888"/>
              <w:left w:val="single" w:sz="4" w:space="0" w:color="888888"/>
              <w:bottom w:val="single" w:sz="4" w:space="0" w:color="888888"/>
              <w:right w:val="single" w:sz="4" w:space="0" w:color="888888"/>
            </w:tcBorders>
          </w:tcPr>
          <w:p w14:paraId="3C41B9C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Both internal and external validation</w:t>
            </w:r>
          </w:p>
        </w:tc>
        <w:tc>
          <w:tcPr>
            <w:tcW w:w="742" w:type="dxa"/>
            <w:tcBorders>
              <w:top w:val="single" w:sz="4" w:space="0" w:color="888888"/>
              <w:left w:val="single" w:sz="4" w:space="0" w:color="888888"/>
              <w:bottom w:val="single" w:sz="4" w:space="0" w:color="888888"/>
              <w:right w:val="single" w:sz="4" w:space="0" w:color="888888"/>
            </w:tcBorders>
          </w:tcPr>
          <w:p w14:paraId="407FCFB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549</w:t>
            </w:r>
          </w:p>
        </w:tc>
        <w:tc>
          <w:tcPr>
            <w:tcW w:w="851" w:type="dxa"/>
            <w:tcBorders>
              <w:top w:val="single" w:sz="4" w:space="0" w:color="888888"/>
              <w:left w:val="single" w:sz="4" w:space="0" w:color="888888"/>
              <w:bottom w:val="single" w:sz="4" w:space="0" w:color="888888"/>
              <w:right w:val="single" w:sz="4" w:space="0" w:color="888888"/>
            </w:tcBorders>
          </w:tcPr>
          <w:p w14:paraId="02509EF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There was no funding. AEPH is supported by the National institute for Health Research (NIHR) Global Health Research Group for the Prevention of Stillbirth in Sub-Saharan Africa.</w:t>
            </w:r>
          </w:p>
        </w:tc>
        <w:tc>
          <w:tcPr>
            <w:tcW w:w="1134" w:type="dxa"/>
            <w:tcBorders>
              <w:top w:val="single" w:sz="4" w:space="0" w:color="888888"/>
              <w:left w:val="single" w:sz="4" w:space="0" w:color="888888"/>
              <w:bottom w:val="single" w:sz="4" w:space="0" w:color="888888"/>
              <w:right w:val="single" w:sz="4" w:space="0" w:color="888888"/>
            </w:tcBorders>
          </w:tcPr>
          <w:p w14:paraId="69EE0F89"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66.7%</w:t>
            </w:r>
          </w:p>
        </w:tc>
        <w:tc>
          <w:tcPr>
            <w:tcW w:w="841" w:type="dxa"/>
            <w:tcBorders>
              <w:top w:val="single" w:sz="4" w:space="0" w:color="888888"/>
              <w:left w:val="single" w:sz="4" w:space="0" w:color="888888"/>
              <w:bottom w:val="single" w:sz="4" w:space="0" w:color="888888"/>
              <w:right w:val="single" w:sz="4" w:space="0" w:color="888888"/>
            </w:tcBorders>
          </w:tcPr>
          <w:p w14:paraId="6CD6FD5F"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High risk</w:t>
            </w:r>
            <w:r>
              <w:rPr>
                <w:rFonts w:ascii="Arial" w:hAnsi="Arial" w:cs="Arial"/>
                <w:color w:val="000000"/>
                <w:sz w:val="12"/>
                <w:szCs w:val="12"/>
              </w:rPr>
              <w:br/>
              <w:t>D3: Low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0EC306FF"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No information</w:t>
            </w:r>
          </w:p>
        </w:tc>
        <w:tc>
          <w:tcPr>
            <w:tcW w:w="442" w:type="dxa"/>
            <w:tcBorders>
              <w:top w:val="single" w:sz="4" w:space="0" w:color="888888"/>
              <w:left w:val="single" w:sz="4" w:space="0" w:color="888888"/>
              <w:bottom w:val="single" w:sz="4" w:space="0" w:color="888888"/>
              <w:right w:val="single" w:sz="4" w:space="0" w:color="888888"/>
            </w:tcBorders>
          </w:tcPr>
          <w:p w14:paraId="6AF02440"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lfAt6pWJ","properties":{"formattedCitation":"[84]","plainCitation":"[84]","noteIndex":0},"citationItems":[{"id":"b2OWig5M/CTfJCyha","uris":["http://zotero.org/users/18230940/items/FL3XW4KF"],"itemData":{"id":779,"type":"article-journal","abstract":"Objectives\nHypertensive disorders of pregnancy are major causes of global maternal and neonatal morbidity and mortality. This study aimed to develop and validate models to predict composite adverse maternal and neonatal outcome in severe preeclampsia in low-resource settings. Study design. A retrospective cross-sectional study of women with severe preeclampsia giving birth in a tertiary referral centre in Zimbabwe between 01/01/2014–31/12/2018. Candidate variables identified from univariable logistic regression (p &lt; 0.2) were entered into stepwise backward elimination logistic regression models to predict composite adverse maternal and neonatal outcomes. Models’ performance was assessed by the area under the curve of the receiver operator characteristic (AUC ROC). The models were validated internally using bootstrap-based methods and externally using the Preeclampsia Integrated Estimate of RiSk dataset.\nMain outcome measures\nThe co-primary outcomes were composite adverse maternal outcome and composite adverse neonatal outcome.\nResults\n549 women had severe preeclampsia from whom 567 neonates were born. The predictive model for composite adverse maternal outcome included maternal age, gestational age on admission, epigastric pain, vaginal bleeding with abdominal pain, haemoglobin concentration and platelets; the AUC ROC was 0.796 (95% CI 0.758–0.833). External validation showed poor discrimination (AUC ROC 0.494, 95% CI 0.458–0.552). The model for composite adverse neonatal outcome included: gestational age, platelets, alanine transaminase and birth weight; the AUC ROC was 0.902 (95% CI 0.876–0.927).\nConclusions\nWhile the models accurately predicted composite adverse maternal and neonatal outcomes in the study population, they did not in another cohort. Understanding factors which affect model performance will help optimize prediction of adverse outcomes in severe preeclampsia.","container-title":"Pregnancy Hypertension","DOI":"10.1016/j.preghy.2020.10.011","ISSN":"2210-7789","journalAbbreviation":"Pregnancy Hypertension","page":"18-26","source":"ScienceDirect","title":"Development and validation of risk prediction models for adverse maternal and neonatal outcomes in severe preeclampsia in a low-resource setting, Mpilo Central Hospital, Bulawayo, Zimbabwe","volume":"23","author":[{"family":"Ngwenya","given":"Solwayo"},{"family":"Jones","given":"Brian"},{"family":"Mwembe","given":"Desmond"},{"family":"Nare","given":"Hausitoe"},{"family":"Heazell","given":"Alexander E. P."}],"issued":{"date-parts":[["2021",3,1]]}}}],"schema":"https://github.com/citation-style-language/schema/raw/master/csl-citation.json"}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[84]</w:t>
            </w:r>
            <w:r>
              <w:rPr>
                <w:rFonts w:ascii="Arial" w:eastAsia="Times New Roman" w:hAnsi="Arial" w:cs="Arial"/>
                <w:color w:val="000000"/>
                <w:sz w:val="12"/>
                <w:szCs w:val="12"/>
                <w:lang w:eastAsia="en-GB" w:bidi="th-TH"/>
              </w:rPr>
              <w:fldChar w:fldCharType="end"/>
            </w:r>
          </w:p>
        </w:tc>
      </w:tr>
      <w:tr w:rsidR="00871B31" w:rsidRPr="00756461" w14:paraId="21088263"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6556E6E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Ognean, et al 2023</w:t>
            </w:r>
          </w:p>
        </w:tc>
        <w:tc>
          <w:tcPr>
            <w:tcW w:w="1054" w:type="dxa"/>
            <w:tcBorders>
              <w:top w:val="single" w:sz="4" w:space="0" w:color="888888"/>
              <w:left w:val="single" w:sz="4" w:space="0" w:color="888888"/>
              <w:bottom w:val="single" w:sz="4" w:space="0" w:color="888888"/>
              <w:right w:val="single" w:sz="4" w:space="0" w:color="888888"/>
            </w:tcBorders>
          </w:tcPr>
          <w:p w14:paraId="51E61D0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03F3F32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Romania</w:t>
            </w:r>
          </w:p>
        </w:tc>
        <w:tc>
          <w:tcPr>
            <w:tcW w:w="786" w:type="dxa"/>
            <w:tcBorders>
              <w:top w:val="single" w:sz="4" w:space="0" w:color="888888"/>
              <w:left w:val="single" w:sz="4" w:space="0" w:color="888888"/>
              <w:bottom w:val="single" w:sz="4" w:space="0" w:color="888888"/>
              <w:right w:val="single" w:sz="4" w:space="0" w:color="888888"/>
            </w:tcBorders>
          </w:tcPr>
          <w:p w14:paraId="40C3EAB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Neonatal mortality</w:t>
            </w:r>
          </w:p>
        </w:tc>
        <w:tc>
          <w:tcPr>
            <w:tcW w:w="786" w:type="dxa"/>
            <w:tcBorders>
              <w:top w:val="single" w:sz="4" w:space="0" w:color="888888"/>
              <w:left w:val="single" w:sz="4" w:space="0" w:color="888888"/>
              <w:bottom w:val="single" w:sz="4" w:space="0" w:color="888888"/>
              <w:right w:val="single" w:sz="4" w:space="0" w:color="888888"/>
            </w:tcBorders>
          </w:tcPr>
          <w:p w14:paraId="370F8C1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development</w:t>
            </w:r>
          </w:p>
        </w:tc>
        <w:tc>
          <w:tcPr>
            <w:tcW w:w="1051" w:type="dxa"/>
            <w:tcBorders>
              <w:top w:val="single" w:sz="4" w:space="0" w:color="888888"/>
              <w:left w:val="single" w:sz="4" w:space="0" w:color="888888"/>
              <w:bottom w:val="single" w:sz="4" w:space="0" w:color="888888"/>
              <w:right w:val="single" w:sz="4" w:space="0" w:color="888888"/>
            </w:tcBorders>
          </w:tcPr>
          <w:p w14:paraId="6A7E8853"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1340D1E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Gestational age</w:t>
            </w:r>
          </w:p>
          <w:p w14:paraId="38C1B7D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Birth weight</w:t>
            </w:r>
          </w:p>
        </w:tc>
        <w:tc>
          <w:tcPr>
            <w:tcW w:w="851" w:type="dxa"/>
            <w:tcBorders>
              <w:top w:val="single" w:sz="4" w:space="0" w:color="888888"/>
              <w:left w:val="single" w:sz="4" w:space="0" w:color="888888"/>
              <w:bottom w:val="single" w:sz="4" w:space="0" w:color="888888"/>
              <w:right w:val="single" w:sz="4" w:space="0" w:color="888888"/>
            </w:tcBorders>
          </w:tcPr>
          <w:p w14:paraId="7AB708B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5AD69BF0"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76293467"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25CC5B0A"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2BCD5FC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The MSNS-AT score showed improved mortality prediction over the SNS score, especially in preterm infants. The Area Under the Curve (AUC) for the MSNS-AT score was 0.775 for all infants and </w:t>
            </w:r>
            <w:r>
              <w:rPr>
                <w:rFonts w:ascii="Arial" w:hAnsi="Arial" w:cs="Arial"/>
                <w:sz w:val="12"/>
                <w:szCs w:val="12"/>
              </w:rPr>
              <w:lastRenderedPageBreak/>
              <w:t xml:space="preserve">0.885 for preterm infants </w:t>
            </w:r>
          </w:p>
        </w:tc>
        <w:tc>
          <w:tcPr>
            <w:tcW w:w="851" w:type="dxa"/>
            <w:tcBorders>
              <w:top w:val="single" w:sz="4" w:space="0" w:color="888888"/>
              <w:left w:val="single" w:sz="4" w:space="0" w:color="888888"/>
              <w:bottom w:val="single" w:sz="4" w:space="0" w:color="888888"/>
              <w:right w:val="single" w:sz="4" w:space="0" w:color="888888"/>
            </w:tcBorders>
          </w:tcPr>
          <w:p w14:paraId="00E04AA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AUC</w:t>
            </w:r>
          </w:p>
        </w:tc>
        <w:tc>
          <w:tcPr>
            <w:tcW w:w="817" w:type="dxa"/>
            <w:tcBorders>
              <w:top w:val="single" w:sz="4" w:space="0" w:color="888888"/>
              <w:left w:val="single" w:sz="4" w:space="0" w:color="888888"/>
              <w:bottom w:val="single" w:sz="4" w:space="0" w:color="888888"/>
              <w:right w:val="single" w:sz="4" w:space="0" w:color="888888"/>
            </w:tcBorders>
          </w:tcPr>
          <w:p w14:paraId="379BED9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Neither internal </w:t>
            </w:r>
            <w:proofErr w:type="gramStart"/>
            <w:r>
              <w:rPr>
                <w:rFonts w:ascii="Arial" w:hAnsi="Arial" w:cs="Arial"/>
                <w:sz w:val="12"/>
                <w:szCs w:val="12"/>
              </w:rPr>
              <w:t>and</w:t>
            </w:r>
            <w:proofErr w:type="gramEnd"/>
            <w:r>
              <w:rPr>
                <w:rFonts w:ascii="Arial" w:hAnsi="Arial" w:cs="Arial"/>
                <w:sz w:val="12"/>
                <w:szCs w:val="12"/>
              </w:rPr>
              <w:t xml:space="preserve"> external validation</w:t>
            </w:r>
          </w:p>
        </w:tc>
        <w:tc>
          <w:tcPr>
            <w:tcW w:w="742" w:type="dxa"/>
            <w:tcBorders>
              <w:top w:val="single" w:sz="4" w:space="0" w:color="888888"/>
              <w:left w:val="single" w:sz="4" w:space="0" w:color="888888"/>
              <w:bottom w:val="single" w:sz="4" w:space="0" w:color="888888"/>
              <w:right w:val="single" w:sz="4" w:space="0" w:color="888888"/>
            </w:tcBorders>
          </w:tcPr>
          <w:p w14:paraId="73F5767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403 outborn infants</w:t>
            </w:r>
          </w:p>
        </w:tc>
        <w:tc>
          <w:tcPr>
            <w:tcW w:w="851" w:type="dxa"/>
            <w:tcBorders>
              <w:top w:val="single" w:sz="4" w:space="0" w:color="888888"/>
              <w:left w:val="single" w:sz="4" w:space="0" w:color="888888"/>
              <w:bottom w:val="single" w:sz="4" w:space="0" w:color="888888"/>
              <w:right w:val="single" w:sz="4" w:space="0" w:color="888888"/>
            </w:tcBorders>
          </w:tcPr>
          <w:p w14:paraId="2ACDBD2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study received no specific financial support</w:t>
            </w:r>
          </w:p>
        </w:tc>
        <w:tc>
          <w:tcPr>
            <w:tcW w:w="1134" w:type="dxa"/>
            <w:tcBorders>
              <w:top w:val="single" w:sz="4" w:space="0" w:color="888888"/>
              <w:left w:val="single" w:sz="4" w:space="0" w:color="888888"/>
              <w:bottom w:val="single" w:sz="4" w:space="0" w:color="888888"/>
              <w:right w:val="single" w:sz="4" w:space="0" w:color="888888"/>
            </w:tcBorders>
          </w:tcPr>
          <w:p w14:paraId="31DE0417"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58.3%</w:t>
            </w:r>
          </w:p>
        </w:tc>
        <w:tc>
          <w:tcPr>
            <w:tcW w:w="841" w:type="dxa"/>
            <w:tcBorders>
              <w:top w:val="single" w:sz="4" w:space="0" w:color="888888"/>
              <w:left w:val="single" w:sz="4" w:space="0" w:color="888888"/>
              <w:bottom w:val="single" w:sz="4" w:space="0" w:color="888888"/>
              <w:right w:val="single" w:sz="4" w:space="0" w:color="888888"/>
            </w:tcBorders>
          </w:tcPr>
          <w:p w14:paraId="2D4FC36B"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Low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6808AA46" w14:textId="77777777" w:rsidR="00871B31" w:rsidRPr="00756461" w:rsidRDefault="00871B31" w:rsidP="00BC1F31">
            <w:pPr>
              <w:spacing w:after="0" w:line="240" w:lineRule="auto"/>
              <w:rPr>
                <w:rFonts w:ascii="Arial" w:hAnsi="Arial" w:cs="Arial"/>
                <w:color w:val="000000"/>
                <w:sz w:val="12"/>
                <w:szCs w:val="12"/>
              </w:rPr>
            </w:pPr>
            <w:r>
              <w:rPr>
                <w:rFonts w:ascii="Arial" w:hAnsi="Arial" w:cs="Arial"/>
                <w:color w:val="000000"/>
                <w:sz w:val="12"/>
                <w:szCs w:val="12"/>
              </w:rPr>
              <w:t>Not publicly available</w:t>
            </w:r>
            <w:r>
              <w:rPr>
                <w:rFonts w:ascii="Arial" w:hAnsi="Arial" w:cs="Arial"/>
                <w:color w:val="000000"/>
                <w:sz w:val="12"/>
                <w:szCs w:val="12"/>
              </w:rPr>
              <w:br/>
            </w:r>
          </w:p>
          <w:p w14:paraId="2F79276E"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Available via inquiries to corresponding author</w:t>
            </w:r>
          </w:p>
        </w:tc>
        <w:tc>
          <w:tcPr>
            <w:tcW w:w="442" w:type="dxa"/>
            <w:tcBorders>
              <w:top w:val="single" w:sz="4" w:space="0" w:color="888888"/>
              <w:left w:val="single" w:sz="4" w:space="0" w:color="888888"/>
              <w:bottom w:val="single" w:sz="4" w:space="0" w:color="888888"/>
              <w:right w:val="single" w:sz="4" w:space="0" w:color="888888"/>
            </w:tcBorders>
          </w:tcPr>
          <w:p w14:paraId="55EA854B"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{"citationID":"mn7RlJm5","properties":{"formattedCitation":"[85]","plainCitation":"[85]","noteIndex":0},"citationItems":[{"id":"b2OWig5M/vkIlUxWX","uris":["http://zotero.org/users/18230940/items/4X6NTP6E"],"itemData":{"id":785,"type":"article-journal","abstract":"Background: Transportation of sick newborns is a major predictor of outcome. Prompt identification of the sickest newborns allows adequate intervention and outcome optimization. An optimal scoring system has not yet been identified. Aim: To identify a rapid, accurate, and easy-to-perform score predictive for neonatal mortality in outborn neonates. Material and methods: All neonates admitted by transfer in a level III regional neonatal unit between 1 January 2015 and 31 December 2021 were included. Infants with congenital critical abnormalities were excluded (N = 15). Gestational age (GA), birth weight (BW), Apgar score, place of birth, time between delivery and admission (AT), early onset sepsis, and sick neonatal score (SNS) were collected from medical records and tested for their association with mortality, including in subgroups (preterm vs. term infants); GA, BW, and AT were used to develop MSNS-AT score, to improve mortality prediction. The main outcome was all-cause mortality prediction. Univariable and multivariable analysis, including Cox regression, were performed, and odds ratio and hazard ratios were calculated were appropriate. Results: 418 infants were included; 217/403 infants were born prematurely (53.8%), and 20 died (4.96%). Compared with the survivors, the non-survivors had lower GA, BW, and SNS scores (p &lt; 0.05); only the SNS scores remained lower in the subgroup analysis. Time to admission was associated with an increased mortality rate in the whole group and preterm infants (p &lt; 0.05). In multiple Cox regression models, a cut-off value of MSNS-AT score ≤ 10 was more precise in predicting mortality as compared with SNS (AUC 0.735 vs. 0.775) in the entire group and in the preterm infants group (AUC 0.885 vs. 0.810). Conclusions: The new MSNS-AT score significantly improved mortality prediction at admission in the whole study group and in preterm infants as compared with the SNS score, suggesting that, besides GA and BW, AT may be decisive for the outcome of outborn preterm infants.","container-title":"Healthcare","DOI":"10.3390/healthcare11243131","ISSN":"2227-9032","issue":"24","language":"en","license":"http://creativecommons.org/licenses/by/3.0/","page":"3131","publisher":"Multidisciplinary Digital Publishing Institute","source":"www.mdpi.com","title":"Identification of the Best Predictive Model for Mortality in Outborn Neonates—Retrospective Cohort Study","volume":"11","author":[{"family":"Ognean","given":"Maria Livia"},{"family":"Coțovanu","given":"Bianca"},{"family":"Teacoe","given":"Dumitru Alin"},{"family":"Radu","given":"Ioana Andrada"},{"family":"Todor","given":"Samuel Bogdan"},{"family":"Ichim","given":"Cristian"},{"family":"Mureșan","given":"Iris Codruța"},{"family":"Boicean","given":"Adrian-Gheorghe"},{"family":"Galiș","given":"Radu"},{"family":"Cucerea","given":"Manuela"}],"issued":{"date-parts":[["2023",1]]}}}],"schema":"https://github.com/citation-style-language/schema/raw/master/csl-citation.json"}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[85]</w:t>
            </w:r>
            <w:r>
              <w:rPr>
                <w:rFonts w:ascii="Arial" w:eastAsia="Times New Roman" w:hAnsi="Arial" w:cs="Arial"/>
                <w:color w:val="000000"/>
                <w:sz w:val="12"/>
                <w:szCs w:val="12"/>
                <w:lang w:eastAsia="en-GB" w:bidi="th-TH"/>
              </w:rPr>
              <w:fldChar w:fldCharType="end"/>
            </w:r>
          </w:p>
        </w:tc>
      </w:tr>
      <w:tr w:rsidR="00871B31" w:rsidRPr="00756461" w14:paraId="70C5406A"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5E7ED84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Oh, et al. 2025</w:t>
            </w:r>
          </w:p>
        </w:tc>
        <w:tc>
          <w:tcPr>
            <w:tcW w:w="1054" w:type="dxa"/>
            <w:tcBorders>
              <w:top w:val="single" w:sz="4" w:space="0" w:color="888888"/>
              <w:left w:val="single" w:sz="4" w:space="0" w:color="888888"/>
              <w:bottom w:val="single" w:sz="4" w:space="0" w:color="888888"/>
              <w:right w:val="single" w:sz="4" w:space="0" w:color="888888"/>
            </w:tcBorders>
          </w:tcPr>
          <w:p w14:paraId="433BB3C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646C6B3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South Korea</w:t>
            </w:r>
          </w:p>
        </w:tc>
        <w:tc>
          <w:tcPr>
            <w:tcW w:w="786" w:type="dxa"/>
            <w:tcBorders>
              <w:top w:val="single" w:sz="4" w:space="0" w:color="888888"/>
              <w:left w:val="single" w:sz="4" w:space="0" w:color="888888"/>
              <w:bottom w:val="single" w:sz="4" w:space="0" w:color="888888"/>
              <w:right w:val="single" w:sz="4" w:space="0" w:color="888888"/>
            </w:tcBorders>
          </w:tcPr>
          <w:p w14:paraId="2E596D2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Neonatal mortality</w:t>
            </w:r>
          </w:p>
        </w:tc>
        <w:tc>
          <w:tcPr>
            <w:tcW w:w="786" w:type="dxa"/>
            <w:tcBorders>
              <w:top w:val="single" w:sz="4" w:space="0" w:color="888888"/>
              <w:left w:val="single" w:sz="4" w:space="0" w:color="888888"/>
              <w:bottom w:val="single" w:sz="4" w:space="0" w:color="888888"/>
              <w:right w:val="single" w:sz="4" w:space="0" w:color="888888"/>
            </w:tcBorders>
          </w:tcPr>
          <w:p w14:paraId="37BE358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evaluation</w:t>
            </w:r>
          </w:p>
        </w:tc>
        <w:tc>
          <w:tcPr>
            <w:tcW w:w="1051" w:type="dxa"/>
            <w:tcBorders>
              <w:top w:val="single" w:sz="4" w:space="0" w:color="888888"/>
              <w:left w:val="single" w:sz="4" w:space="0" w:color="888888"/>
              <w:bottom w:val="single" w:sz="4" w:space="0" w:color="888888"/>
              <w:right w:val="single" w:sz="4" w:space="0" w:color="888888"/>
            </w:tcBorders>
          </w:tcPr>
          <w:p w14:paraId="1718889C"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233D993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Gestational age</w:t>
            </w:r>
          </w:p>
          <w:p w14:paraId="0D2BDD4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Birth weight</w:t>
            </w:r>
          </w:p>
          <w:p w14:paraId="66D5924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APGAR score</w:t>
            </w:r>
          </w:p>
        </w:tc>
        <w:tc>
          <w:tcPr>
            <w:tcW w:w="851" w:type="dxa"/>
            <w:tcBorders>
              <w:top w:val="single" w:sz="4" w:space="0" w:color="888888"/>
              <w:left w:val="single" w:sz="4" w:space="0" w:color="888888"/>
              <w:bottom w:val="single" w:sz="4" w:space="0" w:color="888888"/>
              <w:right w:val="single" w:sz="4" w:space="0" w:color="888888"/>
            </w:tcBorders>
          </w:tcPr>
          <w:p w14:paraId="2A59E70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56005EE4"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674533E2"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64E443E2"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240D2CB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Gradient Boosting model performed best, achieving an Area Under the Curve (AUC) of 0.811 and an accuracy of 89.3% when lactate was included as a variable.</w:t>
            </w:r>
            <w:r>
              <w:rPr>
                <w:rFonts w:ascii="Arial" w:hAnsi="Arial" w:cs="Arial"/>
                <w:sz w:val="12"/>
                <w:szCs w:val="12"/>
              </w:rPr>
              <w:br/>
            </w:r>
            <w:r>
              <w:rPr>
                <w:rFonts w:ascii="Arial" w:hAnsi="Arial" w:cs="Arial"/>
                <w:sz w:val="12"/>
                <w:szCs w:val="12"/>
              </w:rPr>
              <w:br/>
              <w:t>Including lactate improved the AUC across all three model</w:t>
            </w:r>
          </w:p>
        </w:tc>
        <w:tc>
          <w:tcPr>
            <w:tcW w:w="851" w:type="dxa"/>
            <w:tcBorders>
              <w:top w:val="single" w:sz="4" w:space="0" w:color="888888"/>
              <w:left w:val="single" w:sz="4" w:space="0" w:color="888888"/>
              <w:bottom w:val="single" w:sz="4" w:space="0" w:color="888888"/>
              <w:right w:val="single" w:sz="4" w:space="0" w:color="888888"/>
            </w:tcBorders>
          </w:tcPr>
          <w:p w14:paraId="287831E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 Accuracy</w:t>
            </w:r>
          </w:p>
        </w:tc>
        <w:tc>
          <w:tcPr>
            <w:tcW w:w="817" w:type="dxa"/>
            <w:tcBorders>
              <w:top w:val="single" w:sz="4" w:space="0" w:color="888888"/>
              <w:left w:val="single" w:sz="4" w:space="0" w:color="888888"/>
              <w:bottom w:val="single" w:sz="4" w:space="0" w:color="888888"/>
              <w:right w:val="single" w:sz="4" w:space="0" w:color="888888"/>
            </w:tcBorders>
          </w:tcPr>
          <w:p w14:paraId="261E6BB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78162EC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 total of 168 VLBW preterm infants were included in the analysis</w:t>
            </w:r>
          </w:p>
        </w:tc>
        <w:tc>
          <w:tcPr>
            <w:tcW w:w="851" w:type="dxa"/>
            <w:tcBorders>
              <w:top w:val="single" w:sz="4" w:space="0" w:color="888888"/>
              <w:left w:val="single" w:sz="4" w:space="0" w:color="888888"/>
              <w:bottom w:val="single" w:sz="4" w:space="0" w:color="888888"/>
              <w:right w:val="single" w:sz="4" w:space="0" w:color="888888"/>
            </w:tcBorders>
          </w:tcPr>
          <w:p w14:paraId="060E75F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research received no specific funding from any agency</w:t>
            </w:r>
          </w:p>
        </w:tc>
        <w:tc>
          <w:tcPr>
            <w:tcW w:w="1134" w:type="dxa"/>
            <w:tcBorders>
              <w:top w:val="single" w:sz="4" w:space="0" w:color="888888"/>
              <w:left w:val="single" w:sz="4" w:space="0" w:color="888888"/>
              <w:bottom w:val="single" w:sz="4" w:space="0" w:color="888888"/>
              <w:right w:val="single" w:sz="4" w:space="0" w:color="888888"/>
            </w:tcBorders>
          </w:tcPr>
          <w:p w14:paraId="73CF87F9"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53.1%</w:t>
            </w:r>
          </w:p>
        </w:tc>
        <w:tc>
          <w:tcPr>
            <w:tcW w:w="841" w:type="dxa"/>
            <w:tcBorders>
              <w:top w:val="single" w:sz="4" w:space="0" w:color="888888"/>
              <w:left w:val="single" w:sz="4" w:space="0" w:color="888888"/>
              <w:bottom w:val="single" w:sz="4" w:space="0" w:color="888888"/>
              <w:right w:val="single" w:sz="4" w:space="0" w:color="888888"/>
            </w:tcBorders>
          </w:tcPr>
          <w:p w14:paraId="7BA04B19"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Low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4F6DF0CC" w14:textId="77777777" w:rsidR="00871B31" w:rsidRPr="00756461" w:rsidRDefault="00871B31" w:rsidP="00BC1F31">
            <w:pPr>
              <w:spacing w:after="0" w:line="240" w:lineRule="auto"/>
              <w:rPr>
                <w:rFonts w:ascii="Arial" w:hAnsi="Arial" w:cs="Arial"/>
                <w:color w:val="000000"/>
                <w:sz w:val="12"/>
                <w:szCs w:val="12"/>
              </w:rPr>
            </w:pPr>
            <w:r>
              <w:rPr>
                <w:rFonts w:ascii="Arial" w:hAnsi="Arial" w:cs="Arial"/>
                <w:color w:val="000000"/>
                <w:sz w:val="12"/>
                <w:szCs w:val="12"/>
              </w:rPr>
              <w:t>Not publicly available</w:t>
            </w:r>
            <w:r>
              <w:rPr>
                <w:rFonts w:ascii="Arial" w:hAnsi="Arial" w:cs="Arial"/>
                <w:color w:val="000000"/>
                <w:sz w:val="12"/>
                <w:szCs w:val="12"/>
              </w:rPr>
              <w:br/>
            </w:r>
          </w:p>
          <w:p w14:paraId="47BB9F8B"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Available via inquiries to corresponding author</w:t>
            </w:r>
          </w:p>
        </w:tc>
        <w:tc>
          <w:tcPr>
            <w:tcW w:w="442" w:type="dxa"/>
            <w:tcBorders>
              <w:top w:val="single" w:sz="4" w:space="0" w:color="888888"/>
              <w:left w:val="single" w:sz="4" w:space="0" w:color="888888"/>
              <w:bottom w:val="single" w:sz="4" w:space="0" w:color="888888"/>
              <w:right w:val="single" w:sz="4" w:space="0" w:color="888888"/>
            </w:tcBorders>
          </w:tcPr>
          <w:p w14:paraId="03E484BF"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{"citationID":"dpsC3Sk7","properties":{"formattedCitation":"[86]","plainCitation":"[86]","noteIndex":0},"citationItems":[{"id":"b2OWig5M/KEgUriuJ","uris":["http://zotero.org/users/18230940/items/QWLFG545"],"itemData":{"id":782,"type":"article-journal","abstract":"BACKGROUND: Unlike in adult and pediatric patients, the usefulness of lactate in preterm infants has not been thoroughly discussed. This study aimed to evaluate whether the lactate level in the first hours of life is an important factor associated with neonatal death in very-low-birth-weight (VLBW) preterm infants.\nMETHODS: Electronic medical records from a level 4 neonatal intensive care unit in South Korea were reviewed to obtain perinatal and neonatal outcomes. Data on lactate levels of preterm infants in the first 12 h of life were collected. Neonatal mortality and morbidities were compared based on lactate levels. Subsequently, machine-learning models incorporating 20 independent variables, both with and without lactate, were compared for model performances and feature importance of lactate for predicting in-hospital mortality in the applicable models.\nRESULTS: One hundred and sixty-eight preterm infants were included. Death rates on days 7 and 30 of life (D30-mortality) were significantly higher in infants with high lactate levels (≥3rd interquartile range) than in those with lower levels (&lt;3rd interquartile range). Though statistically insignificant, the overall in-hospital mortality was more than twice as high in the high lactate level group than in the lower lactate level group. Based on the machine learning results, Random Forest, Gradient Boosting, and LightGBM models all showed greater area under the curves when lactate was included. Lactate consistently ranked in the variables of top five feature importance, particularly showing the greatest value in the Gradient Boosting model.\nCONCLUSION: Lactate levels during the early hours of life may be an important factor associated with in-hospital death of preterm VLBW infants. Based on the enhanced performance of the above-mentioned machine learning models, lactate levels in the early postnatal period may add to assessing the clinical status and predicting the hospital course in this population.","container-title":"Pediatrics and Neonatology","DOI":"10.1016/j.pedneo.2024.09.003","ISSN":"2212-1692","issue":"4","journalAbbreviation":"Pediatr Neonatol","language":"eng","page":"310-315","PMID":"39370350","source":"PubMed","title":"Machine-learning-based evaluation of the usefulness of lactate for predicting neonatal mortality in preterm infants","volume":"66","author":[{"family":"Oh","given":"Moon-Yeon"},{"family":"Kim","given":"Sol"},{"family":"Kim","given":"Minsoo"},{"family":"Seo","given":"Yu Mi"},{"family":"Yum","given":"Sook Kyung"}],"issued":{"date-parts":[["2025",7]]}}}],"schema":"https://github.com/citation-style-language/schema/raw/master/csl-citation.json"}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[86]</w:t>
            </w:r>
            <w:r>
              <w:rPr>
                <w:rFonts w:ascii="Arial" w:eastAsia="Times New Roman" w:hAnsi="Arial" w:cs="Arial"/>
                <w:color w:val="000000"/>
                <w:sz w:val="12"/>
                <w:szCs w:val="12"/>
                <w:lang w:eastAsia="en-GB" w:bidi="th-TH"/>
              </w:rPr>
              <w:fldChar w:fldCharType="end"/>
            </w:r>
          </w:p>
        </w:tc>
      </w:tr>
      <w:tr w:rsidR="00871B31" w:rsidRPr="00756461" w14:paraId="60203EC4"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5A45291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Paydar, et al. 2025</w:t>
            </w:r>
          </w:p>
        </w:tc>
        <w:tc>
          <w:tcPr>
            <w:tcW w:w="1054" w:type="dxa"/>
            <w:tcBorders>
              <w:top w:val="single" w:sz="4" w:space="0" w:color="888888"/>
              <w:left w:val="single" w:sz="4" w:space="0" w:color="888888"/>
              <w:bottom w:val="single" w:sz="4" w:space="0" w:color="888888"/>
              <w:right w:val="single" w:sz="4" w:space="0" w:color="888888"/>
            </w:tcBorders>
          </w:tcPr>
          <w:p w14:paraId="2A45C6C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51E8547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Iran</w:t>
            </w:r>
          </w:p>
        </w:tc>
        <w:tc>
          <w:tcPr>
            <w:tcW w:w="786" w:type="dxa"/>
            <w:tcBorders>
              <w:top w:val="single" w:sz="4" w:space="0" w:color="888888"/>
              <w:left w:val="single" w:sz="4" w:space="0" w:color="888888"/>
              <w:bottom w:val="single" w:sz="4" w:space="0" w:color="888888"/>
              <w:right w:val="single" w:sz="4" w:space="0" w:color="888888"/>
            </w:tcBorders>
          </w:tcPr>
          <w:p w14:paraId="58FDBA6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Spontaneous abortion </w:t>
            </w:r>
          </w:p>
        </w:tc>
        <w:tc>
          <w:tcPr>
            <w:tcW w:w="786" w:type="dxa"/>
            <w:tcBorders>
              <w:top w:val="single" w:sz="4" w:space="0" w:color="888888"/>
              <w:left w:val="single" w:sz="4" w:space="0" w:color="888888"/>
              <w:bottom w:val="single" w:sz="4" w:space="0" w:color="888888"/>
              <w:right w:val="single" w:sz="4" w:space="0" w:color="888888"/>
            </w:tcBorders>
          </w:tcPr>
          <w:p w14:paraId="18E461A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development</w:t>
            </w:r>
          </w:p>
        </w:tc>
        <w:tc>
          <w:tcPr>
            <w:tcW w:w="1051" w:type="dxa"/>
            <w:tcBorders>
              <w:top w:val="single" w:sz="4" w:space="0" w:color="888888"/>
              <w:left w:val="single" w:sz="4" w:space="0" w:color="888888"/>
              <w:bottom w:val="single" w:sz="4" w:space="0" w:color="888888"/>
              <w:right w:val="single" w:sz="4" w:space="0" w:color="888888"/>
            </w:tcBorders>
          </w:tcPr>
          <w:p w14:paraId="0C82F68C"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1739192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Proteinuria</w:t>
            </w:r>
          </w:p>
          <w:p w14:paraId="04869AC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Cholesterol / lipid panel</w:t>
            </w:r>
          </w:p>
        </w:tc>
        <w:tc>
          <w:tcPr>
            <w:tcW w:w="851" w:type="dxa"/>
            <w:tcBorders>
              <w:top w:val="single" w:sz="4" w:space="0" w:color="888888"/>
              <w:left w:val="single" w:sz="4" w:space="0" w:color="888888"/>
              <w:bottom w:val="single" w:sz="4" w:space="0" w:color="888888"/>
              <w:right w:val="single" w:sz="4" w:space="0" w:color="888888"/>
            </w:tcBorders>
          </w:tcPr>
          <w:p w14:paraId="3AED75B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42C93BF4"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3D0DD702"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56FE399F"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71F5770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The best CHAID model (trained on the imbalanced dataset with feature set 9) achieved an accuracy of 93.5%, specificity of 92.9%, sensitivity of 93.8%, precision of 97%, an F-score of 0.95, and an AUC of 0.96 </w:t>
            </w:r>
          </w:p>
        </w:tc>
        <w:tc>
          <w:tcPr>
            <w:tcW w:w="851" w:type="dxa"/>
            <w:tcBorders>
              <w:top w:val="single" w:sz="4" w:space="0" w:color="888888"/>
              <w:left w:val="single" w:sz="4" w:space="0" w:color="888888"/>
              <w:bottom w:val="single" w:sz="4" w:space="0" w:color="888888"/>
              <w:right w:val="single" w:sz="4" w:space="0" w:color="888888"/>
            </w:tcBorders>
          </w:tcPr>
          <w:p w14:paraId="70E53C4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 Sensitivity, Specificity, Precision</w:t>
            </w:r>
          </w:p>
        </w:tc>
        <w:tc>
          <w:tcPr>
            <w:tcW w:w="817" w:type="dxa"/>
            <w:tcBorders>
              <w:top w:val="single" w:sz="4" w:space="0" w:color="888888"/>
              <w:left w:val="single" w:sz="4" w:space="0" w:color="888888"/>
              <w:bottom w:val="single" w:sz="4" w:space="0" w:color="888888"/>
              <w:right w:val="single" w:sz="4" w:space="0" w:color="888888"/>
            </w:tcBorders>
          </w:tcPr>
          <w:p w14:paraId="2547960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4652DFE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study included data from 149 pregnancies, with 103 resulting in live births and 46 in spontaneous abortions</w:t>
            </w:r>
          </w:p>
        </w:tc>
        <w:tc>
          <w:tcPr>
            <w:tcW w:w="851" w:type="dxa"/>
            <w:tcBorders>
              <w:top w:val="single" w:sz="4" w:space="0" w:color="888888"/>
              <w:left w:val="single" w:sz="4" w:space="0" w:color="888888"/>
              <w:bottom w:val="single" w:sz="4" w:space="0" w:color="888888"/>
              <w:right w:val="single" w:sz="4" w:space="0" w:color="888888"/>
            </w:tcBorders>
          </w:tcPr>
          <w:p w14:paraId="7464B9E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study was funded by the Iran University of Medical Sciences (grant number 98-3-37-15724)</w:t>
            </w:r>
          </w:p>
        </w:tc>
        <w:tc>
          <w:tcPr>
            <w:tcW w:w="1134" w:type="dxa"/>
            <w:tcBorders>
              <w:top w:val="single" w:sz="4" w:space="0" w:color="888888"/>
              <w:left w:val="single" w:sz="4" w:space="0" w:color="888888"/>
              <w:bottom w:val="single" w:sz="4" w:space="0" w:color="888888"/>
              <w:right w:val="single" w:sz="4" w:space="0" w:color="888888"/>
            </w:tcBorders>
          </w:tcPr>
          <w:p w14:paraId="573D6920"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53.2%</w:t>
            </w:r>
          </w:p>
        </w:tc>
        <w:tc>
          <w:tcPr>
            <w:tcW w:w="841" w:type="dxa"/>
            <w:tcBorders>
              <w:top w:val="single" w:sz="4" w:space="0" w:color="888888"/>
              <w:left w:val="single" w:sz="4" w:space="0" w:color="888888"/>
              <w:bottom w:val="single" w:sz="4" w:space="0" w:color="888888"/>
              <w:right w:val="single" w:sz="4" w:space="0" w:color="888888"/>
            </w:tcBorders>
          </w:tcPr>
          <w:p w14:paraId="69F6DB19"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Unclear risk</w:t>
            </w:r>
            <w:r>
              <w:rPr>
                <w:rFonts w:ascii="Arial" w:hAnsi="Arial" w:cs="Arial"/>
                <w:color w:val="000000"/>
                <w:sz w:val="12"/>
                <w:szCs w:val="12"/>
              </w:rPr>
              <w:br/>
              <w:t>D3: Unclear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3E402C31" w14:textId="77777777" w:rsidR="00871B31" w:rsidRPr="00756461" w:rsidRDefault="00871B31" w:rsidP="00BC1F31">
            <w:pPr>
              <w:spacing w:after="0" w:line="240" w:lineRule="auto"/>
              <w:rPr>
                <w:rFonts w:ascii="Arial" w:hAnsi="Arial" w:cs="Arial"/>
                <w:color w:val="000000"/>
                <w:sz w:val="12"/>
                <w:szCs w:val="12"/>
              </w:rPr>
            </w:pPr>
            <w:r>
              <w:rPr>
                <w:rFonts w:ascii="Arial" w:hAnsi="Arial" w:cs="Arial"/>
                <w:color w:val="000000"/>
                <w:sz w:val="12"/>
                <w:szCs w:val="12"/>
              </w:rPr>
              <w:t>Not publicly available</w:t>
            </w:r>
            <w:r>
              <w:rPr>
                <w:rFonts w:ascii="Arial" w:hAnsi="Arial" w:cs="Arial"/>
                <w:color w:val="000000"/>
                <w:sz w:val="12"/>
                <w:szCs w:val="12"/>
              </w:rPr>
              <w:br/>
            </w:r>
          </w:p>
          <w:p w14:paraId="3EEC3309"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Available via inquiries to corresponding author</w:t>
            </w:r>
          </w:p>
        </w:tc>
        <w:tc>
          <w:tcPr>
            <w:tcW w:w="442" w:type="dxa"/>
            <w:tcBorders>
              <w:top w:val="single" w:sz="4" w:space="0" w:color="888888"/>
              <w:left w:val="single" w:sz="4" w:space="0" w:color="888888"/>
              <w:bottom w:val="single" w:sz="4" w:space="0" w:color="888888"/>
              <w:right w:val="single" w:sz="4" w:space="0" w:color="888888"/>
            </w:tcBorders>
          </w:tcPr>
          <w:p w14:paraId="066EB4F1"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{"citationID":"XriqilrA","properties":{"formattedCitation":"[87]","plainCitation":"[87]","noteIndex":0},"citationItems":[{"id":"b2OWig5M/Oy0Z6Lv6","uris":["http://zotero.org/users/18230940/items/XVYH5ITM"],"itemData":{"id":787,"type":"article-journal","abstract":"INTRODUCTION: Fetal loss is possible during pregnancy in women with systemic lupus erythematosus (SLE). Predicting pregnancy outcomes for women with SLE can be an effective aid in providing consultation and treatment services. Therefore, this study aimed to develop a machine-learning model that could predict pregnancy outcomes before pregnancy in women with SLE.\nMETHODS: The data of all pregnant women referred to the rheumatology center of Shariati Hospital and a specialized rheumatology clinic since 1980 were retrospectively collected from their medical records. Data collection was done by gathering 26 variables that affect pregnancy outcomes. Then, we used standard algorithms to select important features that affect pregnancy outcomes before pregnancy (11 different feature sets). A variety of machine learning algorithms were trained using both imbalanced and balanced datasets in Clementine and Weka software. Finally, the model with a higher area under the receiver operating characteristic curve (AUC) and F-score was selected to predict pregnancy outcomes.\nRESULTS: Out of 149 pregnancies, 46 pregnancies resulted in spontaneous abortion, while 103 pregnancies resulted in live birth. Compared with other models, the Chi-square automatic interaction detection (CHAID) decision tree was selected as the best-performing model with higher accuracy (93.5 %), specificity (92.9 %), sensitivity (93.8 %), precision (97 %), F-score (0.95), and AUC (0.96).\nCONCLUSION: By using the CHAID decision tree to predict the outcome of pregnancy in women with SLE and extracted rules, it is possible to use appropriate methods that prevent spontaneous abortion and also provide timely consultation to women with SLE for making decisions to become pregnant.","container-title":"Heliyon","DOI":"10.1016/j.heliyon.2025.e42679","ISSN":"2405-8440","issue":"4","journalAbbreviation":"Heliyon","language":"eng","page":"e42679","PMID":"40040993","PMCID":"PMC11876896","source":"PubMed","title":"Prediction of pregnancy outcomes in women with systemic lupus erythematosus before pregnancy: Application of machine learning models","title-short":"Prediction of pregnancy outcomes in women with systemic lupus erythematosus before pregnancy","volume":"11","author":[{"family":"Paydar","given":"Khadijeh"},{"family":"Sheikhtaheri","given":"Abbas"}],"issued":{"date-parts":[["2025",2,28]]}}}],"schema":"https://github.com/citation-style-language/schema/raw/master/csl-citation.json"}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[87]</w:t>
            </w:r>
            <w:r>
              <w:rPr>
                <w:rFonts w:ascii="Arial" w:eastAsia="Times New Roman" w:hAnsi="Arial" w:cs="Arial"/>
                <w:color w:val="000000"/>
                <w:sz w:val="12"/>
                <w:szCs w:val="12"/>
                <w:lang w:eastAsia="en-GB" w:bidi="th-TH"/>
              </w:rPr>
              <w:fldChar w:fldCharType="end"/>
            </w:r>
          </w:p>
        </w:tc>
      </w:tr>
      <w:tr w:rsidR="00871B31" w:rsidRPr="00756461" w14:paraId="170387DF"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5014CE6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Pepler, et al. 2012</w:t>
            </w:r>
          </w:p>
        </w:tc>
        <w:tc>
          <w:tcPr>
            <w:tcW w:w="1054" w:type="dxa"/>
            <w:tcBorders>
              <w:top w:val="single" w:sz="4" w:space="0" w:color="888888"/>
              <w:left w:val="single" w:sz="4" w:space="0" w:color="888888"/>
              <w:bottom w:val="single" w:sz="4" w:space="0" w:color="888888"/>
              <w:right w:val="single" w:sz="4" w:space="0" w:color="888888"/>
            </w:tcBorders>
          </w:tcPr>
          <w:p w14:paraId="493F202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15C1771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South Africa</w:t>
            </w:r>
          </w:p>
        </w:tc>
        <w:tc>
          <w:tcPr>
            <w:tcW w:w="786" w:type="dxa"/>
            <w:tcBorders>
              <w:top w:val="single" w:sz="4" w:space="0" w:color="888888"/>
              <w:left w:val="single" w:sz="4" w:space="0" w:color="888888"/>
              <w:bottom w:val="single" w:sz="4" w:space="0" w:color="888888"/>
              <w:right w:val="single" w:sz="4" w:space="0" w:color="888888"/>
            </w:tcBorders>
          </w:tcPr>
          <w:p w14:paraId="3A02C86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Neonatal mortality</w:t>
            </w:r>
          </w:p>
        </w:tc>
        <w:tc>
          <w:tcPr>
            <w:tcW w:w="786" w:type="dxa"/>
            <w:tcBorders>
              <w:top w:val="single" w:sz="4" w:space="0" w:color="888888"/>
              <w:left w:val="single" w:sz="4" w:space="0" w:color="888888"/>
              <w:bottom w:val="single" w:sz="4" w:space="0" w:color="888888"/>
              <w:right w:val="single" w:sz="4" w:space="0" w:color="888888"/>
            </w:tcBorders>
          </w:tcPr>
          <w:p w14:paraId="17CE2A5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development</w:t>
            </w:r>
          </w:p>
        </w:tc>
        <w:tc>
          <w:tcPr>
            <w:tcW w:w="1051" w:type="dxa"/>
            <w:tcBorders>
              <w:top w:val="single" w:sz="4" w:space="0" w:color="888888"/>
              <w:left w:val="single" w:sz="4" w:space="0" w:color="888888"/>
              <w:bottom w:val="single" w:sz="4" w:space="0" w:color="888888"/>
              <w:right w:val="single" w:sz="4" w:space="0" w:color="888888"/>
            </w:tcBorders>
          </w:tcPr>
          <w:p w14:paraId="5B3A7A02"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6D677FF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Birth weight</w:t>
            </w:r>
          </w:p>
          <w:p w14:paraId="36A5B78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APGAR score</w:t>
            </w:r>
          </w:p>
        </w:tc>
        <w:tc>
          <w:tcPr>
            <w:tcW w:w="851" w:type="dxa"/>
            <w:tcBorders>
              <w:top w:val="single" w:sz="4" w:space="0" w:color="888888"/>
              <w:left w:val="single" w:sz="4" w:space="0" w:color="888888"/>
              <w:bottom w:val="single" w:sz="4" w:space="0" w:color="888888"/>
              <w:right w:val="single" w:sz="4" w:space="0" w:color="888888"/>
            </w:tcBorders>
          </w:tcPr>
          <w:p w14:paraId="0E7F36F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416CC261"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0469C780"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69173F2E"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3BDFC51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Mortality Model: The model had a good fit with an Area Under the Curve (AUC) of 0.8507 and a misclassification rate of 13.6% on the test data. However, its usefulness was limited by a low positive predictive value (15.4% on the training data, 16.3% on the test data).</w:t>
            </w:r>
            <w:r>
              <w:rPr>
                <w:rFonts w:ascii="Arial" w:hAnsi="Arial" w:cs="Arial"/>
                <w:sz w:val="12"/>
                <w:szCs w:val="12"/>
              </w:rPr>
              <w:br/>
            </w:r>
            <w:r>
              <w:rPr>
                <w:rFonts w:ascii="Arial" w:hAnsi="Arial" w:cs="Arial"/>
                <w:sz w:val="12"/>
                <w:szCs w:val="12"/>
              </w:rPr>
              <w:br/>
              <w:t xml:space="preserve">LOS Model: The model </w:t>
            </w:r>
            <w:r>
              <w:rPr>
                <w:rFonts w:ascii="Arial" w:hAnsi="Arial" w:cs="Arial"/>
                <w:sz w:val="12"/>
                <w:szCs w:val="12"/>
              </w:rPr>
              <w:lastRenderedPageBreak/>
              <w:t xml:space="preserve">demonstrated a good fit with a predicted R² of 0.7027 on both the training and test datasets </w:t>
            </w:r>
          </w:p>
        </w:tc>
        <w:tc>
          <w:tcPr>
            <w:tcW w:w="851" w:type="dxa"/>
            <w:tcBorders>
              <w:top w:val="single" w:sz="4" w:space="0" w:color="888888"/>
              <w:left w:val="single" w:sz="4" w:space="0" w:color="888888"/>
              <w:bottom w:val="single" w:sz="4" w:space="0" w:color="888888"/>
              <w:right w:val="single" w:sz="4" w:space="0" w:color="888888"/>
            </w:tcBorders>
          </w:tcPr>
          <w:p w14:paraId="1297F29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AUC, Misclassification rate, Positive predictive value (PPV)</w:t>
            </w:r>
          </w:p>
        </w:tc>
        <w:tc>
          <w:tcPr>
            <w:tcW w:w="817" w:type="dxa"/>
            <w:tcBorders>
              <w:top w:val="single" w:sz="4" w:space="0" w:color="888888"/>
              <w:left w:val="single" w:sz="4" w:space="0" w:color="888888"/>
              <w:bottom w:val="single" w:sz="4" w:space="0" w:color="888888"/>
              <w:right w:val="single" w:sz="4" w:space="0" w:color="888888"/>
            </w:tcBorders>
          </w:tcPr>
          <w:p w14:paraId="6A428DC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Both internal and external validation</w:t>
            </w:r>
          </w:p>
        </w:tc>
        <w:tc>
          <w:tcPr>
            <w:tcW w:w="742" w:type="dxa"/>
            <w:tcBorders>
              <w:top w:val="single" w:sz="4" w:space="0" w:color="888888"/>
              <w:left w:val="single" w:sz="4" w:space="0" w:color="888888"/>
              <w:bottom w:val="single" w:sz="4" w:space="0" w:color="888888"/>
              <w:right w:val="single" w:sz="4" w:space="0" w:color="888888"/>
            </w:tcBorders>
          </w:tcPr>
          <w:p w14:paraId="16450B7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Development (2008 data): 2,376 infants were initially included. After exclusions, 2,307 cases were used for the mortality model</w:t>
            </w:r>
            <w:r>
              <w:rPr>
                <w:rFonts w:ascii="Arial" w:hAnsi="Arial" w:cs="Arial"/>
                <w:sz w:val="12"/>
                <w:szCs w:val="12"/>
              </w:rPr>
              <w:br/>
            </w:r>
            <w:r>
              <w:rPr>
                <w:rFonts w:ascii="Arial" w:hAnsi="Arial" w:cs="Arial"/>
                <w:sz w:val="12"/>
                <w:szCs w:val="12"/>
              </w:rPr>
              <w:br/>
              <w:t xml:space="preserve"> 2,216 for the LOS model </w:t>
            </w:r>
            <w:r>
              <w:rPr>
                <w:rFonts w:ascii="Arial" w:hAnsi="Arial" w:cs="Arial"/>
                <w:sz w:val="12"/>
                <w:szCs w:val="12"/>
              </w:rPr>
              <w:br/>
            </w:r>
            <w:r>
              <w:rPr>
                <w:rFonts w:ascii="Arial" w:hAnsi="Arial" w:cs="Arial"/>
                <w:sz w:val="12"/>
                <w:szCs w:val="12"/>
              </w:rPr>
              <w:br/>
              <w:t xml:space="preserve">Model Testing </w:t>
            </w:r>
            <w:r>
              <w:rPr>
                <w:rFonts w:ascii="Arial" w:hAnsi="Arial" w:cs="Arial"/>
                <w:sz w:val="12"/>
                <w:szCs w:val="12"/>
              </w:rPr>
              <w:lastRenderedPageBreak/>
              <w:t xml:space="preserve">(2007 data): 1,578 infants were used to test the models </w:t>
            </w:r>
          </w:p>
        </w:tc>
        <w:tc>
          <w:tcPr>
            <w:tcW w:w="851" w:type="dxa"/>
            <w:tcBorders>
              <w:top w:val="single" w:sz="4" w:space="0" w:color="888888"/>
              <w:left w:val="single" w:sz="4" w:space="0" w:color="888888"/>
              <w:bottom w:val="single" w:sz="4" w:space="0" w:color="888888"/>
              <w:right w:val="single" w:sz="4" w:space="0" w:color="888888"/>
            </w:tcBorders>
          </w:tcPr>
          <w:p w14:paraId="71D5B2B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The paper does not contain information about funding sources.</w:t>
            </w:r>
          </w:p>
        </w:tc>
        <w:tc>
          <w:tcPr>
            <w:tcW w:w="1134" w:type="dxa"/>
            <w:tcBorders>
              <w:top w:val="single" w:sz="4" w:space="0" w:color="888888"/>
              <w:left w:val="single" w:sz="4" w:space="0" w:color="888888"/>
              <w:bottom w:val="single" w:sz="4" w:space="0" w:color="888888"/>
              <w:right w:val="single" w:sz="4" w:space="0" w:color="888888"/>
            </w:tcBorders>
          </w:tcPr>
          <w:p w14:paraId="2E35F232"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46.0%</w:t>
            </w:r>
          </w:p>
        </w:tc>
        <w:tc>
          <w:tcPr>
            <w:tcW w:w="841" w:type="dxa"/>
            <w:tcBorders>
              <w:top w:val="single" w:sz="4" w:space="0" w:color="888888"/>
              <w:left w:val="single" w:sz="4" w:space="0" w:color="888888"/>
              <w:bottom w:val="single" w:sz="4" w:space="0" w:color="888888"/>
              <w:right w:val="single" w:sz="4" w:space="0" w:color="888888"/>
            </w:tcBorders>
          </w:tcPr>
          <w:p w14:paraId="6699283A"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Low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1CA91E87"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No information</w:t>
            </w:r>
          </w:p>
        </w:tc>
        <w:tc>
          <w:tcPr>
            <w:tcW w:w="442" w:type="dxa"/>
            <w:tcBorders>
              <w:top w:val="single" w:sz="4" w:space="0" w:color="888888"/>
              <w:left w:val="single" w:sz="4" w:space="0" w:color="888888"/>
              <w:bottom w:val="single" w:sz="4" w:space="0" w:color="888888"/>
              <w:right w:val="single" w:sz="4" w:space="0" w:color="888888"/>
            </w:tcBorders>
          </w:tcPr>
          <w:p w14:paraId="1F04D246"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{"citationID":"gkUJsxc7","properties":{"formattedCitation":"[88]","plainCitation":"[88]","noteIndex":0},"citationItems":[{"id":"b2OWig5M/cw42vkUO","uris":["http://zotero.org/users/18230940/items/DIF28822"],"itemData":{"id":789,"type":"article-journal","abstract":"Objectives: To predict neonatal mortality and length of stay (LOS) from readily available perinatal data for neonatal intensive care unit (NICU) admissions in Southern African private hospitals.Methods: Retrospective observational study using perinatal data from a large multicentre sample. Fifteen participating NICU centres in the Medi-Clinic private hospital group in Southern Africa. We used 2376 infants born between 1 January &amp;#8211; 31 December 2008 to build the regression models, and a further 1 578 infants born between 1 January &amp;#8211; 31 December 2007 to test the models. Outcome measures were mortality and length of hospital stay for NICU admissions. Results: Of the infants included in the 2008 dataset, ninety-one (3.8%) died after being admitted to NICU centres. The median LOS for non-transferred survivors was 11 days. An analysis of the structural peculiarities of the data showed high correlations between groups of the perinatal variables pertaining to the size and Apgar scores of the newborn infants, respectively. The logistic regression model to predict neonatal mortality had a good fit (AUC: 0.8507, misclassification rate: 13.6%), but the low positive predictive value of this model reduces its usefulness. The poisson log-linear model to predict LOS had a good fit (predicted R2: 0.7027).Conclusions: Apgar score at one minute, birth weight, and delivery mode significantly influence the odds of neonatal death and are associated with significant effects on LOS.Key words: length of stay, neonatal mortality, neonatal intensive care units, principal component analysis, logistic regression, log-linear models.","container-title":"African Health Sciences","DOI":"10.4314/ahs.v12i2.14","ISSN":"1729-0503","issue":"2","language":"en","license":"Copyright (c)","page":"166-173","source":"www.ajol.info","title":"Predicting mortality and length-of-stay for neonatal admissions to private hospital neonatal intensive care units: a Southern African retrospective study","title-short":"Predicting mortality and length-of-stay for neonatal admissions to private hospital neonatal intensive care units","volume":"12","author":[{"family":"Pepler","given":"F. T."},{"family":"Uys","given":"D. W."},{"family":"Nel","given":"D. G."}],"issued":{"date-parts":[["2012"]]}}}],"schema":"https://github.com/citation-style-language/schema/raw/master/csl-citation.json"}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[88]</w:t>
            </w:r>
            <w:r>
              <w:rPr>
                <w:rFonts w:ascii="Arial" w:eastAsia="Times New Roman" w:hAnsi="Arial" w:cs="Arial"/>
                <w:color w:val="000000"/>
                <w:sz w:val="12"/>
                <w:szCs w:val="12"/>
                <w:lang w:eastAsia="en-GB" w:bidi="th-TH"/>
              </w:rPr>
              <w:fldChar w:fldCharType="end"/>
            </w:r>
          </w:p>
        </w:tc>
      </w:tr>
      <w:tr w:rsidR="00871B31" w:rsidRPr="00756461" w14:paraId="23AE7A06"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7D80319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Prins, et al. 2025</w:t>
            </w:r>
          </w:p>
        </w:tc>
        <w:tc>
          <w:tcPr>
            <w:tcW w:w="1054" w:type="dxa"/>
            <w:tcBorders>
              <w:top w:val="single" w:sz="4" w:space="0" w:color="888888"/>
              <w:left w:val="single" w:sz="4" w:space="0" w:color="888888"/>
              <w:bottom w:val="single" w:sz="4" w:space="0" w:color="888888"/>
              <w:right w:val="single" w:sz="4" w:space="0" w:color="888888"/>
            </w:tcBorders>
          </w:tcPr>
          <w:p w14:paraId="39FAE41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Secondary analysis</w:t>
            </w:r>
          </w:p>
        </w:tc>
        <w:tc>
          <w:tcPr>
            <w:tcW w:w="742" w:type="dxa"/>
            <w:tcBorders>
              <w:top w:val="single" w:sz="4" w:space="0" w:color="888888"/>
              <w:left w:val="single" w:sz="4" w:space="0" w:color="888888"/>
              <w:bottom w:val="single" w:sz="4" w:space="0" w:color="888888"/>
              <w:right w:val="single" w:sz="4" w:space="0" w:color="888888"/>
            </w:tcBorders>
          </w:tcPr>
          <w:p w14:paraId="690E155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Netherlands</w:t>
            </w:r>
          </w:p>
        </w:tc>
        <w:tc>
          <w:tcPr>
            <w:tcW w:w="786" w:type="dxa"/>
            <w:tcBorders>
              <w:top w:val="single" w:sz="4" w:space="0" w:color="888888"/>
              <w:left w:val="single" w:sz="4" w:space="0" w:color="888888"/>
              <w:bottom w:val="single" w:sz="4" w:space="0" w:color="888888"/>
              <w:right w:val="single" w:sz="4" w:space="0" w:color="888888"/>
            </w:tcBorders>
          </w:tcPr>
          <w:p w14:paraId="5C5648A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 and neonatal mortality</w:t>
            </w:r>
          </w:p>
        </w:tc>
        <w:tc>
          <w:tcPr>
            <w:tcW w:w="786" w:type="dxa"/>
            <w:tcBorders>
              <w:top w:val="single" w:sz="4" w:space="0" w:color="888888"/>
              <w:left w:val="single" w:sz="4" w:space="0" w:color="888888"/>
              <w:bottom w:val="single" w:sz="4" w:space="0" w:color="888888"/>
              <w:right w:val="single" w:sz="4" w:space="0" w:color="888888"/>
            </w:tcBorders>
          </w:tcPr>
          <w:p w14:paraId="752F286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development</w:t>
            </w:r>
          </w:p>
        </w:tc>
        <w:tc>
          <w:tcPr>
            <w:tcW w:w="1051" w:type="dxa"/>
            <w:tcBorders>
              <w:top w:val="single" w:sz="4" w:space="0" w:color="888888"/>
              <w:left w:val="single" w:sz="4" w:space="0" w:color="888888"/>
              <w:bottom w:val="single" w:sz="4" w:space="0" w:color="888888"/>
              <w:right w:val="single" w:sz="4" w:space="0" w:color="888888"/>
            </w:tcBorders>
          </w:tcPr>
          <w:p w14:paraId="2D2D0408"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330064E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Gestational age</w:t>
            </w:r>
          </w:p>
          <w:p w14:paraId="312AA12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Birth weight</w:t>
            </w:r>
          </w:p>
          <w:p w14:paraId="4B75C68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Umbilical artery Doppler</w:t>
            </w:r>
          </w:p>
          <w:p w14:paraId="004D6BE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Foetal abdominal circumference</w:t>
            </w:r>
          </w:p>
        </w:tc>
        <w:tc>
          <w:tcPr>
            <w:tcW w:w="851" w:type="dxa"/>
            <w:tcBorders>
              <w:top w:val="single" w:sz="4" w:space="0" w:color="888888"/>
              <w:left w:val="single" w:sz="4" w:space="0" w:color="888888"/>
              <w:bottom w:val="single" w:sz="4" w:space="0" w:color="888888"/>
              <w:right w:val="single" w:sz="4" w:space="0" w:color="888888"/>
            </w:tcBorders>
          </w:tcPr>
          <w:p w14:paraId="35314E5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3F9830A2"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4C8E9FD3"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16964DDA"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1F3562C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final prediction model, which included GA at diagnosis, EFW MoM, and UA PI MoM, achieved an area under the receiver operating characteristic curve (AUC) of 0.840</w:t>
            </w:r>
          </w:p>
        </w:tc>
        <w:tc>
          <w:tcPr>
            <w:tcW w:w="851" w:type="dxa"/>
            <w:tcBorders>
              <w:top w:val="single" w:sz="4" w:space="0" w:color="888888"/>
              <w:left w:val="single" w:sz="4" w:space="0" w:color="888888"/>
              <w:bottom w:val="single" w:sz="4" w:space="0" w:color="888888"/>
              <w:right w:val="single" w:sz="4" w:space="0" w:color="888888"/>
            </w:tcBorders>
          </w:tcPr>
          <w:p w14:paraId="5E1AA00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w:t>
            </w:r>
          </w:p>
        </w:tc>
        <w:tc>
          <w:tcPr>
            <w:tcW w:w="817" w:type="dxa"/>
            <w:tcBorders>
              <w:top w:val="single" w:sz="4" w:space="0" w:color="888888"/>
              <w:left w:val="single" w:sz="4" w:space="0" w:color="888888"/>
              <w:bottom w:val="single" w:sz="4" w:space="0" w:color="888888"/>
              <w:right w:val="single" w:sz="4" w:space="0" w:color="888888"/>
            </w:tcBorders>
          </w:tcPr>
          <w:p w14:paraId="3E7996B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5998AFF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final dataset for this analysis included 215 participants</w:t>
            </w:r>
          </w:p>
        </w:tc>
        <w:tc>
          <w:tcPr>
            <w:tcW w:w="851" w:type="dxa"/>
            <w:tcBorders>
              <w:top w:val="single" w:sz="4" w:space="0" w:color="888888"/>
              <w:left w:val="single" w:sz="4" w:space="0" w:color="888888"/>
              <w:bottom w:val="single" w:sz="4" w:space="0" w:color="888888"/>
              <w:right w:val="single" w:sz="4" w:space="0" w:color="888888"/>
            </w:tcBorders>
          </w:tcPr>
          <w:p w14:paraId="51A398B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This specific post hoc analysis did not receive funding. The original Dutch STRIDER trial was funded by the Netherlands Organization for Health Research and Development </w:t>
            </w:r>
          </w:p>
        </w:tc>
        <w:tc>
          <w:tcPr>
            <w:tcW w:w="1134" w:type="dxa"/>
            <w:tcBorders>
              <w:top w:val="single" w:sz="4" w:space="0" w:color="888888"/>
              <w:left w:val="single" w:sz="4" w:space="0" w:color="888888"/>
              <w:bottom w:val="single" w:sz="4" w:space="0" w:color="888888"/>
              <w:right w:val="single" w:sz="4" w:space="0" w:color="888888"/>
            </w:tcBorders>
          </w:tcPr>
          <w:p w14:paraId="0C271D65"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47.9%</w:t>
            </w:r>
          </w:p>
        </w:tc>
        <w:tc>
          <w:tcPr>
            <w:tcW w:w="841" w:type="dxa"/>
            <w:tcBorders>
              <w:top w:val="single" w:sz="4" w:space="0" w:color="888888"/>
              <w:left w:val="single" w:sz="4" w:space="0" w:color="888888"/>
              <w:bottom w:val="single" w:sz="4" w:space="0" w:color="888888"/>
              <w:right w:val="single" w:sz="4" w:space="0" w:color="888888"/>
            </w:tcBorders>
          </w:tcPr>
          <w:p w14:paraId="539F6EE7"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Low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266E6B23"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No information</w:t>
            </w:r>
          </w:p>
        </w:tc>
        <w:tc>
          <w:tcPr>
            <w:tcW w:w="442" w:type="dxa"/>
            <w:tcBorders>
              <w:top w:val="single" w:sz="4" w:space="0" w:color="888888"/>
              <w:left w:val="single" w:sz="4" w:space="0" w:color="888888"/>
              <w:bottom w:val="single" w:sz="4" w:space="0" w:color="888888"/>
              <w:right w:val="single" w:sz="4" w:space="0" w:color="888888"/>
            </w:tcBorders>
          </w:tcPr>
          <w:p w14:paraId="7510E1AC"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{"citationID":"zBjvy25d","properties":{"formattedCitation":"[89]","plainCitation":"[89]","noteIndex":0},"citationItems":[{"id":"b2OWig5M/4ZhAScBK","uris":["http://zotero.org/users/18230940/items/3G8ZZFQ9"],"itemData":{"id":791,"type":"article-journal","abstract":"OBJECTIVE: Early-onset fetal growth restriction affects about 0.3% of pregnancies, posing high perinatal risks due to placental insufficiency. Early-onset fetal growth restriction often coincides with early-onset pre-eclampsia, associated with significant mortality and morbidity. Clinical management varies among clinicians, with emphasis on intensive monitoring and timely delivery. Our objective was to improve clinical prediction of perinatal mortality in early-onset fetal growth restriction for parental counseling.\nSTUDY DESIGN: This was a secondary analysis of prospective cohort data from the Dutch STRIDER trial. The study included 215 pregnant women diagnosed with severe early-onset fetal growth restriction between 20 + 0 and 29 + 6 weeks of gestation, from tertiary and secondary antenatal care centers in The Netherlands. Maternal and fetal characteristics were collected at inclusion, including sonographic and laboratory measurements. Analysis was performed using univariable and multivariable binary logistic regression to create a prediction model for perinatal mortality. The main outcome measures were fetal demise and neonatal mortality up to discharge.\nRESULTS: 215 Participants were included for this analysis. Perinatal mortality occurred in 84 (39 %) cases; 51 (24 %) were fetal and 33 (15 %) neonatal. Fetal abdominal circumference, gestational age at diagnosis, estimated fetal weight Multiple of Median, absent or reversed end-diastolic flow of the umbilical artery, umbilical artery pulsatility index Multiple of Median, non-Caucasian ethnicity, male sex, placental growth factor level and uterine artery pulsatility index were independent predictors of perinatal mortality. Randomization allocation (sildenafil or placebo) had no predictive value for mortality. The prediction model including gestational age at diagnosis, estimated fetal weight Multiple of Median and umbilical artery pulsatility index Multiple of Median showed an area under the receiver operating characteristic curve of 0.840 (P &lt; 0.01). Placental growth factor was measured in a subset of patients and was an independent prognostic factor and performed significantly better within the predictive model, however it did not improve the predictive value of the model.\nCONCLUSIONS: Prediction of perinatal mortality in early-onset fetal growth restriction is feasible with commonly available tests and measurements and could support decision making in management of pregnancy. However, implementation in practice requires further studies.","container-title":"European Journal of Obstetrics, Gynecology, and Reproductive Biology","DOI":"10.1016/j.ejogrb.2024.11.008","ISSN":"1872-7654","journalAbbreviation":"Eur J Obstet Gynecol Reprod Biol","language":"eng","page":"23-29","PMID":"39556992","source":"PubMed","title":"Prediction of perinatal mortality in early-onset fetal growth restriction: A post hoc analysis of the Dutch STRIDER trial to predict perinatal mortality in early-onset fetal growth restriction","title-short":"Prediction of perinatal mortality in early-onset fetal growth restriction","volume":"304","author":[{"family":"Prins","given":"Leah I."},{"family":"Bruin","given":"Claartje M."},{"family":"Kornaat","given":"Esmée M. N."},{"family":"Pels","given":"Anouk"},{"family":"Gordijn","given":"Sanne J."},{"family":"Naaktgeboren","given":"Christiana A."},{"family":"Ganzevoort","given":"Wessel"}],"issued":{"date-parts":[["2025",1]]}}}],"schema":"https://github.com/citation-style-language/schema/raw/master/csl-citation.json"}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[89]</w:t>
            </w:r>
            <w:r>
              <w:rPr>
                <w:rFonts w:ascii="Arial" w:eastAsia="Times New Roman" w:hAnsi="Arial" w:cs="Arial"/>
                <w:color w:val="000000"/>
                <w:sz w:val="12"/>
                <w:szCs w:val="12"/>
                <w:lang w:eastAsia="en-GB" w:bidi="th-TH"/>
              </w:rPr>
              <w:fldChar w:fldCharType="end"/>
            </w:r>
          </w:p>
        </w:tc>
      </w:tr>
      <w:tr w:rsidR="00871B31" w:rsidRPr="00756461" w14:paraId="095451C1"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778BF97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Punyapet, et al. 2023</w:t>
            </w:r>
          </w:p>
        </w:tc>
        <w:tc>
          <w:tcPr>
            <w:tcW w:w="1054" w:type="dxa"/>
            <w:tcBorders>
              <w:top w:val="single" w:sz="4" w:space="0" w:color="888888"/>
              <w:left w:val="single" w:sz="4" w:space="0" w:color="888888"/>
              <w:bottom w:val="single" w:sz="4" w:space="0" w:color="888888"/>
              <w:right w:val="single" w:sz="4" w:space="0" w:color="888888"/>
            </w:tcBorders>
          </w:tcPr>
          <w:p w14:paraId="4FED45E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5C9FB7C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Thailand</w:t>
            </w:r>
          </w:p>
        </w:tc>
        <w:tc>
          <w:tcPr>
            <w:tcW w:w="786" w:type="dxa"/>
            <w:tcBorders>
              <w:top w:val="single" w:sz="4" w:space="0" w:color="888888"/>
              <w:left w:val="single" w:sz="4" w:space="0" w:color="888888"/>
              <w:bottom w:val="single" w:sz="4" w:space="0" w:color="888888"/>
              <w:right w:val="single" w:sz="4" w:space="0" w:color="888888"/>
            </w:tcBorders>
          </w:tcPr>
          <w:p w14:paraId="765B7AE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Perinatal death (stillbirth + early neonatal death)</w:t>
            </w:r>
          </w:p>
        </w:tc>
        <w:tc>
          <w:tcPr>
            <w:tcW w:w="786" w:type="dxa"/>
            <w:tcBorders>
              <w:top w:val="single" w:sz="4" w:space="0" w:color="888888"/>
              <w:left w:val="single" w:sz="4" w:space="0" w:color="888888"/>
              <w:bottom w:val="single" w:sz="4" w:space="0" w:color="888888"/>
              <w:right w:val="single" w:sz="4" w:space="0" w:color="888888"/>
            </w:tcBorders>
          </w:tcPr>
          <w:p w14:paraId="2E87EA8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 Model development</w:t>
            </w:r>
            <w:r>
              <w:rPr>
                <w:rFonts w:ascii="Arial" w:hAnsi="Arial" w:cs="Arial"/>
                <w:sz w:val="12"/>
                <w:szCs w:val="12"/>
              </w:rPr>
              <w:br/>
              <w:t>2. Identify important predictors</w:t>
            </w:r>
          </w:p>
        </w:tc>
        <w:tc>
          <w:tcPr>
            <w:tcW w:w="1051" w:type="dxa"/>
            <w:tcBorders>
              <w:top w:val="single" w:sz="4" w:space="0" w:color="888888"/>
              <w:left w:val="single" w:sz="4" w:space="0" w:color="888888"/>
              <w:bottom w:val="single" w:sz="4" w:space="0" w:color="888888"/>
              <w:right w:val="single" w:sz="4" w:space="0" w:color="888888"/>
            </w:tcBorders>
          </w:tcPr>
          <w:p w14:paraId="2F3D36CE"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5A6C36A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body mass index</w:t>
            </w:r>
          </w:p>
          <w:p w14:paraId="047A93B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Hypertensive disorders of pregnancy</w:t>
            </w:r>
          </w:p>
          <w:p w14:paraId="6D82B464"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4A4F4E6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Birth weight</w:t>
            </w:r>
          </w:p>
          <w:p w14:paraId="5F7F727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Umbilical artery Doppler</w:t>
            </w:r>
          </w:p>
          <w:p w14:paraId="375685F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Amniotic fluid / meconium</w:t>
            </w:r>
          </w:p>
        </w:tc>
        <w:tc>
          <w:tcPr>
            <w:tcW w:w="851" w:type="dxa"/>
            <w:tcBorders>
              <w:top w:val="single" w:sz="4" w:space="0" w:color="888888"/>
              <w:left w:val="single" w:sz="4" w:space="0" w:color="888888"/>
              <w:bottom w:val="single" w:sz="4" w:space="0" w:color="888888"/>
              <w:right w:val="single" w:sz="4" w:space="0" w:color="888888"/>
            </w:tcBorders>
          </w:tcPr>
          <w:p w14:paraId="0D5EF71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0F398EA3"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2E21CAEC"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6172930E"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0380595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final eight-item predictive model achieved an Area Under the Curve (AUC) of 0.799 (95% CI 0.753–0.845)</w:t>
            </w:r>
          </w:p>
        </w:tc>
        <w:tc>
          <w:tcPr>
            <w:tcW w:w="851" w:type="dxa"/>
            <w:tcBorders>
              <w:top w:val="single" w:sz="4" w:space="0" w:color="888888"/>
              <w:left w:val="single" w:sz="4" w:space="0" w:color="888888"/>
              <w:bottom w:val="single" w:sz="4" w:space="0" w:color="888888"/>
              <w:right w:val="single" w:sz="4" w:space="0" w:color="888888"/>
            </w:tcBorders>
          </w:tcPr>
          <w:p w14:paraId="6DEFABC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w:t>
            </w:r>
          </w:p>
        </w:tc>
        <w:tc>
          <w:tcPr>
            <w:tcW w:w="817" w:type="dxa"/>
            <w:tcBorders>
              <w:top w:val="single" w:sz="4" w:space="0" w:color="888888"/>
              <w:left w:val="single" w:sz="4" w:space="0" w:color="888888"/>
              <w:bottom w:val="single" w:sz="4" w:space="0" w:color="888888"/>
              <w:right w:val="single" w:sz="4" w:space="0" w:color="888888"/>
            </w:tcBorders>
          </w:tcPr>
          <w:p w14:paraId="1E9ED1D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Neither internal </w:t>
            </w:r>
            <w:proofErr w:type="gramStart"/>
            <w:r>
              <w:rPr>
                <w:rFonts w:ascii="Arial" w:hAnsi="Arial" w:cs="Arial"/>
                <w:sz w:val="12"/>
                <w:szCs w:val="12"/>
              </w:rPr>
              <w:t>and</w:t>
            </w:r>
            <w:proofErr w:type="gramEnd"/>
            <w:r>
              <w:rPr>
                <w:rFonts w:ascii="Arial" w:hAnsi="Arial" w:cs="Arial"/>
                <w:sz w:val="12"/>
                <w:szCs w:val="12"/>
              </w:rPr>
              <w:t xml:space="preserve"> external validation</w:t>
            </w:r>
          </w:p>
        </w:tc>
        <w:tc>
          <w:tcPr>
            <w:tcW w:w="742" w:type="dxa"/>
            <w:tcBorders>
              <w:top w:val="single" w:sz="4" w:space="0" w:color="888888"/>
              <w:left w:val="single" w:sz="4" w:space="0" w:color="888888"/>
              <w:bottom w:val="single" w:sz="4" w:space="0" w:color="888888"/>
              <w:right w:val="single" w:sz="4" w:space="0" w:color="888888"/>
            </w:tcBorders>
          </w:tcPr>
          <w:p w14:paraId="4DE4A3A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study included 370 non-anomalous singleton pregnancies diagnosed with FGR</w:t>
            </w:r>
          </w:p>
        </w:tc>
        <w:tc>
          <w:tcPr>
            <w:tcW w:w="851" w:type="dxa"/>
            <w:tcBorders>
              <w:top w:val="single" w:sz="4" w:space="0" w:color="888888"/>
              <w:left w:val="single" w:sz="4" w:space="0" w:color="888888"/>
              <w:bottom w:val="single" w:sz="4" w:space="0" w:color="888888"/>
              <w:right w:val="single" w:sz="4" w:space="0" w:color="888888"/>
            </w:tcBorders>
          </w:tcPr>
          <w:p w14:paraId="5768391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Not mentioned in the paper.</w:t>
            </w:r>
          </w:p>
        </w:tc>
        <w:tc>
          <w:tcPr>
            <w:tcW w:w="1134" w:type="dxa"/>
            <w:tcBorders>
              <w:top w:val="single" w:sz="4" w:space="0" w:color="888888"/>
              <w:left w:val="single" w:sz="4" w:space="0" w:color="888888"/>
              <w:bottom w:val="single" w:sz="4" w:space="0" w:color="888888"/>
              <w:right w:val="single" w:sz="4" w:space="0" w:color="888888"/>
            </w:tcBorders>
          </w:tcPr>
          <w:p w14:paraId="5463940E"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54.2%</w:t>
            </w:r>
          </w:p>
        </w:tc>
        <w:tc>
          <w:tcPr>
            <w:tcW w:w="841" w:type="dxa"/>
            <w:tcBorders>
              <w:top w:val="single" w:sz="4" w:space="0" w:color="888888"/>
              <w:left w:val="single" w:sz="4" w:space="0" w:color="888888"/>
              <w:bottom w:val="single" w:sz="4" w:space="0" w:color="888888"/>
              <w:right w:val="single" w:sz="4" w:space="0" w:color="888888"/>
            </w:tcBorders>
          </w:tcPr>
          <w:p w14:paraId="0B33AF5C"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Unclear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58DB20D5"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The data is available via supplement material section.</w:t>
            </w:r>
          </w:p>
        </w:tc>
        <w:tc>
          <w:tcPr>
            <w:tcW w:w="442" w:type="dxa"/>
            <w:tcBorders>
              <w:top w:val="single" w:sz="4" w:space="0" w:color="888888"/>
              <w:left w:val="single" w:sz="4" w:space="0" w:color="888888"/>
              <w:bottom w:val="single" w:sz="4" w:space="0" w:color="888888"/>
              <w:right w:val="single" w:sz="4" w:space="0" w:color="888888"/>
            </w:tcBorders>
          </w:tcPr>
          <w:p w14:paraId="69875EFF"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{"citationID":"04pZg8aI","properties":{"formattedCitation":"[90]","plainCitation":"[90]","noteIndex":0},"citationItems":[{"id":"b2OWig5M/ccnyjF8m","uris":["http://zotero.org/users/18230940/items/3T3BAY3I"],"itemData":{"id":793,"type":"article-journal","abstract":"Objective To identify predictors of adverse perinatal outcomes in pregnancies with fetal growth restriction (FGR) using a combination of maternal clinical factors and simple ultrasound parameters and develop a risk-scoring model for predicting adverse perinatal outcomes. Methods A retrospective study of 370 non-anomalous singleton pregnancies with FGR was conducted. Multivariate logistic regression analysis was used to identify factors associated with adverse perinatal outcomes; P &lt; 0.05 was considered statistically significant. The discriminative ability was measured with the area under the receiver operating characteristic curve (AUC). A weighted score for each predictor was calculated. Results Adverse perinatal outcomes occurred in 165/370 (44.6%) cases. There were eight predictive factors, including a history of pregnancy-induced hypertension (PIH) (score = 1), chronic hypertension (score = 3), PIH (score = 2), maternal weight gain less than 8 kg (score = 1), early-onset FGR (score = 1), estimated fetal weight less than 5th percentile (score = 2), amniotic fluid index less than 5 cm (score = 3), and abnormal umbilical artery Doppler (score = 2), with total scores ranging from 0 to 15. AUC for the eight-item predictive model was 0.799 (95% confidence interval 0.753–0.845). Conclusion A combination of maternal clinical factors and simple ultrasound parameters showed acceptable predictive performance for adverse perinatal outcomes in FGR.","container-title":"International Journal of Gynecology &amp; Obstetrics","DOI":"10.1002/ijgo.14721","ISSN":"1879-3479","issue":"2","language":"en","note":"_eprint: https://obgyn.onlinelibrary.wiley.com/doi/pdf/10.1002/ijgo.14721","page":"669-675","source":"Wiley Online Library","title":"Predictors of adverse perinatal outcomes in fetal growth restriction using a combination of maternal clinical factors and simple ultrasound parameters","volume":"162","author":[{"family":"Punyapet","given":"Pathinya"},{"family":"Suwanrath","given":"Chitkasaem"},{"family":"Chainarong","given":"Natthicha"},{"family":"Sawaddisan","given":"Rapphon"},{"family":"Vichitkunakorn","given":"Polathep"}],"issued":{"date-parts":[["2023"]]}}}],"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[90]</w:t>
            </w:r>
            <w:r>
              <w:rPr>
                <w:rFonts w:ascii="Arial" w:eastAsia="Times New Roman" w:hAnsi="Arial" w:cs="Arial"/>
                <w:color w:val="000000"/>
                <w:sz w:val="12"/>
                <w:szCs w:val="12"/>
                <w:lang w:eastAsia="en-GB" w:bidi="th-TH"/>
              </w:rPr>
              <w:fldChar w:fldCharType="end"/>
            </w:r>
          </w:p>
        </w:tc>
      </w:tr>
      <w:tr w:rsidR="00871B31" w:rsidRPr="00756461" w14:paraId="4FA440BB"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02D108E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Ramos, et al. 2025</w:t>
            </w:r>
          </w:p>
        </w:tc>
        <w:tc>
          <w:tcPr>
            <w:tcW w:w="1054" w:type="dxa"/>
            <w:tcBorders>
              <w:top w:val="single" w:sz="4" w:space="0" w:color="888888"/>
              <w:left w:val="single" w:sz="4" w:space="0" w:color="888888"/>
              <w:bottom w:val="single" w:sz="4" w:space="0" w:color="888888"/>
              <w:right w:val="single" w:sz="4" w:space="0" w:color="888888"/>
            </w:tcBorders>
          </w:tcPr>
          <w:p w14:paraId="284FF4D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1E71A5C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Brazil</w:t>
            </w:r>
          </w:p>
        </w:tc>
        <w:tc>
          <w:tcPr>
            <w:tcW w:w="786" w:type="dxa"/>
            <w:tcBorders>
              <w:top w:val="single" w:sz="4" w:space="0" w:color="888888"/>
              <w:left w:val="single" w:sz="4" w:space="0" w:color="888888"/>
              <w:bottom w:val="single" w:sz="4" w:space="0" w:color="888888"/>
              <w:right w:val="single" w:sz="4" w:space="0" w:color="888888"/>
            </w:tcBorders>
          </w:tcPr>
          <w:p w14:paraId="08F22F9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Neonatal mortality</w:t>
            </w:r>
          </w:p>
        </w:tc>
        <w:tc>
          <w:tcPr>
            <w:tcW w:w="786" w:type="dxa"/>
            <w:tcBorders>
              <w:top w:val="single" w:sz="4" w:space="0" w:color="888888"/>
              <w:left w:val="single" w:sz="4" w:space="0" w:color="888888"/>
              <w:bottom w:val="single" w:sz="4" w:space="0" w:color="888888"/>
              <w:right w:val="single" w:sz="4" w:space="0" w:color="888888"/>
            </w:tcBorders>
          </w:tcPr>
          <w:p w14:paraId="4E19963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 Model development</w:t>
            </w:r>
            <w:r>
              <w:rPr>
                <w:rFonts w:ascii="Arial" w:hAnsi="Arial" w:cs="Arial"/>
                <w:sz w:val="12"/>
                <w:szCs w:val="12"/>
              </w:rPr>
              <w:br/>
              <w:t>2. Model evaluation</w:t>
            </w:r>
          </w:p>
        </w:tc>
        <w:tc>
          <w:tcPr>
            <w:tcW w:w="1051" w:type="dxa"/>
            <w:tcBorders>
              <w:top w:val="single" w:sz="4" w:space="0" w:color="888888"/>
              <w:left w:val="single" w:sz="4" w:space="0" w:color="888888"/>
              <w:bottom w:val="single" w:sz="4" w:space="0" w:color="888888"/>
              <w:right w:val="single" w:sz="4" w:space="0" w:color="888888"/>
            </w:tcBorders>
          </w:tcPr>
          <w:p w14:paraId="46A3AED1"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107659A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Antenatal care visits</w:t>
            </w:r>
          </w:p>
          <w:p w14:paraId="275AFBD8"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687C579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Gestational age</w:t>
            </w:r>
          </w:p>
          <w:p w14:paraId="05386E8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Birth weight</w:t>
            </w:r>
          </w:p>
          <w:p w14:paraId="60F51FD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APGAR score</w:t>
            </w:r>
          </w:p>
        </w:tc>
        <w:tc>
          <w:tcPr>
            <w:tcW w:w="851" w:type="dxa"/>
            <w:tcBorders>
              <w:top w:val="single" w:sz="4" w:space="0" w:color="888888"/>
              <w:left w:val="single" w:sz="4" w:space="0" w:color="888888"/>
              <w:bottom w:val="single" w:sz="4" w:space="0" w:color="888888"/>
              <w:right w:val="single" w:sz="4" w:space="0" w:color="888888"/>
            </w:tcBorders>
          </w:tcPr>
          <w:p w14:paraId="36D42D9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Population/ Registry</w:t>
            </w:r>
          </w:p>
        </w:tc>
        <w:tc>
          <w:tcPr>
            <w:tcW w:w="851" w:type="dxa"/>
            <w:tcBorders>
              <w:top w:val="single" w:sz="4" w:space="0" w:color="888888"/>
              <w:left w:val="single" w:sz="4" w:space="0" w:color="888888"/>
              <w:bottom w:val="single" w:sz="4" w:space="0" w:color="888888"/>
              <w:right w:val="single" w:sz="4" w:space="0" w:color="888888"/>
            </w:tcBorders>
          </w:tcPr>
          <w:p w14:paraId="04E4C3B5"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5734BACA"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1CEEAE87"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992" w:type="dxa"/>
            <w:tcBorders>
              <w:top w:val="single" w:sz="4" w:space="0" w:color="888888"/>
              <w:left w:val="single" w:sz="4" w:space="0" w:color="888888"/>
              <w:bottom w:val="single" w:sz="4" w:space="0" w:color="888888"/>
              <w:right w:val="single" w:sz="4" w:space="0" w:color="888888"/>
            </w:tcBorders>
          </w:tcPr>
          <w:p w14:paraId="0BAA2E0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XGBoost was the top-performing model for predicting preventable neonatal deaths, capturing 85.37% of actual preventable deaths within the top 5% of births identified as highest risk and approximately 90% at the top 10% threshold. Traditional metrics using a random split </w:t>
            </w:r>
            <w:r>
              <w:rPr>
                <w:rFonts w:ascii="Arial" w:hAnsi="Arial" w:cs="Arial"/>
                <w:sz w:val="12"/>
                <w:szCs w:val="12"/>
              </w:rPr>
              <w:lastRenderedPageBreak/>
              <w:t>showed strong balanced accuracy (0.8353), high specificity (0.9866), moderate sensitivity (0.6840), and an F1-score of 0.3081. Temporal robustness checks further confirmed the model’s consistent performance, with slightly improved results when predicting future births.</w:t>
            </w:r>
          </w:p>
        </w:tc>
        <w:tc>
          <w:tcPr>
            <w:tcW w:w="851" w:type="dxa"/>
            <w:tcBorders>
              <w:top w:val="single" w:sz="4" w:space="0" w:color="888888"/>
              <w:left w:val="single" w:sz="4" w:space="0" w:color="888888"/>
              <w:bottom w:val="single" w:sz="4" w:space="0" w:color="888888"/>
              <w:right w:val="single" w:sz="4" w:space="0" w:color="888888"/>
            </w:tcBorders>
          </w:tcPr>
          <w:p w14:paraId="1AB4E39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Specificity, sensitivity, F1-score, balanced accuracy</w:t>
            </w:r>
          </w:p>
        </w:tc>
        <w:tc>
          <w:tcPr>
            <w:tcW w:w="817" w:type="dxa"/>
            <w:tcBorders>
              <w:top w:val="single" w:sz="4" w:space="0" w:color="888888"/>
              <w:left w:val="single" w:sz="4" w:space="0" w:color="888888"/>
              <w:bottom w:val="single" w:sz="4" w:space="0" w:color="888888"/>
              <w:right w:val="single" w:sz="4" w:space="0" w:color="888888"/>
            </w:tcBorders>
          </w:tcPr>
          <w:p w14:paraId="288AF26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Both internal and external validation</w:t>
            </w:r>
          </w:p>
        </w:tc>
        <w:tc>
          <w:tcPr>
            <w:tcW w:w="742" w:type="dxa"/>
            <w:tcBorders>
              <w:top w:val="single" w:sz="4" w:space="0" w:color="888888"/>
              <w:left w:val="single" w:sz="4" w:space="0" w:color="888888"/>
              <w:bottom w:val="single" w:sz="4" w:space="0" w:color="888888"/>
              <w:right w:val="single" w:sz="4" w:space="0" w:color="888888"/>
            </w:tcBorders>
          </w:tcPr>
          <w:p w14:paraId="7582A3F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The final dataset included 8,797,968 births, which contained 42,290 preventable neonatal deaths and 17,325 non-preventable deaths </w:t>
            </w:r>
          </w:p>
        </w:tc>
        <w:tc>
          <w:tcPr>
            <w:tcW w:w="851" w:type="dxa"/>
            <w:tcBorders>
              <w:top w:val="single" w:sz="4" w:space="0" w:color="888888"/>
              <w:left w:val="single" w:sz="4" w:space="0" w:color="888888"/>
              <w:bottom w:val="single" w:sz="4" w:space="0" w:color="888888"/>
              <w:right w:val="single" w:sz="4" w:space="0" w:color="888888"/>
            </w:tcBorders>
          </w:tcPr>
          <w:p w14:paraId="2FD87A2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The research was supported by the Getulio Vargas Foundation (FGV), Coordenação de Aperfeiçoamento de Pessoal de Nível Superior - Brasil (CAPES), the California Center for Population Research at UCLA (CCPR), </w:t>
            </w:r>
            <w:r>
              <w:rPr>
                <w:rFonts w:ascii="Arial" w:hAnsi="Arial" w:cs="Arial"/>
                <w:sz w:val="12"/>
                <w:szCs w:val="12"/>
              </w:rPr>
              <w:lastRenderedPageBreak/>
              <w:t>the Eunice Kennedy Shriver National Institute of Child Health and Human Development (NICHD), and Fundação Carlos Chagas Filho de Amparo à Pesquisa do Estado do Rio de Janeiro (FAPERJ)</w:t>
            </w:r>
          </w:p>
        </w:tc>
        <w:tc>
          <w:tcPr>
            <w:tcW w:w="1134" w:type="dxa"/>
            <w:tcBorders>
              <w:top w:val="single" w:sz="4" w:space="0" w:color="888888"/>
              <w:left w:val="single" w:sz="4" w:space="0" w:color="888888"/>
              <w:bottom w:val="single" w:sz="4" w:space="0" w:color="888888"/>
              <w:right w:val="single" w:sz="4" w:space="0" w:color="888888"/>
            </w:tcBorders>
          </w:tcPr>
          <w:p w14:paraId="1ED2A167"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lastRenderedPageBreak/>
              <w:t>71.4%</w:t>
            </w:r>
          </w:p>
        </w:tc>
        <w:tc>
          <w:tcPr>
            <w:tcW w:w="841" w:type="dxa"/>
            <w:tcBorders>
              <w:top w:val="single" w:sz="4" w:space="0" w:color="888888"/>
              <w:left w:val="single" w:sz="4" w:space="0" w:color="888888"/>
              <w:bottom w:val="single" w:sz="4" w:space="0" w:color="888888"/>
              <w:right w:val="single" w:sz="4" w:space="0" w:color="888888"/>
            </w:tcBorders>
          </w:tcPr>
          <w:p w14:paraId="1186BC98"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Low risk</w:t>
            </w:r>
            <w:r>
              <w:rPr>
                <w:rFonts w:ascii="Arial" w:hAnsi="Arial" w:cs="Arial"/>
                <w:color w:val="000000"/>
                <w:sz w:val="12"/>
                <w:szCs w:val="12"/>
              </w:rPr>
              <w:br/>
              <w:t>D4: Low risk</w:t>
            </w:r>
          </w:p>
        </w:tc>
        <w:tc>
          <w:tcPr>
            <w:tcW w:w="860" w:type="dxa"/>
            <w:tcBorders>
              <w:top w:val="single" w:sz="4" w:space="0" w:color="888888"/>
              <w:left w:val="single" w:sz="4" w:space="0" w:color="888888"/>
              <w:bottom w:val="single" w:sz="4" w:space="0" w:color="888888"/>
              <w:right w:val="single" w:sz="4" w:space="0" w:color="888888"/>
            </w:tcBorders>
          </w:tcPr>
          <w:p w14:paraId="78FDD454"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The data is publicly accessible via DATASUS repository and website.</w:t>
            </w:r>
          </w:p>
        </w:tc>
        <w:tc>
          <w:tcPr>
            <w:tcW w:w="442" w:type="dxa"/>
            <w:tcBorders>
              <w:top w:val="single" w:sz="4" w:space="0" w:color="888888"/>
              <w:left w:val="single" w:sz="4" w:space="0" w:color="888888"/>
              <w:bottom w:val="single" w:sz="4" w:space="0" w:color="888888"/>
              <w:right w:val="single" w:sz="4" w:space="0" w:color="888888"/>
            </w:tcBorders>
          </w:tcPr>
          <w:p w14:paraId="3CC794CD"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{"citationID":"B7LHaZ7Y","properties":{"formattedCitation":"[91]","plainCitation":"[91]","noteIndex":0},"citationItems":[{"id":"b2OWig5M/Pp5pe25C","uris":["http://zotero.org/users/18230940/items/TB7PJ9CH"],"itemData":{"id":798,"type":"article-journal","abstract":"Despite contemporaneous declines in neonatal mortality, recent studies show the existence of left-behind populations that continue to have higher mortality rates than the national averages. Additionally, many of these deaths are from preventable causes. This reality creates the need for more precise methods to identify high-risk births, allowing policymakers to target them more effectively. This study fills this gap by developing unbiased machine-learning approaches to more accurately identify births with a high risk of neonatal deaths from preventable causes.","container-title":"Population Health Metrics","DOI":"10.1186/s12963-025-00420-x","ISSN":"1478-7954","issue":"1","journalAbbreviation":"Popul Health Metrics","language":"en","page":"59","source":"Springer Link","title":"Reducing inequalities using an unbiased machine learning approach to identify births with the highest risk of preventable neonatal deaths","volume":"23","author":[{"family":"Ramos","given":"Antonio P."},{"family":"Caldieraro","given":"Fabio"},{"family":"Nascimento","given":"Marcus L."},{"family":"Saldanha","given":"Raphael"}],"issued":{"date-parts":[["2025",10,27]]}}}],"schema":"https://github.com/citation-style-language/schema/raw/master/csl-citation.json"}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[91]</w:t>
            </w:r>
            <w:r>
              <w:rPr>
                <w:rFonts w:ascii="Arial" w:eastAsia="Times New Roman" w:hAnsi="Arial" w:cs="Arial"/>
                <w:color w:val="000000"/>
                <w:sz w:val="12"/>
                <w:szCs w:val="12"/>
                <w:lang w:eastAsia="en-GB" w:bidi="th-TH"/>
              </w:rPr>
              <w:fldChar w:fldCharType="end"/>
            </w:r>
          </w:p>
        </w:tc>
      </w:tr>
      <w:tr w:rsidR="00871B31" w:rsidRPr="00756461" w14:paraId="169A3D05"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6B5431F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Rees, et al 2025</w:t>
            </w:r>
          </w:p>
        </w:tc>
        <w:tc>
          <w:tcPr>
            <w:tcW w:w="1054" w:type="dxa"/>
            <w:tcBorders>
              <w:top w:val="single" w:sz="4" w:space="0" w:color="888888"/>
              <w:left w:val="single" w:sz="4" w:space="0" w:color="888888"/>
              <w:bottom w:val="single" w:sz="4" w:space="0" w:color="888888"/>
              <w:right w:val="single" w:sz="4" w:space="0" w:color="888888"/>
            </w:tcBorders>
          </w:tcPr>
          <w:p w14:paraId="180E412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Secondary analysis</w:t>
            </w:r>
          </w:p>
        </w:tc>
        <w:tc>
          <w:tcPr>
            <w:tcW w:w="742" w:type="dxa"/>
            <w:tcBorders>
              <w:top w:val="single" w:sz="4" w:space="0" w:color="888888"/>
              <w:left w:val="single" w:sz="4" w:space="0" w:color="888888"/>
              <w:bottom w:val="single" w:sz="4" w:space="0" w:color="888888"/>
              <w:right w:val="single" w:sz="4" w:space="0" w:color="888888"/>
            </w:tcBorders>
          </w:tcPr>
          <w:p w14:paraId="75E730D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Tanzania and Liberia</w:t>
            </w:r>
          </w:p>
        </w:tc>
        <w:tc>
          <w:tcPr>
            <w:tcW w:w="786" w:type="dxa"/>
            <w:tcBorders>
              <w:top w:val="single" w:sz="4" w:space="0" w:color="888888"/>
              <w:left w:val="single" w:sz="4" w:space="0" w:color="888888"/>
              <w:bottom w:val="single" w:sz="4" w:space="0" w:color="888888"/>
              <w:right w:val="single" w:sz="4" w:space="0" w:color="888888"/>
            </w:tcBorders>
          </w:tcPr>
          <w:p w14:paraId="41498B9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Neonatal mortality</w:t>
            </w:r>
          </w:p>
        </w:tc>
        <w:tc>
          <w:tcPr>
            <w:tcW w:w="786" w:type="dxa"/>
            <w:tcBorders>
              <w:top w:val="single" w:sz="4" w:space="0" w:color="888888"/>
              <w:left w:val="single" w:sz="4" w:space="0" w:color="888888"/>
              <w:bottom w:val="single" w:sz="4" w:space="0" w:color="888888"/>
              <w:right w:val="single" w:sz="4" w:space="0" w:color="888888"/>
            </w:tcBorders>
          </w:tcPr>
          <w:p w14:paraId="3D7DC1E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comparison</w:t>
            </w:r>
          </w:p>
        </w:tc>
        <w:tc>
          <w:tcPr>
            <w:tcW w:w="1051" w:type="dxa"/>
            <w:tcBorders>
              <w:top w:val="single" w:sz="4" w:space="0" w:color="888888"/>
              <w:left w:val="single" w:sz="4" w:space="0" w:color="888888"/>
              <w:bottom w:val="single" w:sz="4" w:space="0" w:color="888888"/>
              <w:right w:val="single" w:sz="4" w:space="0" w:color="888888"/>
            </w:tcBorders>
          </w:tcPr>
          <w:p w14:paraId="1C8499C8"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260C3F7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age</w:t>
            </w:r>
          </w:p>
          <w:p w14:paraId="3EEC49D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education</w:t>
            </w:r>
          </w:p>
          <w:p w14:paraId="09DAB0FA"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25C42CC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Birth weight</w:t>
            </w:r>
          </w:p>
        </w:tc>
        <w:tc>
          <w:tcPr>
            <w:tcW w:w="851" w:type="dxa"/>
            <w:tcBorders>
              <w:top w:val="single" w:sz="4" w:space="0" w:color="888888"/>
              <w:left w:val="single" w:sz="4" w:space="0" w:color="888888"/>
              <w:bottom w:val="single" w:sz="4" w:space="0" w:color="888888"/>
              <w:right w:val="single" w:sz="4" w:space="0" w:color="888888"/>
            </w:tcBorders>
          </w:tcPr>
          <w:p w14:paraId="71F7A75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44DB798A"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32D2812B"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50B226E3"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992" w:type="dxa"/>
            <w:tcBorders>
              <w:top w:val="single" w:sz="4" w:space="0" w:color="888888"/>
              <w:left w:val="single" w:sz="4" w:space="0" w:color="888888"/>
              <w:bottom w:val="single" w:sz="4" w:space="0" w:color="888888"/>
              <w:right w:val="single" w:sz="4" w:space="0" w:color="888888"/>
            </w:tcBorders>
          </w:tcPr>
          <w:p w14:paraId="5D8AAB4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XGBoost, Hist-Gradient Boost, and Neural Network models achieved area under the receiver operating characteristic (AUROC) curves ranging from 0.94 to 0.99.</w:t>
            </w:r>
            <w:r>
              <w:rPr>
                <w:rFonts w:ascii="Arial" w:hAnsi="Arial" w:cs="Arial"/>
                <w:sz w:val="12"/>
                <w:szCs w:val="12"/>
              </w:rPr>
              <w:br/>
            </w:r>
            <w:r>
              <w:rPr>
                <w:rFonts w:ascii="Arial" w:hAnsi="Arial" w:cs="Arial"/>
                <w:sz w:val="12"/>
                <w:szCs w:val="12"/>
              </w:rPr>
              <w:br/>
              <w:t>Speciflly, the XGBoost model for neonates achieved an AUROC of 0.99 in the validation set, while the model for young children achieved an AUROC of 0.91.</w:t>
            </w:r>
          </w:p>
        </w:tc>
        <w:tc>
          <w:tcPr>
            <w:tcW w:w="851" w:type="dxa"/>
            <w:tcBorders>
              <w:top w:val="single" w:sz="4" w:space="0" w:color="888888"/>
              <w:left w:val="single" w:sz="4" w:space="0" w:color="888888"/>
              <w:bottom w:val="single" w:sz="4" w:space="0" w:color="888888"/>
              <w:right w:val="single" w:sz="4" w:space="0" w:color="888888"/>
            </w:tcBorders>
          </w:tcPr>
          <w:p w14:paraId="2BD8BFD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w:t>
            </w:r>
          </w:p>
        </w:tc>
        <w:tc>
          <w:tcPr>
            <w:tcW w:w="817" w:type="dxa"/>
            <w:tcBorders>
              <w:top w:val="single" w:sz="4" w:space="0" w:color="888888"/>
              <w:left w:val="single" w:sz="4" w:space="0" w:color="888888"/>
              <w:bottom w:val="single" w:sz="4" w:space="0" w:color="888888"/>
              <w:right w:val="single" w:sz="4" w:space="0" w:color="888888"/>
            </w:tcBorders>
          </w:tcPr>
          <w:p w14:paraId="3543A1A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7E9D264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4,243 </w:t>
            </w:r>
            <w:r>
              <w:rPr>
                <w:rFonts w:ascii="Arial" w:hAnsi="Arial" w:cs="Arial"/>
                <w:sz w:val="12"/>
                <w:szCs w:val="12"/>
              </w:rPr>
              <w:br/>
              <w:t>• Neonatal Model: 2,310 neonates (54.4% of the total sample).</w:t>
            </w:r>
            <w:r>
              <w:rPr>
                <w:rFonts w:ascii="Arial" w:hAnsi="Arial" w:cs="Arial"/>
                <w:sz w:val="12"/>
                <w:szCs w:val="12"/>
              </w:rPr>
              <w:br/>
              <w:t>• Child Model: 1,933 young children (45.6% of the total sample).</w:t>
            </w:r>
          </w:p>
        </w:tc>
        <w:tc>
          <w:tcPr>
            <w:tcW w:w="851" w:type="dxa"/>
            <w:tcBorders>
              <w:top w:val="single" w:sz="4" w:space="0" w:color="888888"/>
              <w:left w:val="single" w:sz="4" w:space="0" w:color="888888"/>
              <w:bottom w:val="single" w:sz="4" w:space="0" w:color="888888"/>
              <w:right w:val="single" w:sz="4" w:space="0" w:color="888888"/>
            </w:tcBorders>
          </w:tcPr>
          <w:p w14:paraId="6DD2953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National Institutes of Health (K24 DK104676 and P30 DK040561 to CPD, K24 AT009893 to CRM, and K23HL173694 to CAR), the Boston Children’s Hospital Global Health Program (Grant Number N/A) to CAR, the Palfrey Fund for Child Health Advocacy (Grant Number N/A) to CAR and the Emory Pediatric Research Alliance Junior Faculty Focused Award (Grant Number N/A) to CAR.</w:t>
            </w:r>
          </w:p>
        </w:tc>
        <w:tc>
          <w:tcPr>
            <w:tcW w:w="1134" w:type="dxa"/>
            <w:tcBorders>
              <w:top w:val="single" w:sz="4" w:space="0" w:color="888888"/>
              <w:left w:val="single" w:sz="4" w:space="0" w:color="888888"/>
              <w:bottom w:val="single" w:sz="4" w:space="0" w:color="888888"/>
              <w:right w:val="single" w:sz="4" w:space="0" w:color="888888"/>
            </w:tcBorders>
          </w:tcPr>
          <w:p w14:paraId="42B3189A"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60.8%</w:t>
            </w:r>
          </w:p>
        </w:tc>
        <w:tc>
          <w:tcPr>
            <w:tcW w:w="841" w:type="dxa"/>
            <w:tcBorders>
              <w:top w:val="single" w:sz="4" w:space="0" w:color="888888"/>
              <w:left w:val="single" w:sz="4" w:space="0" w:color="888888"/>
              <w:bottom w:val="single" w:sz="4" w:space="0" w:color="888888"/>
              <w:right w:val="single" w:sz="4" w:space="0" w:color="888888"/>
            </w:tcBorders>
          </w:tcPr>
          <w:p w14:paraId="6BC399A5"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Low risk</w:t>
            </w:r>
            <w:r>
              <w:rPr>
                <w:rFonts w:ascii="Arial" w:hAnsi="Arial" w:cs="Arial"/>
                <w:color w:val="000000"/>
                <w:sz w:val="12"/>
                <w:szCs w:val="12"/>
              </w:rPr>
              <w:br/>
              <w:t>D4: Low risk</w:t>
            </w:r>
          </w:p>
        </w:tc>
        <w:tc>
          <w:tcPr>
            <w:tcW w:w="860" w:type="dxa"/>
            <w:tcBorders>
              <w:top w:val="single" w:sz="4" w:space="0" w:color="888888"/>
              <w:left w:val="single" w:sz="4" w:space="0" w:color="888888"/>
              <w:bottom w:val="single" w:sz="4" w:space="0" w:color="888888"/>
              <w:right w:val="single" w:sz="4" w:space="0" w:color="888888"/>
            </w:tcBorders>
          </w:tcPr>
          <w:p w14:paraId="49EA36A4" w14:textId="77777777" w:rsidR="00871B31" w:rsidRPr="00756461" w:rsidRDefault="00871B31" w:rsidP="00BC1F31">
            <w:pPr>
              <w:spacing w:after="0" w:line="240" w:lineRule="auto"/>
              <w:rPr>
                <w:rFonts w:ascii="Arial" w:hAnsi="Arial" w:cs="Arial"/>
                <w:color w:val="000000"/>
                <w:sz w:val="12"/>
                <w:szCs w:val="12"/>
              </w:rPr>
            </w:pPr>
            <w:r>
              <w:rPr>
                <w:rFonts w:ascii="Arial" w:hAnsi="Arial" w:cs="Arial"/>
                <w:color w:val="000000"/>
                <w:sz w:val="12"/>
                <w:szCs w:val="12"/>
              </w:rPr>
              <w:t>Not publicly available</w:t>
            </w:r>
            <w:r>
              <w:rPr>
                <w:rFonts w:ascii="Arial" w:hAnsi="Arial" w:cs="Arial"/>
                <w:color w:val="000000"/>
                <w:sz w:val="12"/>
                <w:szCs w:val="12"/>
              </w:rPr>
              <w:br/>
            </w:r>
          </w:p>
          <w:p w14:paraId="393F1A67"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Available via inquiries to corresponding author</w:t>
            </w:r>
          </w:p>
        </w:tc>
        <w:tc>
          <w:tcPr>
            <w:tcW w:w="442" w:type="dxa"/>
            <w:tcBorders>
              <w:top w:val="single" w:sz="4" w:space="0" w:color="888888"/>
              <w:left w:val="single" w:sz="4" w:space="0" w:color="888888"/>
              <w:bottom w:val="single" w:sz="4" w:space="0" w:color="888888"/>
              <w:right w:val="single" w:sz="4" w:space="0" w:color="888888"/>
            </w:tcBorders>
          </w:tcPr>
          <w:p w14:paraId="44E4BFAE"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{"citationID":"aaYddxpA","properties":{"formattedCitation":"[92]","plainCitation":"[92]","noteIndex":0},"citationItems":[{"id":"b2OWig5M/Jhe7M5KW","uris":["http://zotero.org/users/18230940/items/FMLW4ZMP"],"itemData":{"id":794,"type":"article-journal","abstract":"Background The time after hospital discharge carries high rates of mortality in neonates and young children in sub-Saharan Africa. Previous work using logistic regression to develop risk assessment tools to identify those at risk for postdischarge mortality has yielded fair discriminatory value. Our objective was to determine if machine learning models would have greater discriminatory value to identify neonates and young children at risk for postdischarge mortality.Methods We conducted a planned secondary analysis of a prospective observational cohort at Muhimbili National Hospital in Dar es Salaam, Tanzania and John F. Kennedy Medical Center in Monrovia, Liberia. We enrolled neonates and young children near the time of discharge. The outcome was 60-day postdischarge mortality. We collected socioeconomic, demographic, clinical, and anthropometric data during hospital admission and used machine learning (ie, eXtreme Gradient Boosting (XGBoost), Hist-Gradient Boost, Support Vector Machine, Neural Network, and Random Forest) to develop risk assessment tools to identify: (1) neonates and (2) young children at risk for postdischarge mortality.Results A total of 2310 neonates and 1933 young children enrolled. Of these, 71 (3.1%) neonates and 67 (3.5%) young children died after hospital discharge. XGBoost, Hist Gradient Boost, and Neural Network models yielded the greatest discriminatory value (area under the receiver operating characteristic curves range: 0.94–0.99) and fewest features, which included six features for neonates and five for young children. Discharge against medical advice, low birth weight, and supplemental oxygen requirement during hospitalisation were predictive of postdischarge mortality in neonates. For young children, discharge against medical advice, pallor, and chronic medical problems were predictive of postdischarge mortality.Conclusions Our parsimonious machine learning-based models had excellent discriminatory value to predict postdischarge mortality among neonates and young children. External validation of these tools is warranted to assist in the design of interventions to reduce postdischarge mortality in these vulnerable populations.","container-title":"BMJ Paediatrics Open","DOI":"10.1136/bmjpo-2025-003547","ISSN":"2399-9772","issue":"1","journalAbbreviation":"bmjpo","language":"en","license":"This is an open access article distributed in accordance with the Creative Commons Attribution Non Commercial (CC BY-NC 4.0) license","PMID":"10.1136/bmjpo-2025-003547","publisher":"BMJ Publishing Group Ltd","source":"bmjpaedsopen.bmj.com","title":"Machine learning approaches to identify neonates and young children at risk for postdischarge mortality in Dar es Salaam, Tanzania and Monrovia, Liberia","URL":"https://bmjpaedsopen.bmj.com/content/9/1/e003547","volume":"9","author":[{"family":"Rees","given":"Chris A."},{"family":"Kisenge","given":"Rodrick"},{"family":"Godfrey","given":"Evance"},{"family":"Ideh","given":"Readon C."},{"family":"Kamara","given":"Julia"},{"family":"Coleman-Nekar","given":"Ye-Jeung G."},{"family":"Samma","given":"Abraham"},{"family":"Manji","given":"Hussein K."},{"family":"Sudfeld","given":"Christopher R."},{"family":"Westbrook","given":"Adrianna L."},{"family":"Niescierenko","given":"Michelle"},{"family":"Morris","given":"Claudia R."},{"family":"Florin","given":"Todd A."},{"family":"Whitney","given":"Cynthia G."},{"family":"Manji","given":"Karim P."},{"family":"Duggan","given":"Christopher P."},{"family":"Kamaleswaran","given":"Rishikesan"}],"accessed":{"date-parts":[["2026",2,20]]},"issued":{"date-parts":[["2025",6,19]]}}}],"schema":"https://github.com/citation-style-language/schema/raw/master/csl-citation.json"}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[92]</w:t>
            </w:r>
            <w:r>
              <w:rPr>
                <w:rFonts w:ascii="Arial" w:eastAsia="Times New Roman" w:hAnsi="Arial" w:cs="Arial"/>
                <w:color w:val="000000"/>
                <w:sz w:val="12"/>
                <w:szCs w:val="12"/>
                <w:lang w:eastAsia="en-GB" w:bidi="th-TH"/>
              </w:rPr>
              <w:fldChar w:fldCharType="end"/>
            </w:r>
          </w:p>
        </w:tc>
      </w:tr>
      <w:tr w:rsidR="00871B31" w:rsidRPr="00756461" w14:paraId="78D7E80A"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3623B53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Sayeed, et al.  2024</w:t>
            </w:r>
          </w:p>
        </w:tc>
        <w:tc>
          <w:tcPr>
            <w:tcW w:w="1054" w:type="dxa"/>
            <w:tcBorders>
              <w:top w:val="single" w:sz="4" w:space="0" w:color="888888"/>
              <w:left w:val="single" w:sz="4" w:space="0" w:color="888888"/>
              <w:bottom w:val="single" w:sz="4" w:space="0" w:color="888888"/>
              <w:right w:val="single" w:sz="4" w:space="0" w:color="888888"/>
            </w:tcBorders>
          </w:tcPr>
          <w:p w14:paraId="12ECEFD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26BA605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Bangladesh</w:t>
            </w:r>
          </w:p>
        </w:tc>
        <w:tc>
          <w:tcPr>
            <w:tcW w:w="786" w:type="dxa"/>
            <w:tcBorders>
              <w:top w:val="single" w:sz="4" w:space="0" w:color="888888"/>
              <w:left w:val="single" w:sz="4" w:space="0" w:color="888888"/>
              <w:bottom w:val="single" w:sz="4" w:space="0" w:color="888888"/>
              <w:right w:val="single" w:sz="4" w:space="0" w:color="888888"/>
            </w:tcBorders>
          </w:tcPr>
          <w:p w14:paraId="570F349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Neonatal mortality</w:t>
            </w:r>
          </w:p>
        </w:tc>
        <w:tc>
          <w:tcPr>
            <w:tcW w:w="786" w:type="dxa"/>
            <w:tcBorders>
              <w:top w:val="single" w:sz="4" w:space="0" w:color="888888"/>
              <w:left w:val="single" w:sz="4" w:space="0" w:color="888888"/>
              <w:bottom w:val="single" w:sz="4" w:space="0" w:color="888888"/>
              <w:right w:val="single" w:sz="4" w:space="0" w:color="888888"/>
            </w:tcBorders>
          </w:tcPr>
          <w:p w14:paraId="7D613AC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 Model development</w:t>
            </w:r>
            <w:r>
              <w:rPr>
                <w:rFonts w:ascii="Arial" w:hAnsi="Arial" w:cs="Arial"/>
                <w:sz w:val="12"/>
                <w:szCs w:val="12"/>
              </w:rPr>
              <w:br/>
              <w:t>2. Identify important predictors</w:t>
            </w:r>
          </w:p>
        </w:tc>
        <w:tc>
          <w:tcPr>
            <w:tcW w:w="1051" w:type="dxa"/>
            <w:tcBorders>
              <w:top w:val="single" w:sz="4" w:space="0" w:color="888888"/>
              <w:left w:val="single" w:sz="4" w:space="0" w:color="888888"/>
              <w:bottom w:val="single" w:sz="4" w:space="0" w:color="888888"/>
              <w:right w:val="single" w:sz="4" w:space="0" w:color="888888"/>
            </w:tcBorders>
          </w:tcPr>
          <w:p w14:paraId="1619C249"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753F2F1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body mass index</w:t>
            </w:r>
          </w:p>
          <w:p w14:paraId="13FDF3D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education</w:t>
            </w:r>
          </w:p>
          <w:p w14:paraId="107FAC5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Previous adverse outcome</w:t>
            </w:r>
          </w:p>
          <w:p w14:paraId="0D02378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Interpregnancy interval</w:t>
            </w:r>
          </w:p>
          <w:p w14:paraId="291A08CC"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Sociodemographic factor</w:t>
            </w:r>
          </w:p>
          <w:p w14:paraId="66D0352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Geographic region / residence</w:t>
            </w:r>
          </w:p>
        </w:tc>
        <w:tc>
          <w:tcPr>
            <w:tcW w:w="851" w:type="dxa"/>
            <w:tcBorders>
              <w:top w:val="single" w:sz="4" w:space="0" w:color="888888"/>
              <w:left w:val="single" w:sz="4" w:space="0" w:color="888888"/>
              <w:bottom w:val="single" w:sz="4" w:space="0" w:color="888888"/>
              <w:right w:val="single" w:sz="4" w:space="0" w:color="888888"/>
            </w:tcBorders>
          </w:tcPr>
          <w:p w14:paraId="5C93F81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Population/ Registry</w:t>
            </w:r>
          </w:p>
        </w:tc>
        <w:tc>
          <w:tcPr>
            <w:tcW w:w="851" w:type="dxa"/>
            <w:tcBorders>
              <w:top w:val="single" w:sz="4" w:space="0" w:color="888888"/>
              <w:left w:val="single" w:sz="4" w:space="0" w:color="888888"/>
              <w:bottom w:val="single" w:sz="4" w:space="0" w:color="888888"/>
              <w:right w:val="single" w:sz="4" w:space="0" w:color="888888"/>
            </w:tcBorders>
          </w:tcPr>
          <w:p w14:paraId="33A1DC9B"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6398F402"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7DD5D86D"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0FDCB66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The LR model showed a higher average accuracy (0.9105) and AUC (0.6780) compared to the SVM model (accuracy=0.8470, AUC=0.5632). However, the LR model failed to predict any positive cases of infant mortality (sensitivity=0), whereas the SVM model could identify some (sensitivity=0.0949) </w:t>
            </w:r>
          </w:p>
        </w:tc>
        <w:tc>
          <w:tcPr>
            <w:tcW w:w="851" w:type="dxa"/>
            <w:tcBorders>
              <w:top w:val="single" w:sz="4" w:space="0" w:color="888888"/>
              <w:left w:val="single" w:sz="4" w:space="0" w:color="888888"/>
              <w:bottom w:val="single" w:sz="4" w:space="0" w:color="888888"/>
              <w:right w:val="single" w:sz="4" w:space="0" w:color="888888"/>
            </w:tcBorders>
          </w:tcPr>
          <w:p w14:paraId="214F2B9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 Average accuracy, Sensitivity</w:t>
            </w:r>
          </w:p>
        </w:tc>
        <w:tc>
          <w:tcPr>
            <w:tcW w:w="817" w:type="dxa"/>
            <w:tcBorders>
              <w:top w:val="single" w:sz="4" w:space="0" w:color="888888"/>
              <w:left w:val="single" w:sz="4" w:space="0" w:color="888888"/>
              <w:bottom w:val="single" w:sz="4" w:space="0" w:color="888888"/>
              <w:right w:val="single" w:sz="4" w:space="0" w:color="888888"/>
            </w:tcBorders>
          </w:tcPr>
          <w:p w14:paraId="75474DD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4B81133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26,145 infants </w:t>
            </w:r>
          </w:p>
        </w:tc>
        <w:tc>
          <w:tcPr>
            <w:tcW w:w="851" w:type="dxa"/>
            <w:tcBorders>
              <w:top w:val="single" w:sz="4" w:space="0" w:color="888888"/>
              <w:left w:val="single" w:sz="4" w:space="0" w:color="888888"/>
              <w:bottom w:val="single" w:sz="4" w:space="0" w:color="888888"/>
              <w:right w:val="single" w:sz="4" w:space="0" w:color="888888"/>
            </w:tcBorders>
          </w:tcPr>
          <w:p w14:paraId="31CBA33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research did not receive any specific grants from public, commercial, or non-profit funding agencies</w:t>
            </w:r>
          </w:p>
        </w:tc>
        <w:tc>
          <w:tcPr>
            <w:tcW w:w="1134" w:type="dxa"/>
            <w:tcBorders>
              <w:top w:val="single" w:sz="4" w:space="0" w:color="888888"/>
              <w:left w:val="single" w:sz="4" w:space="0" w:color="888888"/>
              <w:bottom w:val="single" w:sz="4" w:space="0" w:color="888888"/>
              <w:right w:val="single" w:sz="4" w:space="0" w:color="888888"/>
            </w:tcBorders>
          </w:tcPr>
          <w:p w14:paraId="6C413438"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47.9%</w:t>
            </w:r>
          </w:p>
        </w:tc>
        <w:tc>
          <w:tcPr>
            <w:tcW w:w="841" w:type="dxa"/>
            <w:tcBorders>
              <w:top w:val="single" w:sz="4" w:space="0" w:color="888888"/>
              <w:left w:val="single" w:sz="4" w:space="0" w:color="888888"/>
              <w:bottom w:val="single" w:sz="4" w:space="0" w:color="888888"/>
              <w:right w:val="single" w:sz="4" w:space="0" w:color="888888"/>
            </w:tcBorders>
          </w:tcPr>
          <w:p w14:paraId="1C7D2DE0"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Unclear risk</w:t>
            </w:r>
            <w:r>
              <w:rPr>
                <w:rFonts w:ascii="Arial" w:hAnsi="Arial" w:cs="Arial"/>
                <w:color w:val="000000"/>
                <w:sz w:val="12"/>
                <w:szCs w:val="12"/>
              </w:rPr>
              <w:br/>
              <w:t>D3: Unclear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0955A2A6"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The data is publicly accessible.</w:t>
            </w:r>
          </w:p>
        </w:tc>
        <w:tc>
          <w:tcPr>
            <w:tcW w:w="442" w:type="dxa"/>
            <w:tcBorders>
              <w:top w:val="single" w:sz="4" w:space="0" w:color="888888"/>
              <w:left w:val="single" w:sz="4" w:space="0" w:color="888888"/>
              <w:bottom w:val="single" w:sz="4" w:space="0" w:color="888888"/>
              <w:right w:val="single" w:sz="4" w:space="0" w:color="888888"/>
            </w:tcBorders>
          </w:tcPr>
          <w:p w14:paraId="354D7D97"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{"citationID":"IyEsOnD8","properties":{"formattedCitation":"[93]","plainCitation":"[93]","noteIndex":0},"citationItems":[{"id":"b2OWig5M/8RKeBIfN","uris":["http://zotero.org/users/18230940/items/UMBZTBJP"],"itemData":{"id":800,"type":"article-journal","abstract":"Although machine learning (ML) models are well-liked for their outperformance in prediction, greatly avoided due to the lack of intuition and explanation of their predictions. Interpretable ML is, therefore, an emerging research field that combines the performance and interpretability of ML models to create comprehensive solutions for complex decision-making analysis. Conversely, infant mortality is a global public health concern affecting health, social well-being, socio-economic development, and healthcare services. The study employs advanced interpretable ML techniques to anticipate and understand the factors affecting infant mortality in Bangladesh, overcoming the shortcomings of the conventional logistic regression (LR) model.","container-title":"Journal of Health, Population and Nutrition","DOI":"10.1186/s41043-024-00646-9","ISSN":"2072-1315","issue":"1","journalAbbreviation":"J Health Popul Nutr","language":"en","page":"170","source":"Springer Link","title":"On the interpretability of the SVM model for predicting infant mortality in Bangladesh","volume":"43","author":[{"family":"Sayeed","given":"Md Abu"},{"family":"Rahman","given":"Azizur"},{"family":"Rahman","given":"Atikur"},{"family":"Rois","given":"Rumana"}],"issued":{"date-parts":[["2024",10,27]]}}}],"schema":"https://github.com/citation-style-language/schema/raw/master/csl-citation.json"}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[93]</w:t>
            </w:r>
            <w:r>
              <w:rPr>
                <w:rFonts w:ascii="Arial" w:eastAsia="Times New Roman" w:hAnsi="Arial" w:cs="Arial"/>
                <w:color w:val="000000"/>
                <w:sz w:val="12"/>
                <w:szCs w:val="12"/>
                <w:lang w:eastAsia="en-GB" w:bidi="th-TH"/>
              </w:rPr>
              <w:fldChar w:fldCharType="end"/>
            </w:r>
          </w:p>
        </w:tc>
      </w:tr>
      <w:tr w:rsidR="00871B31" w:rsidRPr="00756461" w14:paraId="0EE90996"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0DEDADD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Shao, et al. 2024</w:t>
            </w:r>
          </w:p>
        </w:tc>
        <w:tc>
          <w:tcPr>
            <w:tcW w:w="1054" w:type="dxa"/>
            <w:tcBorders>
              <w:top w:val="single" w:sz="4" w:space="0" w:color="888888"/>
              <w:left w:val="single" w:sz="4" w:space="0" w:color="888888"/>
              <w:bottom w:val="single" w:sz="4" w:space="0" w:color="888888"/>
              <w:right w:val="single" w:sz="4" w:space="0" w:color="888888"/>
            </w:tcBorders>
          </w:tcPr>
          <w:p w14:paraId="7232BB4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cohort study</w:t>
            </w:r>
          </w:p>
        </w:tc>
        <w:tc>
          <w:tcPr>
            <w:tcW w:w="742" w:type="dxa"/>
            <w:tcBorders>
              <w:top w:val="single" w:sz="4" w:space="0" w:color="888888"/>
              <w:left w:val="single" w:sz="4" w:space="0" w:color="888888"/>
              <w:bottom w:val="single" w:sz="4" w:space="0" w:color="888888"/>
              <w:right w:val="single" w:sz="4" w:space="0" w:color="888888"/>
            </w:tcBorders>
          </w:tcPr>
          <w:p w14:paraId="1F47E9D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China</w:t>
            </w:r>
          </w:p>
        </w:tc>
        <w:tc>
          <w:tcPr>
            <w:tcW w:w="786" w:type="dxa"/>
            <w:tcBorders>
              <w:top w:val="single" w:sz="4" w:space="0" w:color="888888"/>
              <w:left w:val="single" w:sz="4" w:space="0" w:color="888888"/>
              <w:bottom w:val="single" w:sz="4" w:space="0" w:color="888888"/>
              <w:right w:val="single" w:sz="4" w:space="0" w:color="888888"/>
            </w:tcBorders>
          </w:tcPr>
          <w:p w14:paraId="24E29C9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w:t>
            </w:r>
          </w:p>
        </w:tc>
        <w:tc>
          <w:tcPr>
            <w:tcW w:w="786" w:type="dxa"/>
            <w:tcBorders>
              <w:top w:val="single" w:sz="4" w:space="0" w:color="888888"/>
              <w:left w:val="single" w:sz="4" w:space="0" w:color="888888"/>
              <w:bottom w:val="single" w:sz="4" w:space="0" w:color="888888"/>
              <w:right w:val="single" w:sz="4" w:space="0" w:color="888888"/>
            </w:tcBorders>
          </w:tcPr>
          <w:p w14:paraId="249D611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 Model development</w:t>
            </w:r>
            <w:r>
              <w:rPr>
                <w:rFonts w:ascii="Arial" w:hAnsi="Arial" w:cs="Arial"/>
                <w:sz w:val="12"/>
                <w:szCs w:val="12"/>
              </w:rPr>
              <w:br/>
              <w:t>2. Model evaluation</w:t>
            </w:r>
            <w:r>
              <w:rPr>
                <w:rFonts w:ascii="Arial" w:hAnsi="Arial" w:cs="Arial"/>
                <w:sz w:val="12"/>
                <w:szCs w:val="12"/>
              </w:rPr>
              <w:br/>
              <w:t>3. Model validation</w:t>
            </w:r>
          </w:p>
        </w:tc>
        <w:tc>
          <w:tcPr>
            <w:tcW w:w="1051" w:type="dxa"/>
            <w:tcBorders>
              <w:top w:val="single" w:sz="4" w:space="0" w:color="888888"/>
              <w:left w:val="single" w:sz="4" w:space="0" w:color="888888"/>
              <w:bottom w:val="single" w:sz="4" w:space="0" w:color="888888"/>
              <w:right w:val="single" w:sz="4" w:space="0" w:color="888888"/>
            </w:tcBorders>
          </w:tcPr>
          <w:p w14:paraId="44A3415E"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460F96F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Parity</w:t>
            </w:r>
          </w:p>
          <w:p w14:paraId="5F1EE66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Gravidity</w:t>
            </w:r>
          </w:p>
          <w:p w14:paraId="3F790BF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Anaemia / haemoglobin</w:t>
            </w:r>
          </w:p>
          <w:p w14:paraId="21CD4F8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Hypertensive disorders of pregnancy</w:t>
            </w:r>
          </w:p>
          <w:p w14:paraId="5C70185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Infections</w:t>
            </w:r>
          </w:p>
          <w:p w14:paraId="536209C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Cholesterol / lipid panel</w:t>
            </w:r>
          </w:p>
          <w:p w14:paraId="731E317E"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685DA7E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Gestational age</w:t>
            </w:r>
          </w:p>
          <w:p w14:paraId="6C004AB9"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Clinical factor</w:t>
            </w:r>
          </w:p>
          <w:p w14:paraId="623F7F4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Mode of delivery</w:t>
            </w:r>
          </w:p>
        </w:tc>
        <w:tc>
          <w:tcPr>
            <w:tcW w:w="851" w:type="dxa"/>
            <w:tcBorders>
              <w:top w:val="single" w:sz="4" w:space="0" w:color="888888"/>
              <w:left w:val="single" w:sz="4" w:space="0" w:color="888888"/>
              <w:bottom w:val="single" w:sz="4" w:space="0" w:color="888888"/>
              <w:right w:val="single" w:sz="4" w:space="0" w:color="888888"/>
            </w:tcBorders>
          </w:tcPr>
          <w:p w14:paraId="3903ED5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66B3FA51"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2196D09E"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31CDF30C"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44F1EF4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For the predictive model of maternal adverse outcomes, the area under the curve (AUC) was 0.845. For the neonatal adverse outcomes model, the AUC was 0.685</w:t>
            </w:r>
          </w:p>
        </w:tc>
        <w:tc>
          <w:tcPr>
            <w:tcW w:w="851" w:type="dxa"/>
            <w:tcBorders>
              <w:top w:val="single" w:sz="4" w:space="0" w:color="888888"/>
              <w:left w:val="single" w:sz="4" w:space="0" w:color="888888"/>
              <w:bottom w:val="single" w:sz="4" w:space="0" w:color="888888"/>
              <w:right w:val="single" w:sz="4" w:space="0" w:color="888888"/>
            </w:tcBorders>
          </w:tcPr>
          <w:p w14:paraId="10760B9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w:t>
            </w:r>
          </w:p>
        </w:tc>
        <w:tc>
          <w:tcPr>
            <w:tcW w:w="817" w:type="dxa"/>
            <w:tcBorders>
              <w:top w:val="single" w:sz="4" w:space="0" w:color="888888"/>
              <w:left w:val="single" w:sz="4" w:space="0" w:color="888888"/>
              <w:bottom w:val="single" w:sz="4" w:space="0" w:color="888888"/>
              <w:right w:val="single" w:sz="4" w:space="0" w:color="888888"/>
            </w:tcBorders>
          </w:tcPr>
          <w:p w14:paraId="1BA705D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71987B4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 total of 713 cases were collected, with 698 groups included in the final analysis after screening</w:t>
            </w:r>
          </w:p>
        </w:tc>
        <w:tc>
          <w:tcPr>
            <w:tcW w:w="851" w:type="dxa"/>
            <w:tcBorders>
              <w:top w:val="single" w:sz="4" w:space="0" w:color="888888"/>
              <w:left w:val="single" w:sz="4" w:space="0" w:color="888888"/>
              <w:bottom w:val="single" w:sz="4" w:space="0" w:color="888888"/>
              <w:right w:val="single" w:sz="4" w:space="0" w:color="888888"/>
            </w:tcBorders>
          </w:tcPr>
          <w:p w14:paraId="01BE08A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study did not receive any funding</w:t>
            </w:r>
          </w:p>
        </w:tc>
        <w:tc>
          <w:tcPr>
            <w:tcW w:w="1134" w:type="dxa"/>
            <w:tcBorders>
              <w:top w:val="single" w:sz="4" w:space="0" w:color="888888"/>
              <w:left w:val="single" w:sz="4" w:space="0" w:color="888888"/>
              <w:bottom w:val="single" w:sz="4" w:space="0" w:color="888888"/>
              <w:right w:val="single" w:sz="4" w:space="0" w:color="888888"/>
            </w:tcBorders>
          </w:tcPr>
          <w:p w14:paraId="725F52AC"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66.0%</w:t>
            </w:r>
          </w:p>
        </w:tc>
        <w:tc>
          <w:tcPr>
            <w:tcW w:w="841" w:type="dxa"/>
            <w:tcBorders>
              <w:top w:val="single" w:sz="4" w:space="0" w:color="888888"/>
              <w:left w:val="single" w:sz="4" w:space="0" w:color="888888"/>
              <w:bottom w:val="single" w:sz="4" w:space="0" w:color="888888"/>
              <w:right w:val="single" w:sz="4" w:space="0" w:color="888888"/>
            </w:tcBorders>
          </w:tcPr>
          <w:p w14:paraId="4DF3866C"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High risk</w:t>
            </w:r>
            <w:r>
              <w:rPr>
                <w:rFonts w:ascii="Arial" w:hAnsi="Arial" w:cs="Arial"/>
                <w:color w:val="000000"/>
                <w:sz w:val="12"/>
                <w:szCs w:val="12"/>
              </w:rPr>
              <w:br/>
              <w:t>D3: High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1278CA68"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The data is included in this article.</w:t>
            </w:r>
          </w:p>
        </w:tc>
        <w:tc>
          <w:tcPr>
            <w:tcW w:w="442" w:type="dxa"/>
            <w:tcBorders>
              <w:top w:val="single" w:sz="4" w:space="0" w:color="888888"/>
              <w:left w:val="single" w:sz="4" w:space="0" w:color="888888"/>
              <w:bottom w:val="single" w:sz="4" w:space="0" w:color="888888"/>
              <w:right w:val="single" w:sz="4" w:space="0" w:color="888888"/>
            </w:tcBorders>
          </w:tcPr>
          <w:p w14:paraId="3EF9C435"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{"citationID":"Vu6mdQ88","properties":{"formattedCitation":"[94]","plainCitation":"[94]","noteIndex":0},"citationItems":[{"id":"b2OWig5M/rDSnRH16","uris":["http://zotero.org/users/18230940/items/ZZHXHNKM"],"itemData":{"id":272,"type":"article-journal","abstract":"Purpose: This study aimed to create, verify and assess the clinical utility of a prediction model for maternal and neonatal adverse outcomes in pregnant women with hypothyroidism. Methods: A prediction model was developed, and its accuracy was tested using data from a retrospective cohort. The study focused exclusively on female patients diagnosed with hypothyroidism who were admitted to a tertiary hospital. The development and validation cohort comprised individuals who gave birth between 1 October 2020 and 31 December 2022. The primary outcome was a combination of crucial maternal and newborn problems (eg premature births, abortions and neonatal asphyxia). The prediction model was developed using logistic regression. Evaluation of the model’s performance was conducted based on its ability to discriminate, calibrate and provide clinical value. Results: In total, nine variables were chosen to develop the predictive model for adverse maternal and neonatal outcomes during pregnancy with hypothyroidism. The area under the curve of the model for predicting maternal adverse outcomes was 0.845, and that for predicting neonatal adverse outcomes was 0.685. The calibration plots showed good agreement between the nomogram predictions and the actual observations in both the training and validation cohorts. Furthermore, decision curve analysis suggested that the nomograms were clinically useful and had good discriminative power to identify high-risk mother–infant cases. Conclusion: Two models to predict the risk probability of maternal and neonatal adverse outcomes in pregnant women with hypothyroidism were developed and verified to assist physicians in evaluating maternal and neonatal adverse outcomes throughout pregnancy with hypothyroidism and to facilitate decision-making regarding therapy. © 2024 Elsevier B.V., All rights reserved.","archive":"Scopus","container-title":"Journal of Multidisciplinary Healthcare","DOI":"10.2147/JMDH.S457818","ISSN":"11782390 (ISSN)","language":"English","page":"1953-1969","publisher":"Dove Medical Press Ltd","title":"Development, Validation and Clinical Utility of a Risk Prediction Model for Maternal and Neonatal Adverse Outcomes in Pregnant Women with Hypothyroidism","volume":"17","author":[{"family":"Shao","given":"C."},{"family":"Chen","given":"Q."},{"family":"Tang","given":"S."},{"family":"Wang","given":"C."},{"family":"Sun","given":"R."}],"issued":{"date-parts":[["2024"]]}}}],"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[94]</w:t>
            </w:r>
            <w:r>
              <w:rPr>
                <w:rFonts w:ascii="Arial" w:eastAsia="Times New Roman" w:hAnsi="Arial" w:cs="Arial"/>
                <w:color w:val="000000"/>
                <w:sz w:val="12"/>
                <w:szCs w:val="12"/>
                <w:lang w:eastAsia="en-GB" w:bidi="th-TH"/>
              </w:rPr>
              <w:fldChar w:fldCharType="end"/>
            </w:r>
          </w:p>
        </w:tc>
      </w:tr>
      <w:tr w:rsidR="00871B31" w:rsidRPr="00756461" w14:paraId="76999953"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1D217B4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Sheikhtaheri, at al. 2021</w:t>
            </w:r>
          </w:p>
        </w:tc>
        <w:tc>
          <w:tcPr>
            <w:tcW w:w="1054" w:type="dxa"/>
            <w:tcBorders>
              <w:top w:val="single" w:sz="4" w:space="0" w:color="888888"/>
              <w:left w:val="single" w:sz="4" w:space="0" w:color="888888"/>
              <w:bottom w:val="single" w:sz="4" w:space="0" w:color="888888"/>
              <w:right w:val="single" w:sz="4" w:space="0" w:color="888888"/>
            </w:tcBorders>
          </w:tcPr>
          <w:p w14:paraId="2883776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Prospective study</w:t>
            </w:r>
          </w:p>
        </w:tc>
        <w:tc>
          <w:tcPr>
            <w:tcW w:w="742" w:type="dxa"/>
            <w:tcBorders>
              <w:top w:val="single" w:sz="4" w:space="0" w:color="888888"/>
              <w:left w:val="single" w:sz="4" w:space="0" w:color="888888"/>
              <w:bottom w:val="single" w:sz="4" w:space="0" w:color="888888"/>
              <w:right w:val="single" w:sz="4" w:space="0" w:color="888888"/>
            </w:tcBorders>
          </w:tcPr>
          <w:p w14:paraId="5688D37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Iran</w:t>
            </w:r>
          </w:p>
        </w:tc>
        <w:tc>
          <w:tcPr>
            <w:tcW w:w="786" w:type="dxa"/>
            <w:tcBorders>
              <w:top w:val="single" w:sz="4" w:space="0" w:color="888888"/>
              <w:left w:val="single" w:sz="4" w:space="0" w:color="888888"/>
              <w:bottom w:val="single" w:sz="4" w:space="0" w:color="888888"/>
              <w:right w:val="single" w:sz="4" w:space="0" w:color="888888"/>
            </w:tcBorders>
          </w:tcPr>
          <w:p w14:paraId="5A2500F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Neonatal mortality</w:t>
            </w:r>
          </w:p>
        </w:tc>
        <w:tc>
          <w:tcPr>
            <w:tcW w:w="786" w:type="dxa"/>
            <w:tcBorders>
              <w:top w:val="single" w:sz="4" w:space="0" w:color="888888"/>
              <w:left w:val="single" w:sz="4" w:space="0" w:color="888888"/>
              <w:bottom w:val="single" w:sz="4" w:space="0" w:color="888888"/>
              <w:right w:val="single" w:sz="4" w:space="0" w:color="888888"/>
            </w:tcBorders>
          </w:tcPr>
          <w:p w14:paraId="58A2552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 Model development</w:t>
            </w:r>
            <w:r>
              <w:rPr>
                <w:rFonts w:ascii="Arial" w:hAnsi="Arial" w:cs="Arial"/>
                <w:sz w:val="12"/>
                <w:szCs w:val="12"/>
              </w:rPr>
              <w:br/>
              <w:t>2. Model validation</w:t>
            </w:r>
          </w:p>
        </w:tc>
        <w:tc>
          <w:tcPr>
            <w:tcW w:w="1051" w:type="dxa"/>
            <w:tcBorders>
              <w:top w:val="single" w:sz="4" w:space="0" w:color="888888"/>
              <w:left w:val="single" w:sz="4" w:space="0" w:color="888888"/>
              <w:bottom w:val="single" w:sz="4" w:space="0" w:color="888888"/>
              <w:right w:val="single" w:sz="4" w:space="0" w:color="888888"/>
            </w:tcBorders>
          </w:tcPr>
          <w:p w14:paraId="66A88736"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6A58139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Gestational age</w:t>
            </w:r>
          </w:p>
          <w:p w14:paraId="4FF51E3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Birth weight</w:t>
            </w:r>
          </w:p>
        </w:tc>
        <w:tc>
          <w:tcPr>
            <w:tcW w:w="851" w:type="dxa"/>
            <w:tcBorders>
              <w:top w:val="single" w:sz="4" w:space="0" w:color="888888"/>
              <w:left w:val="single" w:sz="4" w:space="0" w:color="888888"/>
              <w:bottom w:val="single" w:sz="4" w:space="0" w:color="888888"/>
              <w:right w:val="single" w:sz="4" w:space="0" w:color="888888"/>
            </w:tcBorders>
          </w:tcPr>
          <w:p w14:paraId="0994F5F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Population/ Registry</w:t>
            </w:r>
          </w:p>
        </w:tc>
        <w:tc>
          <w:tcPr>
            <w:tcW w:w="851" w:type="dxa"/>
            <w:tcBorders>
              <w:top w:val="single" w:sz="4" w:space="0" w:color="888888"/>
              <w:left w:val="single" w:sz="4" w:space="0" w:color="888888"/>
              <w:bottom w:val="single" w:sz="4" w:space="0" w:color="888888"/>
              <w:right w:val="single" w:sz="4" w:space="0" w:color="888888"/>
            </w:tcBorders>
          </w:tcPr>
          <w:p w14:paraId="32AC608B"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1A00723D"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1E2B5B6A"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992" w:type="dxa"/>
            <w:tcBorders>
              <w:top w:val="single" w:sz="4" w:space="0" w:color="888888"/>
              <w:left w:val="single" w:sz="4" w:space="0" w:color="888888"/>
              <w:bottom w:val="single" w:sz="4" w:space="0" w:color="888888"/>
              <w:right w:val="single" w:sz="4" w:space="0" w:color="888888"/>
            </w:tcBorders>
          </w:tcPr>
          <w:p w14:paraId="005EAF6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In the initial evaluation, the SVM and Ensemble models achieved the highest Area Under the Curve (AUC) of 0.98. The SVM model also had the best accuracy (0.94), sensitivity (0.95), and F-score (0.96) </w:t>
            </w:r>
            <w:r>
              <w:rPr>
                <w:rFonts w:ascii="Arial" w:hAnsi="Arial" w:cs="Arial"/>
                <w:sz w:val="12"/>
                <w:szCs w:val="12"/>
              </w:rPr>
              <w:br/>
              <w:t>8</w:t>
            </w:r>
            <w:r>
              <w:rPr>
                <w:rFonts w:ascii="Arial" w:hAnsi="Arial" w:cs="Arial"/>
                <w:sz w:val="12"/>
                <w:szCs w:val="12"/>
              </w:rPr>
              <w:br/>
              <w:t xml:space="preserve">. In the prospective evaluation, the ANN, C5.0, and </w:t>
            </w:r>
            <w:r>
              <w:rPr>
                <w:rFonts w:ascii="Arial" w:hAnsi="Arial" w:cs="Arial"/>
                <w:sz w:val="12"/>
                <w:szCs w:val="12"/>
              </w:rPr>
              <w:lastRenderedPageBreak/>
              <w:t xml:space="preserve">CHAID tree models showed the best performance </w:t>
            </w:r>
            <w:r>
              <w:rPr>
                <w:rFonts w:ascii="Arial" w:hAnsi="Arial" w:cs="Arial"/>
                <w:sz w:val="12"/>
                <w:szCs w:val="12"/>
              </w:rPr>
              <w:br/>
              <w:t>9</w:t>
            </w:r>
            <w:r>
              <w:rPr>
                <w:rFonts w:ascii="Arial" w:hAnsi="Arial" w:cs="Arial"/>
                <w:sz w:val="12"/>
                <w:szCs w:val="12"/>
              </w:rPr>
              <w:br/>
              <w:t>. The ANN model specifically had the highest accuracy (0.86), sensitivity (0.86), F-score (0.91), and AUC (0.92) in this phase</w:t>
            </w:r>
          </w:p>
        </w:tc>
        <w:tc>
          <w:tcPr>
            <w:tcW w:w="851" w:type="dxa"/>
            <w:tcBorders>
              <w:top w:val="single" w:sz="4" w:space="0" w:color="888888"/>
              <w:left w:val="single" w:sz="4" w:space="0" w:color="888888"/>
              <w:bottom w:val="single" w:sz="4" w:space="0" w:color="888888"/>
              <w:right w:val="single" w:sz="4" w:space="0" w:color="888888"/>
            </w:tcBorders>
          </w:tcPr>
          <w:p w14:paraId="4B7BB73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AUC, Sensitivity, F-measure</w:t>
            </w:r>
          </w:p>
        </w:tc>
        <w:tc>
          <w:tcPr>
            <w:tcW w:w="817" w:type="dxa"/>
            <w:tcBorders>
              <w:top w:val="single" w:sz="4" w:space="0" w:color="888888"/>
              <w:left w:val="single" w:sz="4" w:space="0" w:color="888888"/>
              <w:bottom w:val="single" w:sz="4" w:space="0" w:color="888888"/>
              <w:right w:val="single" w:sz="4" w:space="0" w:color="888888"/>
            </w:tcBorders>
          </w:tcPr>
          <w:p w14:paraId="6431A18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Both internal and external validation</w:t>
            </w:r>
          </w:p>
        </w:tc>
        <w:tc>
          <w:tcPr>
            <w:tcW w:w="742" w:type="dxa"/>
            <w:tcBorders>
              <w:top w:val="single" w:sz="4" w:space="0" w:color="888888"/>
              <w:left w:val="single" w:sz="4" w:space="0" w:color="888888"/>
              <w:bottom w:val="single" w:sz="4" w:space="0" w:color="888888"/>
              <w:right w:val="single" w:sz="4" w:space="0" w:color="888888"/>
            </w:tcBorders>
          </w:tcPr>
          <w:p w14:paraId="5F0EEF1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initial dataset for model development consisted of 1,762 neonatal records (138 deceased, 1,624 survived</w:t>
            </w:r>
            <w:proofErr w:type="gramStart"/>
            <w:r>
              <w:rPr>
                <w:rFonts w:ascii="Arial" w:hAnsi="Arial" w:cs="Arial"/>
                <w:sz w:val="12"/>
                <w:szCs w:val="12"/>
              </w:rPr>
              <w:t>) .</w:t>
            </w:r>
            <w:proofErr w:type="gramEnd"/>
            <w:r>
              <w:rPr>
                <w:rFonts w:ascii="Arial" w:hAnsi="Arial" w:cs="Arial"/>
                <w:sz w:val="12"/>
                <w:szCs w:val="12"/>
              </w:rPr>
              <w:br/>
            </w:r>
            <w:r>
              <w:rPr>
                <w:rFonts w:ascii="Arial" w:hAnsi="Arial" w:cs="Arial"/>
                <w:sz w:val="12"/>
                <w:szCs w:val="12"/>
              </w:rPr>
              <w:br/>
              <w:t xml:space="preserve">For prospective evaluation, 92 neonates were included </w:t>
            </w:r>
            <w:r>
              <w:rPr>
                <w:rFonts w:ascii="Arial" w:hAnsi="Arial" w:cs="Arial"/>
                <w:sz w:val="12"/>
                <w:szCs w:val="12"/>
              </w:rPr>
              <w:lastRenderedPageBreak/>
              <w:t xml:space="preserve">(18 deceased, 74 survived) </w:t>
            </w:r>
          </w:p>
        </w:tc>
        <w:tc>
          <w:tcPr>
            <w:tcW w:w="851" w:type="dxa"/>
            <w:tcBorders>
              <w:top w:val="single" w:sz="4" w:space="0" w:color="888888"/>
              <w:left w:val="single" w:sz="4" w:space="0" w:color="888888"/>
              <w:bottom w:val="single" w:sz="4" w:space="0" w:color="888888"/>
              <w:right w:val="single" w:sz="4" w:space="0" w:color="888888"/>
            </w:tcBorders>
          </w:tcPr>
          <w:p w14:paraId="5AF73BE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 xml:space="preserve">The research did not receive any specific grants from public, commercial, or non-profit funding agencies </w:t>
            </w:r>
          </w:p>
        </w:tc>
        <w:tc>
          <w:tcPr>
            <w:tcW w:w="1134" w:type="dxa"/>
            <w:tcBorders>
              <w:top w:val="single" w:sz="4" w:space="0" w:color="888888"/>
              <w:left w:val="single" w:sz="4" w:space="0" w:color="888888"/>
              <w:bottom w:val="single" w:sz="4" w:space="0" w:color="888888"/>
              <w:right w:val="single" w:sz="4" w:space="0" w:color="888888"/>
            </w:tcBorders>
          </w:tcPr>
          <w:p w14:paraId="59C1814E"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52.0%</w:t>
            </w:r>
          </w:p>
        </w:tc>
        <w:tc>
          <w:tcPr>
            <w:tcW w:w="841" w:type="dxa"/>
            <w:tcBorders>
              <w:top w:val="single" w:sz="4" w:space="0" w:color="888888"/>
              <w:left w:val="single" w:sz="4" w:space="0" w:color="888888"/>
              <w:bottom w:val="single" w:sz="4" w:space="0" w:color="888888"/>
              <w:right w:val="single" w:sz="4" w:space="0" w:color="888888"/>
            </w:tcBorders>
          </w:tcPr>
          <w:p w14:paraId="6F8A6141"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Low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2AC1E53D" w14:textId="77777777" w:rsidR="00871B31" w:rsidRPr="00756461" w:rsidRDefault="00871B31" w:rsidP="00BC1F31">
            <w:pPr>
              <w:spacing w:after="0" w:line="240" w:lineRule="auto"/>
              <w:rPr>
                <w:rFonts w:ascii="Arial" w:hAnsi="Arial" w:cs="Arial"/>
                <w:color w:val="000000"/>
                <w:sz w:val="12"/>
                <w:szCs w:val="12"/>
              </w:rPr>
            </w:pPr>
            <w:r>
              <w:rPr>
                <w:rFonts w:ascii="Arial" w:hAnsi="Arial" w:cs="Arial"/>
                <w:color w:val="000000"/>
                <w:sz w:val="12"/>
                <w:szCs w:val="12"/>
              </w:rPr>
              <w:t>Not publicly available</w:t>
            </w:r>
            <w:r>
              <w:rPr>
                <w:rFonts w:ascii="Arial" w:hAnsi="Arial" w:cs="Arial"/>
                <w:color w:val="000000"/>
                <w:sz w:val="12"/>
                <w:szCs w:val="12"/>
              </w:rPr>
              <w:br/>
            </w:r>
          </w:p>
          <w:p w14:paraId="6B841AEB"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Available via inquiries to corresponding author</w:t>
            </w:r>
          </w:p>
        </w:tc>
        <w:tc>
          <w:tcPr>
            <w:tcW w:w="442" w:type="dxa"/>
            <w:tcBorders>
              <w:top w:val="single" w:sz="4" w:space="0" w:color="888888"/>
              <w:left w:val="single" w:sz="4" w:space="0" w:color="888888"/>
              <w:bottom w:val="single" w:sz="4" w:space="0" w:color="888888"/>
              <w:right w:val="single" w:sz="4" w:space="0" w:color="888888"/>
            </w:tcBorders>
          </w:tcPr>
          <w:p w14:paraId="46098755"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{"citationID":"Kt3Y9UcL","properties":{"formattedCitation":"[95]","plainCitation":"[95]","noteIndex":0},"citationItems":[{"id":"b2OWig5M/JHkUeu1A","uris":["http://zotero.org/users/18230940/items/IVYW2MW3"],"itemData":{"id":804,"type":"article-journal","abstract":"Prediction of neonatal deaths in NICUs is important for benchmarking and evaluating healthcare services in NICUs. Application of machine learning techniques can improve physicians’ ability to predict the neonatal deaths. The aim of this study was to present a neonatal death risk prediction model using machine learning techniques.","container-title":"BMC Medical Informatics and Decision Making","DOI":"10.1186/s12911-021-01497-8","ISSN":"1472-6947","issue":"1","journalAbbreviation":"BMC Med Inform Decis Mak","language":"en","page":"131","source":"Springer Link","title":"Prediction of neonatal deaths in NICUs: development and validation of machine learning models","title-short":"Prediction of neonatal deaths in NICUs","volume":"21","author":[{"family":"Sheikhtaheri","given":"Abbas"},{"family":"Zarkesh","given":"Mohammad Reza"},{"family":"Moradi","given":"Raheleh"},{"family":"Kermani","given":"Farzaneh"}],"issued":{"date-parts":[["2021",4,19]]}}}],"schema":"https://github.com/citation-style-language/schema/raw/master/csl-citation.json"}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[95]</w:t>
            </w:r>
            <w:r>
              <w:rPr>
                <w:rFonts w:ascii="Arial" w:eastAsia="Times New Roman" w:hAnsi="Arial" w:cs="Arial"/>
                <w:color w:val="000000"/>
                <w:sz w:val="12"/>
                <w:szCs w:val="12"/>
                <w:lang w:eastAsia="en-GB" w:bidi="th-TH"/>
              </w:rPr>
              <w:fldChar w:fldCharType="end"/>
            </w:r>
          </w:p>
        </w:tc>
      </w:tr>
      <w:tr w:rsidR="00871B31" w:rsidRPr="00756461" w14:paraId="5ABB1264"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7D9BEFF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Shukla, et al. 2020</w:t>
            </w:r>
          </w:p>
        </w:tc>
        <w:tc>
          <w:tcPr>
            <w:tcW w:w="1054" w:type="dxa"/>
            <w:tcBorders>
              <w:top w:val="single" w:sz="4" w:space="0" w:color="888888"/>
              <w:left w:val="single" w:sz="4" w:space="0" w:color="888888"/>
              <w:bottom w:val="single" w:sz="4" w:space="0" w:color="888888"/>
              <w:right w:val="single" w:sz="4" w:space="0" w:color="888888"/>
            </w:tcBorders>
          </w:tcPr>
          <w:p w14:paraId="62530AB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Prospective study</w:t>
            </w:r>
          </w:p>
        </w:tc>
        <w:tc>
          <w:tcPr>
            <w:tcW w:w="742" w:type="dxa"/>
            <w:tcBorders>
              <w:top w:val="single" w:sz="4" w:space="0" w:color="888888"/>
              <w:left w:val="single" w:sz="4" w:space="0" w:color="888888"/>
              <w:bottom w:val="single" w:sz="4" w:space="0" w:color="888888"/>
              <w:right w:val="single" w:sz="4" w:space="0" w:color="888888"/>
            </w:tcBorders>
          </w:tcPr>
          <w:p w14:paraId="26CFCD4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South Asia (India and Pakistan), Africa (Democratic Republic of Congo, Zambia, and Kenya), and Latin America (Guatemala</w:t>
            </w:r>
          </w:p>
        </w:tc>
        <w:tc>
          <w:tcPr>
            <w:tcW w:w="786" w:type="dxa"/>
            <w:tcBorders>
              <w:top w:val="single" w:sz="4" w:space="0" w:color="888888"/>
              <w:left w:val="single" w:sz="4" w:space="0" w:color="888888"/>
              <w:bottom w:val="single" w:sz="4" w:space="0" w:color="888888"/>
              <w:right w:val="single" w:sz="4" w:space="0" w:color="888888"/>
            </w:tcBorders>
          </w:tcPr>
          <w:p w14:paraId="0D03D83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 and neonatal mortality</w:t>
            </w:r>
          </w:p>
        </w:tc>
        <w:tc>
          <w:tcPr>
            <w:tcW w:w="786" w:type="dxa"/>
            <w:tcBorders>
              <w:top w:val="single" w:sz="4" w:space="0" w:color="888888"/>
              <w:left w:val="single" w:sz="4" w:space="0" w:color="888888"/>
              <w:bottom w:val="single" w:sz="4" w:space="0" w:color="888888"/>
              <w:right w:val="single" w:sz="4" w:space="0" w:color="888888"/>
            </w:tcBorders>
          </w:tcPr>
          <w:p w14:paraId="678B911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development</w:t>
            </w:r>
          </w:p>
        </w:tc>
        <w:tc>
          <w:tcPr>
            <w:tcW w:w="1051" w:type="dxa"/>
            <w:tcBorders>
              <w:top w:val="single" w:sz="4" w:space="0" w:color="888888"/>
              <w:left w:val="single" w:sz="4" w:space="0" w:color="888888"/>
              <w:bottom w:val="single" w:sz="4" w:space="0" w:color="888888"/>
              <w:right w:val="single" w:sz="4" w:space="0" w:color="888888"/>
            </w:tcBorders>
          </w:tcPr>
          <w:p w14:paraId="704B40DA"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1203EF4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Gestational age</w:t>
            </w:r>
          </w:p>
          <w:p w14:paraId="3BFFF31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Birth weight</w:t>
            </w:r>
          </w:p>
        </w:tc>
        <w:tc>
          <w:tcPr>
            <w:tcW w:w="851" w:type="dxa"/>
            <w:tcBorders>
              <w:top w:val="single" w:sz="4" w:space="0" w:color="888888"/>
              <w:left w:val="single" w:sz="4" w:space="0" w:color="888888"/>
              <w:bottom w:val="single" w:sz="4" w:space="0" w:color="888888"/>
              <w:right w:val="single" w:sz="4" w:space="0" w:color="888888"/>
            </w:tcBorders>
          </w:tcPr>
          <w:p w14:paraId="651D102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International database</w:t>
            </w:r>
          </w:p>
        </w:tc>
        <w:tc>
          <w:tcPr>
            <w:tcW w:w="851" w:type="dxa"/>
            <w:tcBorders>
              <w:top w:val="single" w:sz="4" w:space="0" w:color="888888"/>
              <w:left w:val="single" w:sz="4" w:space="0" w:color="888888"/>
              <w:bottom w:val="single" w:sz="4" w:space="0" w:color="888888"/>
              <w:right w:val="single" w:sz="4" w:space="0" w:color="888888"/>
            </w:tcBorders>
          </w:tcPr>
          <w:p w14:paraId="27013907"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74F5965C"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0C9638F1"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7A13303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Models using only prenatal or predelivery data had low predictive accuracy, with Area Under the Curve (AUC) values of 0.71 or less.</w:t>
            </w:r>
            <w:r>
              <w:rPr>
                <w:rFonts w:ascii="Arial" w:hAnsi="Arial" w:cs="Arial"/>
                <w:sz w:val="12"/>
                <w:szCs w:val="12"/>
              </w:rPr>
              <w:br/>
            </w:r>
            <w:r>
              <w:rPr>
                <w:rFonts w:ascii="Arial" w:hAnsi="Arial" w:cs="Arial"/>
                <w:sz w:val="12"/>
                <w:szCs w:val="12"/>
              </w:rPr>
              <w:br/>
              <w:t>Models that included delivery and postdelivery data showed good predictive accuracy for neonatal mortality, with AUC values greater than 0.80</w:t>
            </w:r>
          </w:p>
        </w:tc>
        <w:tc>
          <w:tcPr>
            <w:tcW w:w="851" w:type="dxa"/>
            <w:tcBorders>
              <w:top w:val="single" w:sz="4" w:space="0" w:color="888888"/>
              <w:left w:val="single" w:sz="4" w:space="0" w:color="888888"/>
              <w:bottom w:val="single" w:sz="4" w:space="0" w:color="888888"/>
              <w:right w:val="single" w:sz="4" w:space="0" w:color="888888"/>
            </w:tcBorders>
          </w:tcPr>
          <w:p w14:paraId="4D2DB6C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w:t>
            </w:r>
          </w:p>
        </w:tc>
        <w:tc>
          <w:tcPr>
            <w:tcW w:w="817" w:type="dxa"/>
            <w:tcBorders>
              <w:top w:val="single" w:sz="4" w:space="0" w:color="888888"/>
              <w:left w:val="single" w:sz="4" w:space="0" w:color="888888"/>
              <w:bottom w:val="single" w:sz="4" w:space="0" w:color="888888"/>
              <w:right w:val="single" w:sz="4" w:space="0" w:color="888888"/>
            </w:tcBorders>
          </w:tcPr>
          <w:p w14:paraId="6DCAA40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120353F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502 648 pregnancies</w:t>
            </w:r>
          </w:p>
        </w:tc>
        <w:tc>
          <w:tcPr>
            <w:tcW w:w="851" w:type="dxa"/>
            <w:tcBorders>
              <w:top w:val="single" w:sz="4" w:space="0" w:color="888888"/>
              <w:left w:val="single" w:sz="4" w:space="0" w:color="888888"/>
              <w:bottom w:val="single" w:sz="4" w:space="0" w:color="888888"/>
              <w:right w:val="single" w:sz="4" w:space="0" w:color="888888"/>
            </w:tcBorders>
          </w:tcPr>
          <w:p w14:paraId="24B835C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study was funded by grants from the Eunice Kennedy Shriver National Institute of Child Health and Human Development</w:t>
            </w:r>
          </w:p>
        </w:tc>
        <w:tc>
          <w:tcPr>
            <w:tcW w:w="1134" w:type="dxa"/>
            <w:tcBorders>
              <w:top w:val="single" w:sz="4" w:space="0" w:color="888888"/>
              <w:left w:val="single" w:sz="4" w:space="0" w:color="888888"/>
              <w:bottom w:val="single" w:sz="4" w:space="0" w:color="888888"/>
              <w:right w:val="single" w:sz="4" w:space="0" w:color="888888"/>
            </w:tcBorders>
          </w:tcPr>
          <w:p w14:paraId="49F38BA6"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66.7%</w:t>
            </w:r>
          </w:p>
        </w:tc>
        <w:tc>
          <w:tcPr>
            <w:tcW w:w="841" w:type="dxa"/>
            <w:tcBorders>
              <w:top w:val="single" w:sz="4" w:space="0" w:color="888888"/>
              <w:left w:val="single" w:sz="4" w:space="0" w:color="888888"/>
              <w:bottom w:val="single" w:sz="4" w:space="0" w:color="888888"/>
              <w:right w:val="single" w:sz="4" w:space="0" w:color="888888"/>
            </w:tcBorders>
          </w:tcPr>
          <w:p w14:paraId="1F414B47"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Low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26F1B2D1"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The data is publicly accessible via website.</w:t>
            </w:r>
          </w:p>
        </w:tc>
        <w:tc>
          <w:tcPr>
            <w:tcW w:w="442" w:type="dxa"/>
            <w:tcBorders>
              <w:top w:val="single" w:sz="4" w:space="0" w:color="888888"/>
              <w:left w:val="single" w:sz="4" w:space="0" w:color="888888"/>
              <w:bottom w:val="single" w:sz="4" w:space="0" w:color="888888"/>
              <w:right w:val="single" w:sz="4" w:space="0" w:color="888888"/>
            </w:tcBorders>
          </w:tcPr>
          <w:p w14:paraId="2165D578"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{"citationID":"SV4Jf6UX","properties":{"formattedCitation":"[96]","plainCitation":"[96]","noteIndex":0},"citationItems":[{"id":"b2OWig5M/7BqR1dXf","uris":["http://zotero.org/users/18230940/items/NHCEJA85"],"itemData":{"id":807,"type":"article-journal","abstract":"IMPORTANCE: The overwhelming majority of fetal and neonatal deaths occur in low- and middle-income countries. Fetal and neonatal risk assessment tools may be useful to predict the risk of death.\nOBJECTIVE: To develop risk prediction models for intrapartum stillbirth and neonatal death.\nDESIGN, SETTING, AND PARTICIPANTS: This cohort study used data from the Eunice Kennedy Shriver National Institute of Child Health and Human Development Global Network for Women's and Children's Health Research population-based vital registry, including clinical sites in South Asia (India and Pakistan), Africa (Democratic Republic of Congo, Zambia, and Kenya), and Latin America (Guatemala). A total of 502648 pregnancies were prospectively enrolled in the registry.\nEXPOSURES: Risk factors were added sequentially into the data set in 4 scenarios: (1) prenatal, (2) predelivery, (3) delivery and day 1, and (4) postdelivery through day 2.\nMAIN OUTCOMES AND MEASURES: Data sets were randomly divided into 10 groups of 3 analysis data sets including training (60%), test (20%), and validation (20%). Conventional and advanced machine learning modeling techniques were applied to assess predictive abilities using area under the curve (AUC) for intrapartum stillbirth and neonatal mortality.\nRESULTS: All prenatal and predelivery models had predictive accuracy for both intrapartum stillbirth and neonatal mortality with AUC values 0.71 or less. Five of 6 models for neonatal mortality based on delivery/day 1 and postdelivery/day 2 had increased predictive accuracy with AUC values greater than 0.80. Birth weight was the most important predictor for neonatal death in both postdelivery scenarios with independent predictive ability with AUC values of 0.78 and 0.76, respectively. The addition of 4 other top predictors increased AUC to 0.83 and 0.87 for the postdelivery scenarios, respectively.\nCONCLUSIONS AND RELEVANCE: Models based on prenatal or predelivery data had predictive accuracy for intrapartum stillbirths and neonatal mortality of AUC values 0.71 or less. Models that incorporated delivery data had good predictive accuracy for risk of neonatal mortality. Birth weight was the most important predictor for neonatal mortality.","container-title":"JAMA network open","DOI":"10.1001/jamanetworkopen.2020.26750","ISSN":"2574-3805","issue":"11","journalAbbreviation":"JAMA Netw Open","language":"eng","page":"e2026750","PMID":"33206194","PMCID":"PMC7675108","source":"PubMed","title":"Predictive Modeling for Perinatal Mortality in Resource-Limited Settings","volume":"3","author":[{"family":"Shukla","given":"Vivek V."},{"family":"Eggleston","given":"Barry"},{"family":"Ambalavanan","given":"Namasivayam"},{"family":"McClure","given":"Elizabeth M."},{"family":"Mwenechanya","given":"Musaku"},{"family":"Chomba","given":"Elwyn"},{"family":"Bose","given":"Carl"},{"family":"Bauserman","given":"Melissa"},{"family":"Tshefu","given":"Antoinette"},{"family":"Goudar","given":"Shivaprasad S."},{"family":"Derman","given":"Richard J."},{"family":"Garcés","given":"Ana"},{"family":"Krebs","given":"Nancy F."},{"family":"Saleem","given":"Sarah"},{"family":"Goldenberg","given":"Robert L."},{"family":"Patel","given":"Archana"},{"family":"Hibberd","given":"Patricia L."},{"family":"Esamai","given":"Fabian"},{"family":"Bucher","given":"Sherri"},{"family":"Liechty","given":"Edward A."},{"family":"Koso-Thomas","given":"Marion"},{"family":"Carlo","given":"Waldemar A."}],"issued":{"date-parts":[["2020",11,2]]}}}],"schema":"https://github.com/citation-style-language/schema/raw/master/csl-citation.json"}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[96]</w:t>
            </w:r>
            <w:r>
              <w:rPr>
                <w:rFonts w:ascii="Arial" w:eastAsia="Times New Roman" w:hAnsi="Arial" w:cs="Arial"/>
                <w:color w:val="000000"/>
                <w:sz w:val="12"/>
                <w:szCs w:val="12"/>
                <w:lang w:eastAsia="en-GB" w:bidi="th-TH"/>
              </w:rPr>
              <w:fldChar w:fldCharType="end"/>
            </w:r>
          </w:p>
        </w:tc>
      </w:tr>
      <w:tr w:rsidR="00871B31" w:rsidRPr="00756461" w14:paraId="457DB585"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55BD703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Silva, et al 2025</w:t>
            </w:r>
          </w:p>
        </w:tc>
        <w:tc>
          <w:tcPr>
            <w:tcW w:w="1054" w:type="dxa"/>
            <w:tcBorders>
              <w:top w:val="single" w:sz="4" w:space="0" w:color="888888"/>
              <w:left w:val="single" w:sz="4" w:space="0" w:color="888888"/>
              <w:bottom w:val="single" w:sz="4" w:space="0" w:color="888888"/>
              <w:right w:val="single" w:sz="4" w:space="0" w:color="888888"/>
            </w:tcBorders>
          </w:tcPr>
          <w:p w14:paraId="5F86479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3D76523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Democratic Republic of Congo, Guatemala, Zambia, India-Belagavi, India-Nagpur, Pakistan, Kenya and Argentina</w:t>
            </w:r>
          </w:p>
        </w:tc>
        <w:tc>
          <w:tcPr>
            <w:tcW w:w="786" w:type="dxa"/>
            <w:tcBorders>
              <w:top w:val="single" w:sz="4" w:space="0" w:color="888888"/>
              <w:left w:val="single" w:sz="4" w:space="0" w:color="888888"/>
              <w:bottom w:val="single" w:sz="4" w:space="0" w:color="888888"/>
              <w:right w:val="single" w:sz="4" w:space="0" w:color="888888"/>
            </w:tcBorders>
          </w:tcPr>
          <w:p w14:paraId="7F3DBFD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Neonatal mortality</w:t>
            </w:r>
          </w:p>
        </w:tc>
        <w:tc>
          <w:tcPr>
            <w:tcW w:w="786" w:type="dxa"/>
            <w:tcBorders>
              <w:top w:val="single" w:sz="4" w:space="0" w:color="888888"/>
              <w:left w:val="single" w:sz="4" w:space="0" w:color="888888"/>
              <w:bottom w:val="single" w:sz="4" w:space="0" w:color="888888"/>
              <w:right w:val="single" w:sz="4" w:space="0" w:color="888888"/>
            </w:tcBorders>
          </w:tcPr>
          <w:p w14:paraId="7EF527C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comparison</w:t>
            </w:r>
          </w:p>
        </w:tc>
        <w:tc>
          <w:tcPr>
            <w:tcW w:w="1051" w:type="dxa"/>
            <w:tcBorders>
              <w:top w:val="single" w:sz="4" w:space="0" w:color="888888"/>
              <w:left w:val="single" w:sz="4" w:space="0" w:color="888888"/>
              <w:bottom w:val="single" w:sz="4" w:space="0" w:color="888888"/>
              <w:right w:val="single" w:sz="4" w:space="0" w:color="888888"/>
            </w:tcBorders>
          </w:tcPr>
          <w:p w14:paraId="1E037EDE"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0726DD7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age</w:t>
            </w:r>
          </w:p>
          <w:p w14:paraId="790A2D3C"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16765A4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Gestational age</w:t>
            </w:r>
          </w:p>
          <w:p w14:paraId="5572E70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Birth weight</w:t>
            </w:r>
          </w:p>
          <w:p w14:paraId="3416EEEF"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Clinical factor</w:t>
            </w:r>
          </w:p>
          <w:p w14:paraId="6ED9216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Mode of delivery</w:t>
            </w:r>
          </w:p>
        </w:tc>
        <w:tc>
          <w:tcPr>
            <w:tcW w:w="851" w:type="dxa"/>
            <w:tcBorders>
              <w:top w:val="single" w:sz="4" w:space="0" w:color="888888"/>
              <w:left w:val="single" w:sz="4" w:space="0" w:color="888888"/>
              <w:bottom w:val="single" w:sz="4" w:space="0" w:color="888888"/>
              <w:right w:val="single" w:sz="4" w:space="0" w:color="888888"/>
            </w:tcBorders>
          </w:tcPr>
          <w:p w14:paraId="1AE3AA2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International database</w:t>
            </w:r>
          </w:p>
        </w:tc>
        <w:tc>
          <w:tcPr>
            <w:tcW w:w="851" w:type="dxa"/>
            <w:tcBorders>
              <w:top w:val="single" w:sz="4" w:space="0" w:color="888888"/>
              <w:left w:val="single" w:sz="4" w:space="0" w:color="888888"/>
              <w:bottom w:val="single" w:sz="4" w:space="0" w:color="888888"/>
              <w:right w:val="single" w:sz="4" w:space="0" w:color="888888"/>
            </w:tcBorders>
          </w:tcPr>
          <w:p w14:paraId="2B02D742"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2708D0F3"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1844C92E"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992" w:type="dxa"/>
            <w:tcBorders>
              <w:top w:val="single" w:sz="4" w:space="0" w:color="888888"/>
              <w:left w:val="single" w:sz="4" w:space="0" w:color="888888"/>
              <w:bottom w:val="single" w:sz="4" w:space="0" w:color="888888"/>
              <w:right w:val="single" w:sz="4" w:space="0" w:color="888888"/>
            </w:tcBorders>
          </w:tcPr>
          <w:p w14:paraId="21E6A77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Algorithm for all countries</w:t>
            </w:r>
            <w:r>
              <w:rPr>
                <w:rFonts w:ascii="Arial" w:hAnsi="Arial" w:cs="Arial"/>
                <w:sz w:val="12"/>
                <w:szCs w:val="12"/>
              </w:rPr>
              <w:br/>
              <w:t>• highest predictive performance overall → AUC-ROC = 0.816</w:t>
            </w:r>
            <w:r>
              <w:rPr>
                <w:rFonts w:ascii="Arial" w:hAnsi="Arial" w:cs="Arial"/>
                <w:sz w:val="12"/>
                <w:szCs w:val="12"/>
              </w:rPr>
              <w:br/>
              <w:t>• Consistent performance for 0-7, 0-29, and 0-42 day mortality</w:t>
            </w:r>
            <w:r>
              <w:rPr>
                <w:rFonts w:ascii="Arial" w:hAnsi="Arial" w:cs="Arial"/>
                <w:sz w:val="12"/>
                <w:szCs w:val="12"/>
              </w:rPr>
              <w:br/>
              <w:t>• LightGBM (LGBM) Tuned algorithm was the best-performing algorithm</w:t>
            </w:r>
            <w:r>
              <w:rPr>
                <w:rFonts w:ascii="Arial" w:hAnsi="Arial" w:cs="Arial"/>
                <w:sz w:val="12"/>
                <w:szCs w:val="12"/>
              </w:rPr>
              <w:br/>
              <w:t xml:space="preserve">• Birth Weight and Gestational Age were identified as </w:t>
            </w:r>
            <w:r>
              <w:rPr>
                <w:rFonts w:ascii="Arial" w:hAnsi="Arial" w:cs="Arial"/>
                <w:sz w:val="12"/>
                <w:szCs w:val="12"/>
              </w:rPr>
              <w:lastRenderedPageBreak/>
              <w:t xml:space="preserve">the most relevant predictors </w:t>
            </w:r>
            <w:r>
              <w:rPr>
                <w:rFonts w:ascii="Arial" w:hAnsi="Arial" w:cs="Arial"/>
                <w:sz w:val="12"/>
                <w:szCs w:val="12"/>
              </w:rPr>
              <w:br/>
              <w:t>Country-specific algorithm</w:t>
            </w:r>
            <w:r>
              <w:rPr>
                <w:rFonts w:ascii="Arial" w:hAnsi="Arial" w:cs="Arial"/>
                <w:sz w:val="12"/>
                <w:szCs w:val="12"/>
              </w:rPr>
              <w:br/>
              <w:t>• Zambia = Country-specific XGB Tuned algorithm = AUC-ROC 0.801</w:t>
            </w:r>
            <w:r>
              <w:rPr>
                <w:rFonts w:ascii="Arial" w:hAnsi="Arial" w:cs="Arial"/>
                <w:sz w:val="12"/>
                <w:szCs w:val="12"/>
              </w:rPr>
              <w:br/>
              <w:t>• Guatemala = Country-specific LGBM Tuned algorithm = AUC-ROC of 0.796</w:t>
            </w:r>
            <w:r>
              <w:rPr>
                <w:rFonts w:ascii="Arial" w:hAnsi="Arial" w:cs="Arial"/>
                <w:sz w:val="12"/>
                <w:szCs w:val="12"/>
              </w:rPr>
              <w:br/>
              <w:t>• India-Belagavi = General LGBM Tuned and Country-specific LGBM = AUC-ROCs of 0.784 and 0.781</w:t>
            </w:r>
            <w:r>
              <w:rPr>
                <w:rFonts w:ascii="Arial" w:hAnsi="Arial" w:cs="Arial"/>
                <w:sz w:val="12"/>
                <w:szCs w:val="12"/>
              </w:rPr>
              <w:br/>
              <w:t>• For other countries, the generalised model outperformed the country specific ones.</w:t>
            </w:r>
            <w:r>
              <w:rPr>
                <w:rFonts w:ascii="Arial" w:hAnsi="Arial" w:cs="Arial"/>
                <w:sz w:val="12"/>
                <w:szCs w:val="12"/>
              </w:rPr>
              <w:br/>
              <w:t>Algorithm based on the country with largest sample</w:t>
            </w:r>
            <w:r>
              <w:rPr>
                <w:rFonts w:ascii="Arial" w:hAnsi="Arial" w:cs="Arial"/>
                <w:sz w:val="12"/>
                <w:szCs w:val="12"/>
              </w:rPr>
              <w:br/>
              <w:t>• LGBM algorithm achieved an AUC-ROC of 0.76 (lower than the generalised model = 0.816)</w:t>
            </w:r>
          </w:p>
        </w:tc>
        <w:tc>
          <w:tcPr>
            <w:tcW w:w="851" w:type="dxa"/>
            <w:tcBorders>
              <w:top w:val="single" w:sz="4" w:space="0" w:color="888888"/>
              <w:left w:val="single" w:sz="4" w:space="0" w:color="888888"/>
              <w:bottom w:val="single" w:sz="4" w:space="0" w:color="888888"/>
              <w:right w:val="single" w:sz="4" w:space="0" w:color="888888"/>
            </w:tcBorders>
          </w:tcPr>
          <w:p w14:paraId="28B2DA6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AUC</w:t>
            </w:r>
          </w:p>
        </w:tc>
        <w:tc>
          <w:tcPr>
            <w:tcW w:w="817" w:type="dxa"/>
            <w:tcBorders>
              <w:top w:val="single" w:sz="4" w:space="0" w:color="888888"/>
              <w:left w:val="single" w:sz="4" w:space="0" w:color="888888"/>
              <w:bottom w:val="single" w:sz="4" w:space="0" w:color="888888"/>
              <w:right w:val="single" w:sz="4" w:space="0" w:color="888888"/>
            </w:tcBorders>
          </w:tcPr>
          <w:p w14:paraId="7071129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3CE2B95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575664</w:t>
            </w:r>
          </w:p>
        </w:tc>
        <w:tc>
          <w:tcPr>
            <w:tcW w:w="851" w:type="dxa"/>
            <w:tcBorders>
              <w:top w:val="single" w:sz="4" w:space="0" w:color="888888"/>
              <w:left w:val="single" w:sz="4" w:space="0" w:color="888888"/>
              <w:bottom w:val="single" w:sz="4" w:space="0" w:color="888888"/>
              <w:right w:val="single" w:sz="4" w:space="0" w:color="888888"/>
            </w:tcBorders>
          </w:tcPr>
          <w:p w14:paraId="60EC348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No specific funding</w:t>
            </w:r>
          </w:p>
        </w:tc>
        <w:tc>
          <w:tcPr>
            <w:tcW w:w="1134" w:type="dxa"/>
            <w:tcBorders>
              <w:top w:val="single" w:sz="4" w:space="0" w:color="888888"/>
              <w:left w:val="single" w:sz="4" w:space="0" w:color="888888"/>
              <w:bottom w:val="single" w:sz="4" w:space="0" w:color="888888"/>
              <w:right w:val="single" w:sz="4" w:space="0" w:color="888888"/>
            </w:tcBorders>
          </w:tcPr>
          <w:p w14:paraId="60A7687E"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65.3%</w:t>
            </w:r>
          </w:p>
        </w:tc>
        <w:tc>
          <w:tcPr>
            <w:tcW w:w="841" w:type="dxa"/>
            <w:tcBorders>
              <w:top w:val="single" w:sz="4" w:space="0" w:color="888888"/>
              <w:left w:val="single" w:sz="4" w:space="0" w:color="888888"/>
              <w:bottom w:val="single" w:sz="4" w:space="0" w:color="888888"/>
              <w:right w:val="single" w:sz="4" w:space="0" w:color="888888"/>
            </w:tcBorders>
          </w:tcPr>
          <w:p w14:paraId="1160A0FD"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Low risk</w:t>
            </w:r>
            <w:r>
              <w:rPr>
                <w:rFonts w:ascii="Arial" w:hAnsi="Arial" w:cs="Arial"/>
                <w:color w:val="000000"/>
                <w:sz w:val="12"/>
                <w:szCs w:val="12"/>
              </w:rPr>
              <w:br/>
              <w:t>D4: Unclear risk</w:t>
            </w:r>
          </w:p>
        </w:tc>
        <w:tc>
          <w:tcPr>
            <w:tcW w:w="860" w:type="dxa"/>
            <w:tcBorders>
              <w:top w:val="single" w:sz="4" w:space="0" w:color="888888"/>
              <w:left w:val="single" w:sz="4" w:space="0" w:color="888888"/>
              <w:bottom w:val="single" w:sz="4" w:space="0" w:color="888888"/>
              <w:right w:val="single" w:sz="4" w:space="0" w:color="888888"/>
            </w:tcBorders>
          </w:tcPr>
          <w:p w14:paraId="430CBD03" w14:textId="77777777" w:rsidR="00871B31" w:rsidRPr="00756461" w:rsidRDefault="00871B31" w:rsidP="00BC1F31">
            <w:pPr>
              <w:spacing w:after="0" w:line="240" w:lineRule="auto"/>
              <w:rPr>
                <w:rFonts w:ascii="Arial" w:hAnsi="Arial" w:cs="Arial"/>
                <w:color w:val="000000"/>
                <w:sz w:val="12"/>
                <w:szCs w:val="12"/>
              </w:rPr>
            </w:pPr>
            <w:r>
              <w:rPr>
                <w:rFonts w:ascii="Arial" w:hAnsi="Arial" w:cs="Arial"/>
                <w:color w:val="000000"/>
                <w:sz w:val="12"/>
                <w:szCs w:val="12"/>
              </w:rPr>
              <w:t>Not publicly available</w:t>
            </w:r>
            <w:r>
              <w:rPr>
                <w:rFonts w:ascii="Arial" w:hAnsi="Arial" w:cs="Arial"/>
                <w:color w:val="000000"/>
                <w:sz w:val="12"/>
                <w:szCs w:val="12"/>
              </w:rPr>
              <w:br/>
            </w:r>
          </w:p>
          <w:p w14:paraId="5ABBF148"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Available via inquiries to corresponding author</w:t>
            </w:r>
          </w:p>
        </w:tc>
        <w:tc>
          <w:tcPr>
            <w:tcW w:w="442" w:type="dxa"/>
            <w:tcBorders>
              <w:top w:val="single" w:sz="4" w:space="0" w:color="888888"/>
              <w:left w:val="single" w:sz="4" w:space="0" w:color="888888"/>
              <w:bottom w:val="single" w:sz="4" w:space="0" w:color="888888"/>
              <w:right w:val="single" w:sz="4" w:space="0" w:color="888888"/>
            </w:tcBorders>
          </w:tcPr>
          <w:p w14:paraId="77244526"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{"citationID":"miMrLN96","properties":{"formattedCitation":"[97]","plainCitation":"[97]","noteIndex":0},"citationItems":[{"id":"b2OWig5M/AYa0rVzF","uris":["http://zotero.org/users/18230940/items/7FEP6GZ9"],"itemData":{"id":817,"type":"webpage","title":"Development and evaluation of machine learning training strategies for neonatal mortality prediction using multicountry data | Scientific Reports","URL":"https://www.nature.com/articles/s41598-025-04066-5","accessed":{"date-parts":[["2026",2,20]]}}}],"schema":"https://github.com/citation-style-language/schema/raw/master/csl-citation.json"}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[97]</w:t>
            </w:r>
            <w:r>
              <w:rPr>
                <w:rFonts w:ascii="Arial" w:eastAsia="Times New Roman" w:hAnsi="Arial" w:cs="Arial"/>
                <w:color w:val="000000"/>
                <w:sz w:val="12"/>
                <w:szCs w:val="12"/>
                <w:lang w:eastAsia="en-GB" w:bidi="th-TH"/>
              </w:rPr>
              <w:fldChar w:fldCharType="end"/>
            </w:r>
          </w:p>
        </w:tc>
      </w:tr>
      <w:tr w:rsidR="00871B31" w:rsidRPr="00756461" w14:paraId="17B4CE05"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02A98CC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Sylvain, et al. 2025</w:t>
            </w:r>
          </w:p>
        </w:tc>
        <w:tc>
          <w:tcPr>
            <w:tcW w:w="1054" w:type="dxa"/>
            <w:tcBorders>
              <w:top w:val="single" w:sz="4" w:space="0" w:color="888888"/>
              <w:left w:val="single" w:sz="4" w:space="0" w:color="888888"/>
              <w:bottom w:val="single" w:sz="4" w:space="0" w:color="888888"/>
              <w:right w:val="single" w:sz="4" w:space="0" w:color="888888"/>
            </w:tcBorders>
          </w:tcPr>
          <w:p w14:paraId="3D898EF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613FA00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Rwanda</w:t>
            </w:r>
          </w:p>
        </w:tc>
        <w:tc>
          <w:tcPr>
            <w:tcW w:w="786" w:type="dxa"/>
            <w:tcBorders>
              <w:top w:val="single" w:sz="4" w:space="0" w:color="888888"/>
              <w:left w:val="single" w:sz="4" w:space="0" w:color="888888"/>
              <w:bottom w:val="single" w:sz="4" w:space="0" w:color="888888"/>
              <w:right w:val="single" w:sz="4" w:space="0" w:color="888888"/>
            </w:tcBorders>
          </w:tcPr>
          <w:p w14:paraId="60EB4A1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w:t>
            </w:r>
          </w:p>
        </w:tc>
        <w:tc>
          <w:tcPr>
            <w:tcW w:w="786" w:type="dxa"/>
            <w:tcBorders>
              <w:top w:val="single" w:sz="4" w:space="0" w:color="888888"/>
              <w:left w:val="single" w:sz="4" w:space="0" w:color="888888"/>
              <w:bottom w:val="single" w:sz="4" w:space="0" w:color="888888"/>
              <w:right w:val="single" w:sz="4" w:space="0" w:color="888888"/>
            </w:tcBorders>
          </w:tcPr>
          <w:p w14:paraId="3D873A5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development</w:t>
            </w:r>
          </w:p>
        </w:tc>
        <w:tc>
          <w:tcPr>
            <w:tcW w:w="1051" w:type="dxa"/>
            <w:tcBorders>
              <w:top w:val="single" w:sz="4" w:space="0" w:color="888888"/>
              <w:left w:val="single" w:sz="4" w:space="0" w:color="888888"/>
              <w:bottom w:val="single" w:sz="4" w:space="0" w:color="888888"/>
              <w:right w:val="single" w:sz="4" w:space="0" w:color="888888"/>
            </w:tcBorders>
          </w:tcPr>
          <w:p w14:paraId="07D6D6FB"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580222D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age</w:t>
            </w:r>
          </w:p>
          <w:p w14:paraId="64FE784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Antenatal care visits</w:t>
            </w:r>
          </w:p>
          <w:p w14:paraId="11591928"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2226D37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Gestational age</w:t>
            </w:r>
          </w:p>
        </w:tc>
        <w:tc>
          <w:tcPr>
            <w:tcW w:w="851" w:type="dxa"/>
            <w:tcBorders>
              <w:top w:val="single" w:sz="4" w:space="0" w:color="888888"/>
              <w:left w:val="single" w:sz="4" w:space="0" w:color="888888"/>
              <w:bottom w:val="single" w:sz="4" w:space="0" w:color="888888"/>
              <w:right w:val="single" w:sz="4" w:space="0" w:color="888888"/>
            </w:tcBorders>
          </w:tcPr>
          <w:p w14:paraId="468A93E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4D59F14B"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0E8AB04D"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799A3C95"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2D130C5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the Random Forest model achieved an accuracy of 90.6% and an ROC-AUC score of 0.85, underscoring its effectiveness in predicting adverse outcomes. However, a recall rate of 46.5% suggests challenges in detecting all </w:t>
            </w:r>
            <w:r>
              <w:rPr>
                <w:rFonts w:ascii="Arial" w:hAnsi="Arial" w:cs="Arial"/>
                <w:sz w:val="12"/>
                <w:szCs w:val="12"/>
              </w:rPr>
              <w:lastRenderedPageBreak/>
              <w:t>the adverse cases</w:t>
            </w:r>
          </w:p>
        </w:tc>
        <w:tc>
          <w:tcPr>
            <w:tcW w:w="851" w:type="dxa"/>
            <w:tcBorders>
              <w:top w:val="single" w:sz="4" w:space="0" w:color="888888"/>
              <w:left w:val="single" w:sz="4" w:space="0" w:color="888888"/>
              <w:bottom w:val="single" w:sz="4" w:space="0" w:color="888888"/>
              <w:right w:val="single" w:sz="4" w:space="0" w:color="888888"/>
            </w:tcBorders>
          </w:tcPr>
          <w:p w14:paraId="4ECCB11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AUC, Sensitivity, Accuracy</w:t>
            </w:r>
          </w:p>
        </w:tc>
        <w:tc>
          <w:tcPr>
            <w:tcW w:w="817" w:type="dxa"/>
            <w:tcBorders>
              <w:top w:val="single" w:sz="4" w:space="0" w:color="888888"/>
              <w:left w:val="single" w:sz="4" w:space="0" w:color="888888"/>
              <w:bottom w:val="single" w:sz="4" w:space="0" w:color="888888"/>
              <w:right w:val="single" w:sz="4" w:space="0" w:color="888888"/>
            </w:tcBorders>
          </w:tcPr>
          <w:p w14:paraId="1DB23FC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5A469F1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32,783</w:t>
            </w:r>
          </w:p>
          <w:p w14:paraId="62534792" w14:textId="77777777" w:rsidR="00871B31" w:rsidRPr="00756461" w:rsidRDefault="00871B31" w:rsidP="00BC1F31">
            <w:pPr>
              <w:spacing w:after="0" w:line="240" w:lineRule="auto"/>
              <w:rPr>
                <w:rFonts w:ascii="Arial" w:hAnsi="Arial" w:cs="Arial"/>
                <w:sz w:val="12"/>
                <w:szCs w:val="12"/>
              </w:rPr>
            </w:pPr>
          </w:p>
          <w:p w14:paraId="2FED87A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5,424/32,783 (16·5%) experienced adverse outcome</w:t>
            </w:r>
          </w:p>
        </w:tc>
        <w:tc>
          <w:tcPr>
            <w:tcW w:w="851" w:type="dxa"/>
            <w:tcBorders>
              <w:top w:val="single" w:sz="4" w:space="0" w:color="888888"/>
              <w:left w:val="single" w:sz="4" w:space="0" w:color="888888"/>
              <w:bottom w:val="single" w:sz="4" w:space="0" w:color="888888"/>
              <w:right w:val="single" w:sz="4" w:space="0" w:color="888888"/>
            </w:tcBorders>
          </w:tcPr>
          <w:p w14:paraId="467AD74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This research received no specific grant from any funding agency in the public, commercial, or not-for-profit sectors.</w:t>
            </w:r>
          </w:p>
        </w:tc>
        <w:tc>
          <w:tcPr>
            <w:tcW w:w="1134" w:type="dxa"/>
            <w:tcBorders>
              <w:top w:val="single" w:sz="4" w:space="0" w:color="888888"/>
              <w:left w:val="single" w:sz="4" w:space="0" w:color="888888"/>
              <w:bottom w:val="single" w:sz="4" w:space="0" w:color="888888"/>
              <w:right w:val="single" w:sz="4" w:space="0" w:color="888888"/>
            </w:tcBorders>
          </w:tcPr>
          <w:p w14:paraId="71A2B4E8"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54.0%</w:t>
            </w:r>
          </w:p>
        </w:tc>
        <w:tc>
          <w:tcPr>
            <w:tcW w:w="841" w:type="dxa"/>
            <w:tcBorders>
              <w:top w:val="single" w:sz="4" w:space="0" w:color="888888"/>
              <w:left w:val="single" w:sz="4" w:space="0" w:color="888888"/>
              <w:bottom w:val="single" w:sz="4" w:space="0" w:color="888888"/>
              <w:right w:val="single" w:sz="4" w:space="0" w:color="888888"/>
            </w:tcBorders>
          </w:tcPr>
          <w:p w14:paraId="0A0325DD"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High risk</w:t>
            </w:r>
            <w:r>
              <w:rPr>
                <w:rFonts w:ascii="Arial" w:hAnsi="Arial" w:cs="Arial"/>
                <w:color w:val="000000"/>
                <w:sz w:val="12"/>
                <w:szCs w:val="12"/>
              </w:rPr>
              <w:br/>
              <w:t>D2: High risk</w:t>
            </w:r>
            <w:r>
              <w:rPr>
                <w:rFonts w:ascii="Arial" w:hAnsi="Arial" w:cs="Arial"/>
                <w:color w:val="000000"/>
                <w:sz w:val="12"/>
                <w:szCs w:val="12"/>
              </w:rPr>
              <w:br/>
              <w:t>D3: Low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35D0533F" w14:textId="77777777" w:rsidR="00871B31" w:rsidRPr="00756461" w:rsidRDefault="00871B31" w:rsidP="00BC1F31">
            <w:pPr>
              <w:spacing w:after="0" w:line="240" w:lineRule="auto"/>
              <w:rPr>
                <w:rFonts w:ascii="Arial" w:hAnsi="Arial" w:cs="Arial"/>
                <w:color w:val="000000"/>
                <w:sz w:val="12"/>
                <w:szCs w:val="12"/>
              </w:rPr>
            </w:pPr>
            <w:r>
              <w:rPr>
                <w:rFonts w:ascii="Arial" w:hAnsi="Arial" w:cs="Arial"/>
                <w:color w:val="000000"/>
                <w:sz w:val="12"/>
                <w:szCs w:val="12"/>
              </w:rPr>
              <w:t>Not publicly available</w:t>
            </w:r>
            <w:r>
              <w:rPr>
                <w:rFonts w:ascii="Arial" w:hAnsi="Arial" w:cs="Arial"/>
                <w:color w:val="000000"/>
                <w:sz w:val="12"/>
                <w:szCs w:val="12"/>
              </w:rPr>
              <w:br/>
            </w:r>
          </w:p>
          <w:p w14:paraId="14166810"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Available via inquiries to corresponding author</w:t>
            </w:r>
          </w:p>
        </w:tc>
        <w:tc>
          <w:tcPr>
            <w:tcW w:w="442" w:type="dxa"/>
            <w:tcBorders>
              <w:top w:val="single" w:sz="4" w:space="0" w:color="888888"/>
              <w:left w:val="single" w:sz="4" w:space="0" w:color="888888"/>
              <w:bottom w:val="single" w:sz="4" w:space="0" w:color="888888"/>
              <w:right w:val="single" w:sz="4" w:space="0" w:color="888888"/>
            </w:tcBorders>
          </w:tcPr>
          <w:p w14:paraId="3AA2EEED"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{"citationID":"H1aOoPWc","properties":{"formattedCitation":"[98]","plainCitation":"[98]","noteIndex":0},"citationItems":[{"id":"b2OWig5M/zEEmremr","uris":["http://zotero.org/users/18230940/items/KG4QYYCL"],"itemData":{"id":112,"type":"article-journal","abstract":"Background: Despite substantial progress in maternal and neonatal health, Rwanda’s mortality rates remain high, necessitating innovative approaches to meet health related Sustainable Development Goals (SDGs). By leveraging data collected from Electronic Medical Records, this study explores the application of machine learning models to predict adverse pregnancy outcomes, thereby improving risk assessment and enhancing care delivery. Methods: This study utilized retrospective cohort data from the electronic medical record (EMR) system of 25 hospitals in Rwanda from 2020 to 2023. The independent variables included socioeconomic status, health status, reproductive health, and pregnancy-related factors. The outcome variable was a binary composite feature that combined adverse pregnancy outcomes in both the mother and the newborn. Extensive data cleaning was performed, with missing values addressed through various strategies, including the exclusion of variables and instances, imputation techniques using K-Nearest Neighbors and Multiple Imputation by Chained Equations. Data imbalance was managed using a synthetic minority oversampling technique. Six machine learning models—Logistic Regression, Decision Trees, Support Vector Machine, Gradient Boosting, Random Forest, and Multilayer Perceptron—were trained using 10-fold cross-validation and evaluated on an unseen dataset with–70 − 30 training and evaluation splits. Results: Data from 117,069 women across 25 hospitals in Rwanda were analyzed, leading to a final dataset of 32,783 women after removing entries with significant missing values. Among these women, 5,424 (16.5%) experienced adverse pregnancy outcomes. Random Forest and Gradient Boosting Classifiers demonstrated high accuracy and precision. After hyperparameter tuning, the Random Forest model achieved an accuracy of 90.6% and an ROC-AUC score of 0.85, underscoring its effectiveness in predicting adverse outcomes. However, a recall rate of 46.5% suggests challenges in detecting all the adverse cases. Key predictors of adverse outcomes identified in this study included gestational age, number of pregnancies, antenatal care visits, maternal age, vital signs, and delivery methods. Conclusions: This study recommends enhancing EMR data quality, integrating machine learning into routine practice, and conducting further research to refine predictive models and address evolving pregnancy outcomes. In addition, this study recommends the design of AI-based interventions for high-risk pregnancies. Clinical trial number: Not applicable. © 2025 Elsevier B.V., All rights reserved.","archive":"Scopus","container-title":"BMC Medical Informatics and Decision Making","DOI":"10.1186/s12911-025-02921-z","ISSN":"14726947 (ISSN)","issue":"1","language":"English","publisher":"BioMed Central Ltd","title":"Prediction of adverse pregnancy outcomes using machine learning techniques: evidence from analysis of electronic medical records data in Rwanda","URL":"https://www.scopus.com/inward/record.uri?eid=2-s2.0-85218831290&amp;doi=10.1186%2Fs12911-025-02921-z&amp;partnerID=40&amp;md5=74951d537f75871bae397cf7b291d2f4","volume":"25","author":[{"family":"Sylvain","given":"M.H."},{"family":"Nyabyenda","given":"E.C."},{"family":"Uwase","given":"M."},{"family":"Komezusenge","given":"I."},{"family":"Ndikumana","given":"F."},{"family":"Ngaruye","given":"I."}],"issued":{"date-parts":[["2025"]]}}}],"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[98]</w:t>
            </w:r>
            <w:r>
              <w:rPr>
                <w:rFonts w:ascii="Arial" w:eastAsia="Times New Roman" w:hAnsi="Arial" w:cs="Arial"/>
                <w:color w:val="000000"/>
                <w:sz w:val="12"/>
                <w:szCs w:val="12"/>
                <w:lang w:eastAsia="en-GB" w:bidi="th-TH"/>
              </w:rPr>
              <w:fldChar w:fldCharType="end"/>
            </w:r>
          </w:p>
        </w:tc>
      </w:tr>
      <w:tr w:rsidR="00871B31" w:rsidRPr="00756461" w14:paraId="57D08241"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0E505A1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Takramah, et al. 2021</w:t>
            </w:r>
          </w:p>
        </w:tc>
        <w:tc>
          <w:tcPr>
            <w:tcW w:w="1054" w:type="dxa"/>
            <w:tcBorders>
              <w:top w:val="single" w:sz="4" w:space="0" w:color="888888"/>
              <w:left w:val="single" w:sz="4" w:space="0" w:color="888888"/>
              <w:bottom w:val="single" w:sz="4" w:space="0" w:color="888888"/>
              <w:right w:val="single" w:sz="4" w:space="0" w:color="888888"/>
            </w:tcBorders>
          </w:tcPr>
          <w:p w14:paraId="3B9C76F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7C8C1F4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Ghana</w:t>
            </w:r>
          </w:p>
        </w:tc>
        <w:tc>
          <w:tcPr>
            <w:tcW w:w="786" w:type="dxa"/>
            <w:tcBorders>
              <w:top w:val="single" w:sz="4" w:space="0" w:color="888888"/>
              <w:left w:val="single" w:sz="4" w:space="0" w:color="888888"/>
              <w:bottom w:val="single" w:sz="4" w:space="0" w:color="888888"/>
              <w:right w:val="single" w:sz="4" w:space="0" w:color="888888"/>
            </w:tcBorders>
          </w:tcPr>
          <w:p w14:paraId="26986F7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Neonatal mortality</w:t>
            </w:r>
          </w:p>
        </w:tc>
        <w:tc>
          <w:tcPr>
            <w:tcW w:w="786" w:type="dxa"/>
            <w:tcBorders>
              <w:top w:val="single" w:sz="4" w:space="0" w:color="888888"/>
              <w:left w:val="single" w:sz="4" w:space="0" w:color="888888"/>
              <w:bottom w:val="single" w:sz="4" w:space="0" w:color="888888"/>
              <w:right w:val="single" w:sz="4" w:space="0" w:color="888888"/>
            </w:tcBorders>
          </w:tcPr>
          <w:p w14:paraId="40F9C49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 Identify risk factor</w:t>
            </w:r>
            <w:r>
              <w:rPr>
                <w:rFonts w:ascii="Arial" w:hAnsi="Arial" w:cs="Arial"/>
                <w:sz w:val="12"/>
                <w:szCs w:val="12"/>
              </w:rPr>
              <w:br/>
              <w:t>2. Model comparison</w:t>
            </w:r>
          </w:p>
        </w:tc>
        <w:tc>
          <w:tcPr>
            <w:tcW w:w="1051" w:type="dxa"/>
            <w:tcBorders>
              <w:top w:val="single" w:sz="4" w:space="0" w:color="888888"/>
              <w:left w:val="single" w:sz="4" w:space="0" w:color="888888"/>
              <w:bottom w:val="single" w:sz="4" w:space="0" w:color="888888"/>
              <w:right w:val="single" w:sz="4" w:space="0" w:color="888888"/>
            </w:tcBorders>
          </w:tcPr>
          <w:p w14:paraId="48F76E7B"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5756432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Parity</w:t>
            </w:r>
          </w:p>
          <w:p w14:paraId="235BA45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Interpregnancy interval</w:t>
            </w:r>
          </w:p>
          <w:p w14:paraId="0DBC374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Antenatal care visits</w:t>
            </w:r>
          </w:p>
          <w:p w14:paraId="08A290CB"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Clinical factor</w:t>
            </w:r>
          </w:p>
          <w:p w14:paraId="5F996CF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Mode of delivery</w:t>
            </w:r>
          </w:p>
          <w:p w14:paraId="1BF67343"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Sociodemographic factor</w:t>
            </w:r>
          </w:p>
          <w:p w14:paraId="58B08CE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Health insurance</w:t>
            </w:r>
          </w:p>
          <w:p w14:paraId="081A89A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Household size / composition</w:t>
            </w:r>
          </w:p>
        </w:tc>
        <w:tc>
          <w:tcPr>
            <w:tcW w:w="851" w:type="dxa"/>
            <w:tcBorders>
              <w:top w:val="single" w:sz="4" w:space="0" w:color="888888"/>
              <w:left w:val="single" w:sz="4" w:space="0" w:color="888888"/>
              <w:bottom w:val="single" w:sz="4" w:space="0" w:color="888888"/>
              <w:right w:val="single" w:sz="4" w:space="0" w:color="888888"/>
            </w:tcBorders>
          </w:tcPr>
          <w:p w14:paraId="7D1ECE2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Population/ Registry</w:t>
            </w:r>
          </w:p>
        </w:tc>
        <w:tc>
          <w:tcPr>
            <w:tcW w:w="851" w:type="dxa"/>
            <w:tcBorders>
              <w:top w:val="single" w:sz="4" w:space="0" w:color="888888"/>
              <w:left w:val="single" w:sz="4" w:space="0" w:color="888888"/>
              <w:bottom w:val="single" w:sz="4" w:space="0" w:color="888888"/>
              <w:right w:val="single" w:sz="4" w:space="0" w:color="888888"/>
            </w:tcBorders>
          </w:tcPr>
          <w:p w14:paraId="21D7F195"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745BB02D"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7C82A063"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3A4FE17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unweighted penalized single-level multivariable logistic regression model was selected as the best model for predicting neonatal mortality due to its higher Area Under the Receiver Operating Characteristic (AUC) score of 81.8% compared to 80.4% for the weighted model</w:t>
            </w:r>
          </w:p>
        </w:tc>
        <w:tc>
          <w:tcPr>
            <w:tcW w:w="851" w:type="dxa"/>
            <w:tcBorders>
              <w:top w:val="single" w:sz="4" w:space="0" w:color="888888"/>
              <w:left w:val="single" w:sz="4" w:space="0" w:color="888888"/>
              <w:bottom w:val="single" w:sz="4" w:space="0" w:color="888888"/>
              <w:right w:val="single" w:sz="4" w:space="0" w:color="888888"/>
            </w:tcBorders>
          </w:tcPr>
          <w:p w14:paraId="258A451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w:t>
            </w:r>
          </w:p>
        </w:tc>
        <w:tc>
          <w:tcPr>
            <w:tcW w:w="817" w:type="dxa"/>
            <w:tcBorders>
              <w:top w:val="single" w:sz="4" w:space="0" w:color="888888"/>
              <w:left w:val="single" w:sz="4" w:space="0" w:color="888888"/>
              <w:bottom w:val="single" w:sz="4" w:space="0" w:color="888888"/>
              <w:right w:val="single" w:sz="4" w:space="0" w:color="888888"/>
            </w:tcBorders>
          </w:tcPr>
          <w:p w14:paraId="448849A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3B7F945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4514</w:t>
            </w:r>
          </w:p>
        </w:tc>
        <w:tc>
          <w:tcPr>
            <w:tcW w:w="851" w:type="dxa"/>
            <w:tcBorders>
              <w:top w:val="single" w:sz="4" w:space="0" w:color="888888"/>
              <w:left w:val="single" w:sz="4" w:space="0" w:color="888888"/>
              <w:bottom w:val="single" w:sz="4" w:space="0" w:color="888888"/>
              <w:right w:val="single" w:sz="4" w:space="0" w:color="888888"/>
            </w:tcBorders>
          </w:tcPr>
          <w:p w14:paraId="286BB32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authors declare that this study received no outside funding.</w:t>
            </w:r>
          </w:p>
        </w:tc>
        <w:tc>
          <w:tcPr>
            <w:tcW w:w="1134" w:type="dxa"/>
            <w:tcBorders>
              <w:top w:val="single" w:sz="4" w:space="0" w:color="888888"/>
              <w:left w:val="single" w:sz="4" w:space="0" w:color="888888"/>
              <w:bottom w:val="single" w:sz="4" w:space="0" w:color="888888"/>
              <w:right w:val="single" w:sz="4" w:space="0" w:color="888888"/>
            </w:tcBorders>
          </w:tcPr>
          <w:p w14:paraId="46C52401"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53.1%</w:t>
            </w:r>
          </w:p>
        </w:tc>
        <w:tc>
          <w:tcPr>
            <w:tcW w:w="841" w:type="dxa"/>
            <w:tcBorders>
              <w:top w:val="single" w:sz="4" w:space="0" w:color="888888"/>
              <w:left w:val="single" w:sz="4" w:space="0" w:color="888888"/>
              <w:bottom w:val="single" w:sz="4" w:space="0" w:color="888888"/>
              <w:right w:val="single" w:sz="4" w:space="0" w:color="888888"/>
            </w:tcBorders>
          </w:tcPr>
          <w:p w14:paraId="14031AB9"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High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5624F54F"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The data is publicly accessible.</w:t>
            </w:r>
          </w:p>
        </w:tc>
        <w:tc>
          <w:tcPr>
            <w:tcW w:w="442" w:type="dxa"/>
            <w:tcBorders>
              <w:top w:val="single" w:sz="4" w:space="0" w:color="888888"/>
              <w:left w:val="single" w:sz="4" w:space="0" w:color="888888"/>
              <w:bottom w:val="single" w:sz="4" w:space="0" w:color="888888"/>
              <w:right w:val="single" w:sz="4" w:space="0" w:color="888888"/>
            </w:tcBorders>
          </w:tcPr>
          <w:p w14:paraId="62E3CA30"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{"citationID":"zPG0Vb8E","properties":{"formattedCitation":"[99]","plainCitation":"[99]","noteIndex":0},"citationItems":[{"id":"b2OWig5M/G5LzOtN7","uris":["http://zotero.org/users/18230940/items/W4DNGFGM"],"itemData":{"id":812,"type":"article-journal","abstract":"Background One of the priorities and important current problem in public health research globally is modeling of neonatal mortality and its risk factors in using the appropriate statistical methods. It is believed that multiple risk factors interplay to increase the risk of neonatal mortality. To understand the risk factors of neonatal mortality in Ghana, the current study carefully evaluated and compared the predictive accuracy and performance of two classification models. Methods This study reviewed the birth history data collected on 5884 children born in the 5 years preceding the 2014 Ghana Demographic and Health Survey (GDHS). The 2014 GDHS is a cross-sectional nationally representative household sample survey. The relevant variables were selected using leaps-and-bounds method, and the area under curves were compared to evaluate the predictive accuracy of unweighted penalized and weighted single-level multivariable logistic regression models for predicting neonatal mortality using the 2014 GDHS data. Results The study found neonatal mortality prevalence of 2.8%. A sample of 4514 children born in the 5 years preceding the 2014 GDHS was included in the inferential analysis. The results of the current study show that for the unweighted penalized single-level multivariable logistic model, there is an increased risk of neonatal death among babies born to mothers who received prenatal care from non-skilled worker [OR: 3.79 (95% CI: 2.52, 5.72)], multiple births [OR: 3.10 (95% CI: 1.89, 15.27)], babies delivered through caesarian section [OR: 2.24 (95% CI: 1.30, 3.85)], and household with 1 to 4 members [OR: 5.74 (95% CI: 3.16, 10.43)], respectively. The predictive accuracy of the unweighted penalized and weighted single-level multivariable logistic regression models was 82% and 80%, respectively. Conclusion The study advocates that prudent and holistic interventions should be institutionalized and implemented to address the risk factors identified in order to reduce neonatal death and, by large, improve child and maternal health outcomes to achieve the SDG target 3.2.","container-title":"Health Science Reports","DOI":"10.1002/hsr2.248","ISSN":"2398-8835","issue":"1","language":"en","license":"© 2021 The Authors. Health Science Reports published by Wiley Periodicals LLC.","note":"_eprint: https://onlinelibrary.wiley.com/doi/pdf/10.1002/hsr2.248","page":"e248","source":"Wiley Online Library","title":"Predictive model and determinants of odds of neonates dying within 28 days of life in Ghana","volume":"4","author":[{"family":"Takramah","given":"Wisdom Kwami"},{"family":"Aheto","given":"Justice Moses K."}],"issued":{"date-parts":[["2021"]]}}}],"schema":"https://github.com/citation-style-language/schema/raw/master/csl-citation.json"}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[99]</w:t>
            </w:r>
            <w:r>
              <w:rPr>
                <w:rFonts w:ascii="Arial" w:eastAsia="Times New Roman" w:hAnsi="Arial" w:cs="Arial"/>
                <w:color w:val="000000"/>
                <w:sz w:val="12"/>
                <w:szCs w:val="12"/>
                <w:lang w:eastAsia="en-GB" w:bidi="th-TH"/>
              </w:rPr>
              <w:fldChar w:fldCharType="end"/>
            </w:r>
          </w:p>
        </w:tc>
      </w:tr>
      <w:tr w:rsidR="00871B31" w:rsidRPr="00756461" w14:paraId="64A76BD0"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7521EA4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Tesfie, et al. 2024</w:t>
            </w:r>
          </w:p>
        </w:tc>
        <w:tc>
          <w:tcPr>
            <w:tcW w:w="1054" w:type="dxa"/>
            <w:tcBorders>
              <w:top w:val="single" w:sz="4" w:space="0" w:color="888888"/>
              <w:left w:val="single" w:sz="4" w:space="0" w:color="888888"/>
              <w:bottom w:val="single" w:sz="4" w:space="0" w:color="888888"/>
              <w:right w:val="single" w:sz="4" w:space="0" w:color="888888"/>
            </w:tcBorders>
          </w:tcPr>
          <w:p w14:paraId="3124960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639B8ED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Ethiopia</w:t>
            </w:r>
          </w:p>
        </w:tc>
        <w:tc>
          <w:tcPr>
            <w:tcW w:w="786" w:type="dxa"/>
            <w:tcBorders>
              <w:top w:val="single" w:sz="4" w:space="0" w:color="888888"/>
              <w:left w:val="single" w:sz="4" w:space="0" w:color="888888"/>
              <w:bottom w:val="single" w:sz="4" w:space="0" w:color="888888"/>
              <w:right w:val="single" w:sz="4" w:space="0" w:color="888888"/>
            </w:tcBorders>
          </w:tcPr>
          <w:p w14:paraId="61C385D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Neonatal mortality</w:t>
            </w:r>
          </w:p>
        </w:tc>
        <w:tc>
          <w:tcPr>
            <w:tcW w:w="786" w:type="dxa"/>
            <w:tcBorders>
              <w:top w:val="single" w:sz="4" w:space="0" w:color="888888"/>
              <w:left w:val="single" w:sz="4" w:space="0" w:color="888888"/>
              <w:bottom w:val="single" w:sz="4" w:space="0" w:color="888888"/>
              <w:right w:val="single" w:sz="4" w:space="0" w:color="888888"/>
            </w:tcBorders>
          </w:tcPr>
          <w:p w14:paraId="24F2DB6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 Model development</w:t>
            </w:r>
            <w:r>
              <w:rPr>
                <w:rFonts w:ascii="Arial" w:hAnsi="Arial" w:cs="Arial"/>
                <w:sz w:val="12"/>
                <w:szCs w:val="12"/>
              </w:rPr>
              <w:br/>
              <w:t>2. Model validation</w:t>
            </w:r>
          </w:p>
        </w:tc>
        <w:tc>
          <w:tcPr>
            <w:tcW w:w="1051" w:type="dxa"/>
            <w:tcBorders>
              <w:top w:val="single" w:sz="4" w:space="0" w:color="888888"/>
              <w:left w:val="single" w:sz="4" w:space="0" w:color="888888"/>
              <w:bottom w:val="single" w:sz="4" w:space="0" w:color="888888"/>
              <w:right w:val="single" w:sz="4" w:space="0" w:color="888888"/>
            </w:tcBorders>
          </w:tcPr>
          <w:p w14:paraId="13D8DFA2"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0208071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Gestational age</w:t>
            </w:r>
          </w:p>
          <w:p w14:paraId="0904006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Perinatal asphyxia</w:t>
            </w:r>
          </w:p>
        </w:tc>
        <w:tc>
          <w:tcPr>
            <w:tcW w:w="851" w:type="dxa"/>
            <w:tcBorders>
              <w:top w:val="single" w:sz="4" w:space="0" w:color="888888"/>
              <w:left w:val="single" w:sz="4" w:space="0" w:color="888888"/>
              <w:bottom w:val="single" w:sz="4" w:space="0" w:color="888888"/>
              <w:right w:val="single" w:sz="4" w:space="0" w:color="888888"/>
            </w:tcBorders>
          </w:tcPr>
          <w:p w14:paraId="798F3D9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073B9F99"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1566669C"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147B20BA"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52A33FE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nomogram demonstrated excellent performance with a discriminatory power (AUC) of 96.7%. The model was well-calibrated (p-value = 0.165) and had a Brier score of 0.07. At a cutoff point of 0.403, it achieved a sensitivity of 90.5%, specificity of 90.6%, and an overall accuracy of 90.5%</w:t>
            </w:r>
          </w:p>
        </w:tc>
        <w:tc>
          <w:tcPr>
            <w:tcW w:w="851" w:type="dxa"/>
            <w:tcBorders>
              <w:top w:val="single" w:sz="4" w:space="0" w:color="888888"/>
              <w:left w:val="single" w:sz="4" w:space="0" w:color="888888"/>
              <w:bottom w:val="single" w:sz="4" w:space="0" w:color="888888"/>
              <w:right w:val="single" w:sz="4" w:space="0" w:color="888888"/>
            </w:tcBorders>
          </w:tcPr>
          <w:p w14:paraId="5BD88EC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 Brier score, Sensitivity, Specificity, Overall accuracy</w:t>
            </w:r>
          </w:p>
        </w:tc>
        <w:tc>
          <w:tcPr>
            <w:tcW w:w="817" w:type="dxa"/>
            <w:tcBorders>
              <w:top w:val="single" w:sz="4" w:space="0" w:color="888888"/>
              <w:left w:val="single" w:sz="4" w:space="0" w:color="888888"/>
              <w:bottom w:val="single" w:sz="4" w:space="0" w:color="888888"/>
              <w:right w:val="single" w:sz="4" w:space="0" w:color="888888"/>
            </w:tcBorders>
          </w:tcPr>
          <w:p w14:paraId="1DEAA27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4D687DB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603 preterm neonates with sepsis</w:t>
            </w:r>
          </w:p>
        </w:tc>
        <w:tc>
          <w:tcPr>
            <w:tcW w:w="851" w:type="dxa"/>
            <w:tcBorders>
              <w:top w:val="single" w:sz="4" w:space="0" w:color="888888"/>
              <w:left w:val="single" w:sz="4" w:space="0" w:color="888888"/>
              <w:bottom w:val="single" w:sz="4" w:space="0" w:color="888888"/>
              <w:right w:val="single" w:sz="4" w:space="0" w:color="888888"/>
            </w:tcBorders>
          </w:tcPr>
          <w:p w14:paraId="3CAB82F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The study received no specific funding </w:t>
            </w:r>
          </w:p>
        </w:tc>
        <w:tc>
          <w:tcPr>
            <w:tcW w:w="1134" w:type="dxa"/>
            <w:tcBorders>
              <w:top w:val="single" w:sz="4" w:space="0" w:color="888888"/>
              <w:left w:val="single" w:sz="4" w:space="0" w:color="888888"/>
              <w:bottom w:val="single" w:sz="4" w:space="0" w:color="888888"/>
              <w:right w:val="single" w:sz="4" w:space="0" w:color="888888"/>
            </w:tcBorders>
          </w:tcPr>
          <w:p w14:paraId="1ACBFB06"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71.1%</w:t>
            </w:r>
          </w:p>
        </w:tc>
        <w:tc>
          <w:tcPr>
            <w:tcW w:w="841" w:type="dxa"/>
            <w:tcBorders>
              <w:top w:val="single" w:sz="4" w:space="0" w:color="888888"/>
              <w:left w:val="single" w:sz="4" w:space="0" w:color="888888"/>
              <w:bottom w:val="single" w:sz="4" w:space="0" w:color="888888"/>
              <w:right w:val="single" w:sz="4" w:space="0" w:color="888888"/>
            </w:tcBorders>
          </w:tcPr>
          <w:p w14:paraId="1E69DEFD"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Unclear risk</w:t>
            </w:r>
            <w:r>
              <w:rPr>
                <w:rFonts w:ascii="Arial" w:hAnsi="Arial" w:cs="Arial"/>
                <w:color w:val="000000"/>
                <w:sz w:val="12"/>
                <w:szCs w:val="12"/>
              </w:rPr>
              <w:br/>
              <w:t>D4: Unclear risk</w:t>
            </w:r>
          </w:p>
        </w:tc>
        <w:tc>
          <w:tcPr>
            <w:tcW w:w="860" w:type="dxa"/>
            <w:tcBorders>
              <w:top w:val="single" w:sz="4" w:space="0" w:color="888888"/>
              <w:left w:val="single" w:sz="4" w:space="0" w:color="888888"/>
              <w:bottom w:val="single" w:sz="4" w:space="0" w:color="888888"/>
              <w:right w:val="single" w:sz="4" w:space="0" w:color="888888"/>
            </w:tcBorders>
          </w:tcPr>
          <w:p w14:paraId="5E9C402A" w14:textId="77777777" w:rsidR="00871B31" w:rsidRPr="00756461" w:rsidRDefault="00871B31" w:rsidP="00BC1F31">
            <w:pPr>
              <w:spacing w:after="0" w:line="240" w:lineRule="auto"/>
              <w:rPr>
                <w:rFonts w:ascii="Arial" w:hAnsi="Arial" w:cs="Arial"/>
                <w:color w:val="000000"/>
                <w:sz w:val="12"/>
                <w:szCs w:val="12"/>
              </w:rPr>
            </w:pPr>
            <w:r>
              <w:rPr>
                <w:rFonts w:ascii="Arial" w:hAnsi="Arial" w:cs="Arial"/>
                <w:color w:val="000000"/>
                <w:sz w:val="12"/>
                <w:szCs w:val="12"/>
              </w:rPr>
              <w:t>Not publicly available</w:t>
            </w:r>
            <w:r>
              <w:rPr>
                <w:rFonts w:ascii="Arial" w:hAnsi="Arial" w:cs="Arial"/>
                <w:color w:val="000000"/>
                <w:sz w:val="12"/>
                <w:szCs w:val="12"/>
              </w:rPr>
              <w:br/>
            </w:r>
          </w:p>
          <w:p w14:paraId="2B566433" w14:textId="77777777" w:rsidR="00871B31" w:rsidRPr="00756461" w:rsidRDefault="00871B31" w:rsidP="00BC1F31">
            <w:pPr>
              <w:spacing w:after="0" w:line="240" w:lineRule="auto"/>
              <w:rPr>
                <w:rFonts w:ascii="Arial" w:hAnsi="Arial" w:cs="Arial"/>
                <w:color w:val="000000"/>
                <w:sz w:val="12"/>
                <w:szCs w:val="12"/>
              </w:rPr>
            </w:pPr>
            <w:r>
              <w:rPr>
                <w:rFonts w:ascii="Arial" w:hAnsi="Arial" w:cs="Arial"/>
                <w:color w:val="000000"/>
                <w:sz w:val="12"/>
                <w:szCs w:val="12"/>
              </w:rPr>
              <w:t>Available via inquiries to corresponding author</w:t>
            </w:r>
          </w:p>
        </w:tc>
        <w:tc>
          <w:tcPr>
            <w:tcW w:w="442" w:type="dxa"/>
            <w:tcBorders>
              <w:top w:val="single" w:sz="4" w:space="0" w:color="888888"/>
              <w:left w:val="single" w:sz="4" w:space="0" w:color="888888"/>
              <w:bottom w:val="single" w:sz="4" w:space="0" w:color="888888"/>
              <w:right w:val="single" w:sz="4" w:space="0" w:color="888888"/>
            </w:tcBorders>
          </w:tcPr>
          <w:p w14:paraId="2C4EC34F"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{"citationID":"aKoVnfIL","properties":{"formattedCitation":"[100]","plainCitation":"[100]","noteIndex":0},"citationItems":[{"id":"b2OWig5M/plPwtyrw","uris":["http://zotero.org/users/18230940/items/VNDZPYMR"],"itemData":{"id":814,"type":"article-journal","abstract":"Mortality in premature neonates is a global public health problem. In developing countries, nearly 50% of preterm births ends with death. Sepsis is one of the major causes of death in preterm neonates. Risk prediction model for mortality in preterm septic neonates helps for directing the decision making process made by clinicians.","container-title":"BMC Pregnancy and Childbirth","DOI":"10.1186/s12884-024-06306-4","ISSN":"1471-2393","issue":"1","journalAbbreviation":"BMC Pregnancy Childbirth","language":"en","page":"139","source":"Springer Link","title":"Nomogram to predict risk of neonatal mortality among preterm neonates admitted with sepsis at University of Gondar Comprehensive Specialized Hospital: risk prediction model development and validation","title-short":"Nomogram to predict risk of neonatal mortality among preterm neonates admitted with sepsis at University of Gondar Comprehensive Specialized Hospital","volume":"24","author":[{"family":"Tesfie","given":"Tigabu Kidie"},{"family":"Anlay","given":"Degefaye Zelalem"},{"family":"Abie","given":"Birhanu"},{"family":"Chekol","given":"Yazachew Moges"},{"family":"Gelaw","given":"Negalgn Byadgie"},{"family":"Tebeje","given":"Tsion Mulat"},{"family":"Animut","given":"Yaregal"}],"issued":{"date-parts":[["2024",2,15]]}}}],"schema":"https://github.com/citation-style-language/schema/raw/master/csl-citation.json"}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[100]</w:t>
            </w:r>
            <w:r>
              <w:rPr>
                <w:rFonts w:ascii="Arial" w:eastAsia="Times New Roman" w:hAnsi="Arial" w:cs="Arial"/>
                <w:color w:val="000000"/>
                <w:sz w:val="12"/>
                <w:szCs w:val="12"/>
                <w:lang w:eastAsia="en-GB" w:bidi="th-TH"/>
              </w:rPr>
              <w:fldChar w:fldCharType="end"/>
            </w:r>
          </w:p>
        </w:tc>
      </w:tr>
      <w:tr w:rsidR="00871B31" w:rsidRPr="00756461" w14:paraId="0D7C0F6A"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05DFFAA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Thai, et al. 2025</w:t>
            </w:r>
          </w:p>
        </w:tc>
        <w:tc>
          <w:tcPr>
            <w:tcW w:w="1054" w:type="dxa"/>
            <w:tcBorders>
              <w:top w:val="single" w:sz="4" w:space="0" w:color="888888"/>
              <w:left w:val="single" w:sz="4" w:space="0" w:color="888888"/>
              <w:bottom w:val="single" w:sz="4" w:space="0" w:color="888888"/>
              <w:right w:val="single" w:sz="4" w:space="0" w:color="888888"/>
            </w:tcBorders>
          </w:tcPr>
          <w:p w14:paraId="7C9FCEA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19C8C64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United States</w:t>
            </w:r>
          </w:p>
        </w:tc>
        <w:tc>
          <w:tcPr>
            <w:tcW w:w="786" w:type="dxa"/>
            <w:tcBorders>
              <w:top w:val="single" w:sz="4" w:space="0" w:color="888888"/>
              <w:left w:val="single" w:sz="4" w:space="0" w:color="888888"/>
              <w:bottom w:val="single" w:sz="4" w:space="0" w:color="888888"/>
              <w:right w:val="single" w:sz="4" w:space="0" w:color="888888"/>
            </w:tcBorders>
          </w:tcPr>
          <w:p w14:paraId="466B35F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Gestational age at stillbirth</w:t>
            </w:r>
          </w:p>
        </w:tc>
        <w:tc>
          <w:tcPr>
            <w:tcW w:w="786" w:type="dxa"/>
            <w:tcBorders>
              <w:top w:val="single" w:sz="4" w:space="0" w:color="888888"/>
              <w:left w:val="single" w:sz="4" w:space="0" w:color="888888"/>
              <w:bottom w:val="single" w:sz="4" w:space="0" w:color="888888"/>
              <w:right w:val="single" w:sz="4" w:space="0" w:color="888888"/>
            </w:tcBorders>
          </w:tcPr>
          <w:p w14:paraId="1A02D42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 Model development</w:t>
            </w:r>
            <w:r>
              <w:rPr>
                <w:rFonts w:ascii="Arial" w:hAnsi="Arial" w:cs="Arial"/>
                <w:sz w:val="12"/>
                <w:szCs w:val="12"/>
              </w:rPr>
              <w:br/>
              <w:t>2. Model validation</w:t>
            </w:r>
          </w:p>
        </w:tc>
        <w:tc>
          <w:tcPr>
            <w:tcW w:w="1051" w:type="dxa"/>
            <w:tcBorders>
              <w:top w:val="single" w:sz="4" w:space="0" w:color="888888"/>
              <w:left w:val="single" w:sz="4" w:space="0" w:color="888888"/>
              <w:bottom w:val="single" w:sz="4" w:space="0" w:color="888888"/>
              <w:right w:val="single" w:sz="4" w:space="0" w:color="888888"/>
            </w:tcBorders>
          </w:tcPr>
          <w:p w14:paraId="79907F5A"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3772949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age</w:t>
            </w:r>
          </w:p>
          <w:p w14:paraId="41BAFFC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race / ethnicity</w:t>
            </w:r>
          </w:p>
          <w:p w14:paraId="3DF270F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chronic conditions (claims-derived)</w:t>
            </w:r>
          </w:p>
          <w:p w14:paraId="18E4BC7A"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1A1F5AC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Multiple gestation indicator</w:t>
            </w:r>
          </w:p>
          <w:p w14:paraId="3FE96E1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Fetal or maternal </w:t>
            </w:r>
            <w:r>
              <w:rPr>
                <w:rFonts w:ascii="Arial" w:hAnsi="Arial" w:cs="Arial"/>
                <w:sz w:val="12"/>
                <w:szCs w:val="12"/>
              </w:rPr>
              <w:lastRenderedPageBreak/>
              <w:t>conditions identified in claims</w:t>
            </w:r>
          </w:p>
          <w:p w14:paraId="79302E61"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Clinical factor</w:t>
            </w:r>
          </w:p>
          <w:p w14:paraId="487045E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First trimester ultrasound</w:t>
            </w:r>
          </w:p>
          <w:p w14:paraId="1635D8A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Obstetric panel</w:t>
            </w:r>
          </w:p>
          <w:p w14:paraId="2AC63C1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Alpha-fetoprotein test</w:t>
            </w:r>
          </w:p>
          <w:p w14:paraId="11FB1C2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Nuchal translucency ultrasound</w:t>
            </w:r>
          </w:p>
          <w:p w14:paraId="69733AE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Amenorrhoea record</w:t>
            </w:r>
          </w:p>
          <w:p w14:paraId="04A6FDF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Fertility procedures</w:t>
            </w:r>
          </w:p>
          <w:p w14:paraId="1568DA7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Other prenatal screening tests (9 selected)</w:t>
            </w:r>
          </w:p>
          <w:p w14:paraId="7292183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Gestational age ICD-9-CM diagnosis codes</w:t>
            </w:r>
          </w:p>
          <w:p w14:paraId="69B7E20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Prenatal care procedure codes</w:t>
            </w:r>
          </w:p>
          <w:p w14:paraId="4E66FDAF"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Sociodemographic factor</w:t>
            </w:r>
          </w:p>
          <w:p w14:paraId="601F05E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county or zip code</w:t>
            </w:r>
          </w:p>
          <w:p w14:paraId="21334FC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Year of stillbirth delivery</w:t>
            </w:r>
          </w:p>
        </w:tc>
        <w:tc>
          <w:tcPr>
            <w:tcW w:w="851" w:type="dxa"/>
            <w:tcBorders>
              <w:top w:val="single" w:sz="4" w:space="0" w:color="888888"/>
              <w:left w:val="single" w:sz="4" w:space="0" w:color="888888"/>
              <w:bottom w:val="single" w:sz="4" w:space="0" w:color="888888"/>
              <w:right w:val="single" w:sz="4" w:space="0" w:color="888888"/>
            </w:tcBorders>
          </w:tcPr>
          <w:p w14:paraId="4887863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Population/ Registry</w:t>
            </w:r>
          </w:p>
        </w:tc>
        <w:tc>
          <w:tcPr>
            <w:tcW w:w="851" w:type="dxa"/>
            <w:tcBorders>
              <w:top w:val="single" w:sz="4" w:space="0" w:color="888888"/>
              <w:left w:val="single" w:sz="4" w:space="0" w:color="888888"/>
              <w:bottom w:val="single" w:sz="4" w:space="0" w:color="888888"/>
              <w:right w:val="single" w:sz="4" w:space="0" w:color="888888"/>
            </w:tcBorders>
          </w:tcPr>
          <w:p w14:paraId="1234C36D"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0D39DF1A"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0030AC42"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664D223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A random forest model was identified as the superior algorithm. In the primary sample, it achieved an MSE of 12.67 weeks² and correctly estimated 84% of gestational ages within ±4 </w:t>
            </w:r>
            <w:r>
              <w:rPr>
                <w:rFonts w:ascii="Arial" w:hAnsi="Arial" w:cs="Arial"/>
                <w:sz w:val="12"/>
                <w:szCs w:val="12"/>
              </w:rPr>
              <w:lastRenderedPageBreak/>
              <w:t>weeks of the gold standard.</w:t>
            </w:r>
          </w:p>
        </w:tc>
        <w:tc>
          <w:tcPr>
            <w:tcW w:w="851" w:type="dxa"/>
            <w:tcBorders>
              <w:top w:val="single" w:sz="4" w:space="0" w:color="888888"/>
              <w:left w:val="single" w:sz="4" w:space="0" w:color="888888"/>
              <w:bottom w:val="single" w:sz="4" w:space="0" w:color="888888"/>
              <w:right w:val="single" w:sz="4" w:space="0" w:color="888888"/>
            </w:tcBorders>
          </w:tcPr>
          <w:p w14:paraId="3826615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Mean Square Error (MSE), Proportional Accuracy</w:t>
            </w:r>
          </w:p>
        </w:tc>
        <w:tc>
          <w:tcPr>
            <w:tcW w:w="817" w:type="dxa"/>
            <w:tcBorders>
              <w:top w:val="single" w:sz="4" w:space="0" w:color="888888"/>
              <w:left w:val="single" w:sz="4" w:space="0" w:color="888888"/>
              <w:bottom w:val="single" w:sz="4" w:space="0" w:color="888888"/>
              <w:right w:val="single" w:sz="4" w:space="0" w:color="888888"/>
            </w:tcBorders>
          </w:tcPr>
          <w:p w14:paraId="337101C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Both internal and external validation</w:t>
            </w:r>
          </w:p>
        </w:tc>
        <w:tc>
          <w:tcPr>
            <w:tcW w:w="742" w:type="dxa"/>
            <w:tcBorders>
              <w:top w:val="single" w:sz="4" w:space="0" w:color="888888"/>
              <w:left w:val="single" w:sz="4" w:space="0" w:color="888888"/>
              <w:bottom w:val="single" w:sz="4" w:space="0" w:color="888888"/>
              <w:right w:val="single" w:sz="4" w:space="0" w:color="888888"/>
            </w:tcBorders>
          </w:tcPr>
          <w:p w14:paraId="115EDBF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825 stillbirths from the linked MAX-FDR data </w:t>
            </w:r>
          </w:p>
        </w:tc>
        <w:tc>
          <w:tcPr>
            <w:tcW w:w="851" w:type="dxa"/>
            <w:tcBorders>
              <w:top w:val="single" w:sz="4" w:space="0" w:color="888888"/>
              <w:left w:val="single" w:sz="4" w:space="0" w:color="888888"/>
              <w:bottom w:val="single" w:sz="4" w:space="0" w:color="888888"/>
              <w:right w:val="single" w:sz="4" w:space="0" w:color="888888"/>
            </w:tcBorders>
          </w:tcPr>
          <w:p w14:paraId="7F2A031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The study was funded by contracts from the US Food and Drug Administration </w:t>
            </w:r>
          </w:p>
        </w:tc>
        <w:tc>
          <w:tcPr>
            <w:tcW w:w="1134" w:type="dxa"/>
            <w:tcBorders>
              <w:top w:val="single" w:sz="4" w:space="0" w:color="888888"/>
              <w:left w:val="single" w:sz="4" w:space="0" w:color="888888"/>
              <w:bottom w:val="single" w:sz="4" w:space="0" w:color="888888"/>
              <w:right w:val="single" w:sz="4" w:space="0" w:color="888888"/>
            </w:tcBorders>
          </w:tcPr>
          <w:p w14:paraId="09C5CAE6"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70.2%</w:t>
            </w:r>
          </w:p>
        </w:tc>
        <w:tc>
          <w:tcPr>
            <w:tcW w:w="841" w:type="dxa"/>
            <w:tcBorders>
              <w:top w:val="single" w:sz="4" w:space="0" w:color="888888"/>
              <w:left w:val="single" w:sz="4" w:space="0" w:color="888888"/>
              <w:bottom w:val="single" w:sz="4" w:space="0" w:color="888888"/>
              <w:right w:val="single" w:sz="4" w:space="0" w:color="888888"/>
            </w:tcBorders>
          </w:tcPr>
          <w:p w14:paraId="040593EE"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Low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6508B1AE"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 xml:space="preserve">The data is not publicly available. </w:t>
            </w:r>
          </w:p>
        </w:tc>
        <w:tc>
          <w:tcPr>
            <w:tcW w:w="442" w:type="dxa"/>
            <w:tcBorders>
              <w:top w:val="single" w:sz="4" w:space="0" w:color="888888"/>
              <w:left w:val="single" w:sz="4" w:space="0" w:color="888888"/>
              <w:bottom w:val="single" w:sz="4" w:space="0" w:color="888888"/>
              <w:right w:val="single" w:sz="4" w:space="0" w:color="888888"/>
            </w:tcBorders>
          </w:tcPr>
          <w:p w14:paraId="19953E19"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{"citationID":"As4rt40P","properties":{"formattedCitation":"[101]","plainCitation":"[101]","noteIndex":0},"citationItems":[{"id":"b2OWig5M/DFpmFgep","uris":["http://zotero.org/users/18230940/items/FPARENAJ"],"itemData":{"id":819,"type":"article-journal","abstract":"With Medicaid covering half of US pregnancies, Medicaid Analytic eXtract (MAX) provides a valuable data source to enrich understanding about stillbirth etiologies. We developed and validated a claims-based algorithm to predict gestational age (GA) at stillbirth. We linked the stillbirths identified in MAX 1999-2013 to Florida fetal death records (FDRs) to obtain clinical estimates of GA (n = 825). We tested several algorithms, including using a fixed median GA, median GA at the time of specific prenatal screening tests, and expanded versions considering additional predictors of stillbirth, including linear regression and random forest models. We estimated the proportion of pregnancies with differences of ±1, 2, 3 and 4 weeks between the predicted and FDR GA and the model mean square error (MSE). We validated the selected algorithms in 2 external samples. The best performing algorithm was a random forest model (MSE, 12.67 weeks2) with 84% of GAs within ±4 weeks. Assigning a fixed GA of 28 weeks resulted in an MSE of 60.21 weeks2 and proportions of GA within ±4 weeks of 32%. We observed consistent results in the external samples. Our prediction algorithm for stillbirths can facilitate pregnancy research in the Medicaid population.","container-title":"American Journal of Epidemiology","DOI":"10.1093/aje/kwae369","ISSN":"1476-6256","issue":"8","journalAbbreviation":"Am J Epidemiol","language":"eng","page":"2295-2303","PMID":"39307537","PMCID":"PMC12809666","source":"PubMed","title":"Development and validation of an algorithm to predict stillbirth gestational age in Medicaid billing records","volume":"194","author":[{"family":"Thai","given":"Thuy N."},{"family":"Smolinski","given":"Nicole E."},{"family":"Nduaguba","given":"Sabina"},{"family":"Zhu","given":"Yanmin"},{"family":"Bird","given":"Steven"},{"family":"Straub","given":"Loreen"},{"family":"Bateman","given":"Brian T."},{"family":"Hernández-Díaz","given":"Sonia"},{"family":"Huybrechts","given":"Krista F."},{"family":"Rasmussen","given":"Sonja A."},{"family":"Winterstein","given":"Almut G."}],"issued":{"date-parts":[["2025",8,5]]}}}],"schema":"https://github.com/citation-style-language/schema/raw/master/csl-citation.json"}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[101]</w:t>
            </w:r>
            <w:r>
              <w:rPr>
                <w:rFonts w:ascii="Arial" w:eastAsia="Times New Roman" w:hAnsi="Arial" w:cs="Arial"/>
                <w:color w:val="000000"/>
                <w:sz w:val="12"/>
                <w:szCs w:val="12"/>
                <w:lang w:eastAsia="en-GB" w:bidi="th-TH"/>
              </w:rPr>
              <w:fldChar w:fldCharType="end"/>
            </w:r>
          </w:p>
        </w:tc>
      </w:tr>
      <w:tr w:rsidR="00871B31" w:rsidRPr="00756461" w14:paraId="1CFEB7D0"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6B68102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Triggs, et al. 2025</w:t>
            </w:r>
          </w:p>
        </w:tc>
        <w:tc>
          <w:tcPr>
            <w:tcW w:w="1054" w:type="dxa"/>
            <w:tcBorders>
              <w:top w:val="single" w:sz="4" w:space="0" w:color="888888"/>
              <w:left w:val="single" w:sz="4" w:space="0" w:color="888888"/>
              <w:bottom w:val="single" w:sz="4" w:space="0" w:color="888888"/>
              <w:right w:val="single" w:sz="4" w:space="0" w:color="888888"/>
            </w:tcBorders>
          </w:tcPr>
          <w:p w14:paraId="124170C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73915C6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Australia</w:t>
            </w:r>
          </w:p>
        </w:tc>
        <w:tc>
          <w:tcPr>
            <w:tcW w:w="786" w:type="dxa"/>
            <w:tcBorders>
              <w:top w:val="single" w:sz="4" w:space="0" w:color="888888"/>
              <w:left w:val="single" w:sz="4" w:space="0" w:color="888888"/>
              <w:bottom w:val="single" w:sz="4" w:space="0" w:color="888888"/>
              <w:right w:val="single" w:sz="4" w:space="0" w:color="888888"/>
            </w:tcBorders>
          </w:tcPr>
          <w:p w14:paraId="2A921BB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w:t>
            </w:r>
          </w:p>
        </w:tc>
        <w:tc>
          <w:tcPr>
            <w:tcW w:w="786" w:type="dxa"/>
            <w:tcBorders>
              <w:top w:val="single" w:sz="4" w:space="0" w:color="888888"/>
              <w:left w:val="single" w:sz="4" w:space="0" w:color="888888"/>
              <w:bottom w:val="single" w:sz="4" w:space="0" w:color="888888"/>
              <w:right w:val="single" w:sz="4" w:space="0" w:color="888888"/>
            </w:tcBorders>
          </w:tcPr>
          <w:p w14:paraId="423E9FC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development</w:t>
            </w:r>
          </w:p>
        </w:tc>
        <w:tc>
          <w:tcPr>
            <w:tcW w:w="1051" w:type="dxa"/>
            <w:tcBorders>
              <w:top w:val="single" w:sz="4" w:space="0" w:color="888888"/>
              <w:left w:val="single" w:sz="4" w:space="0" w:color="888888"/>
              <w:bottom w:val="single" w:sz="4" w:space="0" w:color="888888"/>
              <w:right w:val="single" w:sz="4" w:space="0" w:color="888888"/>
            </w:tcBorders>
          </w:tcPr>
          <w:p w14:paraId="7784CD77"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3CCB3A3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body mass index</w:t>
            </w:r>
          </w:p>
          <w:p w14:paraId="5B84ACF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Hypertensive disorders of pregnancy</w:t>
            </w:r>
          </w:p>
          <w:p w14:paraId="0BED466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Smoking / substance use</w:t>
            </w:r>
          </w:p>
          <w:p w14:paraId="28B34EEA"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01E72AE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Birth weight</w:t>
            </w:r>
          </w:p>
        </w:tc>
        <w:tc>
          <w:tcPr>
            <w:tcW w:w="851" w:type="dxa"/>
            <w:tcBorders>
              <w:top w:val="single" w:sz="4" w:space="0" w:color="888888"/>
              <w:left w:val="single" w:sz="4" w:space="0" w:color="888888"/>
              <w:bottom w:val="single" w:sz="4" w:space="0" w:color="888888"/>
              <w:right w:val="single" w:sz="4" w:space="0" w:color="888888"/>
            </w:tcBorders>
          </w:tcPr>
          <w:p w14:paraId="1C655C6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Population/ Registry</w:t>
            </w:r>
          </w:p>
        </w:tc>
        <w:tc>
          <w:tcPr>
            <w:tcW w:w="851" w:type="dxa"/>
            <w:tcBorders>
              <w:top w:val="single" w:sz="4" w:space="0" w:color="888888"/>
              <w:left w:val="single" w:sz="4" w:space="0" w:color="888888"/>
              <w:bottom w:val="single" w:sz="4" w:space="0" w:color="888888"/>
              <w:right w:val="single" w:sz="4" w:space="0" w:color="888888"/>
            </w:tcBorders>
          </w:tcPr>
          <w:p w14:paraId="77967A4A"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62DE536E"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06338831"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01FC827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Harrell’s C-statistics = 0.685 </w:t>
            </w:r>
            <w:r>
              <w:rPr>
                <w:rFonts w:ascii="Arial" w:hAnsi="Arial" w:cs="Arial"/>
                <w:sz w:val="12"/>
                <w:szCs w:val="12"/>
              </w:rPr>
              <w:br/>
              <w:t>Testing cohorts = 0.689</w:t>
            </w:r>
            <w:r>
              <w:rPr>
                <w:rFonts w:ascii="Arial" w:hAnsi="Arial" w:cs="Arial"/>
                <w:sz w:val="12"/>
                <w:szCs w:val="12"/>
              </w:rPr>
              <w:br/>
              <w:t>(0.60 to 0.75 possibly helpful discrimination)</w:t>
            </w:r>
          </w:p>
        </w:tc>
        <w:tc>
          <w:tcPr>
            <w:tcW w:w="851" w:type="dxa"/>
            <w:tcBorders>
              <w:top w:val="single" w:sz="4" w:space="0" w:color="888888"/>
              <w:left w:val="single" w:sz="4" w:space="0" w:color="888888"/>
              <w:bottom w:val="single" w:sz="4" w:space="0" w:color="888888"/>
              <w:right w:val="single" w:sz="4" w:space="0" w:color="888888"/>
            </w:tcBorders>
          </w:tcPr>
          <w:p w14:paraId="4F26C23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C-statistic</w:t>
            </w:r>
          </w:p>
        </w:tc>
        <w:tc>
          <w:tcPr>
            <w:tcW w:w="817" w:type="dxa"/>
            <w:tcBorders>
              <w:top w:val="single" w:sz="4" w:space="0" w:color="888888"/>
              <w:left w:val="single" w:sz="4" w:space="0" w:color="888888"/>
              <w:bottom w:val="single" w:sz="4" w:space="0" w:color="888888"/>
              <w:right w:val="single" w:sz="4" w:space="0" w:color="888888"/>
            </w:tcBorders>
          </w:tcPr>
          <w:p w14:paraId="1CF5726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0F33A42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259,378 infants</w:t>
            </w:r>
          </w:p>
        </w:tc>
        <w:tc>
          <w:tcPr>
            <w:tcW w:w="851" w:type="dxa"/>
            <w:tcBorders>
              <w:top w:val="single" w:sz="4" w:space="0" w:color="888888"/>
              <w:left w:val="single" w:sz="4" w:space="0" w:color="888888"/>
              <w:bottom w:val="single" w:sz="4" w:space="0" w:color="888888"/>
              <w:right w:val="single" w:sz="4" w:space="0" w:color="888888"/>
            </w:tcBorders>
          </w:tcPr>
          <w:p w14:paraId="4B2D3CD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National Health and Medical Research Council</w:t>
            </w:r>
            <w:r>
              <w:rPr>
                <w:rFonts w:ascii="Arial" w:hAnsi="Arial" w:cs="Arial"/>
                <w:sz w:val="12"/>
                <w:szCs w:val="12"/>
              </w:rPr>
              <w:br/>
              <w:t xml:space="preserve">Mater Foundation, Royal </w:t>
            </w:r>
            <w:r>
              <w:rPr>
                <w:rFonts w:ascii="Arial" w:hAnsi="Arial" w:cs="Arial"/>
                <w:sz w:val="12"/>
                <w:szCs w:val="12"/>
              </w:rPr>
              <w:br/>
              <w:t xml:space="preserve">Australian College of Obstetricians and Gynaecologists Women’s Health Foundation – Norman Beischer </w:t>
            </w:r>
            <w:r>
              <w:rPr>
                <w:rFonts w:ascii="Arial" w:hAnsi="Arial" w:cs="Arial"/>
                <w:sz w:val="12"/>
                <w:szCs w:val="12"/>
              </w:rPr>
              <w:br/>
              <w:t>Clinical Research Scholarship</w:t>
            </w:r>
            <w:r>
              <w:rPr>
                <w:rFonts w:ascii="Arial" w:hAnsi="Arial" w:cs="Arial"/>
                <w:sz w:val="12"/>
                <w:szCs w:val="12"/>
              </w:rPr>
              <w:br/>
              <w:t>Cerebral Palsy Alliance</w:t>
            </w:r>
            <w:r>
              <w:rPr>
                <w:rFonts w:ascii="Arial" w:hAnsi="Arial" w:cs="Arial"/>
                <w:sz w:val="12"/>
                <w:szCs w:val="12"/>
              </w:rPr>
              <w:br/>
              <w:t>University of Queensland Research Scholarship</w:t>
            </w:r>
          </w:p>
        </w:tc>
        <w:tc>
          <w:tcPr>
            <w:tcW w:w="1134" w:type="dxa"/>
            <w:tcBorders>
              <w:top w:val="single" w:sz="4" w:space="0" w:color="888888"/>
              <w:left w:val="single" w:sz="4" w:space="0" w:color="888888"/>
              <w:bottom w:val="single" w:sz="4" w:space="0" w:color="888888"/>
              <w:right w:val="single" w:sz="4" w:space="0" w:color="888888"/>
            </w:tcBorders>
          </w:tcPr>
          <w:p w14:paraId="2184DC2E"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58.0%</w:t>
            </w:r>
          </w:p>
        </w:tc>
        <w:tc>
          <w:tcPr>
            <w:tcW w:w="841" w:type="dxa"/>
            <w:tcBorders>
              <w:top w:val="single" w:sz="4" w:space="0" w:color="888888"/>
              <w:left w:val="single" w:sz="4" w:space="0" w:color="888888"/>
              <w:bottom w:val="single" w:sz="4" w:space="0" w:color="888888"/>
              <w:right w:val="single" w:sz="4" w:space="0" w:color="888888"/>
            </w:tcBorders>
          </w:tcPr>
          <w:p w14:paraId="00FF87CA"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High risk</w:t>
            </w:r>
            <w:r>
              <w:rPr>
                <w:rFonts w:ascii="Arial" w:hAnsi="Arial" w:cs="Arial"/>
                <w:color w:val="000000"/>
                <w:sz w:val="12"/>
                <w:szCs w:val="12"/>
              </w:rPr>
              <w:br/>
              <w:t>D3: Low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6608F0E6" w14:textId="77777777" w:rsidR="00871B31" w:rsidRPr="00756461" w:rsidRDefault="00871B31" w:rsidP="00BC1F31">
            <w:pPr>
              <w:spacing w:after="0" w:line="240" w:lineRule="auto"/>
              <w:rPr>
                <w:rFonts w:ascii="Arial" w:hAnsi="Arial" w:cs="Arial"/>
                <w:color w:val="000000"/>
                <w:sz w:val="12"/>
                <w:szCs w:val="12"/>
              </w:rPr>
            </w:pPr>
            <w:r>
              <w:rPr>
                <w:rFonts w:ascii="Arial" w:hAnsi="Arial" w:cs="Arial"/>
                <w:color w:val="000000"/>
                <w:sz w:val="12"/>
                <w:szCs w:val="12"/>
              </w:rPr>
              <w:t>Not publicly available</w:t>
            </w:r>
            <w:r>
              <w:rPr>
                <w:rFonts w:ascii="Arial" w:hAnsi="Arial" w:cs="Arial"/>
                <w:color w:val="000000"/>
                <w:sz w:val="12"/>
                <w:szCs w:val="12"/>
              </w:rPr>
              <w:br/>
            </w:r>
          </w:p>
          <w:p w14:paraId="000EA152"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Available via inquiries to corresponding author</w:t>
            </w:r>
          </w:p>
        </w:tc>
        <w:tc>
          <w:tcPr>
            <w:tcW w:w="442" w:type="dxa"/>
            <w:tcBorders>
              <w:top w:val="single" w:sz="4" w:space="0" w:color="888888"/>
              <w:left w:val="single" w:sz="4" w:space="0" w:color="888888"/>
              <w:bottom w:val="single" w:sz="4" w:space="0" w:color="888888"/>
              <w:right w:val="single" w:sz="4" w:space="0" w:color="888888"/>
            </w:tcBorders>
          </w:tcPr>
          <w:p w14:paraId="4C4F65BC"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{"citationID":"ZKg2044a","properties":{"formattedCitation":"[102]","plainCitation":"[102]","noteIndex":0},"citationItems":[{"id":"b2OWig5M/MIGRV0BE","uris":["http://zotero.org/users/18230940/items/V32GK4MD"],"itemData":{"id":821,"type":"article-journal","abstract":"BACKGROUND: The risk of stillbirth increases as birthweight falls below the 25th centile. To mitigate this risk, many infants are delivered at late preterm or early term gestations, which increases the risk of neonatal and longer-term complications.\nOBJECTIVE: To develop a model to predict the risk of stillbirth for small infants after 34+0 weeks using information available antenatally.\nMETHODS: This was a retrospective cohort study of non-anomalous singleton infants ≥34+0 weeks of gestation with birthweight (BW) &lt;25th centile, born between 2000 and 2021 in Queensland, Australia. The study outcome was antepartum stillbirth. We used survival analysis to model the number of gestational weeks each pregnancy is at risk of antepartum stillbirth. Competing risks regression models were then built to account for informative censoring due to planned birth. For ease of clinical translatability, we developed a clinical scoring rule to present the probabilities of stillbirth at each gestational week. The dataset was split into testing and discovery cohorts for assessment of internal validation, model discrimination, and concordance.\nRESULTS: There were 259,378 infants with BW &lt;25th centile, including 646 stillbirths (0.25%). The strongest predictors were BW centile &lt;1 (sub-hazard ratio [SHR] 5.84, 95% confidence interval [CI] 4.60, 7.42), BW centiles 1-2 (SHR 3.10, 95% CI 2.46, 3.91), &lt;5 antenatal visits (SHR 2.91, 95% CI 2.39, 3.55), BW centiles 3-4 (SHR 2.23, 95% CI 1.72, 2.89) and BMI ≥35kg/m2 (SHR 2.24, 95% CI 1.52, 3.29). Other predictors in the model were hypertension, anaemia, and asthma. Across all point scores, the cumulative incidence of stillbirth increased with gestation. Harrell's C-statistics were consistent across the discovery (0.71) and testing cohorts (0.73).\nCONCLUSIONS: Our prediction model for small infants may be useful to risk-stratify women according to their stillbirth risk and support decisions around the timing of birth.","container-title":"Paediatric and Perinatal Epidemiology","DOI":"10.1111/ppe.70097","ISSN":"1365-3016","issue":"1","journalAbbreviation":"Paediatr Perinat Epidemiol","language":"eng","page":"4-16","PMID":"41255304","source":"PubMed","title":"Predicting the Risk of Stillbirth for Small Infants Using Maternal and Pregnancy Characteristics","volume":"40","author":[{"family":"Triggs","given":"Tegan"},{"family":"Crawford","given":"Kylie"},{"family":"Flenady","given":"Vicki"},{"family":"Kumar","given":"Sailesh"}],"issued":{"date-parts":[["2026",1]]}}}],"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[102]</w:t>
            </w:r>
            <w:r>
              <w:rPr>
                <w:rFonts w:ascii="Arial" w:eastAsia="Times New Roman" w:hAnsi="Arial" w:cs="Arial"/>
                <w:color w:val="000000"/>
                <w:sz w:val="12"/>
                <w:szCs w:val="12"/>
                <w:lang w:eastAsia="en-GB" w:bidi="th-TH"/>
              </w:rPr>
              <w:fldChar w:fldCharType="end"/>
            </w:r>
          </w:p>
        </w:tc>
      </w:tr>
      <w:tr w:rsidR="00871B31" w:rsidRPr="00756461" w14:paraId="5C3DDE6A"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72DE77D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Wang, et al. 2024</w:t>
            </w:r>
          </w:p>
        </w:tc>
        <w:tc>
          <w:tcPr>
            <w:tcW w:w="1054" w:type="dxa"/>
            <w:tcBorders>
              <w:top w:val="single" w:sz="4" w:space="0" w:color="888888"/>
              <w:left w:val="single" w:sz="4" w:space="0" w:color="888888"/>
              <w:bottom w:val="single" w:sz="4" w:space="0" w:color="888888"/>
              <w:right w:val="single" w:sz="4" w:space="0" w:color="888888"/>
            </w:tcBorders>
          </w:tcPr>
          <w:p w14:paraId="5BA90FD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7FD1413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China</w:t>
            </w:r>
          </w:p>
        </w:tc>
        <w:tc>
          <w:tcPr>
            <w:tcW w:w="786" w:type="dxa"/>
            <w:tcBorders>
              <w:top w:val="single" w:sz="4" w:space="0" w:color="888888"/>
              <w:left w:val="single" w:sz="4" w:space="0" w:color="888888"/>
              <w:bottom w:val="single" w:sz="4" w:space="0" w:color="888888"/>
              <w:right w:val="single" w:sz="4" w:space="0" w:color="888888"/>
            </w:tcBorders>
          </w:tcPr>
          <w:p w14:paraId="19BF7E8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w:t>
            </w:r>
          </w:p>
        </w:tc>
        <w:tc>
          <w:tcPr>
            <w:tcW w:w="786" w:type="dxa"/>
            <w:tcBorders>
              <w:top w:val="single" w:sz="4" w:space="0" w:color="888888"/>
              <w:left w:val="single" w:sz="4" w:space="0" w:color="888888"/>
              <w:bottom w:val="single" w:sz="4" w:space="0" w:color="888888"/>
              <w:right w:val="single" w:sz="4" w:space="0" w:color="888888"/>
            </w:tcBorders>
          </w:tcPr>
          <w:p w14:paraId="6264ABD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 Model development for adverse outcomes</w:t>
            </w:r>
            <w:r>
              <w:rPr>
                <w:rFonts w:ascii="Arial" w:hAnsi="Arial" w:cs="Arial"/>
                <w:sz w:val="12"/>
                <w:szCs w:val="12"/>
              </w:rPr>
              <w:br/>
              <w:t>2. Use the model to identify influencing factors</w:t>
            </w:r>
          </w:p>
        </w:tc>
        <w:tc>
          <w:tcPr>
            <w:tcW w:w="1051" w:type="dxa"/>
            <w:tcBorders>
              <w:top w:val="single" w:sz="4" w:space="0" w:color="888888"/>
              <w:left w:val="single" w:sz="4" w:space="0" w:color="888888"/>
              <w:bottom w:val="single" w:sz="4" w:space="0" w:color="888888"/>
              <w:right w:val="single" w:sz="4" w:space="0" w:color="888888"/>
            </w:tcBorders>
          </w:tcPr>
          <w:p w14:paraId="4B226CC4"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02B3847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age</w:t>
            </w:r>
          </w:p>
          <w:p w14:paraId="3BEE1E07"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Clinical factor</w:t>
            </w:r>
          </w:p>
          <w:p w14:paraId="3902C6F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positive HCG, </w:t>
            </w:r>
          </w:p>
          <w:p w14:paraId="3A98BD9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hematoma duration, </w:t>
            </w:r>
          </w:p>
          <w:p w14:paraId="10AE0FF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CA125, </w:t>
            </w:r>
          </w:p>
          <w:p w14:paraId="00A8375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gestational sac diameter, </w:t>
            </w:r>
          </w:p>
          <w:p w14:paraId="5060346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fibrinogen</w:t>
            </w:r>
          </w:p>
        </w:tc>
        <w:tc>
          <w:tcPr>
            <w:tcW w:w="851" w:type="dxa"/>
            <w:tcBorders>
              <w:top w:val="single" w:sz="4" w:space="0" w:color="888888"/>
              <w:left w:val="single" w:sz="4" w:space="0" w:color="888888"/>
              <w:bottom w:val="single" w:sz="4" w:space="0" w:color="888888"/>
              <w:right w:val="single" w:sz="4" w:space="0" w:color="888888"/>
            </w:tcBorders>
          </w:tcPr>
          <w:p w14:paraId="15C698C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7EDEDA6F"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466EC89D"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23130548"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2BBE514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Logistic Regression and XGBoost models achieved Area Under the Curve (AUC) scores of 0.858 and 0.916</w:t>
            </w:r>
          </w:p>
        </w:tc>
        <w:tc>
          <w:tcPr>
            <w:tcW w:w="851" w:type="dxa"/>
            <w:tcBorders>
              <w:top w:val="single" w:sz="4" w:space="0" w:color="888888"/>
              <w:left w:val="single" w:sz="4" w:space="0" w:color="888888"/>
              <w:bottom w:val="single" w:sz="4" w:space="0" w:color="888888"/>
              <w:right w:val="single" w:sz="4" w:space="0" w:color="888888"/>
            </w:tcBorders>
          </w:tcPr>
          <w:p w14:paraId="3F4009F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w:t>
            </w:r>
          </w:p>
        </w:tc>
        <w:tc>
          <w:tcPr>
            <w:tcW w:w="817" w:type="dxa"/>
            <w:tcBorders>
              <w:top w:val="single" w:sz="4" w:space="0" w:color="888888"/>
              <w:left w:val="single" w:sz="4" w:space="0" w:color="888888"/>
              <w:bottom w:val="single" w:sz="4" w:space="0" w:color="888888"/>
              <w:right w:val="single" w:sz="4" w:space="0" w:color="888888"/>
            </w:tcBorders>
          </w:tcPr>
          <w:p w14:paraId="16CC5E3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39484BD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302 pregnant women with SCH, with 291 cases being included in the final analysis</w:t>
            </w:r>
          </w:p>
        </w:tc>
        <w:tc>
          <w:tcPr>
            <w:tcW w:w="851" w:type="dxa"/>
            <w:tcBorders>
              <w:top w:val="single" w:sz="4" w:space="0" w:color="888888"/>
              <w:left w:val="single" w:sz="4" w:space="0" w:color="888888"/>
              <w:bottom w:val="single" w:sz="4" w:space="0" w:color="888888"/>
              <w:right w:val="single" w:sz="4" w:space="0" w:color="888888"/>
            </w:tcBorders>
          </w:tcPr>
          <w:p w14:paraId="259320D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study received financial support from the Science and Technology Bureau of Guilin, Guangxi, China</w:t>
            </w:r>
          </w:p>
        </w:tc>
        <w:tc>
          <w:tcPr>
            <w:tcW w:w="1134" w:type="dxa"/>
            <w:tcBorders>
              <w:top w:val="single" w:sz="4" w:space="0" w:color="888888"/>
              <w:left w:val="single" w:sz="4" w:space="0" w:color="888888"/>
              <w:bottom w:val="single" w:sz="4" w:space="0" w:color="888888"/>
              <w:right w:val="single" w:sz="4" w:space="0" w:color="888888"/>
            </w:tcBorders>
          </w:tcPr>
          <w:p w14:paraId="1860DEB6"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44.9%</w:t>
            </w:r>
          </w:p>
        </w:tc>
        <w:tc>
          <w:tcPr>
            <w:tcW w:w="841" w:type="dxa"/>
            <w:tcBorders>
              <w:top w:val="single" w:sz="4" w:space="0" w:color="888888"/>
              <w:left w:val="single" w:sz="4" w:space="0" w:color="888888"/>
              <w:bottom w:val="single" w:sz="4" w:space="0" w:color="888888"/>
              <w:right w:val="single" w:sz="4" w:space="0" w:color="888888"/>
            </w:tcBorders>
          </w:tcPr>
          <w:p w14:paraId="574C9B79"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High risk</w:t>
            </w:r>
            <w:r>
              <w:rPr>
                <w:rFonts w:ascii="Arial" w:hAnsi="Arial" w:cs="Arial"/>
                <w:color w:val="000000"/>
                <w:sz w:val="12"/>
                <w:szCs w:val="12"/>
              </w:rPr>
              <w:br/>
              <w:t>D3: Unclear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30F54301"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No information</w:t>
            </w:r>
          </w:p>
        </w:tc>
        <w:tc>
          <w:tcPr>
            <w:tcW w:w="442" w:type="dxa"/>
            <w:tcBorders>
              <w:top w:val="single" w:sz="4" w:space="0" w:color="888888"/>
              <w:left w:val="single" w:sz="4" w:space="0" w:color="888888"/>
              <w:bottom w:val="single" w:sz="4" w:space="0" w:color="888888"/>
              <w:right w:val="single" w:sz="4" w:space="0" w:color="888888"/>
            </w:tcBorders>
          </w:tcPr>
          <w:p w14:paraId="4C18533B"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{"citationID":"hG0INagD","properties":{"formattedCitation":"[103]","plainCitation":"[103]","noteIndex":0},"citationItems":[{"id":"b2OWig5M/rFHkJfNV","uris":["http://zotero.org/users/18230940/items/8WJ6UBAB"],"itemData":{"id":258,"type":"article-journal","abstract":"Background: Subchorionic hematoma (SCH) can lead to blood accumulation and potentially affect pregnancy outcomes. Despite being a relatively common finding in early pregnancy, the effects of SCH on pregnancy outcomes such as miscarriage, stillbirth, and preterm birth remain debated. This study aims to address these gaps by systematically evaluating the influence of SCH-related clinical factors on pregnancy outcomes using robust analytical techniques. Material/Methods: Data from SCH and non-SCH pregnant women were collected and split into training and test datasets. Machine learning classifiers and regression models were used to assess the impact of clinical indices on outcomes such as delivery type, NICU transfer, gestational age, and birth weight. Results were evaluated using ROC and calibration plots. Results: (1) SCH women had a significantly higher risk of stillbirth or miscarriage than non-SCH women (P&lt;0.001). Logistic regression and XGB models showed AUCs of 0.858 and 0.916, respectively. Key factors affecting delivery outcomes included the first positive HCG level, hematoma duration, CA125 level, gestational sac diameter, fibrinogen level, and spouse age. (2) 12.7% of successfully delivered SCH newborns required NICU transfer, but clinical indices did not predict NICU need (AUC 0.589 and 0.629). (3) Successfully delivered SCH women had longer gestational ages than those with miscarriage/stillbirth (38.8 vs 10.1 weeks), but indices did not predict preterm/full-term birth (AUCs 0.449 and 0.503). (4) Birth weight was significantly affected by live birth times and gestational age (P&lt;0.05), though the adjusted R-square was 0.226. Conclusions: (1) SCH increases miscarriage or stillbirth risk. (2) the first positive HCG level, the hematoma duration, serum CA125 level, the gestational sac maximum diameter, fibrinogen, and the spouse age highly impacted the delivery outcome. (3) SCH indices do not affect NICU transfer or birth weight. (4) Miscarriage/stillbirth mainly occurs in the first trimester; passing this stage often leads to successful delivery. (5) The birth weight of full-term newborns is significantly higher than that of preterm infants. The clinical indices of SCH pregnant women have no impact on the birth weight of the newborn. © 2024 Elsevier B.V., All rights reserved.","archive":"Scopus","container-title":"Medical Science Monitor","DOI":"10.12659/MSM.945472","ISSN":"12341010 (ISSN); 16433750 (ISSN)","language":"English","publisher":"International Scientific Information, Inc.","title":"Evaluation of Pregnancy Risks in Women with Subchorionic Hematoma Using Machine Learning Models","URL":"https://www.scopus.com/inward/record.uri?eid=2-s2.0-85209721203&amp;doi=10.12659%2FMSM.945472&amp;partnerID=40&amp;md5=b637c4186d5abee0d2f18b88a5babc8b","volume":"30","author":[{"family":"Wang","given":"L."},{"family":"Qin","given":"A."},{"family":"Yang","given":"Y."},{"family":"Jin","given":"Y."},{"family":"Huang","given":"Q."},{"family":"Huang","given":"X."},{"family":"Feng","given":"Y."},{"family":"Liang","given":"T."}],"issued":{"date-parts":[["2024"]]}}}],"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[103]</w:t>
            </w:r>
            <w:r>
              <w:rPr>
                <w:rFonts w:ascii="Arial" w:eastAsia="Times New Roman" w:hAnsi="Arial" w:cs="Arial"/>
                <w:color w:val="000000"/>
                <w:sz w:val="12"/>
                <w:szCs w:val="12"/>
                <w:lang w:eastAsia="en-GB" w:bidi="th-TH"/>
              </w:rPr>
              <w:fldChar w:fldCharType="end"/>
            </w:r>
          </w:p>
        </w:tc>
      </w:tr>
      <w:tr w:rsidR="00871B31" w:rsidRPr="00756461" w14:paraId="2FDECBF4"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4C8A7C7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Wu, et al. 2019</w:t>
            </w:r>
          </w:p>
        </w:tc>
        <w:tc>
          <w:tcPr>
            <w:tcW w:w="1054" w:type="dxa"/>
            <w:tcBorders>
              <w:top w:val="single" w:sz="4" w:space="0" w:color="888888"/>
              <w:left w:val="single" w:sz="4" w:space="0" w:color="888888"/>
              <w:bottom w:val="single" w:sz="4" w:space="0" w:color="888888"/>
              <w:right w:val="single" w:sz="4" w:space="0" w:color="888888"/>
            </w:tcBorders>
          </w:tcPr>
          <w:p w14:paraId="77D6F4D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0C7CD59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Shanghai</w:t>
            </w:r>
          </w:p>
        </w:tc>
        <w:tc>
          <w:tcPr>
            <w:tcW w:w="786" w:type="dxa"/>
            <w:tcBorders>
              <w:top w:val="single" w:sz="4" w:space="0" w:color="888888"/>
              <w:left w:val="single" w:sz="4" w:space="0" w:color="888888"/>
              <w:bottom w:val="single" w:sz="4" w:space="0" w:color="888888"/>
              <w:right w:val="single" w:sz="4" w:space="0" w:color="888888"/>
            </w:tcBorders>
          </w:tcPr>
          <w:p w14:paraId="2C1B064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 and neonatal mortality</w:t>
            </w:r>
          </w:p>
        </w:tc>
        <w:tc>
          <w:tcPr>
            <w:tcW w:w="786" w:type="dxa"/>
            <w:tcBorders>
              <w:top w:val="single" w:sz="4" w:space="0" w:color="888888"/>
              <w:left w:val="single" w:sz="4" w:space="0" w:color="888888"/>
              <w:bottom w:val="single" w:sz="4" w:space="0" w:color="888888"/>
              <w:right w:val="single" w:sz="4" w:space="0" w:color="888888"/>
            </w:tcBorders>
          </w:tcPr>
          <w:p w14:paraId="23CBC3E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development</w:t>
            </w:r>
          </w:p>
        </w:tc>
        <w:tc>
          <w:tcPr>
            <w:tcW w:w="1051" w:type="dxa"/>
            <w:tcBorders>
              <w:top w:val="single" w:sz="4" w:space="0" w:color="888888"/>
              <w:left w:val="single" w:sz="4" w:space="0" w:color="888888"/>
              <w:bottom w:val="single" w:sz="4" w:space="0" w:color="888888"/>
              <w:right w:val="single" w:sz="4" w:space="0" w:color="888888"/>
            </w:tcBorders>
          </w:tcPr>
          <w:p w14:paraId="5B266787"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Clinical factor</w:t>
            </w:r>
          </w:p>
          <w:p w14:paraId="6B5E893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Unplanned pregnancies</w:t>
            </w:r>
          </w:p>
          <w:p w14:paraId="24C4229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C</w:t>
            </w:r>
            <w:r>
              <w:rPr>
                <w:rFonts w:ascii="Cambria Math" w:hAnsi="Cambria Math" w:cs="Cambria Math"/>
                <w:sz w:val="12"/>
                <w:szCs w:val="12"/>
              </w:rPr>
              <w:t>₃</w:t>
            </w:r>
            <w:r>
              <w:rPr>
                <w:rFonts w:ascii="Arial" w:hAnsi="Arial" w:cs="Arial"/>
                <w:sz w:val="12"/>
                <w:szCs w:val="12"/>
              </w:rPr>
              <w:t xml:space="preserve"> hypocomplementemia</w:t>
            </w:r>
          </w:p>
          <w:p w14:paraId="137083B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- 24-hour urinary protein level</w:t>
            </w:r>
          </w:p>
        </w:tc>
        <w:tc>
          <w:tcPr>
            <w:tcW w:w="851" w:type="dxa"/>
            <w:tcBorders>
              <w:top w:val="single" w:sz="4" w:space="0" w:color="888888"/>
              <w:left w:val="single" w:sz="4" w:space="0" w:color="888888"/>
              <w:bottom w:val="single" w:sz="4" w:space="0" w:color="888888"/>
              <w:right w:val="single" w:sz="4" w:space="0" w:color="888888"/>
            </w:tcBorders>
          </w:tcPr>
          <w:p w14:paraId="5E7A543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15FE3739"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54994CBD"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1821CFFF"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64351B3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The model demonstrated good fit and discrimination, with a Hosmer-Lemeshow test p=0.325, Omnibus test p&lt;0.001, and an Area Under the Curve (AUC) of 0.829 </w:t>
            </w:r>
            <w:r>
              <w:rPr>
                <w:rFonts w:ascii="Arial" w:hAnsi="Arial" w:cs="Arial"/>
                <w:sz w:val="12"/>
                <w:szCs w:val="12"/>
              </w:rPr>
              <w:br/>
              <w:t>8</w:t>
            </w:r>
            <w:r>
              <w:rPr>
                <w:rFonts w:ascii="Arial" w:hAnsi="Arial" w:cs="Arial"/>
                <w:sz w:val="12"/>
                <w:szCs w:val="12"/>
              </w:rPr>
              <w:br/>
              <w:t>. The corresponding risk score classification had a sensitivity of 60.5% and a specificity of 93.3% at the best cut-off point</w:t>
            </w:r>
          </w:p>
        </w:tc>
        <w:tc>
          <w:tcPr>
            <w:tcW w:w="851" w:type="dxa"/>
            <w:tcBorders>
              <w:top w:val="single" w:sz="4" w:space="0" w:color="888888"/>
              <w:left w:val="single" w:sz="4" w:space="0" w:color="888888"/>
              <w:bottom w:val="single" w:sz="4" w:space="0" w:color="888888"/>
              <w:right w:val="single" w:sz="4" w:space="0" w:color="888888"/>
            </w:tcBorders>
          </w:tcPr>
          <w:p w14:paraId="6462D67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 Sensitivity, Specificity, p-value</w:t>
            </w:r>
          </w:p>
        </w:tc>
        <w:tc>
          <w:tcPr>
            <w:tcW w:w="817" w:type="dxa"/>
            <w:tcBorders>
              <w:top w:val="single" w:sz="4" w:space="0" w:color="888888"/>
              <w:left w:val="single" w:sz="4" w:space="0" w:color="888888"/>
              <w:bottom w:val="single" w:sz="4" w:space="0" w:color="888888"/>
              <w:right w:val="single" w:sz="4" w:space="0" w:color="888888"/>
            </w:tcBorders>
          </w:tcPr>
          <w:p w14:paraId="3EC97A6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5268A01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338 pregnancies with SLE</w:t>
            </w:r>
          </w:p>
        </w:tc>
        <w:tc>
          <w:tcPr>
            <w:tcW w:w="851" w:type="dxa"/>
            <w:tcBorders>
              <w:top w:val="single" w:sz="4" w:space="0" w:color="888888"/>
              <w:left w:val="single" w:sz="4" w:space="0" w:color="888888"/>
              <w:bottom w:val="single" w:sz="4" w:space="0" w:color="888888"/>
              <w:right w:val="single" w:sz="4" w:space="0" w:color="888888"/>
            </w:tcBorders>
          </w:tcPr>
          <w:p w14:paraId="12D2B62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study was supported by the Shanghai Municipal Commission of Health and Family Planning (Grant nos. 2017ZZ02016 and 15GWZK0701)</w:t>
            </w:r>
          </w:p>
        </w:tc>
        <w:tc>
          <w:tcPr>
            <w:tcW w:w="1134" w:type="dxa"/>
            <w:tcBorders>
              <w:top w:val="single" w:sz="4" w:space="0" w:color="888888"/>
              <w:left w:val="single" w:sz="4" w:space="0" w:color="888888"/>
              <w:bottom w:val="single" w:sz="4" w:space="0" w:color="888888"/>
              <w:right w:val="single" w:sz="4" w:space="0" w:color="888888"/>
            </w:tcBorders>
          </w:tcPr>
          <w:p w14:paraId="38A2AC31"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56.3%</w:t>
            </w:r>
          </w:p>
        </w:tc>
        <w:tc>
          <w:tcPr>
            <w:tcW w:w="841" w:type="dxa"/>
            <w:tcBorders>
              <w:top w:val="single" w:sz="4" w:space="0" w:color="888888"/>
              <w:left w:val="single" w:sz="4" w:space="0" w:color="888888"/>
              <w:bottom w:val="single" w:sz="4" w:space="0" w:color="888888"/>
              <w:right w:val="single" w:sz="4" w:space="0" w:color="888888"/>
            </w:tcBorders>
          </w:tcPr>
          <w:p w14:paraId="53B4AC37"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Low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553FA0B5"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 xml:space="preserve">The data is not publicly available. </w:t>
            </w:r>
          </w:p>
        </w:tc>
        <w:tc>
          <w:tcPr>
            <w:tcW w:w="442" w:type="dxa"/>
            <w:tcBorders>
              <w:top w:val="single" w:sz="4" w:space="0" w:color="888888"/>
              <w:left w:val="single" w:sz="4" w:space="0" w:color="888888"/>
              <w:bottom w:val="single" w:sz="4" w:space="0" w:color="888888"/>
              <w:right w:val="single" w:sz="4" w:space="0" w:color="888888"/>
            </w:tcBorders>
          </w:tcPr>
          <w:p w14:paraId="05051AB9"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{"citationID":"YQmZO6wA","properties":{"formattedCitation":"[104]","plainCitation":"[104]","noteIndex":0},"citationItems":[{"id":"b2OWig5M/aWT7vleu","uris":["http://zotero.org/users/18230940/items/QVK7KBNQ"],"itemData":{"id":825,"type":"article-journal","abstract":"Objective To develop a predictive model for fetal loss in women with systemic lupus erythematosus (SLE).\n\nDesign A retrospective cohort study.\n\nSetting Data were collected in a tertiary medical centre, located in Shanghai, China, from September 2011 to May 2017.\n\nParticipants 338 pregnancies with SLE were analysed retrospectively. Cases of multiple pregnancy and those in which artificial abortion was performed for personal reasons were excluded.\n\nPrimary outcome measures Fetal loss was the primary outcome. A stepwise regression to identify the predictors related to the fetal loss and coefficient B of each variable was used to develop a predictive model and make a corresponding risk classification. The Hosmer-Lemeshow test, Omnibus test and area under the receiver-operating characteristic curve (AUC) were used to assess the goodness-of-fit and discrimination of the predictive model. A 10-fold cross validation was used to assess the model for overfitting.\n\nResults Unplanned pregnancies (OR 2.84, 95% CI 1.12 to 7.22), C3 hypocomplementemia (OR 5.46, 95%CI 2.30 to 12.97) and 24 hour-urinary protein level (0.3≤protein&lt;1.0g/24hours: OR 2.10, 95% CI 0.63 to 6.95; protein≥1.0g/24hours: OR 5.89, 95% CI 2.30 to 15.06) were selected by the stepwise regression. The Hosmer-Lemeshow test resulted in p=0.325; the Omnibus test resulted in p&lt;0.001and the AUC was 0.829 (95% CI 0.744 to 0.91) in the regression model. The corresponding risk score classification was divided into low risk (0–3) and high risk groups (&gt;3), with a sensitivity of 60.5%, a specificity of 93.3%, positive likelihood ratio of 9.03 and negative likelihood ratio of 0.42.\n\nConclusions A predictive model for fetal loss in women with SLE was developed using the timing of conception, C3 complement and 24 hour-urinary protein level. This model may help clinicians in identifying women with high risk pregnancies, thereby carrying out monitoring or/and interventions for improving fetal outcomes.","DOI":"10.1136/bmjopen-2018-023849","language":"en","license":"© Author(s) (or their employer(s)) 2019. Re-use permitted under CC BY-NC. No commercial re-use. See rights and permissions. Published by BMJ.. This is an open access article distributed in accordance with the Creative Commons Attribution Non Commercial (CC BY-NC 4.0) license, which permits others to distribute, remix, adapt, build upon this work non-commercially, and license their derivative works on different terms, provided the original work is properly cited, appropriate credit is given, any changes made indicated, and the use is non-commercial. See: http://creativecommons.org/licenses/by-nc/4.0/.","publisher":"British Medical Journal Publishing Group","section":"Obstetrics and gynaecology","source":"bmjopen.bmj.com","title":"Prediction of fetal loss in Chinese pregnant patients with systemic lupus erythematosus: a retrospective cohort study","title-short":"Prediction of fetal loss in Chinese pregnant patients with systemic lupus erythematosus","URL":"https://bmjopen.bmj.com/content/9/2/e023849","author":[{"family":"Wu","given":"Jiayue"},{"family":"Zhang","given":"Wei-Hong"},{"family":"Ma","given":"Jinghang"},{"family":"Bao","given":"Chunde"},{"family":"Liu","given":"Jinlin"},{"family":"Di","given":"Wen"}],"accessed":{"date-parts":[["2026",2,20]]},"issued":{"date-parts":[["2019",2,1]]}}}],"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[104]</w:t>
            </w:r>
            <w:r>
              <w:rPr>
                <w:rFonts w:ascii="Arial" w:eastAsia="Times New Roman" w:hAnsi="Arial" w:cs="Arial"/>
                <w:color w:val="000000"/>
                <w:sz w:val="12"/>
                <w:szCs w:val="12"/>
                <w:lang w:eastAsia="en-GB" w:bidi="th-TH"/>
              </w:rPr>
              <w:fldChar w:fldCharType="end"/>
            </w:r>
          </w:p>
        </w:tc>
      </w:tr>
      <w:tr w:rsidR="00871B31" w:rsidRPr="00756461" w14:paraId="0F54DE7C"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1143119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Yehuala, et al. 2025</w:t>
            </w:r>
          </w:p>
        </w:tc>
        <w:tc>
          <w:tcPr>
            <w:tcW w:w="1054" w:type="dxa"/>
            <w:tcBorders>
              <w:top w:val="single" w:sz="4" w:space="0" w:color="888888"/>
              <w:left w:val="single" w:sz="4" w:space="0" w:color="888888"/>
              <w:bottom w:val="single" w:sz="4" w:space="0" w:color="888888"/>
              <w:right w:val="single" w:sz="4" w:space="0" w:color="888888"/>
            </w:tcBorders>
          </w:tcPr>
          <w:p w14:paraId="55062E9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6936FA5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Sub-Saharan Africa countries</w:t>
            </w:r>
          </w:p>
        </w:tc>
        <w:tc>
          <w:tcPr>
            <w:tcW w:w="786" w:type="dxa"/>
            <w:tcBorders>
              <w:top w:val="single" w:sz="4" w:space="0" w:color="888888"/>
              <w:left w:val="single" w:sz="4" w:space="0" w:color="888888"/>
              <w:bottom w:val="single" w:sz="4" w:space="0" w:color="888888"/>
              <w:right w:val="single" w:sz="4" w:space="0" w:color="888888"/>
            </w:tcBorders>
          </w:tcPr>
          <w:p w14:paraId="7D2E325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w:t>
            </w:r>
          </w:p>
        </w:tc>
        <w:tc>
          <w:tcPr>
            <w:tcW w:w="786" w:type="dxa"/>
            <w:tcBorders>
              <w:top w:val="single" w:sz="4" w:space="0" w:color="888888"/>
              <w:left w:val="single" w:sz="4" w:space="0" w:color="888888"/>
              <w:bottom w:val="single" w:sz="4" w:space="0" w:color="888888"/>
              <w:right w:val="single" w:sz="4" w:space="0" w:color="888888"/>
            </w:tcBorders>
          </w:tcPr>
          <w:p w14:paraId="704D4A6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 Model development</w:t>
            </w:r>
            <w:r>
              <w:rPr>
                <w:rFonts w:ascii="Arial" w:hAnsi="Arial" w:cs="Arial"/>
                <w:sz w:val="12"/>
                <w:szCs w:val="12"/>
              </w:rPr>
              <w:br/>
              <w:t>2. Identify important predictors</w:t>
            </w:r>
          </w:p>
        </w:tc>
        <w:tc>
          <w:tcPr>
            <w:tcW w:w="1051" w:type="dxa"/>
            <w:tcBorders>
              <w:top w:val="single" w:sz="4" w:space="0" w:color="888888"/>
              <w:left w:val="single" w:sz="4" w:space="0" w:color="888888"/>
              <w:bottom w:val="single" w:sz="4" w:space="0" w:color="888888"/>
              <w:right w:val="single" w:sz="4" w:space="0" w:color="888888"/>
            </w:tcBorders>
          </w:tcPr>
          <w:p w14:paraId="602C50B8"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1F21941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age</w:t>
            </w:r>
          </w:p>
          <w:p w14:paraId="6639EEE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Parity</w:t>
            </w:r>
          </w:p>
          <w:p w14:paraId="578EB32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Previous adverse outcome</w:t>
            </w:r>
          </w:p>
          <w:p w14:paraId="187C2249"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Sociodemographic factor</w:t>
            </w:r>
          </w:p>
          <w:p w14:paraId="6D3BFDB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Socioeconomic status</w:t>
            </w:r>
          </w:p>
          <w:p w14:paraId="318071D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Marital status</w:t>
            </w:r>
          </w:p>
          <w:p w14:paraId="279B95A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Geographic region / residence</w:t>
            </w:r>
          </w:p>
        </w:tc>
        <w:tc>
          <w:tcPr>
            <w:tcW w:w="851" w:type="dxa"/>
            <w:tcBorders>
              <w:top w:val="single" w:sz="4" w:space="0" w:color="888888"/>
              <w:left w:val="single" w:sz="4" w:space="0" w:color="888888"/>
              <w:bottom w:val="single" w:sz="4" w:space="0" w:color="888888"/>
              <w:right w:val="single" w:sz="4" w:space="0" w:color="888888"/>
            </w:tcBorders>
          </w:tcPr>
          <w:p w14:paraId="16C9E88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Population/ Registry</w:t>
            </w:r>
          </w:p>
        </w:tc>
        <w:tc>
          <w:tcPr>
            <w:tcW w:w="851" w:type="dxa"/>
            <w:tcBorders>
              <w:top w:val="single" w:sz="4" w:space="0" w:color="888888"/>
              <w:left w:val="single" w:sz="4" w:space="0" w:color="888888"/>
              <w:bottom w:val="single" w:sz="4" w:space="0" w:color="888888"/>
              <w:right w:val="single" w:sz="4" w:space="0" w:color="888888"/>
            </w:tcBorders>
          </w:tcPr>
          <w:p w14:paraId="5AE9BB2F"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53BEF2DC"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5F77B444"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0E4B867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Random Forest model performed the best in predicting pregnancy loss, achieving an accuracy of 98%, precision of 98%, F-measure of 83%, ROC curve of 94%, and recall of 77%. The Gaussian model had the lowest classification accuracy. // The critical predictors of pregnancy loss in Sub-Saharan African countries were found to be: </w:t>
            </w:r>
            <w:r>
              <w:rPr>
                <w:rFonts w:ascii="Arial" w:hAnsi="Arial" w:cs="Arial"/>
                <w:sz w:val="12"/>
                <w:szCs w:val="12"/>
              </w:rPr>
              <w:br/>
            </w:r>
            <w:r>
              <w:rPr>
                <w:rFonts w:ascii="Arial" w:hAnsi="Arial" w:cs="Arial"/>
                <w:sz w:val="12"/>
                <w:szCs w:val="12"/>
              </w:rPr>
              <w:lastRenderedPageBreak/>
              <w:t>• Marital status</w:t>
            </w:r>
            <w:r>
              <w:rPr>
                <w:rFonts w:ascii="Arial" w:hAnsi="Arial" w:cs="Arial"/>
                <w:sz w:val="12"/>
                <w:szCs w:val="12"/>
              </w:rPr>
              <w:br/>
              <w:t>• Parity</w:t>
            </w:r>
            <w:r>
              <w:rPr>
                <w:rFonts w:ascii="Arial" w:hAnsi="Arial" w:cs="Arial"/>
                <w:sz w:val="12"/>
                <w:szCs w:val="12"/>
              </w:rPr>
              <w:br/>
              <w:t>• Contraceptive use</w:t>
            </w:r>
            <w:r>
              <w:rPr>
                <w:rFonts w:ascii="Arial" w:hAnsi="Arial" w:cs="Arial"/>
                <w:sz w:val="12"/>
                <w:szCs w:val="12"/>
              </w:rPr>
              <w:br/>
              <w:t>• Wealth status</w:t>
            </w:r>
            <w:r>
              <w:rPr>
                <w:rFonts w:ascii="Arial" w:hAnsi="Arial" w:cs="Arial"/>
                <w:sz w:val="12"/>
                <w:szCs w:val="12"/>
              </w:rPr>
              <w:br/>
              <w:t>• Place of residence</w:t>
            </w:r>
            <w:r>
              <w:rPr>
                <w:rFonts w:ascii="Arial" w:hAnsi="Arial" w:cs="Arial"/>
                <w:sz w:val="12"/>
                <w:szCs w:val="12"/>
              </w:rPr>
              <w:br/>
              <w:t>• Birth order</w:t>
            </w:r>
            <w:r>
              <w:rPr>
                <w:rFonts w:ascii="Arial" w:hAnsi="Arial" w:cs="Arial"/>
                <w:sz w:val="12"/>
                <w:szCs w:val="12"/>
              </w:rPr>
              <w:br/>
              <w:t>• Maternal age</w:t>
            </w:r>
            <w:r>
              <w:rPr>
                <w:rFonts w:ascii="Arial" w:hAnsi="Arial" w:cs="Arial"/>
                <w:sz w:val="12"/>
                <w:szCs w:val="12"/>
              </w:rPr>
              <w:br/>
              <w:t>• Reading newspapers</w:t>
            </w:r>
            <w:r>
              <w:rPr>
                <w:rFonts w:ascii="Arial" w:hAnsi="Arial" w:cs="Arial"/>
                <w:sz w:val="12"/>
                <w:szCs w:val="12"/>
              </w:rPr>
              <w:br/>
              <w:t>• Listening to the radio</w:t>
            </w:r>
            <w:r>
              <w:rPr>
                <w:rFonts w:ascii="Arial" w:hAnsi="Arial" w:cs="Arial"/>
                <w:sz w:val="12"/>
                <w:szCs w:val="12"/>
              </w:rPr>
              <w:br/>
              <w:t>• Watching TV</w:t>
            </w:r>
            <w:r>
              <w:rPr>
                <w:rFonts w:ascii="Arial" w:hAnsi="Arial" w:cs="Arial"/>
                <w:sz w:val="12"/>
                <w:szCs w:val="12"/>
              </w:rPr>
              <w:br/>
              <w:t>• Weight</w:t>
            </w:r>
            <w:r>
              <w:rPr>
                <w:rFonts w:ascii="Arial" w:hAnsi="Arial" w:cs="Arial"/>
                <w:sz w:val="12"/>
                <w:szCs w:val="12"/>
              </w:rPr>
              <w:br/>
              <w:t>• Independence</w:t>
            </w:r>
          </w:p>
        </w:tc>
        <w:tc>
          <w:tcPr>
            <w:tcW w:w="851" w:type="dxa"/>
            <w:tcBorders>
              <w:top w:val="single" w:sz="4" w:space="0" w:color="888888"/>
              <w:left w:val="single" w:sz="4" w:space="0" w:color="888888"/>
              <w:bottom w:val="single" w:sz="4" w:space="0" w:color="888888"/>
              <w:right w:val="single" w:sz="4" w:space="0" w:color="888888"/>
            </w:tcBorders>
          </w:tcPr>
          <w:p w14:paraId="027192E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ROC, Accuracy, Precision, F-measure, Sensitivity</w:t>
            </w:r>
          </w:p>
        </w:tc>
        <w:tc>
          <w:tcPr>
            <w:tcW w:w="817" w:type="dxa"/>
            <w:tcBorders>
              <w:top w:val="single" w:sz="4" w:space="0" w:color="888888"/>
              <w:left w:val="single" w:sz="4" w:space="0" w:color="888888"/>
              <w:bottom w:val="single" w:sz="4" w:space="0" w:color="888888"/>
              <w:right w:val="single" w:sz="4" w:space="0" w:color="888888"/>
            </w:tcBorders>
          </w:tcPr>
          <w:p w14:paraId="5A1DEA2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48ABED0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425810</w:t>
            </w:r>
          </w:p>
        </w:tc>
        <w:tc>
          <w:tcPr>
            <w:tcW w:w="851" w:type="dxa"/>
            <w:tcBorders>
              <w:top w:val="single" w:sz="4" w:space="0" w:color="888888"/>
              <w:left w:val="single" w:sz="4" w:space="0" w:color="888888"/>
              <w:bottom w:val="single" w:sz="4" w:space="0" w:color="888888"/>
              <w:right w:val="single" w:sz="4" w:space="0" w:color="888888"/>
            </w:tcBorders>
          </w:tcPr>
          <w:p w14:paraId="06AFF0E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author(s) declare that no financial support was received for the research, authorship, and/or publication of this article.</w:t>
            </w:r>
          </w:p>
        </w:tc>
        <w:tc>
          <w:tcPr>
            <w:tcW w:w="1134" w:type="dxa"/>
            <w:tcBorders>
              <w:top w:val="single" w:sz="4" w:space="0" w:color="888888"/>
              <w:left w:val="single" w:sz="4" w:space="0" w:color="888888"/>
              <w:bottom w:val="single" w:sz="4" w:space="0" w:color="888888"/>
              <w:right w:val="single" w:sz="4" w:space="0" w:color="888888"/>
            </w:tcBorders>
          </w:tcPr>
          <w:p w14:paraId="26B93724"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51.0%</w:t>
            </w:r>
          </w:p>
        </w:tc>
        <w:tc>
          <w:tcPr>
            <w:tcW w:w="841" w:type="dxa"/>
            <w:tcBorders>
              <w:top w:val="single" w:sz="4" w:space="0" w:color="888888"/>
              <w:left w:val="single" w:sz="4" w:space="0" w:color="888888"/>
              <w:bottom w:val="single" w:sz="4" w:space="0" w:color="888888"/>
              <w:right w:val="single" w:sz="4" w:space="0" w:color="888888"/>
            </w:tcBorders>
          </w:tcPr>
          <w:p w14:paraId="2A853187"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High risk</w:t>
            </w:r>
            <w:r>
              <w:rPr>
                <w:rFonts w:ascii="Arial" w:hAnsi="Arial" w:cs="Arial"/>
                <w:color w:val="000000"/>
                <w:sz w:val="12"/>
                <w:szCs w:val="12"/>
              </w:rPr>
              <w:br/>
              <w:t>D3: High risk</w:t>
            </w:r>
            <w:r>
              <w:rPr>
                <w:rFonts w:ascii="Arial" w:hAnsi="Arial" w:cs="Arial"/>
                <w:color w:val="000000"/>
                <w:sz w:val="12"/>
                <w:szCs w:val="12"/>
              </w:rPr>
              <w:br/>
              <w:t>D4: Low risk</w:t>
            </w:r>
          </w:p>
        </w:tc>
        <w:tc>
          <w:tcPr>
            <w:tcW w:w="860" w:type="dxa"/>
            <w:tcBorders>
              <w:top w:val="single" w:sz="4" w:space="0" w:color="888888"/>
              <w:left w:val="single" w:sz="4" w:space="0" w:color="888888"/>
              <w:bottom w:val="single" w:sz="4" w:space="0" w:color="888888"/>
              <w:right w:val="single" w:sz="4" w:space="0" w:color="888888"/>
            </w:tcBorders>
          </w:tcPr>
          <w:p w14:paraId="52C9CC87"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The data is publicly accessible.</w:t>
            </w:r>
          </w:p>
        </w:tc>
        <w:tc>
          <w:tcPr>
            <w:tcW w:w="442" w:type="dxa"/>
            <w:tcBorders>
              <w:top w:val="single" w:sz="4" w:space="0" w:color="888888"/>
              <w:left w:val="single" w:sz="4" w:space="0" w:color="888888"/>
              <w:bottom w:val="single" w:sz="4" w:space="0" w:color="888888"/>
              <w:right w:val="single" w:sz="4" w:space="0" w:color="888888"/>
            </w:tcBorders>
          </w:tcPr>
          <w:p w14:paraId="22B831A2"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{"citationID":"ubIxnvoi","properties":{"formattedCitation":"[105]","plainCitation":"[105]","noteIndex":0},"citationItems":[{"id":"b2OWig5M/yIfkHXjG","uris":["http://zotero.org/users/18230940/items/95KVT3W8"],"itemData":{"id":164,"type":"article-journal","abstract":"Background: Pregnancy loss is a significant public health issue globally, particularly in Sub-Saharan Africa (SSA), where maternal health outcomes continue to be a major concern. Despite notable progress in improving maternal health, pregnancy-related complications, including s due to miscarriages, stillbirths, and induced abortions, continue to impact women's health, social wellbeing, and economic stability in the region. This study aims to identify the key predictors of pregnancy loss and develop effective predictive models for pregnancy loss among reproductive-aged women in SSA. Methods: We derived the data for this cross-sectional study from the most recent Demographic and Health Survey of Sub-Saharan African countries. Python software was used to process the data, and machine learning techniques such as Random Forest, Decision Tree, Logistic Regression, Extreme Gradient Boosting, and Gaussian were applied. The performance of the predictive models was evaluated using several standard metrics, including the ROC curve, accuracy score, precision, recall, and F-measure. Result: The final experimental results indicated that the Random Forest model performed the best in predicting pregnancy loss, achieving an accuracy of 98%, precision of 98%, F-measure of 83%, ROC curve of 94%, and recall of 77%. The Gaussian model had the lowest classification accuracy, with an accuracy of 92.64% compared to the others. Based on SHPY values, unmarried women may be more likely to experience pregnancy loss, particularly in contexts where premarital pregnancies are stigmatized. The use of antenatal care and family planning services can significantly impact the risk of pregnancy loss. Women from lower-income backgrounds may face challenges in accessing prenatal care or safe reproductive health services, leading to higher risks of loss. Additionally, higher levels of education are often correlated with increased awareness of family planning methods and better access to healthcare, which can reduce the likelihood of unintended pregnancy loss. Conclusion: The Random Forest machine learning model demonstrates greater predictive power in estimating pregnancy loss risk factors. Machine learning can help facilitate early prediction and intervention for women at high risk of pregnancy loss. Based on these findings, we recommend policy measures aimed at reducing pregnancy loss Sub-Saharan African countries. © 2025 Elsevier B.V., All rights reserved.","archive":"Scopus","container-title":"Frontiers in Global Women's Health","DOI":"10.3389/fgwh.2025.1456238","ISSN":"26735059 (ISSN)","language":"English","publisher":"Frontiers Media SA","title":"Predicting pregnancy loss and its determinants among reproductive-aged women using supervised machine learning algorithms in Sub-Saharan Africa","URL":"https://www.scopus.com/inward/record.uri?eid=2-s2.0-85218708093&amp;doi=10.3389%2Ffgwh.2025.1456238&amp;partnerID=40&amp;md5=99606f816a6755a5dd20bd198715eafd","volume":"6","author":[{"family":"Yehuala","given":"T.Z."},{"family":"Mengesha","given":"S.B."},{"family":"Baykemagn","given":"N.D."}],"issued":{"date-parts":[["2025"]]}}}],"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[105]</w:t>
            </w:r>
            <w:r>
              <w:rPr>
                <w:rFonts w:ascii="Arial" w:eastAsia="Times New Roman" w:hAnsi="Arial" w:cs="Arial"/>
                <w:color w:val="000000"/>
                <w:sz w:val="12"/>
                <w:szCs w:val="12"/>
                <w:lang w:eastAsia="en-GB" w:bidi="th-TH"/>
              </w:rPr>
              <w:fldChar w:fldCharType="end"/>
            </w:r>
          </w:p>
        </w:tc>
      </w:tr>
      <w:tr w:rsidR="00871B31" w:rsidRPr="00756461" w14:paraId="2B0AF0F2"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45E7EB3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Yerlikaya, et al. 2016</w:t>
            </w:r>
          </w:p>
        </w:tc>
        <w:tc>
          <w:tcPr>
            <w:tcW w:w="1054" w:type="dxa"/>
            <w:tcBorders>
              <w:top w:val="single" w:sz="4" w:space="0" w:color="888888"/>
              <w:left w:val="single" w:sz="4" w:space="0" w:color="888888"/>
              <w:bottom w:val="single" w:sz="4" w:space="0" w:color="888888"/>
              <w:right w:val="single" w:sz="4" w:space="0" w:color="888888"/>
            </w:tcBorders>
          </w:tcPr>
          <w:p w14:paraId="6D37E20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Prospective screening study</w:t>
            </w:r>
          </w:p>
        </w:tc>
        <w:tc>
          <w:tcPr>
            <w:tcW w:w="742" w:type="dxa"/>
            <w:tcBorders>
              <w:top w:val="single" w:sz="4" w:space="0" w:color="888888"/>
              <w:left w:val="single" w:sz="4" w:space="0" w:color="888888"/>
              <w:bottom w:val="single" w:sz="4" w:space="0" w:color="888888"/>
              <w:right w:val="single" w:sz="4" w:space="0" w:color="888888"/>
            </w:tcBorders>
          </w:tcPr>
          <w:p w14:paraId="13E78EE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United Kingdom</w:t>
            </w:r>
          </w:p>
        </w:tc>
        <w:tc>
          <w:tcPr>
            <w:tcW w:w="786" w:type="dxa"/>
            <w:tcBorders>
              <w:top w:val="single" w:sz="4" w:space="0" w:color="888888"/>
              <w:left w:val="single" w:sz="4" w:space="0" w:color="888888"/>
              <w:bottom w:val="single" w:sz="4" w:space="0" w:color="888888"/>
              <w:right w:val="single" w:sz="4" w:space="0" w:color="888888"/>
            </w:tcBorders>
          </w:tcPr>
          <w:p w14:paraId="3561CB5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w:t>
            </w:r>
          </w:p>
        </w:tc>
        <w:tc>
          <w:tcPr>
            <w:tcW w:w="786" w:type="dxa"/>
            <w:tcBorders>
              <w:top w:val="single" w:sz="4" w:space="0" w:color="888888"/>
              <w:left w:val="single" w:sz="4" w:space="0" w:color="888888"/>
              <w:bottom w:val="single" w:sz="4" w:space="0" w:color="888888"/>
              <w:right w:val="single" w:sz="4" w:space="0" w:color="888888"/>
            </w:tcBorders>
          </w:tcPr>
          <w:p w14:paraId="03C3CFB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 Model development</w:t>
            </w:r>
          </w:p>
          <w:p w14:paraId="0A05191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2. Evaluate screening performance for all stillbirths and by cause (impaired placentation vs unexplained)</w:t>
            </w:r>
          </w:p>
        </w:tc>
        <w:tc>
          <w:tcPr>
            <w:tcW w:w="1051" w:type="dxa"/>
            <w:tcBorders>
              <w:top w:val="single" w:sz="4" w:space="0" w:color="888888"/>
              <w:left w:val="single" w:sz="4" w:space="0" w:color="888888"/>
              <w:bottom w:val="single" w:sz="4" w:space="0" w:color="888888"/>
              <w:right w:val="single" w:sz="4" w:space="0" w:color="888888"/>
            </w:tcBorders>
          </w:tcPr>
          <w:p w14:paraId="009F7CB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Maternal factor</w:t>
            </w:r>
          </w:p>
          <w:p w14:paraId="0181372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Maternal age</w:t>
            </w:r>
          </w:p>
          <w:p w14:paraId="552D9A8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Maternal weight</w:t>
            </w:r>
          </w:p>
          <w:p w14:paraId="518D02D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Parity</w:t>
            </w:r>
          </w:p>
          <w:p w14:paraId="29B2D7A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Previous stillbirth</w:t>
            </w:r>
          </w:p>
          <w:p w14:paraId="4D07406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Cigarette smoking</w:t>
            </w:r>
          </w:p>
          <w:p w14:paraId="2A3EDED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Chronic hypertension</w:t>
            </w:r>
          </w:p>
          <w:p w14:paraId="48F726F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Systemic lupus erythematosus / antiphospholipid syndrome</w:t>
            </w:r>
          </w:p>
          <w:p w14:paraId="4C9E6AD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Diabetes mellitus</w:t>
            </w:r>
          </w:p>
          <w:p w14:paraId="7475417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Clinical factor</w:t>
            </w:r>
          </w:p>
          <w:p w14:paraId="515CAAF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Assisted conception</w:t>
            </w:r>
          </w:p>
          <w:p w14:paraId="6B17F65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Sociodemographic factor</w:t>
            </w:r>
          </w:p>
          <w:p w14:paraId="11521FF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Afro-Caribbean racial origin</w:t>
            </w:r>
          </w:p>
        </w:tc>
        <w:tc>
          <w:tcPr>
            <w:tcW w:w="851" w:type="dxa"/>
            <w:tcBorders>
              <w:top w:val="single" w:sz="4" w:space="0" w:color="888888"/>
              <w:left w:val="single" w:sz="4" w:space="0" w:color="888888"/>
              <w:bottom w:val="single" w:sz="4" w:space="0" w:color="888888"/>
              <w:right w:val="single" w:sz="4" w:space="0" w:color="888888"/>
            </w:tcBorders>
          </w:tcPr>
          <w:p w14:paraId="16A09DE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2AD63442"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769F8830"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61388CD3"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517F705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An updated multivariable logistic regression model based on maternal characteristics and medical history predicted 29.0% of all stillbirths at a 10% false-positive rate (AUC 0.642, 95% CI 0.612-0.672). Detection was higher for stillbirths due to impaired placentation (31.3%) than for unexplained stillbirths (25.9%).</w:t>
            </w:r>
          </w:p>
        </w:tc>
        <w:tc>
          <w:tcPr>
            <w:tcW w:w="851" w:type="dxa"/>
            <w:tcBorders>
              <w:top w:val="single" w:sz="4" w:space="0" w:color="888888"/>
              <w:left w:val="single" w:sz="4" w:space="0" w:color="888888"/>
              <w:bottom w:val="single" w:sz="4" w:space="0" w:color="888888"/>
              <w:right w:val="single" w:sz="4" w:space="0" w:color="888888"/>
            </w:tcBorders>
          </w:tcPr>
          <w:p w14:paraId="2106875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 Detection rate, False positive rate</w:t>
            </w:r>
          </w:p>
        </w:tc>
        <w:tc>
          <w:tcPr>
            <w:tcW w:w="817" w:type="dxa"/>
            <w:tcBorders>
              <w:top w:val="single" w:sz="4" w:space="0" w:color="888888"/>
              <w:left w:val="single" w:sz="4" w:space="0" w:color="888888"/>
              <w:bottom w:val="single" w:sz="4" w:space="0" w:color="888888"/>
              <w:right w:val="single" w:sz="4" w:space="0" w:color="888888"/>
            </w:tcBorders>
          </w:tcPr>
          <w:p w14:paraId="1282C92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Neither internal nor external validation; the model was derived and tested on the same dataset (apparent performance). The previously published 2011 model was separately examined in a subsequent cohort of 79,559 pregnancies</w:t>
            </w:r>
          </w:p>
        </w:tc>
        <w:tc>
          <w:tcPr>
            <w:tcW w:w="742" w:type="dxa"/>
            <w:tcBorders>
              <w:top w:val="single" w:sz="4" w:space="0" w:color="888888"/>
              <w:left w:val="single" w:sz="4" w:space="0" w:color="888888"/>
              <w:bottom w:val="single" w:sz="4" w:space="0" w:color="888888"/>
              <w:right w:val="single" w:sz="4" w:space="0" w:color="888888"/>
            </w:tcBorders>
          </w:tcPr>
          <w:p w14:paraId="3E6ADD7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113,415 singleton pregnancies (113,019 live births, 396 antepartum stillbirths)</w:t>
            </w:r>
          </w:p>
        </w:tc>
        <w:tc>
          <w:tcPr>
            <w:tcW w:w="851" w:type="dxa"/>
            <w:tcBorders>
              <w:top w:val="single" w:sz="4" w:space="0" w:color="888888"/>
              <w:left w:val="single" w:sz="4" w:space="0" w:color="888888"/>
              <w:bottom w:val="single" w:sz="4" w:space="0" w:color="888888"/>
              <w:right w:val="single" w:sz="4" w:space="0" w:color="888888"/>
            </w:tcBorders>
          </w:tcPr>
          <w:p w14:paraId="24BFF0D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Fetal Medicine Foundation (Charity No: 1037116)</w:t>
            </w:r>
          </w:p>
        </w:tc>
        <w:tc>
          <w:tcPr>
            <w:tcW w:w="1134" w:type="dxa"/>
            <w:tcBorders>
              <w:top w:val="single" w:sz="4" w:space="0" w:color="888888"/>
              <w:left w:val="single" w:sz="4" w:space="0" w:color="888888"/>
              <w:bottom w:val="single" w:sz="4" w:space="0" w:color="888888"/>
              <w:right w:val="single" w:sz="4" w:space="0" w:color="888888"/>
            </w:tcBorders>
          </w:tcPr>
          <w:p w14:paraId="7286EED9"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46.2%</w:t>
            </w:r>
          </w:p>
        </w:tc>
        <w:tc>
          <w:tcPr>
            <w:tcW w:w="841" w:type="dxa"/>
            <w:tcBorders>
              <w:top w:val="single" w:sz="4" w:space="0" w:color="888888"/>
              <w:left w:val="single" w:sz="4" w:space="0" w:color="888888"/>
              <w:bottom w:val="single" w:sz="4" w:space="0" w:color="888888"/>
              <w:right w:val="single" w:sz="4" w:space="0" w:color="888888"/>
            </w:tcBorders>
          </w:tcPr>
          <w:p w14:paraId="3D85E202"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Unclear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543C4536"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sz w:val="12"/>
                <w:szCs w:val="12"/>
              </w:rPr>
              <w:t>Supporting information (Table S1) available in the online version of the article</w:t>
            </w:r>
          </w:p>
        </w:tc>
        <w:tc>
          <w:tcPr>
            <w:tcW w:w="442" w:type="dxa"/>
            <w:tcBorders>
              <w:top w:val="single" w:sz="4" w:space="0" w:color="888888"/>
              <w:left w:val="single" w:sz="4" w:space="0" w:color="888888"/>
              <w:bottom w:val="single" w:sz="4" w:space="0" w:color="888888"/>
              <w:right w:val="single" w:sz="4" w:space="0" w:color="888888"/>
            </w:tcBorders>
          </w:tcPr>
          <w:p w14:paraId="27380455"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{"citationID":"1XbLUfuJ","properties":{"formattedCitation":"[106]","plainCitation":"[106]","noteIndex":0},"citationItems":[{"id":"b2OWig5M/Y3aqYzKc","uris":["http://zotero.org/users/18230940/items/C5PIWVGF"],"itemData":{"id":829,"type":"article-journal","abstract":"OBJECTIVES: To develop a model for prediction of stillbirth based on maternal characteristics and components of medical history and to evaluate the performance of screening with this model for all stillbirths and those due to impaired placentation and to unexplained causes.\nMETHODS: This was a prospective screening study of 113 415 singleton pregnancies at 11 + 0 to 13 + 6 weeks' gestation and at 19 + 0 to 24 + 6 weeks. The study population included 113 019 live births and 396 (0.35%) antepartum stillbirths; 230 (58%) were secondary to impaired placentation and 166 (42%) were due to other or unexplained causes. Multivariable logistic regression analysis was used to determine the factors from maternal characteristics and medical history which provided a significant contribution to the prediction of stillbirth.\nRESULTS: The risk for stillbirth increased with maternal weight (odds ratio (OR), 1.01 per kg above 69 kg), was higher in women of Afro-Caribbean racial origin (OR, 2.01), those with assisted conception (OR, 1.79), cigarette smokers (OR, 1.71), and in those with a history of chronic hypertension (OR, 2.62), systemic lupus erythematosus/antiphospholipid syndrome (OR, 3.61) or diabetes mellitus (OR, 2.55) and was increased in women with a history of previous stillbirth (OR, 4.81). Screening with the model predicted 26% of unexplained stillbirths and 31% of those due to impaired placentation, at a false-positive rate of 10%; within the impaired-placentation group the detection rate of stillbirth &lt; 32 weeks' gestation was higher than that of stillbirth ≥ 37 weeks (38% vs 28%).\nCONCLUSIONS: A model based on maternal characteristics and medical history recorded in early pregnancy can potentially predict one-third of subsequent stillbirths. The extent to which such stillbirths could be prevented remains to be determined. Copyright © 2016 ISUOG. Published by John Wiley &amp; Sons Ltd.","container-title":"Ultrasound in Obstetrics &amp; Gynecology: The Official Journal of the International Society of Ultrasound in Obstetrics and Gynecology","DOI":"10.1002/uog.17290","ISSN":"1469-0705","issue":"5","journalAbbreviation":"Ultrasound Obstet Gynecol","language":"eng","page":"607-612","PMID":"27561693","source":"PubMed","title":"Prediction of stillbirth from maternal demographic and pregnancy characteristics","volume":"48","author":[{"family":"Yerlikaya","given":"G."},{"family":"Akolekar","given":"R."},{"family":"McPherson","given":"K."},{"family":"Syngelaki","given":"A."},{"family":"Nicolaides","given":"K. H."}],"issued":{"date-parts":[["2016",11]]}}}],"schema":"https://github.com/citation-style-language/schema/raw/master/csl-citation.json"}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[106]</w:t>
            </w:r>
            <w:r>
              <w:rPr>
                <w:rFonts w:ascii="Arial" w:eastAsia="Times New Roman" w:hAnsi="Arial" w:cs="Arial"/>
                <w:color w:val="000000"/>
                <w:sz w:val="12"/>
                <w:szCs w:val="12"/>
                <w:lang w:eastAsia="en-GB" w:bidi="th-TH"/>
              </w:rPr>
              <w:fldChar w:fldCharType="end"/>
            </w:r>
          </w:p>
        </w:tc>
      </w:tr>
      <w:tr w:rsidR="00871B31" w:rsidRPr="00756461" w14:paraId="5B2F5E53"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5DCA330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Yin, et al. 2024</w:t>
            </w:r>
          </w:p>
        </w:tc>
        <w:tc>
          <w:tcPr>
            <w:tcW w:w="1054" w:type="dxa"/>
            <w:tcBorders>
              <w:top w:val="single" w:sz="4" w:space="0" w:color="888888"/>
              <w:left w:val="single" w:sz="4" w:space="0" w:color="888888"/>
              <w:bottom w:val="single" w:sz="4" w:space="0" w:color="888888"/>
              <w:right w:val="single" w:sz="4" w:space="0" w:color="888888"/>
            </w:tcBorders>
          </w:tcPr>
          <w:p w14:paraId="311384F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54E06B7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China</w:t>
            </w:r>
          </w:p>
        </w:tc>
        <w:tc>
          <w:tcPr>
            <w:tcW w:w="786" w:type="dxa"/>
            <w:tcBorders>
              <w:top w:val="single" w:sz="4" w:space="0" w:color="888888"/>
              <w:left w:val="single" w:sz="4" w:space="0" w:color="888888"/>
              <w:bottom w:val="single" w:sz="4" w:space="0" w:color="888888"/>
              <w:right w:val="single" w:sz="4" w:space="0" w:color="888888"/>
            </w:tcBorders>
          </w:tcPr>
          <w:p w14:paraId="4086AFF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Intrauterine Foetal Demise</w:t>
            </w:r>
          </w:p>
        </w:tc>
        <w:tc>
          <w:tcPr>
            <w:tcW w:w="786" w:type="dxa"/>
            <w:tcBorders>
              <w:top w:val="single" w:sz="4" w:space="0" w:color="888888"/>
              <w:left w:val="single" w:sz="4" w:space="0" w:color="888888"/>
              <w:bottom w:val="single" w:sz="4" w:space="0" w:color="888888"/>
              <w:right w:val="single" w:sz="4" w:space="0" w:color="888888"/>
            </w:tcBorders>
          </w:tcPr>
          <w:p w14:paraId="0A1A198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 Model development</w:t>
            </w:r>
            <w:r>
              <w:rPr>
                <w:rFonts w:ascii="Arial" w:hAnsi="Arial" w:cs="Arial"/>
                <w:sz w:val="12"/>
                <w:szCs w:val="12"/>
              </w:rPr>
              <w:br/>
              <w:t>2. Model validation</w:t>
            </w:r>
          </w:p>
        </w:tc>
        <w:tc>
          <w:tcPr>
            <w:tcW w:w="1051" w:type="dxa"/>
            <w:tcBorders>
              <w:top w:val="single" w:sz="4" w:space="0" w:color="888888"/>
              <w:left w:val="single" w:sz="4" w:space="0" w:color="888888"/>
              <w:bottom w:val="single" w:sz="4" w:space="0" w:color="888888"/>
              <w:right w:val="single" w:sz="4" w:space="0" w:color="888888"/>
            </w:tcBorders>
          </w:tcPr>
          <w:p w14:paraId="26525F15"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Clinical factor</w:t>
            </w:r>
          </w:p>
          <w:p w14:paraId="411678F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Mode of delivery</w:t>
            </w:r>
          </w:p>
        </w:tc>
        <w:tc>
          <w:tcPr>
            <w:tcW w:w="851" w:type="dxa"/>
            <w:tcBorders>
              <w:top w:val="single" w:sz="4" w:space="0" w:color="888888"/>
              <w:left w:val="single" w:sz="4" w:space="0" w:color="888888"/>
              <w:bottom w:val="single" w:sz="4" w:space="0" w:color="888888"/>
              <w:right w:val="single" w:sz="4" w:space="0" w:color="888888"/>
            </w:tcBorders>
          </w:tcPr>
          <w:p w14:paraId="162AF7B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096D0CFB"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3797BE32"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536842CE"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61D7ACF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The model showed good predictive ability with a concordance index (C-index) of 0.859 in the internal validation set and 0.776 in the external validation set for </w:t>
            </w:r>
            <w:proofErr w:type="gramStart"/>
            <w:r>
              <w:rPr>
                <w:rFonts w:ascii="Arial" w:hAnsi="Arial" w:cs="Arial"/>
                <w:sz w:val="12"/>
                <w:szCs w:val="12"/>
              </w:rPr>
              <w:t>predicting  Termination</w:t>
            </w:r>
            <w:proofErr w:type="gramEnd"/>
            <w:r>
              <w:rPr>
                <w:rFonts w:ascii="Arial" w:hAnsi="Arial" w:cs="Arial"/>
                <w:sz w:val="12"/>
                <w:szCs w:val="12"/>
              </w:rPr>
              <w:t xml:space="preserve"> of </w:t>
            </w:r>
            <w:proofErr w:type="gramStart"/>
            <w:r>
              <w:rPr>
                <w:rFonts w:ascii="Arial" w:hAnsi="Arial" w:cs="Arial"/>
                <w:sz w:val="12"/>
                <w:szCs w:val="12"/>
              </w:rPr>
              <w:t>Pregnancy(</w:t>
            </w:r>
            <w:proofErr w:type="gramEnd"/>
            <w:r>
              <w:rPr>
                <w:rFonts w:ascii="Arial" w:hAnsi="Arial" w:cs="Arial"/>
                <w:sz w:val="12"/>
                <w:szCs w:val="12"/>
              </w:rPr>
              <w:t>TOP).</w:t>
            </w:r>
          </w:p>
        </w:tc>
        <w:tc>
          <w:tcPr>
            <w:tcW w:w="851" w:type="dxa"/>
            <w:tcBorders>
              <w:top w:val="single" w:sz="4" w:space="0" w:color="888888"/>
              <w:left w:val="single" w:sz="4" w:space="0" w:color="888888"/>
              <w:bottom w:val="single" w:sz="4" w:space="0" w:color="888888"/>
              <w:right w:val="single" w:sz="4" w:space="0" w:color="888888"/>
            </w:tcBorders>
          </w:tcPr>
          <w:p w14:paraId="2A13F25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C-index</w:t>
            </w:r>
          </w:p>
        </w:tc>
        <w:tc>
          <w:tcPr>
            <w:tcW w:w="817" w:type="dxa"/>
            <w:tcBorders>
              <w:top w:val="single" w:sz="4" w:space="0" w:color="888888"/>
              <w:left w:val="single" w:sz="4" w:space="0" w:color="888888"/>
              <w:bottom w:val="single" w:sz="4" w:space="0" w:color="888888"/>
              <w:right w:val="single" w:sz="4" w:space="0" w:color="888888"/>
            </w:tcBorders>
          </w:tcPr>
          <w:p w14:paraId="5A45200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Both internal and external validation</w:t>
            </w:r>
          </w:p>
        </w:tc>
        <w:tc>
          <w:tcPr>
            <w:tcW w:w="742" w:type="dxa"/>
            <w:tcBorders>
              <w:top w:val="single" w:sz="4" w:space="0" w:color="888888"/>
              <w:left w:val="single" w:sz="4" w:space="0" w:color="888888"/>
              <w:bottom w:val="single" w:sz="4" w:space="0" w:color="888888"/>
              <w:right w:val="single" w:sz="4" w:space="0" w:color="888888"/>
            </w:tcBorders>
          </w:tcPr>
          <w:p w14:paraId="28EA119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The study included 301 pregnancies in the training cohort and 321 pregnancies in the external validation cohort </w:t>
            </w:r>
          </w:p>
        </w:tc>
        <w:tc>
          <w:tcPr>
            <w:tcW w:w="851" w:type="dxa"/>
            <w:tcBorders>
              <w:top w:val="single" w:sz="4" w:space="0" w:color="888888"/>
              <w:left w:val="single" w:sz="4" w:space="0" w:color="888888"/>
              <w:bottom w:val="single" w:sz="4" w:space="0" w:color="888888"/>
              <w:right w:val="single" w:sz="4" w:space="0" w:color="888888"/>
            </w:tcBorders>
          </w:tcPr>
          <w:p w14:paraId="36B0D8E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study was funded by the Research and Development Fund of Peking University People's Hospital (grant no. RDJP2022-53)</w:t>
            </w:r>
          </w:p>
        </w:tc>
        <w:tc>
          <w:tcPr>
            <w:tcW w:w="1134" w:type="dxa"/>
            <w:tcBorders>
              <w:top w:val="single" w:sz="4" w:space="0" w:color="888888"/>
              <w:left w:val="single" w:sz="4" w:space="0" w:color="888888"/>
              <w:bottom w:val="single" w:sz="4" w:space="0" w:color="888888"/>
              <w:right w:val="single" w:sz="4" w:space="0" w:color="888888"/>
            </w:tcBorders>
          </w:tcPr>
          <w:p w14:paraId="397D8E47"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62.0%</w:t>
            </w:r>
          </w:p>
        </w:tc>
        <w:tc>
          <w:tcPr>
            <w:tcW w:w="841" w:type="dxa"/>
            <w:tcBorders>
              <w:top w:val="single" w:sz="4" w:space="0" w:color="888888"/>
              <w:left w:val="single" w:sz="4" w:space="0" w:color="888888"/>
              <w:bottom w:val="single" w:sz="4" w:space="0" w:color="888888"/>
              <w:right w:val="single" w:sz="4" w:space="0" w:color="888888"/>
            </w:tcBorders>
          </w:tcPr>
          <w:p w14:paraId="20C7FF67"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Unclear risk</w:t>
            </w:r>
            <w:r>
              <w:rPr>
                <w:rFonts w:ascii="Arial" w:hAnsi="Arial" w:cs="Arial"/>
                <w:color w:val="000000"/>
                <w:sz w:val="12"/>
                <w:szCs w:val="12"/>
              </w:rPr>
              <w:br/>
              <w:t>D3: Unclear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339DE271" w14:textId="77777777" w:rsidR="00871B31" w:rsidRPr="00756461" w:rsidRDefault="00871B31" w:rsidP="00BC1F31">
            <w:pPr>
              <w:spacing w:after="0" w:line="240" w:lineRule="auto"/>
              <w:rPr>
                <w:rFonts w:ascii="Arial" w:hAnsi="Arial" w:cs="Arial"/>
                <w:color w:val="000000"/>
                <w:sz w:val="12"/>
                <w:szCs w:val="12"/>
              </w:rPr>
            </w:pPr>
            <w:r>
              <w:rPr>
                <w:rFonts w:ascii="Arial" w:hAnsi="Arial" w:cs="Arial"/>
                <w:color w:val="000000"/>
                <w:sz w:val="12"/>
                <w:szCs w:val="12"/>
              </w:rPr>
              <w:t>Not publicly available</w:t>
            </w:r>
            <w:r>
              <w:rPr>
                <w:rFonts w:ascii="Arial" w:hAnsi="Arial" w:cs="Arial"/>
                <w:color w:val="000000"/>
                <w:sz w:val="12"/>
                <w:szCs w:val="12"/>
              </w:rPr>
              <w:br/>
            </w:r>
          </w:p>
          <w:p w14:paraId="4B04E297"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Available via inquiries to corresponding author</w:t>
            </w:r>
          </w:p>
        </w:tc>
        <w:tc>
          <w:tcPr>
            <w:tcW w:w="442" w:type="dxa"/>
            <w:tcBorders>
              <w:top w:val="single" w:sz="4" w:space="0" w:color="888888"/>
              <w:left w:val="single" w:sz="4" w:space="0" w:color="888888"/>
              <w:bottom w:val="single" w:sz="4" w:space="0" w:color="888888"/>
              <w:right w:val="single" w:sz="4" w:space="0" w:color="888888"/>
            </w:tcBorders>
          </w:tcPr>
          <w:p w14:paraId="15759705"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{"citationID":"HibsAlmf","properties":{"formattedCitation":"[107]","plainCitation":"[107]","noteIndex":0},"citationItems":[{"id":"b2OWig5M/3YHBFxeT","uris":["http://zotero.org/users/18230940/items/BVRJKIZA"],"itemData":{"id":832,"type":"article-journal","abstract":"Objective This study aimed at developing an available predictive model of singleton pregnancies with fetal growth restriction (FGR) for accurate and individualised prognosis assessment.Methods The prediction nomogram was developed by using multivariable Cox regression with data for 301 singleton FGR pregnancies at Peking University People’s Hospital. External validation was performed in 321 eligible singleton FGR pregnancies at the Affiliated Hospital of Qingdao University.Results Absent umbilical arterial flow, fetal anomaly, history of abnormal pregnancy, non-cephalic presentation and history of caesarean section were independent prognostic factors for adverse perinatal outcomes in singleton FGR pregnancies in the training set. In the training cohort of the internal validation set, the nomogram estimated pregnancy prognosis of FGR singleton pregnancies based on these five variables, with a concordance index (C-index) of 0.859 (95% CI: 0.81 to 0.90) for predicting termination of pregnancy (TOP), which included intrauterine fetal death and therapeutic lethal induction, with a C-index of 0.92 (95% CI: 0.86 to 0.98) for predicting stillbirth, and a C-index of 0.87 (95% CI: 0.83 to 0.92) for predicting therapeutic lethal induction with indications. Encouragingly, consistent results were observed in the external validation set, with a C-index of 0.776 (95% CI: 0.71 to 0.84) for predicting TOP, which included intrauterine fetal death and therapeutic lethal induction, with a C-index of 0.773 (95% CI: 0.70 to 0.84) for predicting stillbirth, and a C-index of 0.776 (95% CI: 0.70 to 0.85) for predicting therapeutic lethal induction with indications. Furthermore, the calibrations of the nomograms predicting the 28th and 34th TOP-free gestation week strongly corresponded to the actual survival outcome.Conclusion This prediction model may help clinicians in decision-making for singleton pregnancies with FGR, especially for patients with a single abnormal umbilical arterial flow or fetal anomaly, without induced labour indications for these abnormalities.","container-title":"Gynecology and Obstetrics Clinical Medicine","DOI":"10.1136/gocm-2024-000009","ISSN":"2667-1646","issue":"1","journalAbbreviation":"gocm","language":"en","license":"This is an open access article distributed in accordance with the Creative Commons Attribution Non Commercial (CC BY-NC 4.0) license","PMID":"10.1136/gocm-2024-000009","publisher":"BMJ Publishing Group Ltd","source":"gocm.bmj.com","title":"Externally validated nomogram for predicting short-term pregnancy outcome of singleton pregnancies with fetal growth restriction (FGR)","URL":"https://gocm.bmj.com/content/4/1/e000009","volume":"4","author":[{"family":"Yin","given":"Fufen"},{"family":"Jin","given":"Mingrui"},{"family":"Li","given":"Yujing"},{"family":"Li","given":"Yang"},{"family":"Yin","given":"Xiuju"},{"family":"Xie","given":"Junshu"},{"family":"Zhang","given":"Xiaohong"}],"accessed":{"date-parts":[["2026",2,20]]},"issued":{"date-parts":[["2024",4,1]]}}}],"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[107]</w:t>
            </w:r>
            <w:r>
              <w:rPr>
                <w:rFonts w:ascii="Arial" w:eastAsia="Times New Roman" w:hAnsi="Arial" w:cs="Arial"/>
                <w:color w:val="000000"/>
                <w:sz w:val="12"/>
                <w:szCs w:val="12"/>
                <w:lang w:eastAsia="en-GB" w:bidi="th-TH"/>
              </w:rPr>
              <w:fldChar w:fldCharType="end"/>
            </w:r>
          </w:p>
        </w:tc>
      </w:tr>
      <w:tr w:rsidR="00871B31" w:rsidRPr="00756461" w14:paraId="2CDF31C6"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4342893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Young, et al. 2023</w:t>
            </w:r>
          </w:p>
        </w:tc>
        <w:tc>
          <w:tcPr>
            <w:tcW w:w="1054" w:type="dxa"/>
            <w:tcBorders>
              <w:top w:val="single" w:sz="4" w:space="0" w:color="888888"/>
              <w:left w:val="single" w:sz="4" w:space="0" w:color="888888"/>
              <w:bottom w:val="single" w:sz="4" w:space="0" w:color="888888"/>
              <w:right w:val="single" w:sz="4" w:space="0" w:color="888888"/>
            </w:tcBorders>
          </w:tcPr>
          <w:p w14:paraId="6A97E95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60E0667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Canada, Austria and Germany</w:t>
            </w:r>
          </w:p>
        </w:tc>
        <w:tc>
          <w:tcPr>
            <w:tcW w:w="786" w:type="dxa"/>
            <w:tcBorders>
              <w:top w:val="single" w:sz="4" w:space="0" w:color="888888"/>
              <w:left w:val="single" w:sz="4" w:space="0" w:color="888888"/>
              <w:bottom w:val="single" w:sz="4" w:space="0" w:color="888888"/>
              <w:right w:val="single" w:sz="4" w:space="0" w:color="888888"/>
            </w:tcBorders>
          </w:tcPr>
          <w:p w14:paraId="1BC76FE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w:t>
            </w:r>
          </w:p>
        </w:tc>
        <w:tc>
          <w:tcPr>
            <w:tcW w:w="786" w:type="dxa"/>
            <w:tcBorders>
              <w:top w:val="single" w:sz="4" w:space="0" w:color="888888"/>
              <w:left w:val="single" w:sz="4" w:space="0" w:color="888888"/>
              <w:bottom w:val="single" w:sz="4" w:space="0" w:color="888888"/>
              <w:right w:val="single" w:sz="4" w:space="0" w:color="888888"/>
            </w:tcBorders>
          </w:tcPr>
          <w:p w14:paraId="4D1C726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development</w:t>
            </w:r>
          </w:p>
        </w:tc>
        <w:tc>
          <w:tcPr>
            <w:tcW w:w="1051" w:type="dxa"/>
            <w:tcBorders>
              <w:top w:val="single" w:sz="4" w:space="0" w:color="888888"/>
              <w:left w:val="single" w:sz="4" w:space="0" w:color="888888"/>
              <w:bottom w:val="single" w:sz="4" w:space="0" w:color="888888"/>
              <w:right w:val="single" w:sz="4" w:space="0" w:color="888888"/>
            </w:tcBorders>
          </w:tcPr>
          <w:p w14:paraId="575E3E9F"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55954C1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Maternal body mass index</w:t>
            </w:r>
          </w:p>
          <w:p w14:paraId="5B95625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 xml:space="preserve">  - Parity</w:t>
            </w:r>
          </w:p>
          <w:p w14:paraId="0CEA050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Gravidity</w:t>
            </w:r>
          </w:p>
        </w:tc>
        <w:tc>
          <w:tcPr>
            <w:tcW w:w="851" w:type="dxa"/>
            <w:tcBorders>
              <w:top w:val="single" w:sz="4" w:space="0" w:color="888888"/>
              <w:left w:val="single" w:sz="4" w:space="0" w:color="888888"/>
              <w:bottom w:val="single" w:sz="4" w:space="0" w:color="888888"/>
              <w:right w:val="single" w:sz="4" w:space="0" w:color="888888"/>
            </w:tcBorders>
          </w:tcPr>
          <w:p w14:paraId="08CFFFE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International database</w:t>
            </w:r>
          </w:p>
        </w:tc>
        <w:tc>
          <w:tcPr>
            <w:tcW w:w="851" w:type="dxa"/>
            <w:tcBorders>
              <w:top w:val="single" w:sz="4" w:space="0" w:color="888888"/>
              <w:left w:val="single" w:sz="4" w:space="0" w:color="888888"/>
              <w:bottom w:val="single" w:sz="4" w:space="0" w:color="888888"/>
              <w:right w:val="single" w:sz="4" w:space="0" w:color="888888"/>
            </w:tcBorders>
          </w:tcPr>
          <w:p w14:paraId="2E997F16"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51AD48FB"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7FD5A4CA"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421FD0E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The Random Forest model achieved the best performance, </w:t>
            </w:r>
            <w:r>
              <w:rPr>
                <w:rFonts w:ascii="Arial" w:hAnsi="Arial" w:cs="Arial"/>
                <w:sz w:val="12"/>
                <w:szCs w:val="12"/>
              </w:rPr>
              <w:lastRenderedPageBreak/>
              <w:t>with an overall accuracy of 89.0%, an AUC of 0.90 (95% CI 0.83-0.95), a recall of 0.85, a precision of 0.94, and an F1 score of 0.89</w:t>
            </w:r>
          </w:p>
        </w:tc>
        <w:tc>
          <w:tcPr>
            <w:tcW w:w="851" w:type="dxa"/>
            <w:tcBorders>
              <w:top w:val="single" w:sz="4" w:space="0" w:color="888888"/>
              <w:left w:val="single" w:sz="4" w:space="0" w:color="888888"/>
              <w:bottom w:val="single" w:sz="4" w:space="0" w:color="888888"/>
              <w:right w:val="single" w:sz="4" w:space="0" w:color="888888"/>
            </w:tcBorders>
          </w:tcPr>
          <w:p w14:paraId="599DB03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 xml:space="preserve">AUC, Sensitivity, Precision, Accuracy </w:t>
            </w:r>
          </w:p>
        </w:tc>
        <w:tc>
          <w:tcPr>
            <w:tcW w:w="817" w:type="dxa"/>
            <w:tcBorders>
              <w:top w:val="single" w:sz="4" w:space="0" w:color="888888"/>
              <w:left w:val="single" w:sz="4" w:space="0" w:color="888888"/>
              <w:bottom w:val="single" w:sz="4" w:space="0" w:color="888888"/>
              <w:right w:val="single" w:sz="4" w:space="0" w:color="888888"/>
            </w:tcBorders>
          </w:tcPr>
          <w:p w14:paraId="117F063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511DBDE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1501 cases (3 countries, CRONOS dataset </w:t>
            </w:r>
            <w:r>
              <w:rPr>
                <w:rFonts w:ascii="Arial" w:hAnsi="Arial" w:cs="Arial"/>
                <w:sz w:val="12"/>
                <w:szCs w:val="12"/>
              </w:rPr>
              <w:lastRenderedPageBreak/>
              <w:t>n=1,402 plus a Canadian dataset n=99)</w:t>
            </w:r>
          </w:p>
        </w:tc>
        <w:tc>
          <w:tcPr>
            <w:tcW w:w="851" w:type="dxa"/>
            <w:tcBorders>
              <w:top w:val="single" w:sz="4" w:space="0" w:color="888888"/>
              <w:left w:val="single" w:sz="4" w:space="0" w:color="888888"/>
              <w:bottom w:val="single" w:sz="4" w:space="0" w:color="888888"/>
              <w:right w:val="single" w:sz="4" w:space="0" w:color="888888"/>
            </w:tcBorders>
          </w:tcPr>
          <w:p w14:paraId="7D0B058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 xml:space="preserve">The research was funded by the Natural </w:t>
            </w:r>
            <w:r>
              <w:rPr>
                <w:rFonts w:ascii="Arial" w:hAnsi="Arial" w:cs="Arial"/>
                <w:sz w:val="12"/>
                <w:szCs w:val="12"/>
              </w:rPr>
              <w:lastRenderedPageBreak/>
              <w:t>Sciences and Engineering Research Council (NSERC)-Alliance COVID-19 grant</w:t>
            </w:r>
          </w:p>
        </w:tc>
        <w:tc>
          <w:tcPr>
            <w:tcW w:w="1134" w:type="dxa"/>
            <w:tcBorders>
              <w:top w:val="single" w:sz="4" w:space="0" w:color="888888"/>
              <w:left w:val="single" w:sz="4" w:space="0" w:color="888888"/>
              <w:bottom w:val="single" w:sz="4" w:space="0" w:color="888888"/>
              <w:right w:val="single" w:sz="4" w:space="0" w:color="888888"/>
            </w:tcBorders>
          </w:tcPr>
          <w:p w14:paraId="2AE11318"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lastRenderedPageBreak/>
              <w:t>62.0%</w:t>
            </w:r>
          </w:p>
        </w:tc>
        <w:tc>
          <w:tcPr>
            <w:tcW w:w="841" w:type="dxa"/>
            <w:tcBorders>
              <w:top w:val="single" w:sz="4" w:space="0" w:color="888888"/>
              <w:left w:val="single" w:sz="4" w:space="0" w:color="888888"/>
              <w:bottom w:val="single" w:sz="4" w:space="0" w:color="888888"/>
              <w:right w:val="single" w:sz="4" w:space="0" w:color="888888"/>
            </w:tcBorders>
          </w:tcPr>
          <w:p w14:paraId="17A658F6"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 xml:space="preserve">D3: High </w:t>
            </w:r>
            <w:r>
              <w:rPr>
                <w:rFonts w:ascii="Arial" w:hAnsi="Arial" w:cs="Arial"/>
                <w:color w:val="000000"/>
                <w:sz w:val="12"/>
                <w:szCs w:val="12"/>
              </w:rPr>
              <w:lastRenderedPageBreak/>
              <w:t>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63AF95A7"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lastRenderedPageBreak/>
              <w:t>Not publicly available (requires institution)</w:t>
            </w:r>
          </w:p>
        </w:tc>
        <w:tc>
          <w:tcPr>
            <w:tcW w:w="442" w:type="dxa"/>
            <w:tcBorders>
              <w:top w:val="single" w:sz="4" w:space="0" w:color="888888"/>
              <w:left w:val="single" w:sz="4" w:space="0" w:color="888888"/>
              <w:bottom w:val="single" w:sz="4" w:space="0" w:color="888888"/>
              <w:right w:val="single" w:sz="4" w:space="0" w:color="888888"/>
            </w:tcBorders>
          </w:tcPr>
          <w:p w14:paraId="620D2206"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{"citationID":"jfF105jd","properties":{"formattedCitation":"[108]","plainCitation":"[108]","noteIndex":0},"citationItems":[{"id":"b2OWig5M/fkrqqXNk","uris":["http://zotero.org/users/18230940/items/XHMM89LZ"],"itemData":{"id":835,"type":"article-journal","abstract":"Pregnant people are particularly vulnerable to SARS-CoV-2 infection and to ensuing severe illness. Predicting adverse maternal and perinatal outcomes could aid clinicians in deciding on hospital admission and early initiation of treatment in affected individuals, streamlining the triaging processes.","container-title":"BMC Pregnancy and Childbirth","DOI":"10.1186/s12884-023-05679-2","ISSN":"1471-2393","issue":"1","journalAbbreviation":"BMC Pregnancy Childbirth","language":"en","page":"553","source":"Springer Link","title":"Predicting adverse outcomes in pregnant patients positive for SARS-CoV-2: a machine learning approach- a retrospective cohort study","title-short":"Predicting adverse outcomes in pregnant patients positive for SARS-CoV-2","volume":"23","author":[{"family":"Young","given":"Dylan"},{"family":"Houshmand","given":"Bita"},{"family":"Tan","given":"Chunyi Christie"},{"family":"Kirubarajan","given":"Abirami"},{"family":"Parbhakar","given":"Ashna"},{"family":"Dada","given":"Jazleen"},{"family":"Whittle","given":"Wendy"},{"family":"Sobel","given":"Mara L."},{"family":"Gomez","given":"Luis M."},{"family":"Rüdiger","given":"Mario"},{"family":"Pecks","given":"Ulrich"},{"family":"Oppelt","given":"Peter"},{"family":"Ray","given":"Joel G."},{"family":"Hobson","given":"Sebastian R."},{"family":"Snelgrove","given":"John W."},{"family":"D’Souza","given":"Rohan"},{"family":"Kashef","given":"Rasha"},{"family":"Sussman","given":"Dafna"}],"issued":{"date-parts":[["2023",8,2]]}}}],"schema":"https://github.com/citation-style-language/schema/raw/master/csl-citation.json"}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[108]</w:t>
            </w:r>
            <w:r>
              <w:rPr>
                <w:rFonts w:ascii="Arial" w:eastAsia="Times New Roman" w:hAnsi="Arial" w:cs="Arial"/>
                <w:color w:val="000000"/>
                <w:sz w:val="12"/>
                <w:szCs w:val="12"/>
                <w:lang w:eastAsia="en-GB" w:bidi="th-TH"/>
              </w:rPr>
              <w:fldChar w:fldCharType="end"/>
            </w:r>
          </w:p>
        </w:tc>
      </w:tr>
      <w:tr w:rsidR="00871B31" w:rsidRPr="00756461" w14:paraId="3D80070D"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09853A7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Zhang, et al. 2023</w:t>
            </w:r>
          </w:p>
        </w:tc>
        <w:tc>
          <w:tcPr>
            <w:tcW w:w="1054" w:type="dxa"/>
            <w:tcBorders>
              <w:top w:val="single" w:sz="4" w:space="0" w:color="888888"/>
              <w:left w:val="single" w:sz="4" w:space="0" w:color="888888"/>
              <w:bottom w:val="single" w:sz="4" w:space="0" w:color="888888"/>
              <w:right w:val="single" w:sz="4" w:space="0" w:color="888888"/>
            </w:tcBorders>
          </w:tcPr>
          <w:p w14:paraId="5721CB2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467AF5F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states of the United States, Puerto Rico, the Virgin Islands, and Guam</w:t>
            </w:r>
          </w:p>
        </w:tc>
        <w:tc>
          <w:tcPr>
            <w:tcW w:w="786" w:type="dxa"/>
            <w:tcBorders>
              <w:top w:val="single" w:sz="4" w:space="0" w:color="888888"/>
              <w:left w:val="single" w:sz="4" w:space="0" w:color="888888"/>
              <w:bottom w:val="single" w:sz="4" w:space="0" w:color="888888"/>
              <w:right w:val="single" w:sz="4" w:space="0" w:color="888888"/>
            </w:tcBorders>
          </w:tcPr>
          <w:p w14:paraId="763B3FC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Neonatal mortality</w:t>
            </w:r>
          </w:p>
        </w:tc>
        <w:tc>
          <w:tcPr>
            <w:tcW w:w="786" w:type="dxa"/>
            <w:tcBorders>
              <w:top w:val="single" w:sz="4" w:space="0" w:color="888888"/>
              <w:left w:val="single" w:sz="4" w:space="0" w:color="888888"/>
              <w:bottom w:val="single" w:sz="4" w:space="0" w:color="888888"/>
              <w:right w:val="single" w:sz="4" w:space="0" w:color="888888"/>
            </w:tcBorders>
          </w:tcPr>
          <w:p w14:paraId="5A0990F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 Model development</w:t>
            </w:r>
            <w:r>
              <w:rPr>
                <w:rFonts w:ascii="Arial" w:hAnsi="Arial" w:cs="Arial"/>
                <w:sz w:val="12"/>
                <w:szCs w:val="12"/>
              </w:rPr>
              <w:br/>
              <w:t>2. Model validation</w:t>
            </w:r>
          </w:p>
        </w:tc>
        <w:tc>
          <w:tcPr>
            <w:tcW w:w="1051" w:type="dxa"/>
            <w:tcBorders>
              <w:top w:val="single" w:sz="4" w:space="0" w:color="888888"/>
              <w:left w:val="single" w:sz="4" w:space="0" w:color="888888"/>
              <w:bottom w:val="single" w:sz="4" w:space="0" w:color="888888"/>
              <w:right w:val="single" w:sz="4" w:space="0" w:color="888888"/>
            </w:tcBorders>
          </w:tcPr>
          <w:p w14:paraId="3C0B93C6"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2330DB5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Antenatal care visits</w:t>
            </w:r>
          </w:p>
          <w:p w14:paraId="245A5160"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37F0840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Gestational age</w:t>
            </w:r>
          </w:p>
          <w:p w14:paraId="2105C43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Birth weight</w:t>
            </w:r>
          </w:p>
          <w:p w14:paraId="7544D98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APGAR score</w:t>
            </w:r>
          </w:p>
        </w:tc>
        <w:tc>
          <w:tcPr>
            <w:tcW w:w="851" w:type="dxa"/>
            <w:tcBorders>
              <w:top w:val="single" w:sz="4" w:space="0" w:color="888888"/>
              <w:left w:val="single" w:sz="4" w:space="0" w:color="888888"/>
              <w:bottom w:val="single" w:sz="4" w:space="0" w:color="888888"/>
              <w:right w:val="single" w:sz="4" w:space="0" w:color="888888"/>
            </w:tcBorders>
          </w:tcPr>
          <w:p w14:paraId="6D5AEE2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Population/ Registry</w:t>
            </w:r>
          </w:p>
        </w:tc>
        <w:tc>
          <w:tcPr>
            <w:tcW w:w="851" w:type="dxa"/>
            <w:tcBorders>
              <w:top w:val="single" w:sz="4" w:space="0" w:color="888888"/>
              <w:left w:val="single" w:sz="4" w:space="0" w:color="888888"/>
              <w:bottom w:val="single" w:sz="4" w:space="0" w:color="888888"/>
              <w:right w:val="single" w:sz="4" w:space="0" w:color="888888"/>
            </w:tcBorders>
          </w:tcPr>
          <w:p w14:paraId="54705392"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7442E16D"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44CF0730"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992" w:type="dxa"/>
            <w:tcBorders>
              <w:top w:val="single" w:sz="4" w:space="0" w:color="888888"/>
              <w:left w:val="single" w:sz="4" w:space="0" w:color="888888"/>
              <w:bottom w:val="single" w:sz="4" w:space="0" w:color="888888"/>
              <w:right w:val="single" w:sz="4" w:space="0" w:color="888888"/>
            </w:tcBorders>
          </w:tcPr>
          <w:p w14:paraId="5553883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XGBoost model achieved an Area Under the Curve (AUC) of 0.93 for predicting infant death and an AUC of 0.98 for predicting neonatal death</w:t>
            </w:r>
          </w:p>
        </w:tc>
        <w:tc>
          <w:tcPr>
            <w:tcW w:w="851" w:type="dxa"/>
            <w:tcBorders>
              <w:top w:val="single" w:sz="4" w:space="0" w:color="888888"/>
              <w:left w:val="single" w:sz="4" w:space="0" w:color="888888"/>
              <w:bottom w:val="single" w:sz="4" w:space="0" w:color="888888"/>
              <w:right w:val="single" w:sz="4" w:space="0" w:color="888888"/>
            </w:tcBorders>
          </w:tcPr>
          <w:p w14:paraId="009C8BC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w:t>
            </w:r>
          </w:p>
        </w:tc>
        <w:tc>
          <w:tcPr>
            <w:tcW w:w="817" w:type="dxa"/>
            <w:tcBorders>
              <w:top w:val="single" w:sz="4" w:space="0" w:color="888888"/>
              <w:left w:val="single" w:sz="4" w:space="0" w:color="888888"/>
              <w:bottom w:val="single" w:sz="4" w:space="0" w:color="888888"/>
              <w:right w:val="single" w:sz="4" w:space="0" w:color="888888"/>
            </w:tcBorders>
          </w:tcPr>
          <w:p w14:paraId="10AB322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Both internal and external validation</w:t>
            </w:r>
          </w:p>
        </w:tc>
        <w:tc>
          <w:tcPr>
            <w:tcW w:w="742" w:type="dxa"/>
            <w:tcBorders>
              <w:top w:val="single" w:sz="4" w:space="0" w:color="888888"/>
              <w:left w:val="single" w:sz="4" w:space="0" w:color="888888"/>
              <w:bottom w:val="single" w:sz="4" w:space="0" w:color="888888"/>
              <w:right w:val="single" w:sz="4" w:space="0" w:color="888888"/>
            </w:tcBorders>
          </w:tcPr>
          <w:p w14:paraId="12B0BCD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study included 22,669,736 live births and 116,309 infant deaths that occurred between 2016 and 2021</w:t>
            </w:r>
          </w:p>
        </w:tc>
        <w:tc>
          <w:tcPr>
            <w:tcW w:w="851" w:type="dxa"/>
            <w:tcBorders>
              <w:top w:val="single" w:sz="4" w:space="0" w:color="888888"/>
              <w:left w:val="single" w:sz="4" w:space="0" w:color="888888"/>
              <w:bottom w:val="single" w:sz="4" w:space="0" w:color="888888"/>
              <w:right w:val="single" w:sz="4" w:space="0" w:color="888888"/>
            </w:tcBorders>
          </w:tcPr>
          <w:p w14:paraId="214A71C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study was partially supported by the National Science Foundation (NSF) under grant DGE-1922591</w:t>
            </w:r>
          </w:p>
        </w:tc>
        <w:tc>
          <w:tcPr>
            <w:tcW w:w="1134" w:type="dxa"/>
            <w:tcBorders>
              <w:top w:val="single" w:sz="4" w:space="0" w:color="888888"/>
              <w:left w:val="single" w:sz="4" w:space="0" w:color="888888"/>
              <w:bottom w:val="single" w:sz="4" w:space="0" w:color="888888"/>
              <w:right w:val="single" w:sz="4" w:space="0" w:color="888888"/>
            </w:tcBorders>
          </w:tcPr>
          <w:p w14:paraId="3FFC5279"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68.1%</w:t>
            </w:r>
          </w:p>
        </w:tc>
        <w:tc>
          <w:tcPr>
            <w:tcW w:w="841" w:type="dxa"/>
            <w:tcBorders>
              <w:top w:val="single" w:sz="4" w:space="0" w:color="888888"/>
              <w:left w:val="single" w:sz="4" w:space="0" w:color="888888"/>
              <w:bottom w:val="single" w:sz="4" w:space="0" w:color="888888"/>
              <w:right w:val="single" w:sz="4" w:space="0" w:color="888888"/>
            </w:tcBorders>
          </w:tcPr>
          <w:p w14:paraId="4DF4C65C"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Low risk</w:t>
            </w:r>
            <w:r>
              <w:rPr>
                <w:rFonts w:ascii="Arial" w:hAnsi="Arial" w:cs="Arial"/>
                <w:color w:val="000000"/>
                <w:sz w:val="12"/>
                <w:szCs w:val="12"/>
              </w:rPr>
              <w:br/>
              <w:t>D4: Low risk</w:t>
            </w:r>
          </w:p>
        </w:tc>
        <w:tc>
          <w:tcPr>
            <w:tcW w:w="860" w:type="dxa"/>
            <w:tcBorders>
              <w:top w:val="single" w:sz="4" w:space="0" w:color="888888"/>
              <w:left w:val="single" w:sz="4" w:space="0" w:color="888888"/>
              <w:bottom w:val="single" w:sz="4" w:space="0" w:color="888888"/>
              <w:right w:val="single" w:sz="4" w:space="0" w:color="888888"/>
            </w:tcBorders>
          </w:tcPr>
          <w:p w14:paraId="426A83D9"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The data is publicly accessible.</w:t>
            </w:r>
          </w:p>
        </w:tc>
        <w:tc>
          <w:tcPr>
            <w:tcW w:w="442" w:type="dxa"/>
            <w:tcBorders>
              <w:top w:val="single" w:sz="4" w:space="0" w:color="888888"/>
              <w:left w:val="single" w:sz="4" w:space="0" w:color="888888"/>
              <w:bottom w:val="single" w:sz="4" w:space="0" w:color="888888"/>
              <w:right w:val="single" w:sz="4" w:space="0" w:color="888888"/>
            </w:tcBorders>
          </w:tcPr>
          <w:p w14:paraId="0B51002A"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{"citationID":"OeN0dNW6","properties":{"formattedCitation":"[109]","plainCitation":"[109]","noteIndex":0},"citationItems":[{"id":"b2OWig5M/rYEQCUzE","uris":["http://zotero.org/users/18230940/items/GUIXXVL8"],"itemData":{"id":837,"type":"article-journal","abstract":"BACKGROUND: Despite declines in infant death rates in recent decades in the United States, the national goal of reducing infant death has not been reached. This study aims to predict infant death using machine-learning approaches.\nMETHODS: A population-based retrospective study of live births in the United States between 2016 and 2021 was conducted. Thirty-three factors related to birth facility, prenatal care and pregnancy history, labor and delivery, and newborn characteristics were used to predict infant death.\nRESULTS: XGBoost demonstrated superior performance compared to the other four compared machine learning models. The original imbalanced dataset yielded better results than the balanced datasets created through oversampling procedures. The cross-validation of the XGBoost-based model consistently achieved high performance during both the pre-pandemic (2016-2019) and pandemic (2020-2021) periods. Specifically, the XGBoost-based model performed exceptionally well in predicting neonatal death (AUC: 0.98). The key predictors of infant death were identified as gestational age, birth weight, 5-min APGAR score, and prenatal visits. A simplified model based on these four predictors resulted in slightly inferior yet comparable performance to the all-predictor model (AUC: 0.91 vs. 0.93). Furthermore, the four-factor risk classification system effectively identified infant deaths in 2020 and 2021 for high-risk (88.7%-89.0%), medium-risk (4.6%-5.4%), and low-risk groups (0.1), outperforming the risk screening tool based on accumulated risk factors.\nCONCLUSIONS: XGBoost-based models excel in predicting infant death, providing valuable prognostic information for perinatal care education and counselling. The simplified four-predictor classification system could serve as a practical alternative for infant death risk prediction.","container-title":"Computers in Biology and Medicine","DOI":"10.1016/j.compbiomed.2023.107423","ISSN":"1879-0534","journalAbbreviation":"Comput Biol Med","language":"eng","page":"107423","PMID":"37672926","source":"PubMed","title":"Infant death prediction using machine learning: A population-based retrospective study","title-short":"Infant death prediction using machine learning","volume":"165","author":[{"family":"Zhang","given":"Zhihong"},{"family":"Xiao","given":"Qinqin"},{"family":"Luo","given":"Jiebo"}],"issued":{"date-parts":[["2023",10]]}}}],"schema":"https://github.com/citation-style-language/schema/raw/master/csl-citation.json"}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[109]</w:t>
            </w:r>
            <w:r>
              <w:rPr>
                <w:rFonts w:ascii="Arial" w:eastAsia="Times New Roman" w:hAnsi="Arial" w:cs="Arial"/>
                <w:color w:val="000000"/>
                <w:sz w:val="12"/>
                <w:szCs w:val="12"/>
                <w:lang w:eastAsia="en-GB" w:bidi="th-TH"/>
              </w:rPr>
              <w:fldChar w:fldCharType="end"/>
            </w:r>
          </w:p>
        </w:tc>
      </w:tr>
      <w:tr w:rsidR="00871B31" w:rsidRPr="00756461" w14:paraId="05FC437A"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739B559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Zhao, et al. 2025</w:t>
            </w:r>
          </w:p>
        </w:tc>
        <w:tc>
          <w:tcPr>
            <w:tcW w:w="1054" w:type="dxa"/>
            <w:tcBorders>
              <w:top w:val="single" w:sz="4" w:space="0" w:color="888888"/>
              <w:left w:val="single" w:sz="4" w:space="0" w:color="888888"/>
              <w:bottom w:val="single" w:sz="4" w:space="0" w:color="888888"/>
              <w:right w:val="single" w:sz="4" w:space="0" w:color="888888"/>
            </w:tcBorders>
          </w:tcPr>
          <w:p w14:paraId="2930445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Prospective study</w:t>
            </w:r>
          </w:p>
        </w:tc>
        <w:tc>
          <w:tcPr>
            <w:tcW w:w="742" w:type="dxa"/>
            <w:tcBorders>
              <w:top w:val="single" w:sz="4" w:space="0" w:color="888888"/>
              <w:left w:val="single" w:sz="4" w:space="0" w:color="888888"/>
              <w:bottom w:val="single" w:sz="4" w:space="0" w:color="888888"/>
              <w:right w:val="single" w:sz="4" w:space="0" w:color="888888"/>
            </w:tcBorders>
          </w:tcPr>
          <w:p w14:paraId="3BBADBC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Shanghai</w:t>
            </w:r>
          </w:p>
        </w:tc>
        <w:tc>
          <w:tcPr>
            <w:tcW w:w="786" w:type="dxa"/>
            <w:tcBorders>
              <w:top w:val="single" w:sz="4" w:space="0" w:color="888888"/>
              <w:left w:val="single" w:sz="4" w:space="0" w:color="888888"/>
              <w:bottom w:val="single" w:sz="4" w:space="0" w:color="888888"/>
              <w:right w:val="single" w:sz="4" w:space="0" w:color="888888"/>
            </w:tcBorders>
          </w:tcPr>
          <w:p w14:paraId="0A8E4C2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Perinatal death (stillbirth + early neonatal death)</w:t>
            </w:r>
          </w:p>
        </w:tc>
        <w:tc>
          <w:tcPr>
            <w:tcW w:w="786" w:type="dxa"/>
            <w:tcBorders>
              <w:top w:val="single" w:sz="4" w:space="0" w:color="888888"/>
              <w:left w:val="single" w:sz="4" w:space="0" w:color="888888"/>
              <w:bottom w:val="single" w:sz="4" w:space="0" w:color="888888"/>
              <w:right w:val="single" w:sz="4" w:space="0" w:color="888888"/>
            </w:tcBorders>
          </w:tcPr>
          <w:p w14:paraId="100BDBA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 Model development</w:t>
            </w:r>
            <w:r>
              <w:rPr>
                <w:rFonts w:ascii="Arial" w:hAnsi="Arial" w:cs="Arial"/>
                <w:sz w:val="12"/>
                <w:szCs w:val="12"/>
              </w:rPr>
              <w:br/>
              <w:t>2. Model evaluation</w:t>
            </w:r>
          </w:p>
        </w:tc>
        <w:tc>
          <w:tcPr>
            <w:tcW w:w="1051" w:type="dxa"/>
            <w:tcBorders>
              <w:top w:val="single" w:sz="4" w:space="0" w:color="888888"/>
              <w:left w:val="single" w:sz="4" w:space="0" w:color="888888"/>
              <w:bottom w:val="single" w:sz="4" w:space="0" w:color="888888"/>
              <w:right w:val="single" w:sz="4" w:space="0" w:color="888888"/>
            </w:tcBorders>
          </w:tcPr>
          <w:p w14:paraId="31F6F9C0"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6AD8114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Umbilical artery Doppler</w:t>
            </w:r>
          </w:p>
          <w:p w14:paraId="7E1C3C3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Doppler (non-umbilical)</w:t>
            </w:r>
          </w:p>
        </w:tc>
        <w:tc>
          <w:tcPr>
            <w:tcW w:w="851" w:type="dxa"/>
            <w:tcBorders>
              <w:top w:val="single" w:sz="4" w:space="0" w:color="888888"/>
              <w:left w:val="single" w:sz="4" w:space="0" w:color="888888"/>
              <w:bottom w:val="single" w:sz="4" w:space="0" w:color="888888"/>
              <w:right w:val="single" w:sz="4" w:space="0" w:color="888888"/>
            </w:tcBorders>
          </w:tcPr>
          <w:p w14:paraId="1C3EFF6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37D89172"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0A508E65"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4F737336"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1B17B32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model showed good predictive ability, with an area under the receiver-operating-characteristics curve (AUC) of 0.87 in the training cohort and 0.86 in the validation cohort. Calibration plots and decision curve analysis also supported the model's performance and clinical utility.</w:t>
            </w:r>
          </w:p>
        </w:tc>
        <w:tc>
          <w:tcPr>
            <w:tcW w:w="851" w:type="dxa"/>
            <w:tcBorders>
              <w:top w:val="single" w:sz="4" w:space="0" w:color="888888"/>
              <w:left w:val="single" w:sz="4" w:space="0" w:color="888888"/>
              <w:bottom w:val="single" w:sz="4" w:space="0" w:color="888888"/>
              <w:right w:val="single" w:sz="4" w:space="0" w:color="888888"/>
            </w:tcBorders>
          </w:tcPr>
          <w:p w14:paraId="77401B5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w:t>
            </w:r>
          </w:p>
        </w:tc>
        <w:tc>
          <w:tcPr>
            <w:tcW w:w="817" w:type="dxa"/>
            <w:tcBorders>
              <w:top w:val="single" w:sz="4" w:space="0" w:color="888888"/>
              <w:left w:val="single" w:sz="4" w:space="0" w:color="888888"/>
              <w:bottom w:val="single" w:sz="4" w:space="0" w:color="888888"/>
              <w:right w:val="single" w:sz="4" w:space="0" w:color="888888"/>
            </w:tcBorders>
          </w:tcPr>
          <w:p w14:paraId="7166637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0003FFA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122 pregnancies</w:t>
            </w:r>
          </w:p>
        </w:tc>
        <w:tc>
          <w:tcPr>
            <w:tcW w:w="851" w:type="dxa"/>
            <w:tcBorders>
              <w:top w:val="single" w:sz="4" w:space="0" w:color="888888"/>
              <w:left w:val="single" w:sz="4" w:space="0" w:color="888888"/>
              <w:bottom w:val="single" w:sz="4" w:space="0" w:color="888888"/>
              <w:right w:val="single" w:sz="4" w:space="0" w:color="888888"/>
            </w:tcBorders>
          </w:tcPr>
          <w:p w14:paraId="3472FDD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study was supported by the National Science Fund of Shanghai, China (No. 22ZR1409000) and the Medical Innovation Research Program of Shanghai, China (No. 21Y11908000)</w:t>
            </w:r>
          </w:p>
        </w:tc>
        <w:tc>
          <w:tcPr>
            <w:tcW w:w="1134" w:type="dxa"/>
            <w:tcBorders>
              <w:top w:val="single" w:sz="4" w:space="0" w:color="888888"/>
              <w:left w:val="single" w:sz="4" w:space="0" w:color="888888"/>
              <w:bottom w:val="single" w:sz="4" w:space="0" w:color="888888"/>
              <w:right w:val="single" w:sz="4" w:space="0" w:color="888888"/>
            </w:tcBorders>
          </w:tcPr>
          <w:p w14:paraId="3A80CA9E"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62.0%</w:t>
            </w:r>
          </w:p>
        </w:tc>
        <w:tc>
          <w:tcPr>
            <w:tcW w:w="841" w:type="dxa"/>
            <w:tcBorders>
              <w:top w:val="single" w:sz="4" w:space="0" w:color="888888"/>
              <w:left w:val="single" w:sz="4" w:space="0" w:color="888888"/>
              <w:bottom w:val="single" w:sz="4" w:space="0" w:color="888888"/>
              <w:right w:val="single" w:sz="4" w:space="0" w:color="888888"/>
            </w:tcBorders>
          </w:tcPr>
          <w:p w14:paraId="79E9E8D2"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High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1D95CB82"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The data is available via supplement material section.</w:t>
            </w:r>
          </w:p>
        </w:tc>
        <w:tc>
          <w:tcPr>
            <w:tcW w:w="442" w:type="dxa"/>
            <w:tcBorders>
              <w:top w:val="single" w:sz="4" w:space="0" w:color="888888"/>
              <w:left w:val="single" w:sz="4" w:space="0" w:color="888888"/>
              <w:bottom w:val="single" w:sz="4" w:space="0" w:color="888888"/>
              <w:right w:val="single" w:sz="4" w:space="0" w:color="888888"/>
            </w:tcBorders>
          </w:tcPr>
          <w:p w14:paraId="16AD0096"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{"citationID":"1T6B2G7U","properties":{"formattedCitation":"[110]","plainCitation":"[110]","noteIndex":0},"citationItems":[{"id":"b2OWig5M/4Il5IHEO","uris":["http://zotero.org/users/18230940/items/YGMSJXPD"],"itemData":{"id":840,"type":"article-journal","abstract":"Fetal growth restriction (FGR) is a major determinant of perinatal morbidity and mortality. Our study aimed to develop a prediction model for the risk of FGR developing adverse perinatal outcome (APO) and evaluate its performance.","container-title":"BMC Pregnancy and Childbirth","DOI":"10.1186/s12884-025-07252-5","ISSN":"1471-2393","issue":"1","journalAbbreviation":"BMC Pregnancy Childbirth","language":"en","page":"132","source":"Springer Link","title":"A nomogram for predicting adverse perinatal outcome with fetal growth restriction: a prospective observational study","title-short":"A nomogram for predicting adverse perinatal outcome with fetal growth restriction","volume":"25","author":[{"family":"Zhao","given":"Ying"},{"family":"Xu","given":"Lei"},{"family":"An","given":"Ping"},{"family":"Zhou","given":"Jizi"},{"family":"Zhu","given":"Jie"},{"family":"Liu","given":"Shuangping"},{"family":"Zhou","given":"Qiongjie"},{"family":"Li","given":"Xiaotian"},{"family":"Xiong","given":"Yu"}],"issued":{"date-parts":[["2025",2,11]]}}}],"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[110]</w:t>
            </w:r>
            <w:r>
              <w:rPr>
                <w:rFonts w:ascii="Arial" w:eastAsia="Times New Roman" w:hAnsi="Arial" w:cs="Arial"/>
                <w:color w:val="000000"/>
                <w:sz w:val="12"/>
                <w:szCs w:val="12"/>
                <w:lang w:eastAsia="en-GB" w:bidi="th-TH"/>
              </w:rPr>
              <w:fldChar w:fldCharType="end"/>
            </w:r>
          </w:p>
        </w:tc>
      </w:tr>
      <w:tr w:rsidR="00871B31" w:rsidRPr="00756461" w14:paraId="0A7D84D6"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39B54FA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Zheng, et al. 2022</w:t>
            </w:r>
          </w:p>
        </w:tc>
        <w:tc>
          <w:tcPr>
            <w:tcW w:w="1054" w:type="dxa"/>
            <w:tcBorders>
              <w:top w:val="single" w:sz="4" w:space="0" w:color="888888"/>
              <w:left w:val="single" w:sz="4" w:space="0" w:color="888888"/>
              <w:bottom w:val="single" w:sz="4" w:space="0" w:color="888888"/>
              <w:right w:val="single" w:sz="4" w:space="0" w:color="888888"/>
            </w:tcBorders>
          </w:tcPr>
          <w:p w14:paraId="7BBD733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2DF9CBA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China</w:t>
            </w:r>
          </w:p>
        </w:tc>
        <w:tc>
          <w:tcPr>
            <w:tcW w:w="786" w:type="dxa"/>
            <w:tcBorders>
              <w:top w:val="single" w:sz="4" w:space="0" w:color="888888"/>
              <w:left w:val="single" w:sz="4" w:space="0" w:color="888888"/>
              <w:bottom w:val="single" w:sz="4" w:space="0" w:color="888888"/>
              <w:right w:val="single" w:sz="4" w:space="0" w:color="888888"/>
            </w:tcBorders>
          </w:tcPr>
          <w:p w14:paraId="6306112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 and neonatal mortality</w:t>
            </w:r>
          </w:p>
        </w:tc>
        <w:tc>
          <w:tcPr>
            <w:tcW w:w="786" w:type="dxa"/>
            <w:tcBorders>
              <w:top w:val="single" w:sz="4" w:space="0" w:color="888888"/>
              <w:left w:val="single" w:sz="4" w:space="0" w:color="888888"/>
              <w:bottom w:val="single" w:sz="4" w:space="0" w:color="888888"/>
              <w:right w:val="single" w:sz="4" w:space="0" w:color="888888"/>
            </w:tcBorders>
          </w:tcPr>
          <w:p w14:paraId="7ACC859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comparison</w:t>
            </w:r>
          </w:p>
        </w:tc>
        <w:tc>
          <w:tcPr>
            <w:tcW w:w="1051" w:type="dxa"/>
            <w:tcBorders>
              <w:top w:val="single" w:sz="4" w:space="0" w:color="888888"/>
              <w:left w:val="single" w:sz="4" w:space="0" w:color="888888"/>
              <w:bottom w:val="single" w:sz="4" w:space="0" w:color="888888"/>
              <w:right w:val="single" w:sz="4" w:space="0" w:color="888888"/>
            </w:tcBorders>
          </w:tcPr>
          <w:p w14:paraId="132EDBB0"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07AEA7F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Albumin</w:t>
            </w:r>
          </w:p>
          <w:p w14:paraId="526E449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Cholesterol / lipid panel</w:t>
            </w:r>
          </w:p>
          <w:p w14:paraId="6B4AF002"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34E666A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Birth weight</w:t>
            </w:r>
          </w:p>
          <w:p w14:paraId="05FDCEB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APGAR score</w:t>
            </w:r>
          </w:p>
        </w:tc>
        <w:tc>
          <w:tcPr>
            <w:tcW w:w="851" w:type="dxa"/>
            <w:tcBorders>
              <w:top w:val="single" w:sz="4" w:space="0" w:color="888888"/>
              <w:left w:val="single" w:sz="4" w:space="0" w:color="888888"/>
              <w:bottom w:val="single" w:sz="4" w:space="0" w:color="888888"/>
              <w:right w:val="single" w:sz="4" w:space="0" w:color="888888"/>
            </w:tcBorders>
          </w:tcPr>
          <w:p w14:paraId="74EF3FF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197563D0"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4782D2E4"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00E154BE"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5F7C9D5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Random Forest (RF) and MLP were the top models (AUC = 0.967 for both). RF was also the best model for data without imputation (AUC = 0.959)</w:t>
            </w:r>
          </w:p>
        </w:tc>
        <w:tc>
          <w:tcPr>
            <w:tcW w:w="851" w:type="dxa"/>
            <w:tcBorders>
              <w:top w:val="single" w:sz="4" w:space="0" w:color="888888"/>
              <w:left w:val="single" w:sz="4" w:space="0" w:color="888888"/>
              <w:bottom w:val="single" w:sz="4" w:space="0" w:color="888888"/>
              <w:right w:val="single" w:sz="4" w:space="0" w:color="888888"/>
            </w:tcBorders>
          </w:tcPr>
          <w:p w14:paraId="4AAC114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w:t>
            </w:r>
          </w:p>
        </w:tc>
        <w:tc>
          <w:tcPr>
            <w:tcW w:w="817" w:type="dxa"/>
            <w:tcBorders>
              <w:top w:val="single" w:sz="4" w:space="0" w:color="888888"/>
              <w:left w:val="single" w:sz="4" w:space="0" w:color="888888"/>
              <w:bottom w:val="single" w:sz="4" w:space="0" w:color="888888"/>
              <w:right w:val="single" w:sz="4" w:space="0" w:color="888888"/>
            </w:tcBorders>
          </w:tcPr>
          <w:p w14:paraId="461FC8D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4C68466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733 women</w:t>
            </w:r>
            <w:r>
              <w:rPr>
                <w:rFonts w:ascii="Arial" w:hAnsi="Arial" w:cs="Arial"/>
                <w:sz w:val="12"/>
                <w:szCs w:val="12"/>
              </w:rPr>
              <w:br/>
              <w:t>diagnosed with preeclampsia</w:t>
            </w:r>
          </w:p>
        </w:tc>
        <w:tc>
          <w:tcPr>
            <w:tcW w:w="851" w:type="dxa"/>
            <w:tcBorders>
              <w:top w:val="single" w:sz="4" w:space="0" w:color="888888"/>
              <w:left w:val="single" w:sz="4" w:space="0" w:color="888888"/>
              <w:bottom w:val="single" w:sz="4" w:space="0" w:color="888888"/>
              <w:right w:val="single" w:sz="4" w:space="0" w:color="888888"/>
            </w:tcBorders>
          </w:tcPr>
          <w:p w14:paraId="5761D20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Not mentioned</w:t>
            </w:r>
          </w:p>
        </w:tc>
        <w:tc>
          <w:tcPr>
            <w:tcW w:w="1134" w:type="dxa"/>
            <w:tcBorders>
              <w:top w:val="single" w:sz="4" w:space="0" w:color="888888"/>
              <w:left w:val="single" w:sz="4" w:space="0" w:color="888888"/>
              <w:bottom w:val="single" w:sz="4" w:space="0" w:color="888888"/>
              <w:right w:val="single" w:sz="4" w:space="0" w:color="888888"/>
            </w:tcBorders>
          </w:tcPr>
          <w:p w14:paraId="5EC2627A"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t>52.0%</w:t>
            </w:r>
          </w:p>
        </w:tc>
        <w:tc>
          <w:tcPr>
            <w:tcW w:w="841" w:type="dxa"/>
            <w:tcBorders>
              <w:top w:val="single" w:sz="4" w:space="0" w:color="888888"/>
              <w:left w:val="single" w:sz="4" w:space="0" w:color="888888"/>
              <w:bottom w:val="single" w:sz="4" w:space="0" w:color="888888"/>
              <w:right w:val="single" w:sz="4" w:space="0" w:color="888888"/>
            </w:tcBorders>
          </w:tcPr>
          <w:p w14:paraId="6248D4A9"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Low risk</w:t>
            </w:r>
            <w:r>
              <w:rPr>
                <w:rFonts w:ascii="Arial" w:hAnsi="Arial" w:cs="Arial"/>
                <w:color w:val="000000"/>
                <w:sz w:val="12"/>
                <w:szCs w:val="12"/>
              </w:rPr>
              <w:br/>
              <w:t>D3: Low risk</w:t>
            </w:r>
            <w:r>
              <w:rPr>
                <w:rFonts w:ascii="Arial" w:hAnsi="Arial" w:cs="Arial"/>
                <w:color w:val="000000"/>
                <w:sz w:val="12"/>
                <w:szCs w:val="12"/>
              </w:rPr>
              <w:br/>
              <w:t>D4: High risk</w:t>
            </w:r>
          </w:p>
        </w:tc>
        <w:tc>
          <w:tcPr>
            <w:tcW w:w="860" w:type="dxa"/>
            <w:tcBorders>
              <w:top w:val="single" w:sz="4" w:space="0" w:color="888888"/>
              <w:left w:val="single" w:sz="4" w:space="0" w:color="888888"/>
              <w:bottom w:val="single" w:sz="4" w:space="0" w:color="888888"/>
              <w:right w:val="single" w:sz="4" w:space="0" w:color="888888"/>
            </w:tcBorders>
          </w:tcPr>
          <w:p w14:paraId="1F133847" w14:textId="77777777" w:rsidR="00871B31" w:rsidRPr="00756461" w:rsidRDefault="00871B31" w:rsidP="00BC1F31">
            <w:pPr>
              <w:spacing w:after="0" w:line="240" w:lineRule="auto"/>
              <w:rPr>
                <w:rFonts w:ascii="Arial" w:hAnsi="Arial" w:cs="Arial"/>
                <w:color w:val="000000"/>
                <w:sz w:val="12"/>
                <w:szCs w:val="12"/>
              </w:rPr>
            </w:pPr>
            <w:r>
              <w:rPr>
                <w:rFonts w:ascii="Arial" w:hAnsi="Arial" w:cs="Arial"/>
                <w:color w:val="000000"/>
                <w:sz w:val="12"/>
                <w:szCs w:val="12"/>
              </w:rPr>
              <w:t>Not publicly available</w:t>
            </w:r>
            <w:r>
              <w:rPr>
                <w:rFonts w:ascii="Arial" w:hAnsi="Arial" w:cs="Arial"/>
                <w:color w:val="000000"/>
                <w:sz w:val="12"/>
                <w:szCs w:val="12"/>
              </w:rPr>
              <w:br/>
            </w:r>
          </w:p>
          <w:p w14:paraId="3F62D050"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Available via inquiries to corresponding author</w:t>
            </w:r>
          </w:p>
        </w:tc>
        <w:tc>
          <w:tcPr>
            <w:tcW w:w="442" w:type="dxa"/>
            <w:tcBorders>
              <w:top w:val="single" w:sz="4" w:space="0" w:color="888888"/>
              <w:left w:val="single" w:sz="4" w:space="0" w:color="888888"/>
              <w:bottom w:val="single" w:sz="4" w:space="0" w:color="888888"/>
              <w:right w:val="single" w:sz="4" w:space="0" w:color="888888"/>
            </w:tcBorders>
          </w:tcPr>
          <w:p w14:paraId="4CDE62B5"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{"citationID":"ZFW9iUgV","properties":{"formattedCitation":"[111]","plainCitation":"[111]","noteIndex":0},"citationItems":[{"id":"b2OWig5M/jB62zGW5","uris":["http://zotero.org/users/18230940/items/ZRI6BTRX"],"itemData":{"id":842,"type":"article-journal","abstract":"Introduction: Pre-eclampsia, one of the leading causes of maternal and fetal morbidity and mortality, demands accurate predictive models for the lack of effective treatment. The predictive models based on machine learning algorithms demonstrates promising potential, while there is a controversial discussion about whether machine learning methods should be recommended preferably compared to traditional statistical models.Methods: We employed both logistic regression and six machine learning methods as binary predictive models for a dataset containing 733 women diagnosed as pre-eclampsia. Participants were grouped by different pregnancy outcomes, and statistical description and comparison were conducted preliminarily to explore the characteristics of documented 73 variables. Sequentially, correlation analysis and feature selection were performed as pre-processing steps to filter contributing variables for developing predictive models. The performance of models were evaluated by the area under the receiver operator characteristic curve.Results: We firstly figured out the influential variables screened by pre-processing steps were not overlapped with the variables determined statistical differences. Secondly, the predictive models for adverse maternal outcomes were investigated, and Support Vector Machine (SVM) is the best-performing model, with AUC 0.99. As to a more specific maternal outcome, placental abruption, the overall AUC values range 0.848 to 0.640, and logistic regression model performed best. For further exploration, Random Forest classifier ranked first when predicting adverse neonatal outcomes, with AUC value 0.979, while SVM ranked second, with AUC value 0.952. The identified best model for predicting low birth weight is logistic regression, reporting AUC 0.949, and the AUC of remaining models ranges from 0.935 to 0.833.Conclusions: Statistical analysis and machine learning are two scientific domains sharing similar themes, the predictive abilities of so developed models vary according to the characteristics of datasets, which still need more research to accumulate evidence. Future work will focus on the combination of a series of real-time predictive models as chronological predictive packages embedded in electronic medical record system, to alarm the adverse situations automatically for pregnant women’s benefits.","container-title":"Frontiers in Cardiovascular Medicine","DOI":"10.3389/fcvm.2022.959649","ISSN":"2297-055X","journalAbbreviation":"Front. Cardiovasc. Med.","language":"English","publisher":"Frontiers","source":"Frontiers","title":"Comparison of machine learning and logistic regression as predictive models for adverse maternal and neonatal outcomes of preeclampsia: A retrospective study","title-short":"Comparison of machine learning and logistic regression as predictive models for adverse maternal and neonatal outcomes of preeclampsia","URL":"https://www.frontiersin.org/journals/cardiovascular-medicine/articles/10.3389/fcvm.2022.959649/full","volume":"9","author":[{"family":"Zheng","given":"Dongying"},{"family":"Hao","given":"Xinyu"},{"family":"Khan","given":"Muhanmmad"},{"family":"Wang","given":"Lixia"},{"family":"Li","given":"Fan"},{"family":"Xiang","given":"Ning"},{"family":"Kang","given":"Fuli"},{"family":"Hamalainen","given":"Timo"},{"family":"Cong","given":"Fengyu"},{"family":"Song","given":"Kedong"},{"family":"Qiao","given":"Chong"}],"accessed":{"date-parts":[["2026",2,20]]},"issued":{"date-parts":[["2022",10,12]]}}}],"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[111]</w:t>
            </w:r>
            <w:r>
              <w:rPr>
                <w:rFonts w:ascii="Arial" w:eastAsia="Times New Roman" w:hAnsi="Arial" w:cs="Arial"/>
                <w:color w:val="000000"/>
                <w:sz w:val="12"/>
                <w:szCs w:val="12"/>
                <w:lang w:eastAsia="en-GB" w:bidi="th-TH"/>
              </w:rPr>
              <w:fldChar w:fldCharType="end"/>
            </w:r>
          </w:p>
        </w:tc>
      </w:tr>
      <w:tr w:rsidR="00871B31" w:rsidRPr="00756461" w14:paraId="35F683E0"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0C5DB95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Zimmerman, et al. 2025</w:t>
            </w:r>
          </w:p>
        </w:tc>
        <w:tc>
          <w:tcPr>
            <w:tcW w:w="1054" w:type="dxa"/>
            <w:tcBorders>
              <w:top w:val="single" w:sz="4" w:space="0" w:color="888888"/>
              <w:left w:val="single" w:sz="4" w:space="0" w:color="888888"/>
              <w:bottom w:val="single" w:sz="4" w:space="0" w:color="888888"/>
              <w:right w:val="single" w:sz="4" w:space="0" w:color="888888"/>
            </w:tcBorders>
          </w:tcPr>
          <w:p w14:paraId="029D2AC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Secondary analysis</w:t>
            </w:r>
          </w:p>
        </w:tc>
        <w:tc>
          <w:tcPr>
            <w:tcW w:w="742" w:type="dxa"/>
            <w:tcBorders>
              <w:top w:val="single" w:sz="4" w:space="0" w:color="888888"/>
              <w:left w:val="single" w:sz="4" w:space="0" w:color="888888"/>
              <w:bottom w:val="single" w:sz="4" w:space="0" w:color="888888"/>
              <w:right w:val="single" w:sz="4" w:space="0" w:color="888888"/>
            </w:tcBorders>
          </w:tcPr>
          <w:p w14:paraId="627E259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United States</w:t>
            </w:r>
          </w:p>
        </w:tc>
        <w:tc>
          <w:tcPr>
            <w:tcW w:w="786" w:type="dxa"/>
            <w:tcBorders>
              <w:top w:val="single" w:sz="4" w:space="0" w:color="888888"/>
              <w:left w:val="single" w:sz="4" w:space="0" w:color="888888"/>
              <w:bottom w:val="single" w:sz="4" w:space="0" w:color="888888"/>
              <w:right w:val="single" w:sz="4" w:space="0" w:color="888888"/>
            </w:tcBorders>
          </w:tcPr>
          <w:p w14:paraId="1C763A1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Perinatal death (stillbirth + early neonatal death)</w:t>
            </w:r>
          </w:p>
        </w:tc>
        <w:tc>
          <w:tcPr>
            <w:tcW w:w="786" w:type="dxa"/>
            <w:tcBorders>
              <w:top w:val="single" w:sz="4" w:space="0" w:color="888888"/>
              <w:left w:val="single" w:sz="4" w:space="0" w:color="888888"/>
              <w:bottom w:val="single" w:sz="4" w:space="0" w:color="888888"/>
              <w:right w:val="single" w:sz="4" w:space="0" w:color="888888"/>
            </w:tcBorders>
          </w:tcPr>
          <w:p w14:paraId="7E9FD32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 Model development</w:t>
            </w:r>
            <w:r>
              <w:rPr>
                <w:rFonts w:ascii="Arial" w:hAnsi="Arial" w:cs="Arial"/>
                <w:sz w:val="12"/>
                <w:szCs w:val="12"/>
              </w:rPr>
              <w:br/>
              <w:t>2. Model comparison</w:t>
            </w:r>
          </w:p>
        </w:tc>
        <w:tc>
          <w:tcPr>
            <w:tcW w:w="1051" w:type="dxa"/>
            <w:tcBorders>
              <w:top w:val="single" w:sz="4" w:space="0" w:color="888888"/>
              <w:left w:val="single" w:sz="4" w:space="0" w:color="888888"/>
              <w:bottom w:val="single" w:sz="4" w:space="0" w:color="888888"/>
              <w:right w:val="single" w:sz="4" w:space="0" w:color="888888"/>
            </w:tcBorders>
          </w:tcPr>
          <w:p w14:paraId="54748BF5"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162A1B8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Hypertensive disorders of pregnancy</w:t>
            </w:r>
          </w:p>
          <w:p w14:paraId="686F0EF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Diabetes / GDM</w:t>
            </w:r>
          </w:p>
          <w:p w14:paraId="079DFC6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 xml:space="preserve">  - Blood pressure</w:t>
            </w:r>
          </w:p>
          <w:p w14:paraId="52E92A73"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560E639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Gestational age</w:t>
            </w:r>
          </w:p>
          <w:p w14:paraId="0110056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APGAR score</w:t>
            </w:r>
          </w:p>
        </w:tc>
        <w:tc>
          <w:tcPr>
            <w:tcW w:w="851" w:type="dxa"/>
            <w:tcBorders>
              <w:top w:val="single" w:sz="4" w:space="0" w:color="888888"/>
              <w:left w:val="single" w:sz="4" w:space="0" w:color="888888"/>
              <w:bottom w:val="single" w:sz="4" w:space="0" w:color="888888"/>
              <w:right w:val="single" w:sz="4" w:space="0" w:color="888888"/>
            </w:tcBorders>
          </w:tcPr>
          <w:p w14:paraId="5EAB2C6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67D48221"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5E910F31"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7E00B785"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992" w:type="dxa"/>
            <w:tcBorders>
              <w:top w:val="single" w:sz="4" w:space="0" w:color="888888"/>
              <w:left w:val="single" w:sz="4" w:space="0" w:color="888888"/>
              <w:bottom w:val="single" w:sz="4" w:space="0" w:color="888888"/>
              <w:right w:val="single" w:sz="4" w:space="0" w:color="888888"/>
            </w:tcBorders>
          </w:tcPr>
          <w:p w14:paraId="7C8D58A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In the validation cohort, the PGM achieved an Area Under the Curve (AUC) of 0.83 </w:t>
            </w:r>
            <w:r>
              <w:rPr>
                <w:rFonts w:ascii="Arial" w:hAnsi="Arial" w:cs="Arial"/>
                <w:sz w:val="12"/>
                <w:szCs w:val="12"/>
              </w:rPr>
              <w:lastRenderedPageBreak/>
              <w:t xml:space="preserve">(95% CI 0.79–0.87), demonstrating good performance. This was </w:t>
            </w:r>
            <w:proofErr w:type="gramStart"/>
            <w:r>
              <w:rPr>
                <w:rFonts w:ascii="Arial" w:hAnsi="Arial" w:cs="Arial"/>
                <w:sz w:val="12"/>
                <w:szCs w:val="12"/>
              </w:rPr>
              <w:t>similar to</w:t>
            </w:r>
            <w:proofErr w:type="gramEnd"/>
            <w:r>
              <w:rPr>
                <w:rFonts w:ascii="Arial" w:hAnsi="Arial" w:cs="Arial"/>
                <w:sz w:val="12"/>
                <w:szCs w:val="12"/>
              </w:rPr>
              <w:t xml:space="preserve"> the performance of the logistic regression model, which had an AUC of 0.83 (95% CI 0.79-0.87)</w:t>
            </w:r>
          </w:p>
        </w:tc>
        <w:tc>
          <w:tcPr>
            <w:tcW w:w="851" w:type="dxa"/>
            <w:tcBorders>
              <w:top w:val="single" w:sz="4" w:space="0" w:color="888888"/>
              <w:left w:val="single" w:sz="4" w:space="0" w:color="888888"/>
              <w:bottom w:val="single" w:sz="4" w:space="0" w:color="888888"/>
              <w:right w:val="single" w:sz="4" w:space="0" w:color="888888"/>
            </w:tcBorders>
          </w:tcPr>
          <w:p w14:paraId="558F223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AUC</w:t>
            </w:r>
          </w:p>
        </w:tc>
        <w:tc>
          <w:tcPr>
            <w:tcW w:w="817" w:type="dxa"/>
            <w:tcBorders>
              <w:top w:val="single" w:sz="4" w:space="0" w:color="888888"/>
              <w:left w:val="single" w:sz="4" w:space="0" w:color="888888"/>
              <w:bottom w:val="single" w:sz="4" w:space="0" w:color="888888"/>
              <w:right w:val="single" w:sz="4" w:space="0" w:color="888888"/>
            </w:tcBorders>
          </w:tcPr>
          <w:p w14:paraId="6F2145B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Both internal and external validation</w:t>
            </w:r>
          </w:p>
        </w:tc>
        <w:tc>
          <w:tcPr>
            <w:tcW w:w="742" w:type="dxa"/>
            <w:tcBorders>
              <w:top w:val="single" w:sz="4" w:space="0" w:color="888888"/>
              <w:left w:val="single" w:sz="4" w:space="0" w:color="888888"/>
              <w:bottom w:val="single" w:sz="4" w:space="0" w:color="888888"/>
              <w:right w:val="single" w:sz="4" w:space="0" w:color="888888"/>
            </w:tcBorders>
          </w:tcPr>
          <w:p w14:paraId="6A7C693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9,558 participants. The data was split into a derivation cohort of </w:t>
            </w:r>
            <w:r>
              <w:rPr>
                <w:rFonts w:ascii="Arial" w:hAnsi="Arial" w:cs="Arial"/>
                <w:sz w:val="12"/>
                <w:szCs w:val="12"/>
              </w:rPr>
              <w:lastRenderedPageBreak/>
              <w:t>7,645 (80%) and a validation cohort of 1,912 (20%)</w:t>
            </w:r>
          </w:p>
        </w:tc>
        <w:tc>
          <w:tcPr>
            <w:tcW w:w="851" w:type="dxa"/>
            <w:tcBorders>
              <w:top w:val="single" w:sz="4" w:space="0" w:color="888888"/>
              <w:left w:val="single" w:sz="4" w:space="0" w:color="888888"/>
              <w:bottom w:val="single" w:sz="4" w:space="0" w:color="888888"/>
              <w:right w:val="single" w:sz="4" w:space="0" w:color="888888"/>
            </w:tcBorders>
          </w:tcPr>
          <w:p w14:paraId="41DDB7B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 xml:space="preserve">The study was funded by the NICHD, the R Baby Foundation, and the One Utah </w:t>
            </w:r>
            <w:r>
              <w:rPr>
                <w:rFonts w:ascii="Arial" w:hAnsi="Arial" w:cs="Arial"/>
                <w:sz w:val="12"/>
                <w:szCs w:val="12"/>
              </w:rPr>
              <w:lastRenderedPageBreak/>
              <w:t>Data Science Hub Seed Grant Program</w:t>
            </w:r>
          </w:p>
        </w:tc>
        <w:tc>
          <w:tcPr>
            <w:tcW w:w="1134" w:type="dxa"/>
            <w:tcBorders>
              <w:top w:val="single" w:sz="4" w:space="0" w:color="888888"/>
              <w:left w:val="single" w:sz="4" w:space="0" w:color="888888"/>
              <w:bottom w:val="single" w:sz="4" w:space="0" w:color="888888"/>
              <w:right w:val="single" w:sz="4" w:space="0" w:color="888888"/>
            </w:tcBorders>
          </w:tcPr>
          <w:p w14:paraId="71DD41DD" w14:textId="77777777" w:rsidR="00871B31" w:rsidRPr="00756461" w:rsidRDefault="00871B31" w:rsidP="00BC1F31">
            <w:pPr>
              <w:spacing w:after="0" w:line="240" w:lineRule="auto"/>
              <w:jc w:val="center"/>
              <w:rPr>
                <w:rFonts w:ascii="Arial" w:eastAsia="Times New Roman" w:hAnsi="Arial" w:cs="Arial"/>
                <w:color w:val="000000"/>
                <w:sz w:val="12"/>
                <w:szCs w:val="12"/>
                <w:lang w:eastAsia="en-GB" w:bidi="th-TH"/>
              </w:rPr>
            </w:pPr>
            <w:r>
              <w:rPr>
                <w:rFonts w:ascii="Arial" w:hAnsi="Arial" w:cs="Arial"/>
                <w:color w:val="000000"/>
                <w:sz w:val="12"/>
                <w:szCs w:val="12"/>
              </w:rPr>
              <w:lastRenderedPageBreak/>
              <w:t>46.0%</w:t>
            </w:r>
          </w:p>
        </w:tc>
        <w:tc>
          <w:tcPr>
            <w:tcW w:w="841" w:type="dxa"/>
            <w:tcBorders>
              <w:top w:val="single" w:sz="4" w:space="0" w:color="888888"/>
              <w:left w:val="single" w:sz="4" w:space="0" w:color="888888"/>
              <w:bottom w:val="single" w:sz="4" w:space="0" w:color="888888"/>
              <w:right w:val="single" w:sz="4" w:space="0" w:color="888888"/>
            </w:tcBorders>
          </w:tcPr>
          <w:p w14:paraId="5034B472"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t>D1: Low risk</w:t>
            </w:r>
            <w:r>
              <w:rPr>
                <w:rFonts w:ascii="Arial" w:hAnsi="Arial" w:cs="Arial"/>
                <w:color w:val="000000"/>
                <w:sz w:val="12"/>
                <w:szCs w:val="12"/>
              </w:rPr>
              <w:br/>
              <w:t>D2: High risk</w:t>
            </w:r>
            <w:r>
              <w:rPr>
                <w:rFonts w:ascii="Arial" w:hAnsi="Arial" w:cs="Arial"/>
                <w:color w:val="000000"/>
                <w:sz w:val="12"/>
                <w:szCs w:val="12"/>
              </w:rPr>
              <w:br/>
              <w:t>D3: Unclear risk</w:t>
            </w:r>
            <w:r>
              <w:rPr>
                <w:rFonts w:ascii="Arial" w:hAnsi="Arial" w:cs="Arial"/>
                <w:color w:val="000000"/>
                <w:sz w:val="12"/>
                <w:szCs w:val="12"/>
              </w:rPr>
              <w:br/>
            </w:r>
            <w:r>
              <w:rPr>
                <w:rFonts w:ascii="Arial" w:hAnsi="Arial" w:cs="Arial"/>
                <w:color w:val="000000"/>
                <w:sz w:val="12"/>
                <w:szCs w:val="12"/>
              </w:rPr>
              <w:lastRenderedPageBreak/>
              <w:t>D4: High risk</w:t>
            </w:r>
          </w:p>
        </w:tc>
        <w:tc>
          <w:tcPr>
            <w:tcW w:w="860" w:type="dxa"/>
            <w:tcBorders>
              <w:top w:val="single" w:sz="4" w:space="0" w:color="888888"/>
              <w:left w:val="single" w:sz="4" w:space="0" w:color="888888"/>
              <w:bottom w:val="single" w:sz="4" w:space="0" w:color="888888"/>
              <w:right w:val="single" w:sz="4" w:space="0" w:color="888888"/>
            </w:tcBorders>
          </w:tcPr>
          <w:p w14:paraId="10FB4851" w14:textId="77777777" w:rsidR="00871B31" w:rsidRPr="00756461" w:rsidRDefault="00871B31" w:rsidP="00BC1F31">
            <w:pPr>
              <w:spacing w:after="0" w:line="240" w:lineRule="auto"/>
              <w:rPr>
                <w:rFonts w:ascii="Arial" w:eastAsia="Times New Roman" w:hAnsi="Arial" w:cs="Arial"/>
                <w:color w:val="000000"/>
                <w:sz w:val="12"/>
                <w:szCs w:val="12"/>
                <w:lang w:eastAsia="en-GB" w:bidi="th-TH"/>
              </w:rPr>
            </w:pPr>
            <w:r>
              <w:rPr>
                <w:rFonts w:ascii="Arial" w:hAnsi="Arial" w:cs="Arial"/>
                <w:color w:val="000000"/>
                <w:sz w:val="12"/>
                <w:szCs w:val="12"/>
              </w:rPr>
              <w:lastRenderedPageBreak/>
              <w:t>Not publicly available (requires institution)</w:t>
            </w:r>
          </w:p>
        </w:tc>
        <w:tc>
          <w:tcPr>
            <w:tcW w:w="442" w:type="dxa"/>
            <w:tcBorders>
              <w:top w:val="single" w:sz="4" w:space="0" w:color="888888"/>
              <w:left w:val="single" w:sz="4" w:space="0" w:color="888888"/>
              <w:bottom w:val="single" w:sz="4" w:space="0" w:color="888888"/>
              <w:right w:val="single" w:sz="4" w:space="0" w:color="888888"/>
            </w:tcBorders>
          </w:tcPr>
          <w:p w14:paraId="1312092B" w14:textId="77777777" w:rsidR="00871B31" w:rsidRPr="00756461" w:rsidRDefault="00871B31" w:rsidP="00BC1F31">
            <w:pPr>
              <w:spacing w:after="0" w:line="240" w:lineRule="auto"/>
              <w:jc w:val="center"/>
              <w:rPr>
                <w:rFonts w:ascii="Arial" w:hAnsi="Arial" w:cs="Arial"/>
                <w:sz w:val="12"/>
                <w:szCs w:val="12"/>
              </w:rPr>
            </w:pPr>
            <w:r>
              <w:rPr>
                <w:rFonts w:ascii="Arial" w:eastAsia="Times New Roman" w:hAnsi="Arial" w:cs="Arial"/>
                <w:color w:val="000000"/>
                <w:sz w:val="12"/>
                <w:szCs w:val="12"/>
                <w:lang w:eastAsia="en-GB" w:bidi="th-TH"/>
              </w:rPr>
              <w:fldChar w:fldCharType="begin"/>
            </w:r>
            <w:r>
              <w:rPr>
                <w:rFonts w:ascii="Arial" w:eastAsia="Times New Roman" w:hAnsi="Arial" w:cs="Arial"/>
                <w:color w:val="000000"/>
                <w:sz w:val="12"/>
                <w:szCs w:val="12"/>
                <w:lang w:eastAsia="en-GB" w:bidi="th-TH"/>
              </w:rPr>
              <w:instrText xml:space="preserve"> ADDIN ZOTERO_ITEM CSL_CITATION {"citationID":"XiEEp4g7","properties":{"formattedCitation":"[112]","plainCitation":"[112]","noteIndex":0},"citationItems":[{"id":"b2OWig5M/gNB23NZk","uris":["http://zotero.org/users/18230940/items/76FZN7HE"],"itemData":{"id":843,"type":"article-journal","abstract":"Fetal growth restriction (FGR) is a leading risk factor for stillbirth, yet the diagnosis of FGR confers considerable prognostic uncertainty, as most infants with FGR do not experience any morbidity. Our objective was to use data from a large, deeply phenotyped observational obstetric cohort to develop a probabilistic graphical model (PGM), a type of “explainable artificial intelligence (AI)”, as a potential framework to better understand how interrelated variables contribute to perinatal morbidity risk in FGR.","container-title":"BMC Pregnancy and Childbirth","DOI":"10.1186/s12884-024-07095-6","ISSN":"1471-2393","issue":"1","journalAbbreviation":"BMC Pregnancy Childbirth","language":"en","page":"80","source":"Springer Link","title":"AI-based analysis of fetal growth restriction in a prospective obstetric cohort quantifies compound risks for perinatal morbidity and mortality and identifies previously unrecognized high risk clinical scenarios","volume":"25","author":[{"family":"Zimmerman","given":"Raquel M."},{"family":"Hernandez","given":"Edgar J."},{"family":"Yandell","given":"Mark"},{"family":"Tristani-Firouzi","given":"Martin"},{"family":"Silver","given":"Robert M."},{"family":"Grobman","given":"William"},{"family":"Haas","given":"David"},{"family":"Saade","given":"George"},{"family":"Steller","given":"Jonathan"},{"family":"Blue","given":"Nathan R."}],"issued":{"date-parts":[["2025",1,30]]}}}],"schema":"https://github.com/citation-style-language/schema/raw/master/csl-citation.json"} </w:instrText>
            </w:r>
            <w:r>
              <w:rPr>
                <w:rFonts w:ascii="Arial" w:eastAsia="Times New Roman" w:hAnsi="Arial" w:cs="Arial"/>
                <w:color w:val="000000"/>
                <w:sz w:val="12"/>
                <w:szCs w:val="12"/>
                <w:lang w:eastAsia="en-GB" w:bidi="th-TH"/>
              </w:rPr>
              <w:fldChar w:fldCharType="separate"/>
            </w:r>
            <w:r>
              <w:rPr>
                <w:rFonts w:ascii="Arial" w:hAnsi="Arial" w:cs="Arial"/>
                <w:sz w:val="12"/>
              </w:rPr>
              <w:t>[112]</w:t>
            </w:r>
            <w:r>
              <w:rPr>
                <w:rFonts w:ascii="Arial" w:eastAsia="Times New Roman" w:hAnsi="Arial" w:cs="Arial"/>
                <w:color w:val="000000"/>
                <w:sz w:val="12"/>
                <w:szCs w:val="12"/>
                <w:lang w:eastAsia="en-GB" w:bidi="th-TH"/>
              </w:rPr>
              <w:fldChar w:fldCharType="end"/>
            </w:r>
          </w:p>
        </w:tc>
      </w:tr>
      <w:tr w:rsidR="00871B31" w:rsidRPr="00756461" w14:paraId="634DFAF3"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4D2DE64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Mengstie, et al 2025</w:t>
            </w:r>
          </w:p>
        </w:tc>
        <w:tc>
          <w:tcPr>
            <w:tcW w:w="1054" w:type="dxa"/>
            <w:tcBorders>
              <w:top w:val="single" w:sz="4" w:space="0" w:color="888888"/>
              <w:left w:val="single" w:sz="4" w:space="0" w:color="888888"/>
              <w:bottom w:val="single" w:sz="4" w:space="0" w:color="888888"/>
              <w:right w:val="single" w:sz="4" w:space="0" w:color="888888"/>
            </w:tcBorders>
          </w:tcPr>
          <w:p w14:paraId="74E799E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study</w:t>
            </w:r>
          </w:p>
        </w:tc>
        <w:tc>
          <w:tcPr>
            <w:tcW w:w="742" w:type="dxa"/>
            <w:tcBorders>
              <w:top w:val="single" w:sz="4" w:space="0" w:color="888888"/>
              <w:left w:val="single" w:sz="4" w:space="0" w:color="888888"/>
              <w:bottom w:val="single" w:sz="4" w:space="0" w:color="888888"/>
              <w:right w:val="single" w:sz="4" w:space="0" w:color="888888"/>
            </w:tcBorders>
          </w:tcPr>
          <w:p w14:paraId="74079BD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Ethiopia</w:t>
            </w:r>
          </w:p>
        </w:tc>
        <w:tc>
          <w:tcPr>
            <w:tcW w:w="786" w:type="dxa"/>
            <w:tcBorders>
              <w:top w:val="single" w:sz="4" w:space="0" w:color="888888"/>
              <w:left w:val="single" w:sz="4" w:space="0" w:color="888888"/>
              <w:bottom w:val="single" w:sz="4" w:space="0" w:color="888888"/>
              <w:right w:val="single" w:sz="4" w:space="0" w:color="888888"/>
            </w:tcBorders>
          </w:tcPr>
          <w:p w14:paraId="62F2630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Neonatal mortality</w:t>
            </w:r>
          </w:p>
        </w:tc>
        <w:tc>
          <w:tcPr>
            <w:tcW w:w="786" w:type="dxa"/>
            <w:tcBorders>
              <w:top w:val="single" w:sz="4" w:space="0" w:color="888888"/>
              <w:left w:val="single" w:sz="4" w:space="0" w:color="888888"/>
              <w:bottom w:val="single" w:sz="4" w:space="0" w:color="888888"/>
              <w:right w:val="single" w:sz="4" w:space="0" w:color="888888"/>
            </w:tcBorders>
          </w:tcPr>
          <w:p w14:paraId="07CE720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development</w:t>
            </w:r>
          </w:p>
        </w:tc>
        <w:tc>
          <w:tcPr>
            <w:tcW w:w="1051" w:type="dxa"/>
            <w:tcBorders>
              <w:top w:val="single" w:sz="4" w:space="0" w:color="888888"/>
              <w:left w:val="single" w:sz="4" w:space="0" w:color="888888"/>
              <w:bottom w:val="single" w:sz="4" w:space="0" w:color="888888"/>
              <w:right w:val="single" w:sz="4" w:space="0" w:color="888888"/>
            </w:tcBorders>
          </w:tcPr>
          <w:p w14:paraId="15F9C9B2"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Maternal factor</w:t>
            </w:r>
          </w:p>
          <w:p w14:paraId="2ABB5FE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Previous adverse outcome</w:t>
            </w:r>
          </w:p>
          <w:p w14:paraId="715AB0C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Interpregnancy interval</w:t>
            </w:r>
          </w:p>
          <w:p w14:paraId="3F3D95CB"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Foetal factor</w:t>
            </w:r>
          </w:p>
          <w:p w14:paraId="38A8672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Plurality (singleton/multiple)</w:t>
            </w:r>
          </w:p>
          <w:p w14:paraId="2F8B5921" w14:textId="77777777" w:rsidR="00871B31" w:rsidRPr="00756461" w:rsidRDefault="00871B31" w:rsidP="00BC1F31">
            <w:pPr>
              <w:spacing w:after="0" w:line="240" w:lineRule="auto"/>
              <w:rPr>
                <w:rFonts w:ascii="Arial" w:hAnsi="Arial" w:cs="Arial"/>
                <w:sz w:val="12"/>
                <w:szCs w:val="12"/>
              </w:rPr>
            </w:pPr>
            <w:r>
              <w:rPr>
                <w:rFonts w:ascii="Arial" w:hAnsi="Arial" w:cs="Arial"/>
                <w:b/>
                <w:sz w:val="12"/>
                <w:szCs w:val="12"/>
              </w:rPr>
              <w:t>Sociodemographic factor</w:t>
            </w:r>
          </w:p>
          <w:p w14:paraId="0FE725C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Socioeconomic status</w:t>
            </w:r>
          </w:p>
          <w:p w14:paraId="31A0EE2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Geographic region / residence</w:t>
            </w:r>
          </w:p>
          <w:p w14:paraId="05DD241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  - Household size / composition</w:t>
            </w:r>
          </w:p>
        </w:tc>
        <w:tc>
          <w:tcPr>
            <w:tcW w:w="851" w:type="dxa"/>
            <w:tcBorders>
              <w:top w:val="single" w:sz="4" w:space="0" w:color="888888"/>
              <w:left w:val="single" w:sz="4" w:space="0" w:color="888888"/>
              <w:bottom w:val="single" w:sz="4" w:space="0" w:color="888888"/>
              <w:right w:val="single" w:sz="4" w:space="0" w:color="888888"/>
            </w:tcBorders>
          </w:tcPr>
          <w:p w14:paraId="0FBF2D2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Single country, population level data</w:t>
            </w:r>
          </w:p>
        </w:tc>
        <w:tc>
          <w:tcPr>
            <w:tcW w:w="851" w:type="dxa"/>
            <w:tcBorders>
              <w:top w:val="single" w:sz="4" w:space="0" w:color="888888"/>
              <w:left w:val="single" w:sz="4" w:space="0" w:color="888888"/>
              <w:bottom w:val="single" w:sz="4" w:space="0" w:color="888888"/>
              <w:right w:val="single" w:sz="4" w:space="0" w:color="888888"/>
            </w:tcBorders>
          </w:tcPr>
          <w:p w14:paraId="3432EE21"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20E64919"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3D8F0725"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3311DFB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CatBoost achieved the highest results: 97.5% accuracy, 97.52% precision, 97.5% recall, and 99.57% ROC-AUC </w:t>
            </w:r>
          </w:p>
        </w:tc>
        <w:tc>
          <w:tcPr>
            <w:tcW w:w="851" w:type="dxa"/>
            <w:tcBorders>
              <w:top w:val="single" w:sz="4" w:space="0" w:color="888888"/>
              <w:left w:val="single" w:sz="4" w:space="0" w:color="888888"/>
              <w:bottom w:val="single" w:sz="4" w:space="0" w:color="888888"/>
              <w:right w:val="single" w:sz="4" w:space="0" w:color="888888"/>
            </w:tcBorders>
          </w:tcPr>
          <w:p w14:paraId="4FC0886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AUROC, Accuracy, Precision, Sensitivity</w:t>
            </w:r>
          </w:p>
        </w:tc>
        <w:tc>
          <w:tcPr>
            <w:tcW w:w="817" w:type="dxa"/>
            <w:tcBorders>
              <w:top w:val="single" w:sz="4" w:space="0" w:color="888888"/>
              <w:left w:val="single" w:sz="4" w:space="0" w:color="888888"/>
              <w:bottom w:val="single" w:sz="4" w:space="0" w:color="888888"/>
              <w:right w:val="single" w:sz="4" w:space="0" w:color="888888"/>
            </w:tcBorders>
          </w:tcPr>
          <w:p w14:paraId="283DF39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6BB5F03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29,048 instances (Ethiopia DHS 2000-2019)</w:t>
            </w:r>
          </w:p>
        </w:tc>
        <w:tc>
          <w:tcPr>
            <w:tcW w:w="851" w:type="dxa"/>
            <w:tcBorders>
              <w:top w:val="single" w:sz="4" w:space="0" w:color="888888"/>
              <w:left w:val="single" w:sz="4" w:space="0" w:color="888888"/>
              <w:bottom w:val="single" w:sz="4" w:space="0" w:color="888888"/>
              <w:right w:val="single" w:sz="4" w:space="0" w:color="888888"/>
            </w:tcBorders>
          </w:tcPr>
          <w:p w14:paraId="3DCC84E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study received no financial support</w:t>
            </w:r>
          </w:p>
        </w:tc>
        <w:tc>
          <w:tcPr>
            <w:tcW w:w="1134" w:type="dxa"/>
            <w:tcBorders>
              <w:top w:val="single" w:sz="4" w:space="0" w:color="888888"/>
              <w:left w:val="single" w:sz="4" w:space="0" w:color="888888"/>
              <w:bottom w:val="single" w:sz="4" w:space="0" w:color="888888"/>
              <w:right w:val="single" w:sz="4" w:space="0" w:color="888888"/>
            </w:tcBorders>
          </w:tcPr>
          <w:p w14:paraId="6A14857C"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49.0%</w:t>
            </w:r>
          </w:p>
        </w:tc>
        <w:tc>
          <w:tcPr>
            <w:tcW w:w="841" w:type="dxa"/>
            <w:tcBorders>
              <w:top w:val="single" w:sz="4" w:space="0" w:color="888888"/>
              <w:left w:val="single" w:sz="4" w:space="0" w:color="888888"/>
              <w:bottom w:val="single" w:sz="4" w:space="0" w:color="888888"/>
              <w:right w:val="single" w:sz="4" w:space="0" w:color="888888"/>
            </w:tcBorders>
          </w:tcPr>
          <w:p w14:paraId="3051DCE2"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D1: Low risk</w:t>
            </w:r>
          </w:p>
          <w:p w14:paraId="4F93A716"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D2: Low risk</w:t>
            </w:r>
          </w:p>
          <w:p w14:paraId="6E7DE0CA"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D3: Low risk</w:t>
            </w:r>
          </w:p>
          <w:p w14:paraId="6E259180"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D4: Low risk</w:t>
            </w:r>
          </w:p>
        </w:tc>
        <w:tc>
          <w:tcPr>
            <w:tcW w:w="860" w:type="dxa"/>
            <w:tcBorders>
              <w:top w:val="single" w:sz="4" w:space="0" w:color="888888"/>
              <w:left w:val="single" w:sz="4" w:space="0" w:color="888888"/>
              <w:bottom w:val="single" w:sz="4" w:space="0" w:color="888888"/>
              <w:right w:val="single" w:sz="4" w:space="0" w:color="888888"/>
            </w:tcBorders>
          </w:tcPr>
          <w:p w14:paraId="324BDFE6" w14:textId="77777777" w:rsidR="00871B31" w:rsidRPr="00756461" w:rsidRDefault="00871B31" w:rsidP="00BC1F31">
            <w:pPr>
              <w:spacing w:after="0" w:line="240" w:lineRule="auto"/>
              <w:jc w:val="center"/>
              <w:rPr>
                <w:rFonts w:ascii="Arial" w:hAnsi="Arial" w:cs="Arial"/>
                <w:sz w:val="12"/>
                <w:szCs w:val="12"/>
              </w:rPr>
            </w:pPr>
          </w:p>
        </w:tc>
        <w:tc>
          <w:tcPr>
            <w:tcW w:w="442" w:type="dxa"/>
            <w:tcBorders>
              <w:top w:val="single" w:sz="4" w:space="0" w:color="888888"/>
              <w:left w:val="single" w:sz="4" w:space="0" w:color="888888"/>
              <w:bottom w:val="single" w:sz="4" w:space="0" w:color="888888"/>
              <w:right w:val="single" w:sz="4" w:space="0" w:color="888888"/>
            </w:tcBorders>
          </w:tcPr>
          <w:p w14:paraId="23D952E6" w14:textId="77777777" w:rsidR="00871B31" w:rsidRPr="00756461" w:rsidRDefault="00871B31" w:rsidP="00BC1F31">
            <w:pPr>
              <w:spacing w:after="0" w:line="240" w:lineRule="auto"/>
              <w:jc w:val="center"/>
              <w:rPr>
                <w:rFonts w:ascii="Arial" w:hAnsi="Arial" w:cs="Arial"/>
                <w:sz w:val="12"/>
                <w:szCs w:val="12"/>
              </w:rPr>
            </w:pPr>
            <w:r>
              <w:rPr>
                <w:rFonts w:ascii="Arial Narrow" w:hAnsi="Arial Narrow"/>
                <w:sz w:val="12"/>
                <w:szCs w:val="12"/>
              </w:rPr>
              <w:fldChar w:fldCharType="begin"/>
            </w:r>
            <w:r>
              <w:rPr>
                <w:rFonts w:ascii="Arial Narrow" w:hAnsi="Arial Narrow"/>
                <w:sz w:val="12"/>
                <w:szCs w:val="12"/>
              </w:rPr>
              <w:instrText xml:space="preserve"> ADDIN ZOTERO_ITEM CSL_CITATION {"citationID":"Og8MaAZd","properties":{"unsorted":false,"formattedCitation":"[113]","plainCitation":"[113]","noteIndex":0},"citationItems":[{"id":7368,"uris":["http://zotero.org/users/16018142/items/NMFZEE8D"],"itemData":{"id":7368,"type":"article-journal","abstract":"Each year, approximately 2.5 million newborns die globally, with developing countries bearing the impact of this crisis. Sub-Saharan Africa has the highest neonatal mortality rate, with Ethiopia facing alarmingly high figures, particularly in rural areas where mortality is significantly higher due to poor healthcare access and socio-economic challenges.","container-title":"Discover Artificial Intelligence","DOI":"10.1007/s44163-025-00305-w","ISSN":"2731-0809","issue":"1","journalAbbreviation":"Discov Artif Intell","language":"en","page":"220","source":"Springer Link","title":"Predicting neonatal mortality using ensemble machine learning algorithms in the case of Ethiopian Rural Areas","volume":"5","author":[{"family":"Mengstie","given":"Melaku Alelign"},{"family":"Telele","given":"Misganaw Telake"}],"issued":{"date-parts":[["2025",8,22]]}}}],"schema":"https://github.com/citation-style-language/schema/raw/master/csl-citation.json"} </w:instrText>
            </w:r>
            <w:r>
              <w:rPr>
                <w:rFonts w:ascii="Arial Narrow" w:hAnsi="Arial Narrow"/>
                <w:sz w:val="12"/>
                <w:szCs w:val="12"/>
              </w:rPr>
              <w:fldChar w:fldCharType="separate"/>
            </w:r>
            <w:r>
              <w:rPr>
                <w:rFonts w:ascii="Arial Narrow" w:hAnsi="Arial Narrow"/>
                <w:sz w:val="12"/>
              </w:rPr>
              <w:t>[113]</w:t>
            </w:r>
            <w:r>
              <w:rPr>
                <w:rFonts w:ascii="Arial Narrow" w:hAnsi="Arial Narrow"/>
                <w:sz w:val="12"/>
                <w:szCs w:val="12"/>
              </w:rPr>
              <w:fldChar w:fldCharType="end"/>
            </w:r>
          </w:p>
        </w:tc>
      </w:tr>
      <w:tr w:rsidR="00871B31" w:rsidRPr="00756461" w14:paraId="34684C3D"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41A11B5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Akolekar, et al. 2011</w:t>
            </w:r>
          </w:p>
        </w:tc>
        <w:tc>
          <w:tcPr>
            <w:tcW w:w="1054" w:type="dxa"/>
            <w:tcBorders>
              <w:top w:val="single" w:sz="4" w:space="0" w:color="888888"/>
              <w:left w:val="single" w:sz="4" w:space="0" w:color="888888"/>
              <w:bottom w:val="single" w:sz="4" w:space="0" w:color="888888"/>
              <w:right w:val="single" w:sz="4" w:space="0" w:color="888888"/>
            </w:tcBorders>
          </w:tcPr>
          <w:p w14:paraId="5CA3858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Prospective screening study</w:t>
            </w:r>
          </w:p>
        </w:tc>
        <w:tc>
          <w:tcPr>
            <w:tcW w:w="742" w:type="dxa"/>
            <w:tcBorders>
              <w:top w:val="single" w:sz="4" w:space="0" w:color="888888"/>
              <w:left w:val="single" w:sz="4" w:space="0" w:color="888888"/>
              <w:bottom w:val="single" w:sz="4" w:space="0" w:color="888888"/>
              <w:right w:val="single" w:sz="4" w:space="0" w:color="888888"/>
            </w:tcBorders>
          </w:tcPr>
          <w:p w14:paraId="084604C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United Kingdom</w:t>
            </w:r>
          </w:p>
        </w:tc>
        <w:tc>
          <w:tcPr>
            <w:tcW w:w="786" w:type="dxa"/>
            <w:tcBorders>
              <w:top w:val="single" w:sz="4" w:space="0" w:color="888888"/>
              <w:left w:val="single" w:sz="4" w:space="0" w:color="888888"/>
              <w:bottom w:val="single" w:sz="4" w:space="0" w:color="888888"/>
              <w:right w:val="single" w:sz="4" w:space="0" w:color="888888"/>
            </w:tcBorders>
          </w:tcPr>
          <w:p w14:paraId="0132086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 (and miscarriage)</w:t>
            </w:r>
          </w:p>
        </w:tc>
        <w:tc>
          <w:tcPr>
            <w:tcW w:w="786" w:type="dxa"/>
            <w:tcBorders>
              <w:top w:val="single" w:sz="4" w:space="0" w:color="888888"/>
              <w:left w:val="single" w:sz="4" w:space="0" w:color="888888"/>
              <w:bottom w:val="single" w:sz="4" w:space="0" w:color="888888"/>
              <w:right w:val="single" w:sz="4" w:space="0" w:color="888888"/>
            </w:tcBorders>
          </w:tcPr>
          <w:p w14:paraId="7778530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 Model development</w:t>
            </w:r>
            <w:r>
              <w:rPr>
                <w:rFonts w:ascii="Arial" w:hAnsi="Arial" w:cs="Arial"/>
                <w:sz w:val="12"/>
                <w:szCs w:val="12"/>
              </w:rPr>
              <w:br/>
              <w:t>2. Quantify procedure-related risk of CVS</w:t>
            </w:r>
          </w:p>
        </w:tc>
        <w:tc>
          <w:tcPr>
            <w:tcW w:w="1051" w:type="dxa"/>
            <w:tcBorders>
              <w:top w:val="single" w:sz="4" w:space="0" w:color="888888"/>
              <w:left w:val="single" w:sz="4" w:space="0" w:color="888888"/>
              <w:bottom w:val="single" w:sz="4" w:space="0" w:color="888888"/>
              <w:right w:val="single" w:sz="4" w:space="0" w:color="888888"/>
            </w:tcBorders>
          </w:tcPr>
          <w:p w14:paraId="5E15C23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Maternal factor</w:t>
            </w:r>
            <w:r>
              <w:rPr>
                <w:rFonts w:ascii="Arial" w:hAnsi="Arial" w:cs="Arial"/>
                <w:sz w:val="12"/>
                <w:szCs w:val="12"/>
              </w:rPr>
              <w:br/>
              <w:t>- Maternal age</w:t>
            </w:r>
            <w:r>
              <w:rPr>
                <w:rFonts w:ascii="Arial" w:hAnsi="Arial" w:cs="Arial"/>
                <w:sz w:val="12"/>
                <w:szCs w:val="12"/>
              </w:rPr>
              <w:br/>
              <w:t>- Maternal weight</w:t>
            </w:r>
            <w:r>
              <w:rPr>
                <w:rFonts w:ascii="Arial" w:hAnsi="Arial" w:cs="Arial"/>
                <w:sz w:val="12"/>
                <w:szCs w:val="12"/>
              </w:rPr>
              <w:br/>
              <w:t>- Maternal height</w:t>
            </w:r>
            <w:r>
              <w:rPr>
                <w:rFonts w:ascii="Arial" w:hAnsi="Arial" w:cs="Arial"/>
                <w:sz w:val="12"/>
                <w:szCs w:val="12"/>
              </w:rPr>
              <w:br/>
              <w:t>- Parity</w:t>
            </w:r>
            <w:r>
              <w:rPr>
                <w:rFonts w:ascii="Arial" w:hAnsi="Arial" w:cs="Arial"/>
                <w:sz w:val="12"/>
                <w:szCs w:val="12"/>
              </w:rPr>
              <w:br/>
              <w:t>- Previous miscarriage</w:t>
            </w:r>
            <w:r>
              <w:rPr>
                <w:rFonts w:ascii="Arial" w:hAnsi="Arial" w:cs="Arial"/>
                <w:sz w:val="12"/>
                <w:szCs w:val="12"/>
              </w:rPr>
              <w:br/>
              <w:t>- Previous stillbirth</w:t>
            </w:r>
            <w:r>
              <w:rPr>
                <w:rFonts w:ascii="Arial" w:hAnsi="Arial" w:cs="Arial"/>
                <w:sz w:val="12"/>
                <w:szCs w:val="12"/>
              </w:rPr>
              <w:br/>
              <w:t>- Chronic hypertension</w:t>
            </w:r>
            <w:r>
              <w:rPr>
                <w:rFonts w:ascii="Arial" w:hAnsi="Arial" w:cs="Arial"/>
                <w:sz w:val="12"/>
                <w:szCs w:val="12"/>
              </w:rPr>
              <w:br/>
              <w:t>- Pre-existing diabetes mellitus</w:t>
            </w:r>
            <w:r>
              <w:rPr>
                <w:rFonts w:ascii="Arial" w:hAnsi="Arial" w:cs="Arial"/>
                <w:sz w:val="12"/>
                <w:szCs w:val="12"/>
              </w:rPr>
              <w:br/>
              <w:t>- Smoking / substance use</w:t>
            </w:r>
            <w:r>
              <w:rPr>
                <w:rFonts w:ascii="Arial" w:hAnsi="Arial" w:cs="Arial"/>
                <w:sz w:val="12"/>
                <w:szCs w:val="12"/>
              </w:rPr>
              <w:br/>
              <w:t>- Pregnancy-associated plasma protein-A (PAPP-A)</w:t>
            </w:r>
            <w:r>
              <w:rPr>
                <w:rFonts w:ascii="Arial" w:hAnsi="Arial" w:cs="Arial"/>
                <w:sz w:val="12"/>
                <w:szCs w:val="12"/>
              </w:rPr>
              <w:br/>
              <w:t>Foetal factor</w:t>
            </w:r>
            <w:r>
              <w:rPr>
                <w:rFonts w:ascii="Arial" w:hAnsi="Arial" w:cs="Arial"/>
                <w:sz w:val="12"/>
                <w:szCs w:val="12"/>
              </w:rPr>
              <w:br/>
              <w:t>- Nuchal translucency</w:t>
            </w:r>
            <w:r>
              <w:rPr>
                <w:rFonts w:ascii="Arial" w:hAnsi="Arial" w:cs="Arial"/>
                <w:sz w:val="12"/>
                <w:szCs w:val="12"/>
              </w:rPr>
              <w:br/>
              <w:t>- Ductus venosus flow (reversed A-wave)</w:t>
            </w:r>
            <w:r>
              <w:rPr>
                <w:rFonts w:ascii="Arial" w:hAnsi="Arial" w:cs="Arial"/>
                <w:sz w:val="12"/>
                <w:szCs w:val="12"/>
              </w:rPr>
              <w:br/>
              <w:t>Clinical factor</w:t>
            </w:r>
            <w:r>
              <w:rPr>
                <w:rFonts w:ascii="Arial" w:hAnsi="Arial" w:cs="Arial"/>
                <w:sz w:val="12"/>
                <w:szCs w:val="12"/>
              </w:rPr>
              <w:br/>
              <w:t xml:space="preserve">- Assisted conception </w:t>
            </w:r>
            <w:r>
              <w:rPr>
                <w:rFonts w:ascii="Arial" w:hAnsi="Arial" w:cs="Arial"/>
                <w:sz w:val="12"/>
                <w:szCs w:val="12"/>
              </w:rPr>
              <w:lastRenderedPageBreak/>
              <w:t>(ovulation-induction drugs)</w:t>
            </w:r>
            <w:r>
              <w:rPr>
                <w:rFonts w:ascii="Arial" w:hAnsi="Arial" w:cs="Arial"/>
                <w:sz w:val="12"/>
                <w:szCs w:val="12"/>
              </w:rPr>
              <w:br/>
              <w:t>Sociodemographic factor</w:t>
            </w:r>
            <w:r>
              <w:rPr>
                <w:rFonts w:ascii="Arial" w:hAnsi="Arial" w:cs="Arial"/>
                <w:sz w:val="12"/>
                <w:szCs w:val="12"/>
              </w:rPr>
              <w:br/>
              <w:t>- African racial origin</w:t>
            </w:r>
          </w:p>
        </w:tc>
        <w:tc>
          <w:tcPr>
            <w:tcW w:w="851" w:type="dxa"/>
            <w:tcBorders>
              <w:top w:val="single" w:sz="4" w:space="0" w:color="888888"/>
              <w:left w:val="single" w:sz="4" w:space="0" w:color="888888"/>
              <w:bottom w:val="single" w:sz="4" w:space="0" w:color="888888"/>
              <w:right w:val="single" w:sz="4" w:space="0" w:color="888888"/>
            </w:tcBorders>
          </w:tcPr>
          <w:p w14:paraId="03C9278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56FE3491"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7133864D"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60B419D4"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784FBC8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Models combining maternal characteristics, nuchal translucency, PAPP-A and ductus venosus flow detected 36.9% of miscarriages and 35.2% of stillbirths at a 10% false-positive rate. Shrinkage factors for miscarriage and stillbirth were 0.97 and 0.91, respectively.</w:t>
            </w:r>
          </w:p>
        </w:tc>
        <w:tc>
          <w:tcPr>
            <w:tcW w:w="851" w:type="dxa"/>
            <w:tcBorders>
              <w:top w:val="single" w:sz="4" w:space="0" w:color="888888"/>
              <w:left w:val="single" w:sz="4" w:space="0" w:color="888888"/>
              <w:bottom w:val="single" w:sz="4" w:space="0" w:color="888888"/>
              <w:right w:val="single" w:sz="4" w:space="0" w:color="888888"/>
            </w:tcBorders>
          </w:tcPr>
          <w:p w14:paraId="26011B3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Detection rate, False positive rate</w:t>
            </w:r>
          </w:p>
        </w:tc>
        <w:tc>
          <w:tcPr>
            <w:tcW w:w="817" w:type="dxa"/>
            <w:tcBorders>
              <w:top w:val="single" w:sz="4" w:space="0" w:color="888888"/>
              <w:left w:val="single" w:sz="4" w:space="0" w:color="888888"/>
              <w:bottom w:val="single" w:sz="4" w:space="0" w:color="888888"/>
              <w:right w:val="single" w:sz="4" w:space="0" w:color="888888"/>
            </w:tcBorders>
          </w:tcPr>
          <w:p w14:paraId="137E6E4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7459EE2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33,856 singleton pregnancies (404 miscarriages, 142 stillbirths)</w:t>
            </w:r>
          </w:p>
        </w:tc>
        <w:tc>
          <w:tcPr>
            <w:tcW w:w="851" w:type="dxa"/>
            <w:tcBorders>
              <w:top w:val="single" w:sz="4" w:space="0" w:color="888888"/>
              <w:left w:val="single" w:sz="4" w:space="0" w:color="888888"/>
              <w:bottom w:val="single" w:sz="4" w:space="0" w:color="888888"/>
              <w:right w:val="single" w:sz="4" w:space="0" w:color="888888"/>
            </w:tcBorders>
          </w:tcPr>
          <w:p w14:paraId="3911AC1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Not stated in the article</w:t>
            </w:r>
          </w:p>
        </w:tc>
        <w:tc>
          <w:tcPr>
            <w:tcW w:w="1134" w:type="dxa"/>
            <w:tcBorders>
              <w:top w:val="single" w:sz="4" w:space="0" w:color="888888"/>
              <w:left w:val="single" w:sz="4" w:space="0" w:color="888888"/>
              <w:bottom w:val="single" w:sz="4" w:space="0" w:color="888888"/>
              <w:right w:val="single" w:sz="4" w:space="0" w:color="888888"/>
            </w:tcBorders>
          </w:tcPr>
          <w:p w14:paraId="76033C6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50.0%</w:t>
            </w:r>
          </w:p>
        </w:tc>
        <w:tc>
          <w:tcPr>
            <w:tcW w:w="841" w:type="dxa"/>
            <w:tcBorders>
              <w:top w:val="single" w:sz="4" w:space="0" w:color="888888"/>
              <w:left w:val="single" w:sz="4" w:space="0" w:color="888888"/>
              <w:bottom w:val="single" w:sz="4" w:space="0" w:color="888888"/>
              <w:right w:val="single" w:sz="4" w:space="0" w:color="888888"/>
            </w:tcBorders>
          </w:tcPr>
          <w:p w14:paraId="7530292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D1: Low risk</w:t>
            </w:r>
          </w:p>
          <w:p w14:paraId="53A7CE2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D2: Low risk</w:t>
            </w:r>
          </w:p>
          <w:p w14:paraId="679C9A4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D3: Unclear risk</w:t>
            </w:r>
          </w:p>
          <w:p w14:paraId="7DD7E6D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D4: High risk</w:t>
            </w:r>
          </w:p>
        </w:tc>
        <w:tc>
          <w:tcPr>
            <w:tcW w:w="860" w:type="dxa"/>
            <w:tcBorders>
              <w:top w:val="single" w:sz="4" w:space="0" w:color="888888"/>
              <w:left w:val="single" w:sz="4" w:space="0" w:color="888888"/>
              <w:bottom w:val="single" w:sz="4" w:space="0" w:color="888888"/>
              <w:right w:val="single" w:sz="4" w:space="0" w:color="888888"/>
            </w:tcBorders>
          </w:tcPr>
          <w:p w14:paraId="5EBFBDC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Supporting information available in the online version of the article</w:t>
            </w:r>
          </w:p>
        </w:tc>
        <w:tc>
          <w:tcPr>
            <w:tcW w:w="442" w:type="dxa"/>
            <w:tcBorders>
              <w:top w:val="single" w:sz="4" w:space="0" w:color="888888"/>
              <w:left w:val="single" w:sz="4" w:space="0" w:color="888888"/>
              <w:bottom w:val="single" w:sz="4" w:space="0" w:color="888888"/>
              <w:right w:val="single" w:sz="4" w:space="0" w:color="888888"/>
            </w:tcBorders>
          </w:tcPr>
          <w:p w14:paraId="7CDFE530" w14:textId="77777777" w:rsidR="00871B31" w:rsidRPr="00756461" w:rsidRDefault="00871B31" w:rsidP="00BC1F31">
            <w:pPr>
              <w:spacing w:after="0" w:line="240" w:lineRule="auto"/>
              <w:jc w:val="center"/>
              <w:rPr>
                <w:rFonts w:ascii="Arial" w:hAnsi="Arial" w:cs="Arial"/>
                <w:sz w:val="12"/>
                <w:szCs w:val="12"/>
              </w:rPr>
            </w:pPr>
            <w:r>
              <w:rPr>
                <w:rFonts w:ascii="Arial Narrow" w:hAnsi="Arial Narrow"/>
                <w:sz w:val="12"/>
                <w:szCs w:val="12"/>
              </w:rPr>
              <w:fldChar w:fldCharType="begin"/>
            </w:r>
            <w:r>
              <w:rPr>
                <w:rFonts w:ascii="Arial Narrow" w:hAnsi="Arial Narrow"/>
                <w:sz w:val="12"/>
                <w:szCs w:val="12"/>
              </w:rPr>
              <w:instrText xml:space="preserve"> ADDIN ZOTERO_ITEM CSL_CITATION {"citationID":"ye7oWxdt","properties":{"unsorted":false,"formattedCitation":"[114]","plainCitation":"[114]","noteIndex":0},"citationItems":[{"id":7392,"uris":["http://zotero.org/users/16018142/items/TLQ5F6EJ"],"itemData":{"id":7392,"type":"article-journal","abstract":"Objectives To derive models for estimating risk of miscarriage and stillbirth from maternal characteristics and findings of first-trimester screening for aneuploidies and to define the procedure-related risk of chorionic villus sampling (CVS) after adjusting for these factors. Method We examined 33 856 singleton pregnancies at 11+0 to 13+6 weeks, and in 2396 CVS was carried out. Logistic regression analysis was used to examine the factors contributing to miscarriage and stillbirth. Results There were 33 310 (98.4%) livebirths, 404 (1.2%) miscarriages and 142 (0.4%) stillbirths. Models combining maternal characteristics, nuchal translucency, pregnancy-associated plasma protein-A (PAPP-A) and flow in the ductus venosus detected 36.9% of miscarriages and 35.2% of stillbirths, at a 10% false-positive rate. The risk of miscarriage and stillbirth increased with maternal age and weight, in women of African racial origin, in those with previous miscarriages or stillbirths and in those with low serum PAPP-A and reversed A-wave in the ductus venosus. The risk of miscarriage increased in women with pre-existing diabetes mellitus, in those conceiving on ovulation-induction drugs and in those with high fetal nuchal translucency, and the risk of stillbirth increased in women with chronic hypertension and in cigarette smokers. The expected number of miscarriages and stillbirths in the CVS group and the models derived from the non-CVS group were 45 (95% prediction intervals 32–58) and 18 (95% prediction intervals 9–26), respectively. These expected numbers were not significantly different from the observed 44 and 15 cases (p = 0.881 and 0.480), respectively. Conclusion A high proportion of fetal losses can be predicted at 11 to 13 weeks. A model for such predictions can be used to assess the procedure-related risks from CVS. Copyright © 2011 John Wiley &amp; Sons, Ltd.","container-title":"Prenatal Diagnosis","DOI":"10.1002/pd.2644","ISSN":"1097-0223","issue":"1","language":"en","license":"Copyright © 2011 John Wiley &amp; Sons, Ltd.","note":"_eprint: https://obgyn.onlinelibrary.wiley.com/doi/pdf/10.1002/pd.2644","page":"38-45","source":"Wiley Online Library","title":"Prediction of miscarriage and stillbirth at 11–13 weeks and the contribution of chorionic villus sampling","volume":"31","author":[{"family":"Akolekar","given":"Ranjit"},{"family":"Bower","given":"Sarah"},{"family":"Flack","given":"Nicola"},{"family":"Bilardo","given":"Caterina M."},{"family":"Nicolaides","given":"Kypros H."}],"issued":{"date-parts":[["2011"]]}}}],"schema":"https://github.com/citation-style-language/schema/raw/master/csl-citation.json"} </w:instrText>
            </w:r>
            <w:r>
              <w:rPr>
                <w:rFonts w:ascii="Arial Narrow" w:hAnsi="Arial Narrow"/>
                <w:sz w:val="12"/>
                <w:szCs w:val="12"/>
              </w:rPr>
              <w:fldChar w:fldCharType="separate"/>
            </w:r>
            <w:r>
              <w:rPr>
                <w:rFonts w:ascii="Arial Narrow" w:hAnsi="Arial Narrow"/>
                <w:sz w:val="12"/>
              </w:rPr>
              <w:t>[114]</w:t>
            </w:r>
            <w:r>
              <w:rPr>
                <w:rFonts w:ascii="Arial Narrow" w:hAnsi="Arial Narrow"/>
                <w:sz w:val="12"/>
                <w:szCs w:val="12"/>
              </w:rPr>
              <w:fldChar w:fldCharType="end"/>
            </w:r>
          </w:p>
        </w:tc>
      </w:tr>
      <w:tr w:rsidR="00871B31" w:rsidRPr="00756461" w14:paraId="2A32DC74"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204185E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Akolekar, et al. 2016</w:t>
            </w:r>
          </w:p>
        </w:tc>
        <w:tc>
          <w:tcPr>
            <w:tcW w:w="1054" w:type="dxa"/>
            <w:tcBorders>
              <w:top w:val="single" w:sz="4" w:space="0" w:color="888888"/>
              <w:left w:val="single" w:sz="4" w:space="0" w:color="888888"/>
              <w:bottom w:val="single" w:sz="4" w:space="0" w:color="888888"/>
              <w:right w:val="single" w:sz="4" w:space="0" w:color="888888"/>
            </w:tcBorders>
          </w:tcPr>
          <w:p w14:paraId="0CBB665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Prospective screening study</w:t>
            </w:r>
          </w:p>
        </w:tc>
        <w:tc>
          <w:tcPr>
            <w:tcW w:w="742" w:type="dxa"/>
            <w:tcBorders>
              <w:top w:val="single" w:sz="4" w:space="0" w:color="888888"/>
              <w:left w:val="single" w:sz="4" w:space="0" w:color="888888"/>
              <w:bottom w:val="single" w:sz="4" w:space="0" w:color="888888"/>
              <w:right w:val="single" w:sz="4" w:space="0" w:color="888888"/>
            </w:tcBorders>
          </w:tcPr>
          <w:p w14:paraId="0C519C2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United Kingdom</w:t>
            </w:r>
          </w:p>
        </w:tc>
        <w:tc>
          <w:tcPr>
            <w:tcW w:w="786" w:type="dxa"/>
            <w:tcBorders>
              <w:top w:val="single" w:sz="4" w:space="0" w:color="888888"/>
              <w:left w:val="single" w:sz="4" w:space="0" w:color="888888"/>
              <w:bottom w:val="single" w:sz="4" w:space="0" w:color="888888"/>
              <w:right w:val="single" w:sz="4" w:space="0" w:color="888888"/>
            </w:tcBorders>
          </w:tcPr>
          <w:p w14:paraId="31E1474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w:t>
            </w:r>
          </w:p>
        </w:tc>
        <w:tc>
          <w:tcPr>
            <w:tcW w:w="786" w:type="dxa"/>
            <w:tcBorders>
              <w:top w:val="single" w:sz="4" w:space="0" w:color="888888"/>
              <w:left w:val="single" w:sz="4" w:space="0" w:color="888888"/>
              <w:bottom w:val="single" w:sz="4" w:space="0" w:color="888888"/>
              <w:right w:val="single" w:sz="4" w:space="0" w:color="888888"/>
            </w:tcBorders>
          </w:tcPr>
          <w:p w14:paraId="2A7791C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 Model development</w:t>
            </w:r>
            <w:r>
              <w:rPr>
                <w:rFonts w:ascii="Arial" w:hAnsi="Arial" w:cs="Arial"/>
                <w:sz w:val="12"/>
                <w:szCs w:val="12"/>
              </w:rPr>
              <w:br/>
              <w:t>2. Compare with screening by UtA-PI alone</w:t>
            </w:r>
          </w:p>
        </w:tc>
        <w:tc>
          <w:tcPr>
            <w:tcW w:w="1051" w:type="dxa"/>
            <w:tcBorders>
              <w:top w:val="single" w:sz="4" w:space="0" w:color="888888"/>
              <w:left w:val="single" w:sz="4" w:space="0" w:color="888888"/>
              <w:bottom w:val="single" w:sz="4" w:space="0" w:color="888888"/>
              <w:right w:val="single" w:sz="4" w:space="0" w:color="888888"/>
            </w:tcBorders>
          </w:tcPr>
          <w:p w14:paraId="48217C1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Maternal factor</w:t>
            </w:r>
            <w:r>
              <w:rPr>
                <w:rFonts w:ascii="Arial" w:hAnsi="Arial" w:cs="Arial"/>
                <w:sz w:val="12"/>
                <w:szCs w:val="12"/>
              </w:rPr>
              <w:br/>
              <w:t>- Maternal age</w:t>
            </w:r>
            <w:r>
              <w:rPr>
                <w:rFonts w:ascii="Arial" w:hAnsi="Arial" w:cs="Arial"/>
                <w:sz w:val="12"/>
                <w:szCs w:val="12"/>
              </w:rPr>
              <w:br/>
              <w:t>- Maternal weight</w:t>
            </w:r>
            <w:r>
              <w:rPr>
                <w:rFonts w:ascii="Arial" w:hAnsi="Arial" w:cs="Arial"/>
                <w:sz w:val="12"/>
                <w:szCs w:val="12"/>
              </w:rPr>
              <w:br/>
              <w:t>- Parity</w:t>
            </w:r>
            <w:r>
              <w:rPr>
                <w:rFonts w:ascii="Arial" w:hAnsi="Arial" w:cs="Arial"/>
                <w:sz w:val="12"/>
                <w:szCs w:val="12"/>
              </w:rPr>
              <w:br/>
              <w:t>- Previous adverse outcome</w:t>
            </w:r>
            <w:r>
              <w:rPr>
                <w:rFonts w:ascii="Arial" w:hAnsi="Arial" w:cs="Arial"/>
                <w:sz w:val="12"/>
                <w:szCs w:val="12"/>
              </w:rPr>
              <w:br/>
              <w:t>- Smoking / substance use</w:t>
            </w:r>
            <w:r>
              <w:rPr>
                <w:rFonts w:ascii="Arial" w:hAnsi="Arial" w:cs="Arial"/>
                <w:sz w:val="12"/>
                <w:szCs w:val="12"/>
              </w:rPr>
              <w:br/>
              <w:t>Foetal factor</w:t>
            </w:r>
            <w:r>
              <w:rPr>
                <w:rFonts w:ascii="Arial" w:hAnsi="Arial" w:cs="Arial"/>
                <w:sz w:val="12"/>
                <w:szCs w:val="12"/>
              </w:rPr>
              <w:br/>
              <w:t>- Fetal head circumference</w:t>
            </w:r>
            <w:r>
              <w:rPr>
                <w:rFonts w:ascii="Arial" w:hAnsi="Arial" w:cs="Arial"/>
                <w:sz w:val="12"/>
                <w:szCs w:val="12"/>
              </w:rPr>
              <w:br/>
              <w:t>- Fetal abdominal circumference</w:t>
            </w:r>
            <w:r>
              <w:rPr>
                <w:rFonts w:ascii="Arial" w:hAnsi="Arial" w:cs="Arial"/>
                <w:sz w:val="12"/>
                <w:szCs w:val="12"/>
              </w:rPr>
              <w:br/>
              <w:t>- Femur length</w:t>
            </w:r>
            <w:r>
              <w:rPr>
                <w:rFonts w:ascii="Arial" w:hAnsi="Arial" w:cs="Arial"/>
                <w:sz w:val="12"/>
                <w:szCs w:val="12"/>
              </w:rPr>
              <w:br/>
              <w:t>Clinical factor</w:t>
            </w:r>
            <w:r>
              <w:rPr>
                <w:rFonts w:ascii="Arial" w:hAnsi="Arial" w:cs="Arial"/>
                <w:sz w:val="12"/>
                <w:szCs w:val="12"/>
              </w:rPr>
              <w:br/>
              <w:t>- Uterine artery pulsatility index (UtA-PI)</w:t>
            </w:r>
            <w:r>
              <w:rPr>
                <w:rFonts w:ascii="Arial" w:hAnsi="Arial" w:cs="Arial"/>
                <w:sz w:val="12"/>
                <w:szCs w:val="12"/>
              </w:rPr>
              <w:br/>
              <w:t>- Assisted conception (ovulation drugs)</w:t>
            </w:r>
            <w:r>
              <w:rPr>
                <w:rFonts w:ascii="Arial" w:hAnsi="Arial" w:cs="Arial"/>
                <w:sz w:val="12"/>
                <w:szCs w:val="12"/>
              </w:rPr>
              <w:br/>
              <w:t>Sociodemographic factor</w:t>
            </w:r>
            <w:r>
              <w:rPr>
                <w:rFonts w:ascii="Arial" w:hAnsi="Arial" w:cs="Arial"/>
                <w:sz w:val="12"/>
                <w:szCs w:val="12"/>
              </w:rPr>
              <w:br/>
              <w:t>- Racial origin (Afro-Caribbean, South Asian)</w:t>
            </w:r>
          </w:p>
        </w:tc>
        <w:tc>
          <w:tcPr>
            <w:tcW w:w="851" w:type="dxa"/>
            <w:tcBorders>
              <w:top w:val="single" w:sz="4" w:space="0" w:color="888888"/>
              <w:left w:val="single" w:sz="4" w:space="0" w:color="888888"/>
              <w:bottom w:val="single" w:sz="4" w:space="0" w:color="888888"/>
              <w:right w:val="single" w:sz="4" w:space="0" w:color="888888"/>
            </w:tcBorders>
          </w:tcPr>
          <w:p w14:paraId="47A1E8D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296EC804"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19FC0C9C"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757C7743"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42F8473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 model combining maternal factors, fetal biometry and UtA-PI predicted 55% of all stillbirths, 75% of those due to impaired placentation and 23% of those unexplained or due to other causes, at a 10% false-positive rate. The area under the curve for all stillbirths was 0.748 (95% CI 0.711-0.785).</w:t>
            </w:r>
          </w:p>
        </w:tc>
        <w:tc>
          <w:tcPr>
            <w:tcW w:w="851" w:type="dxa"/>
            <w:tcBorders>
              <w:top w:val="single" w:sz="4" w:space="0" w:color="888888"/>
              <w:left w:val="single" w:sz="4" w:space="0" w:color="888888"/>
              <w:bottom w:val="single" w:sz="4" w:space="0" w:color="888888"/>
              <w:right w:val="single" w:sz="4" w:space="0" w:color="888888"/>
            </w:tcBorders>
          </w:tcPr>
          <w:p w14:paraId="49CFF46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 Detection rate, False positive rate</w:t>
            </w:r>
          </w:p>
        </w:tc>
        <w:tc>
          <w:tcPr>
            <w:tcW w:w="817" w:type="dxa"/>
            <w:tcBorders>
              <w:top w:val="single" w:sz="4" w:space="0" w:color="888888"/>
              <w:left w:val="single" w:sz="4" w:space="0" w:color="888888"/>
              <w:bottom w:val="single" w:sz="4" w:space="0" w:color="888888"/>
              <w:right w:val="single" w:sz="4" w:space="0" w:color="888888"/>
            </w:tcBorders>
          </w:tcPr>
          <w:p w14:paraId="49DFBF7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Neither internal nor external validation</w:t>
            </w:r>
          </w:p>
        </w:tc>
        <w:tc>
          <w:tcPr>
            <w:tcW w:w="742" w:type="dxa"/>
            <w:tcBorders>
              <w:top w:val="single" w:sz="4" w:space="0" w:color="888888"/>
              <w:left w:val="single" w:sz="4" w:space="0" w:color="888888"/>
              <w:bottom w:val="single" w:sz="4" w:space="0" w:color="888888"/>
              <w:right w:val="single" w:sz="4" w:space="0" w:color="888888"/>
            </w:tcBorders>
          </w:tcPr>
          <w:p w14:paraId="27C17DA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70,003 singleton pregnancies (69,735 live births, 268 antepartum stillbirths)</w:t>
            </w:r>
          </w:p>
        </w:tc>
        <w:tc>
          <w:tcPr>
            <w:tcW w:w="851" w:type="dxa"/>
            <w:tcBorders>
              <w:top w:val="single" w:sz="4" w:space="0" w:color="888888"/>
              <w:left w:val="single" w:sz="4" w:space="0" w:color="888888"/>
              <w:bottom w:val="single" w:sz="4" w:space="0" w:color="888888"/>
              <w:right w:val="single" w:sz="4" w:space="0" w:color="888888"/>
            </w:tcBorders>
          </w:tcPr>
          <w:p w14:paraId="44FED48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Not stated in the article</w:t>
            </w:r>
          </w:p>
        </w:tc>
        <w:tc>
          <w:tcPr>
            <w:tcW w:w="1134" w:type="dxa"/>
            <w:tcBorders>
              <w:top w:val="single" w:sz="4" w:space="0" w:color="888888"/>
              <w:left w:val="single" w:sz="4" w:space="0" w:color="888888"/>
              <w:bottom w:val="single" w:sz="4" w:space="0" w:color="888888"/>
              <w:right w:val="single" w:sz="4" w:space="0" w:color="888888"/>
            </w:tcBorders>
          </w:tcPr>
          <w:p w14:paraId="7F2B01F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50.0%</w:t>
            </w:r>
          </w:p>
        </w:tc>
        <w:tc>
          <w:tcPr>
            <w:tcW w:w="841" w:type="dxa"/>
            <w:tcBorders>
              <w:top w:val="single" w:sz="4" w:space="0" w:color="888888"/>
              <w:left w:val="single" w:sz="4" w:space="0" w:color="888888"/>
              <w:bottom w:val="single" w:sz="4" w:space="0" w:color="888888"/>
              <w:right w:val="single" w:sz="4" w:space="0" w:color="888888"/>
            </w:tcBorders>
          </w:tcPr>
          <w:p w14:paraId="2FF8892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D1: Low risk</w:t>
            </w:r>
          </w:p>
          <w:p w14:paraId="6CB1634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D2: Low risk</w:t>
            </w:r>
          </w:p>
          <w:p w14:paraId="6C3A355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D3: Unclear risk</w:t>
            </w:r>
          </w:p>
          <w:p w14:paraId="101C49F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D4: High risk</w:t>
            </w:r>
          </w:p>
        </w:tc>
        <w:tc>
          <w:tcPr>
            <w:tcW w:w="860" w:type="dxa"/>
            <w:tcBorders>
              <w:top w:val="single" w:sz="4" w:space="0" w:color="888888"/>
              <w:left w:val="single" w:sz="4" w:space="0" w:color="888888"/>
              <w:bottom w:val="single" w:sz="4" w:space="0" w:color="888888"/>
              <w:right w:val="single" w:sz="4" w:space="0" w:color="888888"/>
            </w:tcBorders>
          </w:tcPr>
          <w:p w14:paraId="284DF44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Not stated</w:t>
            </w:r>
          </w:p>
        </w:tc>
        <w:tc>
          <w:tcPr>
            <w:tcW w:w="442" w:type="dxa"/>
            <w:tcBorders>
              <w:top w:val="single" w:sz="4" w:space="0" w:color="888888"/>
              <w:left w:val="single" w:sz="4" w:space="0" w:color="888888"/>
              <w:bottom w:val="single" w:sz="4" w:space="0" w:color="888888"/>
              <w:right w:val="single" w:sz="4" w:space="0" w:color="888888"/>
            </w:tcBorders>
          </w:tcPr>
          <w:p w14:paraId="51A10B14" w14:textId="77777777" w:rsidR="00871B31" w:rsidRPr="00756461" w:rsidRDefault="00871B31" w:rsidP="00BC1F31">
            <w:pPr>
              <w:spacing w:after="0" w:line="240" w:lineRule="auto"/>
              <w:jc w:val="center"/>
              <w:rPr>
                <w:rFonts w:ascii="Arial" w:hAnsi="Arial" w:cs="Arial"/>
                <w:sz w:val="12"/>
                <w:szCs w:val="12"/>
              </w:rPr>
            </w:pPr>
            <w:r>
              <w:rPr>
                <w:rFonts w:ascii="Arial Narrow" w:hAnsi="Arial Narrow"/>
                <w:sz w:val="12"/>
                <w:szCs w:val="12"/>
              </w:rPr>
              <w:fldChar w:fldCharType="begin"/>
            </w:r>
            <w:r>
              <w:rPr>
                <w:rFonts w:ascii="Arial Narrow" w:hAnsi="Arial Narrow"/>
                <w:sz w:val="12"/>
                <w:szCs w:val="12"/>
              </w:rPr>
              <w:instrText xml:space="preserve"> ADDIN ZOTERO_ITEM CSL_CITATION {"citationID":"wNQ3AKjW","properties":{"unsorted":false,"formattedCitation":"[115]","plainCitation":"[115]","noteIndex":0},"citationItems":[{"id":7395,"uris":["http://zotero.org/users/16018142/items/WWAVJ4QG"],"itemData":{"id":7395,"type":"article-journal","abstract":"Objectives To evaluate the performance of screening for all stillbirths and those due to impaired placentation and unexplained or other causes using a combination of maternal factors, fetal biometry and uterine artery pulsatility index (UtA-PI) at 19–24 weeks' gestation and to compare this performance with that of screening by UtA-PI alone. Methods This was a prospective screening study of 70 003 singleton pregnancies including 69 735 live births and 268 (0.38%) antepartum stillbirths; 159 (59%) were secondary to impaired placentation and 109 (41%) were due to other or unexplained causes. Multivariable logistic regression analysis was used to develop a model for prediction of stillbirth based on a combination of maternal factors, fetal biometry and UtA-PI. Results Combined screening predicted 55% of all stillbirths, including 75% of those due to impaired placentation and 23% of those that were unexplained or due to other causes, at a false-positive rate of 10%. Within the impaired placentation group, the detection rate of stillbirth &lt; 32 weeks' gestation was higher than that of stillbirth ≥ 37 weeks (88% vs 46%; P &lt; 0.001). The performance of screening by the combined test was superior to that of selecting the high-risk group on the basis of UtA-PI &gt; 90th percentile for gestational age, which predicted 48% of all stillbirths, 70% of those due to impaired placentation and 15% of those that were unexplained or due to other causes. Conclusions Second-trimester screening by a combination of UtA-PI with maternal factors and fetal biometry can predict a high proportion of stillbirths and, in particular, those that are due to impaired placentation. Copyright © 2016 ISUOG. Published by John Wiley &amp; Sons Ltd.","container-title":"Ultrasound in Obstetrics &amp; Gynecology","DOI":"10.1002/uog.17295","ISSN":"1469-0705","issue":"5","language":"en","license":"Copyright © 2016 ISUOG. Published by John Wiley &amp; Sons Ltd.","note":"_eprint: https://obgyn.onlinelibrary.wiley.com/doi/pdf/10.1002/uog.17295","page":"624-630","source":"Wiley Online Library","title":"Prediction of stillbirth from maternal factors, fetal biometry and uterine artery Doppler at 19–24 weeks","volume":"48","author":[{"family":"Akolekar","given":"R."},{"family":"Tokunaka","given":"M."},{"family":"Ortega","given":"N."},{"family":"Syngelaki","given":"A."},{"family":"Nicolaides","given":"K. H."}],"issued":{"date-parts":[["2016"]]}}}],"schema":"https://github.com/citation-style-language/schema/raw/master/csl-citation.json"} </w:instrText>
            </w:r>
            <w:r>
              <w:rPr>
                <w:rFonts w:ascii="Arial Narrow" w:hAnsi="Arial Narrow"/>
                <w:sz w:val="12"/>
                <w:szCs w:val="12"/>
              </w:rPr>
              <w:fldChar w:fldCharType="separate"/>
            </w:r>
            <w:r>
              <w:rPr>
                <w:rFonts w:ascii="Arial Narrow" w:hAnsi="Arial Narrow"/>
                <w:sz w:val="12"/>
              </w:rPr>
              <w:t>[115]</w:t>
            </w:r>
            <w:r>
              <w:rPr>
                <w:rFonts w:ascii="Arial Narrow" w:hAnsi="Arial Narrow"/>
                <w:sz w:val="12"/>
                <w:szCs w:val="12"/>
              </w:rPr>
              <w:fldChar w:fldCharType="end"/>
            </w:r>
          </w:p>
        </w:tc>
      </w:tr>
      <w:tr w:rsidR="00871B31" w:rsidRPr="00756461" w14:paraId="46833DF8"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7C400DF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Awor, et al. 2022</w:t>
            </w:r>
          </w:p>
        </w:tc>
        <w:tc>
          <w:tcPr>
            <w:tcW w:w="1054" w:type="dxa"/>
            <w:tcBorders>
              <w:top w:val="single" w:sz="4" w:space="0" w:color="888888"/>
              <w:left w:val="single" w:sz="4" w:space="0" w:color="888888"/>
              <w:bottom w:val="single" w:sz="4" w:space="0" w:color="888888"/>
              <w:right w:val="single" w:sz="4" w:space="0" w:color="888888"/>
            </w:tcBorders>
          </w:tcPr>
          <w:p w14:paraId="406526B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Prospective cohort study</w:t>
            </w:r>
          </w:p>
        </w:tc>
        <w:tc>
          <w:tcPr>
            <w:tcW w:w="742" w:type="dxa"/>
            <w:tcBorders>
              <w:top w:val="single" w:sz="4" w:space="0" w:color="888888"/>
              <w:left w:val="single" w:sz="4" w:space="0" w:color="888888"/>
              <w:bottom w:val="single" w:sz="4" w:space="0" w:color="888888"/>
              <w:right w:val="single" w:sz="4" w:space="0" w:color="888888"/>
            </w:tcBorders>
          </w:tcPr>
          <w:p w14:paraId="038BB7F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Uganda</w:t>
            </w:r>
          </w:p>
        </w:tc>
        <w:tc>
          <w:tcPr>
            <w:tcW w:w="786" w:type="dxa"/>
            <w:tcBorders>
              <w:top w:val="single" w:sz="4" w:space="0" w:color="888888"/>
              <w:left w:val="single" w:sz="4" w:space="0" w:color="888888"/>
              <w:bottom w:val="single" w:sz="4" w:space="0" w:color="888888"/>
              <w:right w:val="single" w:sz="4" w:space="0" w:color="888888"/>
            </w:tcBorders>
          </w:tcPr>
          <w:p w14:paraId="221D450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w:t>
            </w:r>
          </w:p>
        </w:tc>
        <w:tc>
          <w:tcPr>
            <w:tcW w:w="786" w:type="dxa"/>
            <w:tcBorders>
              <w:top w:val="single" w:sz="4" w:space="0" w:color="888888"/>
              <w:left w:val="single" w:sz="4" w:space="0" w:color="888888"/>
              <w:bottom w:val="single" w:sz="4" w:space="0" w:color="888888"/>
              <w:right w:val="single" w:sz="4" w:space="0" w:color="888888"/>
            </w:tcBorders>
          </w:tcPr>
          <w:p w14:paraId="57ED6C7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 Identify predictors of stillbirth</w:t>
            </w:r>
            <w:r>
              <w:rPr>
                <w:rFonts w:ascii="Arial" w:hAnsi="Arial" w:cs="Arial"/>
                <w:sz w:val="12"/>
                <w:szCs w:val="12"/>
              </w:rPr>
              <w:br/>
              <w:t>2. Model development</w:t>
            </w:r>
          </w:p>
        </w:tc>
        <w:tc>
          <w:tcPr>
            <w:tcW w:w="1051" w:type="dxa"/>
            <w:tcBorders>
              <w:top w:val="single" w:sz="4" w:space="0" w:color="888888"/>
              <w:left w:val="single" w:sz="4" w:space="0" w:color="888888"/>
              <w:bottom w:val="single" w:sz="4" w:space="0" w:color="888888"/>
              <w:right w:val="single" w:sz="4" w:space="0" w:color="888888"/>
            </w:tcBorders>
          </w:tcPr>
          <w:p w14:paraId="4A66EC0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Maternal factor</w:t>
            </w:r>
            <w:r>
              <w:rPr>
                <w:rFonts w:ascii="Arial" w:hAnsi="Arial" w:cs="Arial"/>
                <w:sz w:val="12"/>
                <w:szCs w:val="12"/>
              </w:rPr>
              <w:br/>
              <w:t>- Previous adverse outcome (history of abortion)</w:t>
            </w:r>
            <w:r>
              <w:rPr>
                <w:rFonts w:ascii="Arial" w:hAnsi="Arial" w:cs="Arial"/>
                <w:sz w:val="12"/>
                <w:szCs w:val="12"/>
              </w:rPr>
              <w:br/>
              <w:t>- Hypertensive disorders of pregnancy (history of pre-eclampsia)</w:t>
            </w:r>
            <w:r>
              <w:rPr>
                <w:rFonts w:ascii="Arial" w:hAnsi="Arial" w:cs="Arial"/>
                <w:sz w:val="12"/>
                <w:szCs w:val="12"/>
              </w:rPr>
              <w:br/>
              <w:t>- Anaemia / haemoglobin</w:t>
            </w:r>
            <w:r>
              <w:rPr>
                <w:rFonts w:ascii="Arial" w:hAnsi="Arial" w:cs="Arial"/>
                <w:sz w:val="12"/>
                <w:szCs w:val="12"/>
              </w:rPr>
              <w:br/>
              <w:t>Clinical factor</w:t>
            </w:r>
            <w:r>
              <w:rPr>
                <w:rFonts w:ascii="Arial" w:hAnsi="Arial" w:cs="Arial"/>
                <w:sz w:val="12"/>
                <w:szCs w:val="12"/>
              </w:rPr>
              <w:br/>
              <w:t>- Bilateral uterine artery end-diastolic notch</w:t>
            </w:r>
          </w:p>
        </w:tc>
        <w:tc>
          <w:tcPr>
            <w:tcW w:w="851" w:type="dxa"/>
            <w:tcBorders>
              <w:top w:val="single" w:sz="4" w:space="0" w:color="888888"/>
              <w:left w:val="single" w:sz="4" w:space="0" w:color="888888"/>
              <w:bottom w:val="single" w:sz="4" w:space="0" w:color="888888"/>
              <w:right w:val="single" w:sz="4" w:space="0" w:color="888888"/>
            </w:tcBorders>
          </w:tcPr>
          <w:p w14:paraId="697A418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1230C897"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748BF596"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38596631"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58B2327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Six logistic regression models were built on ROSE-balanced data. The model AUC ranged from 66.8% to 75.0%, with accuracies of 63.9% to 68.1%. The best model achieved an AUC of 75.0% with 68.1% accuracy, 69.1% sensitivity and 67.1% specificity.</w:t>
            </w:r>
          </w:p>
        </w:tc>
        <w:tc>
          <w:tcPr>
            <w:tcW w:w="851" w:type="dxa"/>
            <w:tcBorders>
              <w:top w:val="single" w:sz="4" w:space="0" w:color="888888"/>
              <w:left w:val="single" w:sz="4" w:space="0" w:color="888888"/>
              <w:bottom w:val="single" w:sz="4" w:space="0" w:color="888888"/>
              <w:right w:val="single" w:sz="4" w:space="0" w:color="888888"/>
            </w:tcBorders>
          </w:tcPr>
          <w:p w14:paraId="47465F0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 Accuracy, Sensitivity, Specificity</w:t>
            </w:r>
          </w:p>
        </w:tc>
        <w:tc>
          <w:tcPr>
            <w:tcW w:w="817" w:type="dxa"/>
            <w:tcBorders>
              <w:top w:val="single" w:sz="4" w:space="0" w:color="888888"/>
              <w:left w:val="single" w:sz="4" w:space="0" w:color="888888"/>
              <w:bottom w:val="single" w:sz="4" w:space="0" w:color="888888"/>
              <w:right w:val="single" w:sz="4" w:space="0" w:color="888888"/>
            </w:tcBorders>
          </w:tcPr>
          <w:p w14:paraId="71B7CBE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3315761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1,285 pregnant mothers recruited at 16-24 weeks (25 stillbirths; incidence 2.5%)</w:t>
            </w:r>
          </w:p>
        </w:tc>
        <w:tc>
          <w:tcPr>
            <w:tcW w:w="851" w:type="dxa"/>
            <w:tcBorders>
              <w:top w:val="single" w:sz="4" w:space="0" w:color="888888"/>
              <w:left w:val="single" w:sz="4" w:space="0" w:color="888888"/>
              <w:bottom w:val="single" w:sz="4" w:space="0" w:color="888888"/>
              <w:right w:val="single" w:sz="4" w:space="0" w:color="888888"/>
            </w:tcBorders>
          </w:tcPr>
          <w:p w14:paraId="59612EA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Funded through a PhD project supported by the Swedish International Development Cooperation Agency</w:t>
            </w:r>
          </w:p>
        </w:tc>
        <w:tc>
          <w:tcPr>
            <w:tcW w:w="1134" w:type="dxa"/>
            <w:tcBorders>
              <w:top w:val="single" w:sz="4" w:space="0" w:color="888888"/>
              <w:left w:val="single" w:sz="4" w:space="0" w:color="888888"/>
              <w:bottom w:val="single" w:sz="4" w:space="0" w:color="888888"/>
              <w:right w:val="single" w:sz="4" w:space="0" w:color="888888"/>
            </w:tcBorders>
          </w:tcPr>
          <w:p w14:paraId="0047504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50.0%</w:t>
            </w:r>
          </w:p>
        </w:tc>
        <w:tc>
          <w:tcPr>
            <w:tcW w:w="841" w:type="dxa"/>
            <w:tcBorders>
              <w:top w:val="single" w:sz="4" w:space="0" w:color="888888"/>
              <w:left w:val="single" w:sz="4" w:space="0" w:color="888888"/>
              <w:bottom w:val="single" w:sz="4" w:space="0" w:color="888888"/>
              <w:right w:val="single" w:sz="4" w:space="0" w:color="888888"/>
            </w:tcBorders>
          </w:tcPr>
          <w:p w14:paraId="4AE0641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D1: Low risk</w:t>
            </w:r>
          </w:p>
          <w:p w14:paraId="1D6C1F6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D2: Low risk</w:t>
            </w:r>
          </w:p>
          <w:p w14:paraId="57FD3C8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D3: Unclear risk</w:t>
            </w:r>
          </w:p>
          <w:p w14:paraId="29081B4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D4: High risk</w:t>
            </w:r>
          </w:p>
        </w:tc>
        <w:tc>
          <w:tcPr>
            <w:tcW w:w="860" w:type="dxa"/>
            <w:tcBorders>
              <w:top w:val="single" w:sz="4" w:space="0" w:color="888888"/>
              <w:left w:val="single" w:sz="4" w:space="0" w:color="888888"/>
              <w:bottom w:val="single" w:sz="4" w:space="0" w:color="888888"/>
              <w:right w:val="single" w:sz="4" w:space="0" w:color="888888"/>
            </w:tcBorders>
          </w:tcPr>
          <w:p w14:paraId="370A4B0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Available via inquiries to corresponding author</w:t>
            </w:r>
          </w:p>
        </w:tc>
        <w:tc>
          <w:tcPr>
            <w:tcW w:w="442" w:type="dxa"/>
            <w:tcBorders>
              <w:top w:val="single" w:sz="4" w:space="0" w:color="888888"/>
              <w:left w:val="single" w:sz="4" w:space="0" w:color="888888"/>
              <w:bottom w:val="single" w:sz="4" w:space="0" w:color="888888"/>
              <w:right w:val="single" w:sz="4" w:space="0" w:color="888888"/>
            </w:tcBorders>
          </w:tcPr>
          <w:p w14:paraId="20ED3126" w14:textId="77777777" w:rsidR="00871B31" w:rsidRPr="00756461" w:rsidRDefault="00871B31" w:rsidP="00BC1F31">
            <w:pPr>
              <w:spacing w:after="0" w:line="240" w:lineRule="auto"/>
              <w:jc w:val="center"/>
              <w:rPr>
                <w:rFonts w:ascii="Arial" w:hAnsi="Arial" w:cs="Arial"/>
                <w:sz w:val="12"/>
                <w:szCs w:val="12"/>
              </w:rPr>
            </w:pPr>
            <w:r>
              <w:rPr>
                <w:rFonts w:ascii="Arial Narrow" w:hAnsi="Arial Narrow"/>
                <w:sz w:val="12"/>
                <w:szCs w:val="12"/>
              </w:rPr>
              <w:fldChar w:fldCharType="begin"/>
            </w:r>
            <w:r>
              <w:rPr>
                <w:rFonts w:ascii="Arial Narrow" w:hAnsi="Arial Narrow"/>
                <w:sz w:val="12"/>
                <w:szCs w:val="12"/>
              </w:rPr>
              <w:instrText xml:space="preserve"> ADDIN ZOTERO_ITEM CSL_CITATION {"citationID":"QsXcVzlc","properties":{"unsorted":false,"formattedCitation":"[116]","plainCitation":"[116]","noteIndex":0},"citationItems":[{"id":7398,"uris":["http://zotero.org/users/16018142/items/IZDJGYED"],"itemData":{"id":7398,"type":"article-journal","abstract":"Background\nWomen of Afro-Caribbean and Asian origin are more at risk of stillbirths. However, there are limited tools built for risk-prediction models for stillbirth within sub-Saharan Africa. Therefore, we examined the predictors for stillbirth in low resource setting in Northern Uganda.\n\nMethods\nProspective cohort study at St. Mary’s hospital Lacor in Northern Uganda. Using Yamane’s 1967 formula for calculating sample size for cohort studies using finite population size, the required sample size was 379 mothers. We doubled the number (to&gt;758) to cater for loss to follow up, miscarriages, and clients opting out of the study during the follow-up period. Recruited 1,285 pregnant mothers at 16</w:instrText>
            </w:r>
            <w:r>
              <w:rPr>
                <w:rFonts w:ascii="Arial Narrow" w:hAnsi="Arial Narrow" w:cs="Arial Narrow"/>
                <w:sz w:val="12"/>
                <w:szCs w:val="12"/>
              </w:rPr>
              <w:instrText>–</w:instrText>
            </w:r>
            <w:r>
              <w:rPr>
                <w:rFonts w:ascii="Arial Narrow" w:hAnsi="Arial Narrow"/>
                <w:sz w:val="12"/>
                <w:szCs w:val="12"/>
              </w:rPr>
              <w:instrText>24weeks, excluded those with lethal congenital anomalies diagnosed on ultrasound. Their history, physical findings, blood tests and uterine artery Doppler indices were taken, and the mothers were encouraged to continue with routine prenatal care until the time for delivery. While in the delivery ward, they were followed up in labour until delivery by the research team. The primary outcome was stillbirth 24+weeks with no signs of life. Built models in RStudio. Since the data was imbalanced with low stillbirth rate, used ROSE package to over-sample stillbirths and under-sample live-births to balance the data. We cross-validated the models with the ROSE-derived data using K (10)-fold cross-validation and obtained the area under curve (AUC) with accuracy, sensitivity and specificity.\n\nResults\nThe incidence of stillbirth was 2.5%. Predictors of stillbirth were history of abortion (aOR=3.07, 95% CI 1.11</w:instrText>
            </w:r>
            <w:r>
              <w:rPr>
                <w:rFonts w:ascii="Arial Narrow" w:hAnsi="Arial Narrow" w:cs="Arial Narrow"/>
                <w:sz w:val="12"/>
                <w:szCs w:val="12"/>
              </w:rPr>
              <w:instrText>—</w:instrText>
            </w:r>
            <w:r>
              <w:rPr>
                <w:rFonts w:ascii="Arial Narrow" w:hAnsi="Arial Narrow"/>
                <w:sz w:val="12"/>
                <w:szCs w:val="12"/>
              </w:rPr>
              <w:instrText>8.05, p=0.0243), bilateral end-diastolic notch (aOR=3.51, 95% CI 1.13</w:instrText>
            </w:r>
            <w:r>
              <w:rPr>
                <w:rFonts w:ascii="Arial Narrow" w:hAnsi="Arial Narrow" w:cs="Arial Narrow"/>
                <w:sz w:val="12"/>
                <w:szCs w:val="12"/>
              </w:rPr>
              <w:instrText>—</w:instrText>
            </w:r>
            <w:r>
              <w:rPr>
                <w:rFonts w:ascii="Arial Narrow" w:hAnsi="Arial Narrow"/>
                <w:sz w:val="12"/>
                <w:szCs w:val="12"/>
              </w:rPr>
              <w:instrText>9.92, p=0.0209), personal history of preeclampsia (aOR=5.18, 95% CI 0.60</w:instrText>
            </w:r>
            <w:r>
              <w:rPr>
                <w:rFonts w:ascii="Arial Narrow" w:hAnsi="Arial Narrow" w:cs="Arial Narrow"/>
                <w:sz w:val="12"/>
                <w:szCs w:val="12"/>
              </w:rPr>
              <w:instrText>—</w:instrText>
            </w:r>
            <w:r>
              <w:rPr>
                <w:rFonts w:ascii="Arial Narrow" w:hAnsi="Arial Narrow"/>
                <w:sz w:val="12"/>
                <w:szCs w:val="12"/>
              </w:rPr>
              <w:instrText xml:space="preserve">30.66, p=0.0916), and haemoglobin 9.5 </w:instrText>
            </w:r>
            <w:r>
              <w:rPr>
                <w:rFonts w:ascii="Arial Narrow" w:hAnsi="Arial Narrow" w:cs="Arial Narrow"/>
                <w:sz w:val="12"/>
                <w:szCs w:val="12"/>
              </w:rPr>
              <w:instrText>–</w:instrText>
            </w:r>
            <w:r>
              <w:rPr>
                <w:rFonts w:ascii="Arial Narrow" w:hAnsi="Arial Narrow"/>
                <w:sz w:val="12"/>
                <w:szCs w:val="12"/>
              </w:rPr>
              <w:instrText xml:space="preserve"> 12.1g/dL (aOR=0.33, 95% CI 0.11</w:instrText>
            </w:r>
            <w:r>
              <w:rPr>
                <w:rFonts w:ascii="Arial Narrow" w:hAnsi="Arial Narrow" w:cs="Arial Narrow"/>
                <w:sz w:val="12"/>
                <w:szCs w:val="12"/>
              </w:rPr>
              <w:instrText>—</w:instrText>
            </w:r>
            <w:r>
              <w:rPr>
                <w:rFonts w:ascii="Arial Narrow" w:hAnsi="Arial Narrow"/>
                <w:sz w:val="12"/>
                <w:szCs w:val="12"/>
              </w:rPr>
              <w:instrText>0.93, p=0.0375). The models</w:instrText>
            </w:r>
            <w:r>
              <w:rPr>
                <w:rFonts w:ascii="Arial Narrow" w:hAnsi="Arial Narrow" w:cs="Arial Narrow"/>
                <w:sz w:val="12"/>
                <w:szCs w:val="12"/>
              </w:rPr>
              <w:instrText>’</w:instrText>
            </w:r>
            <w:r>
              <w:rPr>
                <w:rFonts w:ascii="Arial Narrow" w:hAnsi="Arial Narrow"/>
                <w:sz w:val="12"/>
                <w:szCs w:val="12"/>
              </w:rPr>
              <w:instrText xml:space="preserve"> AUC was 75.0% with 68.1% accuracy, 69.1% sensitivity and 67.1% specificity.\n\nConclusion\nRisk factors for stillbirth include history of abortion and bilateral end-diastolic notch, while haemoglobin of 9.5</w:instrText>
            </w:r>
            <w:r>
              <w:rPr>
                <w:rFonts w:ascii="Arial Narrow" w:hAnsi="Arial Narrow" w:cs="Arial Narrow"/>
                <w:sz w:val="12"/>
                <w:szCs w:val="12"/>
              </w:rPr>
              <w:instrText>—</w:instrText>
            </w:r>
            <w:r>
              <w:rPr>
                <w:rFonts w:ascii="Arial Narrow" w:hAnsi="Arial Narrow"/>
                <w:sz w:val="12"/>
                <w:szCs w:val="12"/>
              </w:rPr>
              <w:instrText xml:space="preserve">12.1g/dL is protective.","container-title":"BMC Pregnancy and Childbirth","DOI":"10.1186/s12884-022-05198-6","ISSN":"1471-2393","journalAbbreviation":"BMC Pregnancy Childbirth","page":"855","PMID":"36403017","PMCID":"PMC9675255","source":"PubMed Central","title":"Prediction of stillbirth low resource setting in Northern Uganda","volume":"22","author":[{"family":"Awor","given":"Silvia"},{"family":"Byanyima","given":"Rosemary"},{"family":"Abola","given":"Benard"},{"family":"Kiondo","given":"Paul"},{"family":"Orach","given":"Christopher Garimoi"},{"family":"Ogwal-Okeng","given":"Jasper"},{"family":"Kaye","given":"Dan"},{"family":"Nakimuli","given":"Annettee"}],"issued":{"date-parts":[["2022",11,19]]}}}],"schema":"https://github.com/citation-style-language/schema/raw/master/csl-citation.json"} </w:instrText>
            </w:r>
            <w:r>
              <w:rPr>
                <w:rFonts w:ascii="Arial Narrow" w:hAnsi="Arial Narrow"/>
                <w:sz w:val="12"/>
                <w:szCs w:val="12"/>
              </w:rPr>
              <w:fldChar w:fldCharType="separate"/>
            </w:r>
            <w:r>
              <w:rPr>
                <w:rFonts w:ascii="Arial Narrow" w:hAnsi="Arial Narrow"/>
                <w:sz w:val="12"/>
              </w:rPr>
              <w:t>[116]</w:t>
            </w:r>
            <w:r>
              <w:rPr>
                <w:rFonts w:ascii="Arial Narrow" w:hAnsi="Arial Narrow"/>
                <w:sz w:val="12"/>
                <w:szCs w:val="12"/>
              </w:rPr>
              <w:fldChar w:fldCharType="end"/>
            </w:r>
          </w:p>
        </w:tc>
      </w:tr>
      <w:tr w:rsidR="00871B31" w:rsidRPr="00756461" w14:paraId="5DECE2FD"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33ED31A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Trudell, et al. 2017</w:t>
            </w:r>
          </w:p>
        </w:tc>
        <w:tc>
          <w:tcPr>
            <w:tcW w:w="1054" w:type="dxa"/>
            <w:tcBorders>
              <w:top w:val="single" w:sz="4" w:space="0" w:color="888888"/>
              <w:left w:val="single" w:sz="4" w:space="0" w:color="888888"/>
              <w:bottom w:val="single" w:sz="4" w:space="0" w:color="888888"/>
              <w:right w:val="single" w:sz="4" w:space="0" w:color="888888"/>
            </w:tcBorders>
          </w:tcPr>
          <w:p w14:paraId="2D96B65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cohort study</w:t>
            </w:r>
          </w:p>
        </w:tc>
        <w:tc>
          <w:tcPr>
            <w:tcW w:w="742" w:type="dxa"/>
            <w:tcBorders>
              <w:top w:val="single" w:sz="4" w:space="0" w:color="888888"/>
              <w:left w:val="single" w:sz="4" w:space="0" w:color="888888"/>
              <w:bottom w:val="single" w:sz="4" w:space="0" w:color="888888"/>
              <w:right w:val="single" w:sz="4" w:space="0" w:color="888888"/>
            </w:tcBorders>
          </w:tcPr>
          <w:p w14:paraId="09DE56A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United States</w:t>
            </w:r>
          </w:p>
        </w:tc>
        <w:tc>
          <w:tcPr>
            <w:tcW w:w="786" w:type="dxa"/>
            <w:tcBorders>
              <w:top w:val="single" w:sz="4" w:space="0" w:color="888888"/>
              <w:left w:val="single" w:sz="4" w:space="0" w:color="888888"/>
              <w:bottom w:val="single" w:sz="4" w:space="0" w:color="888888"/>
              <w:right w:val="single" w:sz="4" w:space="0" w:color="888888"/>
            </w:tcBorders>
          </w:tcPr>
          <w:p w14:paraId="31AE910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w:t>
            </w:r>
          </w:p>
        </w:tc>
        <w:tc>
          <w:tcPr>
            <w:tcW w:w="786" w:type="dxa"/>
            <w:tcBorders>
              <w:top w:val="single" w:sz="4" w:space="0" w:color="888888"/>
              <w:left w:val="single" w:sz="4" w:space="0" w:color="888888"/>
              <w:bottom w:val="single" w:sz="4" w:space="0" w:color="888888"/>
              <w:right w:val="single" w:sz="4" w:space="0" w:color="888888"/>
            </w:tcBorders>
          </w:tcPr>
          <w:p w14:paraId="10FF271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development</w:t>
            </w:r>
          </w:p>
        </w:tc>
        <w:tc>
          <w:tcPr>
            <w:tcW w:w="1051" w:type="dxa"/>
            <w:tcBorders>
              <w:top w:val="single" w:sz="4" w:space="0" w:color="888888"/>
              <w:left w:val="single" w:sz="4" w:space="0" w:color="888888"/>
              <w:bottom w:val="single" w:sz="4" w:space="0" w:color="888888"/>
              <w:right w:val="single" w:sz="4" w:space="0" w:color="888888"/>
            </w:tcBorders>
          </w:tcPr>
          <w:p w14:paraId="278A896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Maternal factor</w:t>
            </w:r>
            <w:r>
              <w:rPr>
                <w:rFonts w:ascii="Arial" w:hAnsi="Arial" w:cs="Arial"/>
                <w:sz w:val="12"/>
                <w:szCs w:val="12"/>
              </w:rPr>
              <w:br/>
              <w:t>- Maternal age</w:t>
            </w:r>
            <w:r>
              <w:rPr>
                <w:rFonts w:ascii="Arial" w:hAnsi="Arial" w:cs="Arial"/>
                <w:sz w:val="12"/>
                <w:szCs w:val="12"/>
              </w:rPr>
              <w:br/>
              <w:t>- Maternal body mass index (class III obesity)</w:t>
            </w:r>
            <w:r>
              <w:rPr>
                <w:rFonts w:ascii="Arial" w:hAnsi="Arial" w:cs="Arial"/>
                <w:sz w:val="12"/>
                <w:szCs w:val="12"/>
              </w:rPr>
              <w:br/>
              <w:t>- Parity (nulliparity)</w:t>
            </w:r>
            <w:r>
              <w:rPr>
                <w:rFonts w:ascii="Arial" w:hAnsi="Arial" w:cs="Arial"/>
                <w:sz w:val="12"/>
                <w:szCs w:val="12"/>
              </w:rPr>
              <w:br/>
            </w:r>
            <w:r>
              <w:rPr>
                <w:rFonts w:ascii="Arial" w:hAnsi="Arial" w:cs="Arial"/>
                <w:sz w:val="12"/>
                <w:szCs w:val="12"/>
              </w:rPr>
              <w:lastRenderedPageBreak/>
              <w:t>- Chronic hypertension</w:t>
            </w:r>
            <w:r>
              <w:rPr>
                <w:rFonts w:ascii="Arial" w:hAnsi="Arial" w:cs="Arial"/>
                <w:sz w:val="12"/>
                <w:szCs w:val="12"/>
              </w:rPr>
              <w:br/>
              <w:t xml:space="preserve">- </w:t>
            </w:r>
            <w:proofErr w:type="gramStart"/>
            <w:r>
              <w:rPr>
                <w:rFonts w:ascii="Arial" w:hAnsi="Arial" w:cs="Arial"/>
                <w:sz w:val="12"/>
                <w:szCs w:val="12"/>
              </w:rPr>
              <w:t>Pre-gestational</w:t>
            </w:r>
            <w:proofErr w:type="gramEnd"/>
            <w:r>
              <w:rPr>
                <w:rFonts w:ascii="Arial" w:hAnsi="Arial" w:cs="Arial"/>
                <w:sz w:val="12"/>
                <w:szCs w:val="12"/>
              </w:rPr>
              <w:t xml:space="preserve"> diabetes mellitus</w:t>
            </w:r>
            <w:r>
              <w:rPr>
                <w:rFonts w:ascii="Arial" w:hAnsi="Arial" w:cs="Arial"/>
                <w:sz w:val="12"/>
                <w:szCs w:val="12"/>
              </w:rPr>
              <w:br/>
              <w:t>- Smoking / substance use</w:t>
            </w:r>
            <w:r>
              <w:rPr>
                <w:rFonts w:ascii="Arial" w:hAnsi="Arial" w:cs="Arial"/>
                <w:sz w:val="12"/>
                <w:szCs w:val="12"/>
              </w:rPr>
              <w:br/>
              <w:t>Sociodemographic factor</w:t>
            </w:r>
            <w:r>
              <w:rPr>
                <w:rFonts w:ascii="Arial" w:hAnsi="Arial" w:cs="Arial"/>
                <w:sz w:val="12"/>
                <w:szCs w:val="12"/>
              </w:rPr>
              <w:br/>
              <w:t>- Black race</w:t>
            </w:r>
          </w:p>
        </w:tc>
        <w:tc>
          <w:tcPr>
            <w:tcW w:w="851" w:type="dxa"/>
            <w:tcBorders>
              <w:top w:val="single" w:sz="4" w:space="0" w:color="888888"/>
              <w:left w:val="single" w:sz="4" w:space="0" w:color="888888"/>
              <w:bottom w:val="single" w:sz="4" w:space="0" w:color="888888"/>
              <w:right w:val="single" w:sz="4" w:space="0" w:color="888888"/>
            </w:tcBorders>
          </w:tcPr>
          <w:p w14:paraId="08C4E55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049E2C2C"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43113BFF"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07377F54"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771C7D3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The stillbirth risk calculator and simple risk score showed modest discrimination. There was no </w:t>
            </w:r>
            <w:r>
              <w:rPr>
                <w:rFonts w:ascii="Arial" w:hAnsi="Arial" w:cs="Arial"/>
                <w:sz w:val="12"/>
                <w:szCs w:val="12"/>
              </w:rPr>
              <w:lastRenderedPageBreak/>
              <w:t>difference in overall performance between the tools: AUC 0.66 (95% CI 0.60-0.72) for the calculator and AUC 0.64 (95% CI 0.58-0.70) for the score.</w:t>
            </w:r>
          </w:p>
        </w:tc>
        <w:tc>
          <w:tcPr>
            <w:tcW w:w="851" w:type="dxa"/>
            <w:tcBorders>
              <w:top w:val="single" w:sz="4" w:space="0" w:color="888888"/>
              <w:left w:val="single" w:sz="4" w:space="0" w:color="888888"/>
              <w:bottom w:val="single" w:sz="4" w:space="0" w:color="888888"/>
              <w:right w:val="single" w:sz="4" w:space="0" w:color="888888"/>
            </w:tcBorders>
          </w:tcPr>
          <w:p w14:paraId="1AFDE1E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AUC</w:t>
            </w:r>
          </w:p>
        </w:tc>
        <w:tc>
          <w:tcPr>
            <w:tcW w:w="817" w:type="dxa"/>
            <w:tcBorders>
              <w:top w:val="single" w:sz="4" w:space="0" w:color="888888"/>
              <w:left w:val="single" w:sz="4" w:space="0" w:color="888888"/>
              <w:bottom w:val="single" w:sz="4" w:space="0" w:color="888888"/>
              <w:right w:val="single" w:sz="4" w:space="0" w:color="888888"/>
            </w:tcBorders>
          </w:tcPr>
          <w:p w14:paraId="18CF68A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67EEA86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64,173 women met inclusion criteria (464 stillbirths)</w:t>
            </w:r>
          </w:p>
        </w:tc>
        <w:tc>
          <w:tcPr>
            <w:tcW w:w="851" w:type="dxa"/>
            <w:tcBorders>
              <w:top w:val="single" w:sz="4" w:space="0" w:color="888888"/>
              <w:left w:val="single" w:sz="4" w:space="0" w:color="888888"/>
              <w:bottom w:val="single" w:sz="4" w:space="0" w:color="888888"/>
              <w:right w:val="single" w:sz="4" w:space="0" w:color="888888"/>
            </w:tcBorders>
          </w:tcPr>
          <w:p w14:paraId="49C0750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Not stated in the article</w:t>
            </w:r>
          </w:p>
        </w:tc>
        <w:tc>
          <w:tcPr>
            <w:tcW w:w="1134" w:type="dxa"/>
            <w:tcBorders>
              <w:top w:val="single" w:sz="4" w:space="0" w:color="888888"/>
              <w:left w:val="single" w:sz="4" w:space="0" w:color="888888"/>
              <w:bottom w:val="single" w:sz="4" w:space="0" w:color="888888"/>
              <w:right w:val="single" w:sz="4" w:space="0" w:color="888888"/>
            </w:tcBorders>
          </w:tcPr>
          <w:p w14:paraId="77566B0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62.5% </w:t>
            </w:r>
          </w:p>
        </w:tc>
        <w:tc>
          <w:tcPr>
            <w:tcW w:w="841" w:type="dxa"/>
            <w:tcBorders>
              <w:top w:val="single" w:sz="4" w:space="0" w:color="888888"/>
              <w:left w:val="single" w:sz="4" w:space="0" w:color="888888"/>
              <w:bottom w:val="single" w:sz="4" w:space="0" w:color="888888"/>
              <w:right w:val="single" w:sz="4" w:space="0" w:color="888888"/>
            </w:tcBorders>
          </w:tcPr>
          <w:p w14:paraId="4955C5F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D1: Low risk</w:t>
            </w:r>
          </w:p>
          <w:p w14:paraId="7A97578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D2: Low risk</w:t>
            </w:r>
          </w:p>
          <w:p w14:paraId="1B060A5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D3: Low risk</w:t>
            </w:r>
          </w:p>
          <w:p w14:paraId="51C6C6D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D4: High risk</w:t>
            </w:r>
          </w:p>
        </w:tc>
        <w:tc>
          <w:tcPr>
            <w:tcW w:w="860" w:type="dxa"/>
            <w:tcBorders>
              <w:top w:val="single" w:sz="4" w:space="0" w:color="888888"/>
              <w:left w:val="single" w:sz="4" w:space="0" w:color="888888"/>
              <w:bottom w:val="single" w:sz="4" w:space="0" w:color="888888"/>
              <w:right w:val="single" w:sz="4" w:space="0" w:color="888888"/>
            </w:tcBorders>
          </w:tcPr>
          <w:p w14:paraId="51C6811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Supporting information available</w:t>
            </w:r>
          </w:p>
        </w:tc>
        <w:tc>
          <w:tcPr>
            <w:tcW w:w="442" w:type="dxa"/>
            <w:tcBorders>
              <w:top w:val="single" w:sz="4" w:space="0" w:color="888888"/>
              <w:left w:val="single" w:sz="4" w:space="0" w:color="888888"/>
              <w:bottom w:val="single" w:sz="4" w:space="0" w:color="888888"/>
              <w:right w:val="single" w:sz="4" w:space="0" w:color="888888"/>
            </w:tcBorders>
          </w:tcPr>
          <w:p w14:paraId="47533389" w14:textId="77777777" w:rsidR="00871B31" w:rsidRPr="00756461" w:rsidRDefault="00871B31" w:rsidP="00BC1F31">
            <w:pPr>
              <w:spacing w:after="0" w:line="240" w:lineRule="auto"/>
              <w:rPr>
                <w:rFonts w:ascii="Arial" w:hAnsi="Arial" w:cs="Arial"/>
                <w:sz w:val="12"/>
                <w:szCs w:val="12"/>
              </w:rPr>
            </w:pPr>
            <w:r>
              <w:rPr>
                <w:rFonts w:ascii="Arial Narrow" w:hAnsi="Arial Narrow"/>
                <w:sz w:val="12"/>
                <w:szCs w:val="12"/>
              </w:rPr>
              <w:fldChar w:fldCharType="begin"/>
            </w:r>
            <w:r>
              <w:rPr>
                <w:rFonts w:ascii="Arial Narrow" w:hAnsi="Arial Narrow"/>
                <w:sz w:val="12"/>
                <w:szCs w:val="12"/>
              </w:rPr>
              <w:instrText xml:space="preserve"> ADDIN ZOTERO_ITEM CSL_CITATION {"citationID":"8DAs5CkN","properties":{"unsorted":false,"formattedCitation":"[117]","plainCitation":"[117]","noteIndex":0},"citationItems":[{"id":7387,"uris":["http://zotero.org/users/16018142/items/565DWT53"],"itemData":{"id":7387,"type":"article-journal","abstract":"Objective To generate a clinical prediction tool for stillbirth that combines maternal risk factors to provide an evidence based approach for the identification of women who will benefit most from antenatal testing for stillbirth prevention. Design Retrospective cohort study Setting Midwestern United States quaternary referral center Population Singleton pregnancies undergoing second trimester anatomic survey from 1999–2009. Pregnancies with incomplete follow-up were excluded. Methods Candidate predictors were identified from the literature and univariate analysis. Backward stepwise logistic regression with statistical comparison of model discrimination, calibration and clinical performance was used to generate final models for the prediction of stillbirth. Internal validation was performed using bootstrapping with 1,000 repetitions. A stillbirth risk calculator and stillbirth risk score were developed for the prediction of stillbirth at or beyond 32 weeks excluding fetal anomalies and aneuploidy. Statistical and clinical cut-points were identified and the tools compared using the Integrated Discrimination Improvement. Main outcome measures Antepartum stillbirth Results 64,173 women met inclusion criteria. The final stillbirth risk calculator and score included maternal age, black race, nulliparity, body mass index, smoking, chronic hypertension and pre-gestational diabetes. The stillbirth calculator and simple risk score demonstrated modest discrimination but clinically significant performance with no difference in overall performance between the tools [(AUC 0.66 95% CI 0.60–0.72) and (AUC 0.64 95% CI 0.58–0.70), (p = 0.25)]. Conclusion A stillbirth risk score was developed incorporating maternal risk factors easily ascertained during prenatal care to determine an individual woman’s risk for stillbirth and provide an evidenced based approach to the initiation of antenatal testing for the prediction and prevention of stillbirth.","container-title":"PLOS ONE","DOI":"10.1371/journal.pone.0173461","ISSN":"1932-6203","issue":"3","journalAbbreviation":"PLOS ONE","language":"en","page":"e0173461","publisher":"Public Library of Science","source":"PLoS Journals","title":"A stillbirth calculator: Development and internal validation of a clinical prediction model to quantify stillbirth risk","title-short":"A stillbirth calculator","volume":"12","author":[{"family":"Trudell","given":"Amanda S."},{"family":"Tuuli","given":"Methodius G."},{"family":"Colditz","given":"Graham A."},{"family":"Macones","given":"George A."},{"family":"Odibo","given":"Anthony O."}],"issued":{"date-parts":[["2017",3,7]]}}}],"schema":"https://github.com/citation-style-language/schema/raw/master/csl-citation.json"} </w:instrText>
            </w:r>
            <w:r>
              <w:rPr>
                <w:rFonts w:ascii="Arial Narrow" w:hAnsi="Arial Narrow"/>
                <w:sz w:val="12"/>
                <w:szCs w:val="12"/>
              </w:rPr>
              <w:fldChar w:fldCharType="separate"/>
            </w:r>
            <w:r>
              <w:rPr>
                <w:rFonts w:ascii="Arial Narrow" w:hAnsi="Arial Narrow"/>
                <w:sz w:val="12"/>
              </w:rPr>
              <w:t>[117]</w:t>
            </w:r>
            <w:r>
              <w:rPr>
                <w:rFonts w:ascii="Arial Narrow" w:hAnsi="Arial Narrow"/>
                <w:sz w:val="12"/>
                <w:szCs w:val="12"/>
              </w:rPr>
              <w:fldChar w:fldCharType="end"/>
            </w:r>
          </w:p>
        </w:tc>
      </w:tr>
      <w:tr w:rsidR="00871B31" w:rsidRPr="00756461" w14:paraId="78DA6C14"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63CCE40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Housseine, et al. 2022</w:t>
            </w:r>
          </w:p>
        </w:tc>
        <w:tc>
          <w:tcPr>
            <w:tcW w:w="1054" w:type="dxa"/>
            <w:tcBorders>
              <w:top w:val="single" w:sz="4" w:space="0" w:color="888888"/>
              <w:left w:val="single" w:sz="4" w:space="0" w:color="888888"/>
              <w:bottom w:val="single" w:sz="4" w:space="0" w:color="888888"/>
              <w:right w:val="single" w:sz="4" w:space="0" w:color="888888"/>
            </w:tcBorders>
          </w:tcPr>
          <w:p w14:paraId="4655558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Prospective cohort study</w:t>
            </w:r>
          </w:p>
        </w:tc>
        <w:tc>
          <w:tcPr>
            <w:tcW w:w="742" w:type="dxa"/>
            <w:tcBorders>
              <w:top w:val="single" w:sz="4" w:space="0" w:color="888888"/>
              <w:left w:val="single" w:sz="4" w:space="0" w:color="888888"/>
              <w:bottom w:val="single" w:sz="4" w:space="0" w:color="888888"/>
              <w:right w:val="single" w:sz="4" w:space="0" w:color="888888"/>
            </w:tcBorders>
          </w:tcPr>
          <w:p w14:paraId="52C0277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Tanzania</w:t>
            </w:r>
          </w:p>
        </w:tc>
        <w:tc>
          <w:tcPr>
            <w:tcW w:w="786" w:type="dxa"/>
            <w:tcBorders>
              <w:top w:val="single" w:sz="4" w:space="0" w:color="888888"/>
              <w:left w:val="single" w:sz="4" w:space="0" w:color="888888"/>
              <w:bottom w:val="single" w:sz="4" w:space="0" w:color="888888"/>
              <w:right w:val="single" w:sz="4" w:space="0" w:color="888888"/>
            </w:tcBorders>
          </w:tcPr>
          <w:p w14:paraId="30B5E16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Perinatal death (stillbirth + neonatal death)</w:t>
            </w:r>
          </w:p>
        </w:tc>
        <w:tc>
          <w:tcPr>
            <w:tcW w:w="786" w:type="dxa"/>
            <w:tcBorders>
              <w:top w:val="single" w:sz="4" w:space="0" w:color="888888"/>
              <w:left w:val="single" w:sz="4" w:space="0" w:color="888888"/>
              <w:bottom w:val="single" w:sz="4" w:space="0" w:color="888888"/>
              <w:right w:val="single" w:sz="4" w:space="0" w:color="888888"/>
            </w:tcBorders>
          </w:tcPr>
          <w:p w14:paraId="4C94437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 External validation of an existing model</w:t>
            </w:r>
            <w:r>
              <w:rPr>
                <w:rFonts w:ascii="Arial" w:hAnsi="Arial" w:cs="Arial"/>
                <w:sz w:val="12"/>
                <w:szCs w:val="12"/>
              </w:rPr>
              <w:br/>
              <w:t>2. Development of a new model</w:t>
            </w:r>
          </w:p>
        </w:tc>
        <w:tc>
          <w:tcPr>
            <w:tcW w:w="1051" w:type="dxa"/>
            <w:tcBorders>
              <w:top w:val="single" w:sz="4" w:space="0" w:color="888888"/>
              <w:left w:val="single" w:sz="4" w:space="0" w:color="888888"/>
              <w:bottom w:val="single" w:sz="4" w:space="0" w:color="888888"/>
              <w:right w:val="single" w:sz="4" w:space="0" w:color="888888"/>
            </w:tcBorders>
          </w:tcPr>
          <w:p w14:paraId="6EEC33E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Maternal factor</w:t>
            </w:r>
            <w:r>
              <w:rPr>
                <w:rFonts w:ascii="Arial" w:hAnsi="Arial" w:cs="Arial"/>
                <w:sz w:val="12"/>
                <w:szCs w:val="12"/>
              </w:rPr>
              <w:br/>
              <w:t>- Maternal age</w:t>
            </w:r>
            <w:r>
              <w:rPr>
                <w:rFonts w:ascii="Arial" w:hAnsi="Arial" w:cs="Arial"/>
                <w:sz w:val="12"/>
                <w:szCs w:val="12"/>
              </w:rPr>
              <w:br/>
              <w:t>- Parity</w:t>
            </w:r>
            <w:r>
              <w:rPr>
                <w:rFonts w:ascii="Arial" w:hAnsi="Arial" w:cs="Arial"/>
                <w:sz w:val="12"/>
                <w:szCs w:val="12"/>
              </w:rPr>
              <w:br/>
              <w:t>- Antenatal care visits</w:t>
            </w:r>
            <w:r>
              <w:rPr>
                <w:rFonts w:ascii="Arial" w:hAnsi="Arial" w:cs="Arial"/>
                <w:sz w:val="12"/>
                <w:szCs w:val="12"/>
              </w:rPr>
              <w:br/>
              <w:t>- Co-existing medical conditions</w:t>
            </w:r>
            <w:r>
              <w:rPr>
                <w:rFonts w:ascii="Arial" w:hAnsi="Arial" w:cs="Arial"/>
                <w:sz w:val="12"/>
                <w:szCs w:val="12"/>
              </w:rPr>
              <w:br/>
              <w:t>Foetal factor</w:t>
            </w:r>
            <w:r>
              <w:rPr>
                <w:rFonts w:ascii="Arial" w:hAnsi="Arial" w:cs="Arial"/>
                <w:sz w:val="12"/>
                <w:szCs w:val="12"/>
              </w:rPr>
              <w:br/>
              <w:t>- Gestational age</w:t>
            </w:r>
            <w:r>
              <w:rPr>
                <w:rFonts w:ascii="Arial" w:hAnsi="Arial" w:cs="Arial"/>
                <w:sz w:val="12"/>
                <w:szCs w:val="12"/>
              </w:rPr>
              <w:br/>
              <w:t>- Foetal presentation</w:t>
            </w:r>
            <w:r>
              <w:rPr>
                <w:rFonts w:ascii="Arial" w:hAnsi="Arial" w:cs="Arial"/>
                <w:sz w:val="12"/>
                <w:szCs w:val="12"/>
              </w:rPr>
              <w:br/>
              <w:t>Clinical factor</w:t>
            </w:r>
            <w:r>
              <w:rPr>
                <w:rFonts w:ascii="Arial" w:hAnsi="Arial" w:cs="Arial"/>
                <w:sz w:val="12"/>
                <w:szCs w:val="12"/>
              </w:rPr>
              <w:br/>
              <w:t>- Prolonged rupture of membranes</w:t>
            </w:r>
          </w:p>
        </w:tc>
        <w:tc>
          <w:tcPr>
            <w:tcW w:w="851" w:type="dxa"/>
            <w:tcBorders>
              <w:top w:val="single" w:sz="4" w:space="0" w:color="888888"/>
              <w:left w:val="single" w:sz="4" w:space="0" w:color="888888"/>
              <w:bottom w:val="single" w:sz="4" w:space="0" w:color="888888"/>
              <w:right w:val="single" w:sz="4" w:space="0" w:color="888888"/>
            </w:tcBorders>
          </w:tcPr>
          <w:p w14:paraId="768FBCF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03515BC7"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633A8123"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5678FD1F"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7A93843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The existing six-predictor model showed poor discrimination (c-statistic 0.57). The new 15-predictor model showed promising performance after internal validation (optimism-adjusted c-statistic 0.78; optimism-adjusted calibration slope 0.94).</w:t>
            </w:r>
          </w:p>
        </w:tc>
        <w:tc>
          <w:tcPr>
            <w:tcW w:w="851" w:type="dxa"/>
            <w:tcBorders>
              <w:top w:val="single" w:sz="4" w:space="0" w:color="888888"/>
              <w:left w:val="single" w:sz="4" w:space="0" w:color="888888"/>
              <w:bottom w:val="single" w:sz="4" w:space="0" w:color="888888"/>
              <w:right w:val="single" w:sz="4" w:space="0" w:color="888888"/>
            </w:tcBorders>
          </w:tcPr>
          <w:p w14:paraId="08436EA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C-statistic, Calibration slope</w:t>
            </w:r>
          </w:p>
        </w:tc>
        <w:tc>
          <w:tcPr>
            <w:tcW w:w="817" w:type="dxa"/>
            <w:tcBorders>
              <w:top w:val="single" w:sz="4" w:space="0" w:color="888888"/>
              <w:left w:val="single" w:sz="4" w:space="0" w:color="888888"/>
              <w:bottom w:val="single" w:sz="4" w:space="0" w:color="888888"/>
              <w:right w:val="single" w:sz="4" w:space="0" w:color="888888"/>
            </w:tcBorders>
          </w:tcPr>
          <w:p w14:paraId="1DF7985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Both internal and external validation</w:t>
            </w:r>
          </w:p>
        </w:tc>
        <w:tc>
          <w:tcPr>
            <w:tcW w:w="742" w:type="dxa"/>
            <w:tcBorders>
              <w:top w:val="single" w:sz="4" w:space="0" w:color="888888"/>
              <w:left w:val="single" w:sz="4" w:space="0" w:color="888888"/>
              <w:bottom w:val="single" w:sz="4" w:space="0" w:color="888888"/>
              <w:right w:val="single" w:sz="4" w:space="0" w:color="888888"/>
            </w:tcBorders>
          </w:tcPr>
          <w:p w14:paraId="3E9CF00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5,747 mother-baby pairs analysed</w:t>
            </w:r>
          </w:p>
        </w:tc>
        <w:tc>
          <w:tcPr>
            <w:tcW w:w="851" w:type="dxa"/>
            <w:tcBorders>
              <w:top w:val="single" w:sz="4" w:space="0" w:color="888888"/>
              <w:left w:val="single" w:sz="4" w:space="0" w:color="888888"/>
              <w:bottom w:val="single" w:sz="4" w:space="0" w:color="888888"/>
              <w:right w:val="single" w:sz="4" w:space="0" w:color="888888"/>
            </w:tcBorders>
          </w:tcPr>
          <w:p w14:paraId="25B0A73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Laerdal Foundation, Otto Kranendonk Fund and UMC Global Health Fellowship</w:t>
            </w:r>
          </w:p>
        </w:tc>
        <w:tc>
          <w:tcPr>
            <w:tcW w:w="1134" w:type="dxa"/>
            <w:tcBorders>
              <w:top w:val="single" w:sz="4" w:space="0" w:color="888888"/>
              <w:left w:val="single" w:sz="4" w:space="0" w:color="888888"/>
              <w:bottom w:val="single" w:sz="4" w:space="0" w:color="888888"/>
              <w:right w:val="single" w:sz="4" w:space="0" w:color="888888"/>
            </w:tcBorders>
          </w:tcPr>
          <w:p w14:paraId="050ABF3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76.5%</w:t>
            </w:r>
          </w:p>
        </w:tc>
        <w:tc>
          <w:tcPr>
            <w:tcW w:w="841" w:type="dxa"/>
            <w:tcBorders>
              <w:top w:val="single" w:sz="4" w:space="0" w:color="888888"/>
              <w:left w:val="single" w:sz="4" w:space="0" w:color="888888"/>
              <w:bottom w:val="single" w:sz="4" w:space="0" w:color="888888"/>
              <w:right w:val="single" w:sz="4" w:space="0" w:color="888888"/>
            </w:tcBorders>
          </w:tcPr>
          <w:p w14:paraId="0855A41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D1: Low risk</w:t>
            </w:r>
          </w:p>
          <w:p w14:paraId="58844E9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D2: Low risk</w:t>
            </w:r>
          </w:p>
          <w:p w14:paraId="66C88B1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D3: Unclear risk</w:t>
            </w:r>
          </w:p>
          <w:p w14:paraId="368DCC9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D4: Low risk</w:t>
            </w:r>
          </w:p>
        </w:tc>
        <w:tc>
          <w:tcPr>
            <w:tcW w:w="860" w:type="dxa"/>
            <w:tcBorders>
              <w:top w:val="single" w:sz="4" w:space="0" w:color="888888"/>
              <w:left w:val="single" w:sz="4" w:space="0" w:color="888888"/>
              <w:bottom w:val="single" w:sz="4" w:space="0" w:color="888888"/>
              <w:right w:val="single" w:sz="4" w:space="0" w:color="888888"/>
            </w:tcBorders>
          </w:tcPr>
          <w:p w14:paraId="78EDF29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De-identified participant data available upon request</w:t>
            </w:r>
          </w:p>
        </w:tc>
        <w:tc>
          <w:tcPr>
            <w:tcW w:w="442" w:type="dxa"/>
            <w:tcBorders>
              <w:top w:val="single" w:sz="4" w:space="0" w:color="888888"/>
              <w:left w:val="single" w:sz="4" w:space="0" w:color="888888"/>
              <w:bottom w:val="single" w:sz="4" w:space="0" w:color="888888"/>
              <w:right w:val="single" w:sz="4" w:space="0" w:color="888888"/>
            </w:tcBorders>
          </w:tcPr>
          <w:p w14:paraId="5B80D78F" w14:textId="77777777" w:rsidR="00871B31" w:rsidRPr="00756461" w:rsidRDefault="00871B31" w:rsidP="00BC1F31">
            <w:pPr>
              <w:spacing w:after="0" w:line="240" w:lineRule="auto"/>
              <w:jc w:val="center"/>
              <w:rPr>
                <w:rFonts w:ascii="Arial" w:hAnsi="Arial" w:cs="Arial"/>
                <w:sz w:val="12"/>
                <w:szCs w:val="12"/>
              </w:rPr>
            </w:pPr>
            <w:r>
              <w:rPr>
                <w:rFonts w:ascii="Arial Narrow" w:hAnsi="Arial Narrow"/>
                <w:sz w:val="12"/>
                <w:szCs w:val="12"/>
              </w:rPr>
              <w:fldChar w:fldCharType="begin"/>
            </w:r>
            <w:r>
              <w:rPr>
                <w:rFonts w:ascii="Arial Narrow" w:hAnsi="Arial Narrow"/>
                <w:sz w:val="12"/>
                <w:szCs w:val="12"/>
              </w:rPr>
              <w:instrText xml:space="preserve"> ADDIN ZOTERO_ITEM CSL_CITATION {"citationID":"9Jz1LsCU","properties":{"unsorted":false,"formattedCitation":"[118]","plainCitation":"[118]","noteIndex":0},"citationItems":[{"id":2906,"uris":["http://zotero.org/users/16018142/items/USUZQYG8"],"itemData":{"id":2906,"type":"article-journal","container-title":"EClinicalMedicine","DOI":"10.1016/j.eclinm.2022.101288","ISSN":"2589-5370","language":"English","title":"Development of a clinical prediction model for perinatal deaths in low resource settings","volume":"44","author":[{"family":"Housseine","given":"Natasha"},{"family":"Rijken","given":"Marcus J."},{"family":"Weller","given":"Katinka"},{"family":"Nassor","given":"Nassra Haroub"},{"family":"Gbenga","given":"Kayode"},{"family":"Dodd","given":"Caitlin"},{"family":"Debray","given":"Thomas"},{"family":"Meguid","given":"Tarek"},{"family":"Franx","given":"Arie"},{"family":"Grobbee","given":"Diederick E."},{"family":"Browne","given":"Joyce L."}],"issued":{"date-parts":[["2022"]]}}}],"schema":"https://github.com/citation-style-language/schema/raw/master/csl-citation.json"} </w:instrText>
            </w:r>
            <w:r>
              <w:rPr>
                <w:rFonts w:ascii="Arial Narrow" w:hAnsi="Arial Narrow"/>
                <w:sz w:val="12"/>
                <w:szCs w:val="12"/>
              </w:rPr>
              <w:fldChar w:fldCharType="separate"/>
            </w:r>
            <w:r>
              <w:rPr>
                <w:rFonts w:ascii="Arial Narrow" w:hAnsi="Arial Narrow"/>
                <w:sz w:val="12"/>
              </w:rPr>
              <w:t>[118]</w:t>
            </w:r>
            <w:r>
              <w:rPr>
                <w:rFonts w:ascii="Arial Narrow" w:hAnsi="Arial Narrow"/>
                <w:sz w:val="12"/>
                <w:szCs w:val="12"/>
              </w:rPr>
              <w:fldChar w:fldCharType="end"/>
            </w:r>
          </w:p>
        </w:tc>
      </w:tr>
      <w:tr w:rsidR="00871B31" w:rsidRPr="00756461" w14:paraId="7DD8620F"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6E71210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Kayode, et al. 2016</w:t>
            </w:r>
          </w:p>
        </w:tc>
        <w:tc>
          <w:tcPr>
            <w:tcW w:w="1054" w:type="dxa"/>
            <w:tcBorders>
              <w:top w:val="single" w:sz="4" w:space="0" w:color="888888"/>
              <w:left w:val="single" w:sz="4" w:space="0" w:color="888888"/>
              <w:bottom w:val="single" w:sz="4" w:space="0" w:color="888888"/>
              <w:right w:val="single" w:sz="4" w:space="0" w:color="888888"/>
            </w:tcBorders>
          </w:tcPr>
          <w:p w14:paraId="050C8A1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cohort study</w:t>
            </w:r>
          </w:p>
        </w:tc>
        <w:tc>
          <w:tcPr>
            <w:tcW w:w="742" w:type="dxa"/>
            <w:tcBorders>
              <w:top w:val="single" w:sz="4" w:space="0" w:color="888888"/>
              <w:left w:val="single" w:sz="4" w:space="0" w:color="888888"/>
              <w:bottom w:val="single" w:sz="4" w:space="0" w:color="888888"/>
              <w:right w:val="single" w:sz="4" w:space="0" w:color="888888"/>
            </w:tcBorders>
          </w:tcPr>
          <w:p w14:paraId="4D19928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Nigeria</w:t>
            </w:r>
          </w:p>
        </w:tc>
        <w:tc>
          <w:tcPr>
            <w:tcW w:w="786" w:type="dxa"/>
            <w:tcBorders>
              <w:top w:val="single" w:sz="4" w:space="0" w:color="888888"/>
              <w:left w:val="single" w:sz="4" w:space="0" w:color="888888"/>
              <w:bottom w:val="single" w:sz="4" w:space="0" w:color="888888"/>
              <w:right w:val="single" w:sz="4" w:space="0" w:color="888888"/>
            </w:tcBorders>
          </w:tcPr>
          <w:p w14:paraId="6916410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w:t>
            </w:r>
          </w:p>
        </w:tc>
        <w:tc>
          <w:tcPr>
            <w:tcW w:w="786" w:type="dxa"/>
            <w:tcBorders>
              <w:top w:val="single" w:sz="4" w:space="0" w:color="888888"/>
              <w:left w:val="single" w:sz="4" w:space="0" w:color="888888"/>
              <w:bottom w:val="single" w:sz="4" w:space="0" w:color="888888"/>
              <w:right w:val="single" w:sz="4" w:space="0" w:color="888888"/>
            </w:tcBorders>
          </w:tcPr>
          <w:p w14:paraId="15C934B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development</w:t>
            </w:r>
          </w:p>
        </w:tc>
        <w:tc>
          <w:tcPr>
            <w:tcW w:w="1051" w:type="dxa"/>
            <w:tcBorders>
              <w:top w:val="single" w:sz="4" w:space="0" w:color="888888"/>
              <w:left w:val="single" w:sz="4" w:space="0" w:color="888888"/>
              <w:bottom w:val="single" w:sz="4" w:space="0" w:color="888888"/>
              <w:right w:val="single" w:sz="4" w:space="0" w:color="888888"/>
            </w:tcBorders>
          </w:tcPr>
          <w:p w14:paraId="62F7E01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Maternal factor</w:t>
            </w:r>
            <w:r>
              <w:rPr>
                <w:rFonts w:ascii="Arial" w:hAnsi="Arial" w:cs="Arial"/>
                <w:sz w:val="12"/>
                <w:szCs w:val="12"/>
              </w:rPr>
              <w:br/>
              <w:t>- Maternal comorbidity</w:t>
            </w:r>
            <w:r>
              <w:rPr>
                <w:rFonts w:ascii="Arial" w:hAnsi="Arial" w:cs="Arial"/>
                <w:sz w:val="12"/>
                <w:szCs w:val="12"/>
              </w:rPr>
              <w:br/>
              <w:t>- Parity</w:t>
            </w:r>
            <w:r>
              <w:rPr>
                <w:rFonts w:ascii="Arial" w:hAnsi="Arial" w:cs="Arial"/>
                <w:sz w:val="12"/>
                <w:szCs w:val="12"/>
              </w:rPr>
              <w:br/>
              <w:t>Foetal factor</w:t>
            </w:r>
            <w:r>
              <w:rPr>
                <w:rFonts w:ascii="Arial" w:hAnsi="Arial" w:cs="Arial"/>
                <w:sz w:val="12"/>
                <w:szCs w:val="12"/>
              </w:rPr>
              <w:br/>
              <w:t>- Foetal presentation</w:t>
            </w:r>
            <w:r>
              <w:rPr>
                <w:rFonts w:ascii="Arial" w:hAnsi="Arial" w:cs="Arial"/>
                <w:sz w:val="12"/>
                <w:szCs w:val="12"/>
              </w:rPr>
              <w:br/>
              <w:t>- Foetal growth rate (extended model)</w:t>
            </w:r>
            <w:r>
              <w:rPr>
                <w:rFonts w:ascii="Arial" w:hAnsi="Arial" w:cs="Arial"/>
                <w:sz w:val="12"/>
                <w:szCs w:val="12"/>
              </w:rPr>
              <w:br/>
              <w:t>Clinical factor</w:t>
            </w:r>
            <w:r>
              <w:rPr>
                <w:rFonts w:ascii="Arial" w:hAnsi="Arial" w:cs="Arial"/>
                <w:sz w:val="12"/>
                <w:szCs w:val="12"/>
              </w:rPr>
              <w:br/>
              <w:t>- Bleeding in pregnancy</w:t>
            </w:r>
            <w:r>
              <w:rPr>
                <w:rFonts w:ascii="Arial" w:hAnsi="Arial" w:cs="Arial"/>
                <w:sz w:val="12"/>
                <w:szCs w:val="12"/>
              </w:rPr>
              <w:br/>
              <w:t>Sociodemographic factor</w:t>
            </w:r>
            <w:r>
              <w:rPr>
                <w:rFonts w:ascii="Arial" w:hAnsi="Arial" w:cs="Arial"/>
                <w:sz w:val="12"/>
                <w:szCs w:val="12"/>
              </w:rPr>
              <w:br/>
              <w:t>- Place of residence</w:t>
            </w:r>
            <w:r>
              <w:rPr>
                <w:rFonts w:ascii="Arial" w:hAnsi="Arial" w:cs="Arial"/>
                <w:sz w:val="12"/>
                <w:szCs w:val="12"/>
              </w:rPr>
              <w:br/>
              <w:t>- Maternal occupation</w:t>
            </w:r>
          </w:p>
        </w:tc>
        <w:tc>
          <w:tcPr>
            <w:tcW w:w="851" w:type="dxa"/>
            <w:tcBorders>
              <w:top w:val="single" w:sz="4" w:space="0" w:color="888888"/>
              <w:left w:val="single" w:sz="4" w:space="0" w:color="888888"/>
              <w:bottom w:val="single" w:sz="4" w:space="0" w:color="888888"/>
              <w:right w:val="single" w:sz="4" w:space="0" w:color="888888"/>
            </w:tcBorders>
          </w:tcPr>
          <w:p w14:paraId="5A5BBD9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0C86679D"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1B41A643"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409422F8"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0E0E5AA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Both basic and extended models showed excellent calibration and discrimination after internal validation. The basic model C-statistic was 0.80 (95% CI 0.78-0.83) and the extended model, adding foetal growth rate, was 0.82 (95% CI 0.80-0.85).</w:t>
            </w:r>
          </w:p>
        </w:tc>
        <w:tc>
          <w:tcPr>
            <w:tcW w:w="851" w:type="dxa"/>
            <w:tcBorders>
              <w:top w:val="single" w:sz="4" w:space="0" w:color="888888"/>
              <w:left w:val="single" w:sz="4" w:space="0" w:color="888888"/>
              <w:bottom w:val="single" w:sz="4" w:space="0" w:color="888888"/>
              <w:right w:val="single" w:sz="4" w:space="0" w:color="888888"/>
            </w:tcBorders>
          </w:tcPr>
          <w:p w14:paraId="57B7F12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C-statistic</w:t>
            </w:r>
          </w:p>
        </w:tc>
        <w:tc>
          <w:tcPr>
            <w:tcW w:w="817" w:type="dxa"/>
            <w:tcBorders>
              <w:top w:val="single" w:sz="4" w:space="0" w:color="888888"/>
              <w:left w:val="single" w:sz="4" w:space="0" w:color="888888"/>
              <w:bottom w:val="single" w:sz="4" w:space="0" w:color="888888"/>
              <w:right w:val="single" w:sz="4" w:space="0" w:color="888888"/>
            </w:tcBorders>
          </w:tcPr>
          <w:p w14:paraId="46AC8D5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64B7005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6,573 pregnant women (January 2010 to December 2013)</w:t>
            </w:r>
          </w:p>
        </w:tc>
        <w:tc>
          <w:tcPr>
            <w:tcW w:w="851" w:type="dxa"/>
            <w:tcBorders>
              <w:top w:val="single" w:sz="4" w:space="0" w:color="888888"/>
              <w:left w:val="single" w:sz="4" w:space="0" w:color="888888"/>
              <w:bottom w:val="single" w:sz="4" w:space="0" w:color="888888"/>
              <w:right w:val="single" w:sz="4" w:space="0" w:color="888888"/>
            </w:tcBorders>
          </w:tcPr>
          <w:p w14:paraId="5B95239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Netherlands Organization for Scientific Research / WOTRO Science for Development (Grant 07.45.102.00)</w:t>
            </w:r>
          </w:p>
        </w:tc>
        <w:tc>
          <w:tcPr>
            <w:tcW w:w="1134" w:type="dxa"/>
            <w:tcBorders>
              <w:top w:val="single" w:sz="4" w:space="0" w:color="888888"/>
              <w:left w:val="single" w:sz="4" w:space="0" w:color="888888"/>
              <w:bottom w:val="single" w:sz="4" w:space="0" w:color="888888"/>
              <w:right w:val="single" w:sz="4" w:space="0" w:color="888888"/>
            </w:tcBorders>
          </w:tcPr>
          <w:p w14:paraId="0382EF6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64.0%</w:t>
            </w:r>
          </w:p>
        </w:tc>
        <w:tc>
          <w:tcPr>
            <w:tcW w:w="841" w:type="dxa"/>
            <w:tcBorders>
              <w:top w:val="single" w:sz="4" w:space="0" w:color="888888"/>
              <w:left w:val="single" w:sz="4" w:space="0" w:color="888888"/>
              <w:bottom w:val="single" w:sz="4" w:space="0" w:color="888888"/>
              <w:right w:val="single" w:sz="4" w:space="0" w:color="888888"/>
            </w:tcBorders>
          </w:tcPr>
          <w:p w14:paraId="51265DC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D1: Low risk</w:t>
            </w:r>
          </w:p>
          <w:p w14:paraId="47E8EA6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D2: Low risk</w:t>
            </w:r>
          </w:p>
          <w:p w14:paraId="4D7500A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D3: Unclear risk</w:t>
            </w:r>
          </w:p>
          <w:p w14:paraId="1CA5F57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D4: Low risk</w:t>
            </w:r>
          </w:p>
        </w:tc>
        <w:tc>
          <w:tcPr>
            <w:tcW w:w="860" w:type="dxa"/>
            <w:tcBorders>
              <w:top w:val="single" w:sz="4" w:space="0" w:color="888888"/>
              <w:left w:val="single" w:sz="4" w:space="0" w:color="888888"/>
              <w:bottom w:val="single" w:sz="4" w:space="0" w:color="888888"/>
              <w:right w:val="single" w:sz="4" w:space="0" w:color="888888"/>
            </w:tcBorders>
          </w:tcPr>
          <w:p w14:paraId="25C6629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Available from the authors</w:t>
            </w:r>
          </w:p>
        </w:tc>
        <w:tc>
          <w:tcPr>
            <w:tcW w:w="442" w:type="dxa"/>
            <w:tcBorders>
              <w:top w:val="single" w:sz="4" w:space="0" w:color="888888"/>
              <w:left w:val="single" w:sz="4" w:space="0" w:color="888888"/>
              <w:bottom w:val="single" w:sz="4" w:space="0" w:color="888888"/>
              <w:right w:val="single" w:sz="4" w:space="0" w:color="888888"/>
            </w:tcBorders>
          </w:tcPr>
          <w:p w14:paraId="46C139EF" w14:textId="77777777" w:rsidR="00871B31" w:rsidRPr="00756461" w:rsidRDefault="00871B31" w:rsidP="00BC1F31">
            <w:pPr>
              <w:spacing w:after="0" w:line="240" w:lineRule="auto"/>
              <w:jc w:val="center"/>
              <w:rPr>
                <w:rFonts w:ascii="Arial" w:hAnsi="Arial" w:cs="Arial"/>
                <w:sz w:val="12"/>
                <w:szCs w:val="12"/>
              </w:rPr>
            </w:pPr>
            <w:r>
              <w:rPr>
                <w:rFonts w:ascii="Arial Narrow" w:hAnsi="Arial Narrow"/>
                <w:sz w:val="12"/>
                <w:szCs w:val="12"/>
              </w:rPr>
              <w:fldChar w:fldCharType="begin"/>
            </w:r>
            <w:r>
              <w:rPr>
                <w:rFonts w:ascii="Arial Narrow" w:hAnsi="Arial Narrow"/>
                <w:sz w:val="12"/>
                <w:szCs w:val="12"/>
              </w:rPr>
              <w:instrText xml:space="preserve"> ADDIN ZOTERO_ITEM CSL_CITATION {"citationID":"CaugjqzU","properties":{"unsorted":false,"formattedCitation":"[119]","plainCitation":"[119]","noteIndex":0},"citationItems":[{"id":7401,"uris":["http://zotero.org/users/16018142/items/89I39XJM"],"itemData":{"id":7401,"type":"article-journal","abstract":"Background\nStillbirth is a major contributor to perinatal mortality and it is particularly common in low- and middle-income countries, where annually about three million stillbirths occur in the third trimester. This study aims to develop a prediction model for early detection of pregnancies at high risk of stillbirth.\n\nMethods\nThis retrospective cohort study examined 6,573 pregnant women who delivered at Federal Medical Centre Bida, a tertiary level of healthcare in Nigeria from January 2010 to December 2013. Descriptive statistics were performed and missing data imputed. Multivariable logistic regression was applied to examine the associations between selected candidate predictors and stillbirth. Discrimination and calibration were used to assess the model’s performance. The prediction model was validated internally and over-optimism was corrected.\n\nResults\nWe developed a prediction model for stillbirth that comprised maternal comorbidity, place of residence, maternal occupation, parity, bleeding in pregnancy, and fetal presentation. As a secondary analysis, we extended the model by including fetal growth rate as a predictor, to examine how beneficial ultrasound parameters would be for the predictive performance of the model. After internal validation, both calibration and discriminative performance of both the basic and extended model were excellent (i.e. C-statistic basic model=0.80 (95% CI 0.78</w:instrText>
            </w:r>
            <w:r>
              <w:rPr>
                <w:rFonts w:ascii="Arial Narrow" w:hAnsi="Arial Narrow" w:cs="Arial Narrow"/>
                <w:sz w:val="12"/>
                <w:szCs w:val="12"/>
              </w:rPr>
              <w:instrText>–</w:instrText>
            </w:r>
            <w:r>
              <w:rPr>
                <w:rFonts w:ascii="Arial Narrow" w:hAnsi="Arial Narrow"/>
                <w:sz w:val="12"/>
                <w:szCs w:val="12"/>
              </w:rPr>
              <w:instrText>0.83) and extended model=0.82 (95% CI 0.80</w:instrText>
            </w:r>
            <w:r>
              <w:rPr>
                <w:rFonts w:ascii="Arial Narrow" w:hAnsi="Arial Narrow" w:cs="Arial Narrow"/>
                <w:sz w:val="12"/>
                <w:szCs w:val="12"/>
              </w:rPr>
              <w:instrText>–</w:instrText>
            </w:r>
            <w:r>
              <w:rPr>
                <w:rFonts w:ascii="Arial Narrow" w:hAnsi="Arial Narrow"/>
                <w:sz w:val="12"/>
                <w:szCs w:val="12"/>
              </w:rPr>
              <w:instrText xml:space="preserve">0.83)).\n\nConclusion\nWe developed a simple but informative prediction model for early detection of pregnancies with a high risk of stillbirth for early intervention in a low resource setting. Future research should focus on external validation of the performance of this promising model.\n\nElectronic supplementary material\nThe online version of this article (doi:10.1186/s12884-016-1061-2) contains supplementary material, which is available to authorized users.","container-title":"BMC Pregnancy and Childbirth","DOI":"10.1186/s12884-016-1061-2","ISSN":"1471-2393","journalAbbreviation":"BMC Pregnancy Childbirth","page":"274","PMID":"27649795","PMCID":"PMC5029011","source":"PubMed Central","title":"Predicting stillbirth in a low resource setting","volume":"16","author":[{"family":"Kayode","given":"Gbenga A."},{"family":"Grobbee","given":"Diederick E."},{"family":"Amoakoh-Coleman","given":"Mary"},{"family":"Adeleke","given":"Ibrahim Taiwo"},{"family":"Ansah","given":"Evelyn"},{"family":"Groot","given":"Joris A. H.","non-dropping-particle":"de"},{"family":"Klipstein-Grobusch","given":"Kerstin"}],"issued":{"date-parts":[["2016",9,20]]}}}],"schema":"https://github.com/citation-style-language/schema/raw/master/csl-citation.json"} </w:instrText>
            </w:r>
            <w:r>
              <w:rPr>
                <w:rFonts w:ascii="Arial Narrow" w:hAnsi="Arial Narrow"/>
                <w:sz w:val="12"/>
                <w:szCs w:val="12"/>
              </w:rPr>
              <w:fldChar w:fldCharType="separate"/>
            </w:r>
            <w:r>
              <w:rPr>
                <w:rFonts w:ascii="Arial Narrow" w:hAnsi="Arial Narrow"/>
                <w:sz w:val="12"/>
              </w:rPr>
              <w:t>[119]</w:t>
            </w:r>
            <w:r>
              <w:rPr>
                <w:rFonts w:ascii="Arial Narrow" w:hAnsi="Arial Narrow"/>
                <w:sz w:val="12"/>
                <w:szCs w:val="12"/>
              </w:rPr>
              <w:fldChar w:fldCharType="end"/>
            </w:r>
          </w:p>
        </w:tc>
      </w:tr>
      <w:tr w:rsidR="00871B31" w:rsidRPr="00756461" w14:paraId="40BCF77B"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7136CA4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Muin, et al. 2022</w:t>
            </w:r>
          </w:p>
        </w:tc>
        <w:tc>
          <w:tcPr>
            <w:tcW w:w="1054" w:type="dxa"/>
            <w:tcBorders>
              <w:top w:val="single" w:sz="4" w:space="0" w:color="888888"/>
              <w:left w:val="single" w:sz="4" w:space="0" w:color="888888"/>
              <w:bottom w:val="single" w:sz="4" w:space="0" w:color="888888"/>
              <w:right w:val="single" w:sz="4" w:space="0" w:color="888888"/>
            </w:tcBorders>
          </w:tcPr>
          <w:p w14:paraId="5DFB680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case-control study</w:t>
            </w:r>
          </w:p>
        </w:tc>
        <w:tc>
          <w:tcPr>
            <w:tcW w:w="742" w:type="dxa"/>
            <w:tcBorders>
              <w:top w:val="single" w:sz="4" w:space="0" w:color="888888"/>
              <w:left w:val="single" w:sz="4" w:space="0" w:color="888888"/>
              <w:bottom w:val="single" w:sz="4" w:space="0" w:color="888888"/>
              <w:right w:val="single" w:sz="4" w:space="0" w:color="888888"/>
            </w:tcBorders>
          </w:tcPr>
          <w:p w14:paraId="10D1B03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Austria</w:t>
            </w:r>
          </w:p>
        </w:tc>
        <w:tc>
          <w:tcPr>
            <w:tcW w:w="786" w:type="dxa"/>
            <w:tcBorders>
              <w:top w:val="single" w:sz="4" w:space="0" w:color="888888"/>
              <w:left w:val="single" w:sz="4" w:space="0" w:color="888888"/>
              <w:bottom w:val="single" w:sz="4" w:space="0" w:color="888888"/>
              <w:right w:val="single" w:sz="4" w:space="0" w:color="888888"/>
            </w:tcBorders>
          </w:tcPr>
          <w:p w14:paraId="57626DF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 (intrauterine foetal death)</w:t>
            </w:r>
          </w:p>
        </w:tc>
        <w:tc>
          <w:tcPr>
            <w:tcW w:w="786" w:type="dxa"/>
            <w:tcBorders>
              <w:top w:val="single" w:sz="4" w:space="0" w:color="888888"/>
              <w:left w:val="single" w:sz="4" w:space="0" w:color="888888"/>
              <w:bottom w:val="single" w:sz="4" w:space="0" w:color="888888"/>
              <w:right w:val="single" w:sz="4" w:space="0" w:color="888888"/>
            </w:tcBorders>
          </w:tcPr>
          <w:p w14:paraId="7620C4B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Model evaluation (Fetal Medicine Foundation calculator)</w:t>
            </w:r>
          </w:p>
        </w:tc>
        <w:tc>
          <w:tcPr>
            <w:tcW w:w="1051" w:type="dxa"/>
            <w:tcBorders>
              <w:top w:val="single" w:sz="4" w:space="0" w:color="888888"/>
              <w:left w:val="single" w:sz="4" w:space="0" w:color="888888"/>
              <w:bottom w:val="single" w:sz="4" w:space="0" w:color="888888"/>
              <w:right w:val="single" w:sz="4" w:space="0" w:color="888888"/>
            </w:tcBorders>
          </w:tcPr>
          <w:p w14:paraId="622683B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Maternal factor</w:t>
            </w:r>
            <w:r>
              <w:rPr>
                <w:rFonts w:ascii="Arial" w:hAnsi="Arial" w:cs="Arial"/>
                <w:sz w:val="12"/>
                <w:szCs w:val="12"/>
              </w:rPr>
              <w:br/>
              <w:t>- Maternal age</w:t>
            </w:r>
            <w:r>
              <w:rPr>
                <w:rFonts w:ascii="Arial" w:hAnsi="Arial" w:cs="Arial"/>
                <w:sz w:val="12"/>
                <w:szCs w:val="12"/>
              </w:rPr>
              <w:br/>
              <w:t>- Maternal weight</w:t>
            </w:r>
            <w:r>
              <w:rPr>
                <w:rFonts w:ascii="Arial" w:hAnsi="Arial" w:cs="Arial"/>
                <w:sz w:val="12"/>
                <w:szCs w:val="12"/>
              </w:rPr>
              <w:br/>
              <w:t>- Maternal body mass index</w:t>
            </w:r>
            <w:r>
              <w:rPr>
                <w:rFonts w:ascii="Arial" w:hAnsi="Arial" w:cs="Arial"/>
                <w:sz w:val="12"/>
                <w:szCs w:val="12"/>
              </w:rPr>
              <w:br/>
              <w:t>- Parity</w:t>
            </w:r>
            <w:r>
              <w:rPr>
                <w:rFonts w:ascii="Arial" w:hAnsi="Arial" w:cs="Arial"/>
                <w:sz w:val="12"/>
                <w:szCs w:val="12"/>
              </w:rPr>
              <w:br/>
              <w:t>- Previous stillbirth</w:t>
            </w:r>
            <w:r>
              <w:rPr>
                <w:rFonts w:ascii="Arial" w:hAnsi="Arial" w:cs="Arial"/>
                <w:sz w:val="12"/>
                <w:szCs w:val="12"/>
              </w:rPr>
              <w:br/>
              <w:t>- Chronic hypertension</w:t>
            </w:r>
            <w:r>
              <w:rPr>
                <w:rFonts w:ascii="Arial" w:hAnsi="Arial" w:cs="Arial"/>
                <w:sz w:val="12"/>
                <w:szCs w:val="12"/>
              </w:rPr>
              <w:br/>
              <w:t>- Type 2 diabetes mellitus</w:t>
            </w:r>
            <w:r>
              <w:rPr>
                <w:rFonts w:ascii="Arial" w:hAnsi="Arial" w:cs="Arial"/>
                <w:sz w:val="12"/>
                <w:szCs w:val="12"/>
              </w:rPr>
              <w:br/>
            </w:r>
            <w:r>
              <w:rPr>
                <w:rFonts w:ascii="Arial" w:hAnsi="Arial" w:cs="Arial"/>
                <w:sz w:val="12"/>
                <w:szCs w:val="12"/>
              </w:rPr>
              <w:lastRenderedPageBreak/>
              <w:t xml:space="preserve">- </w:t>
            </w:r>
            <w:proofErr w:type="gramStart"/>
            <w:r>
              <w:rPr>
                <w:rFonts w:ascii="Arial" w:hAnsi="Arial" w:cs="Arial"/>
                <w:sz w:val="12"/>
                <w:szCs w:val="12"/>
              </w:rPr>
              <w:t>Antiphospholipid syndrome</w:t>
            </w:r>
            <w:proofErr w:type="gramEnd"/>
            <w:r>
              <w:rPr>
                <w:rFonts w:ascii="Arial" w:hAnsi="Arial" w:cs="Arial"/>
                <w:sz w:val="12"/>
                <w:szCs w:val="12"/>
              </w:rPr>
              <w:br/>
              <w:t>- Smoking / substance use</w:t>
            </w:r>
            <w:r>
              <w:rPr>
                <w:rFonts w:ascii="Arial" w:hAnsi="Arial" w:cs="Arial"/>
                <w:sz w:val="12"/>
                <w:szCs w:val="12"/>
              </w:rPr>
              <w:br/>
              <w:t>Clinical factor</w:t>
            </w:r>
            <w:r>
              <w:rPr>
                <w:rFonts w:ascii="Arial" w:hAnsi="Arial" w:cs="Arial"/>
                <w:sz w:val="12"/>
                <w:szCs w:val="12"/>
              </w:rPr>
              <w:br/>
              <w:t>- Assisted conception (method of conception)</w:t>
            </w:r>
            <w:r>
              <w:rPr>
                <w:rFonts w:ascii="Arial" w:hAnsi="Arial" w:cs="Arial"/>
                <w:sz w:val="12"/>
                <w:szCs w:val="12"/>
              </w:rPr>
              <w:br/>
              <w:t>Sociodemographic factor</w:t>
            </w:r>
            <w:r>
              <w:rPr>
                <w:rFonts w:ascii="Arial" w:hAnsi="Arial" w:cs="Arial"/>
                <w:sz w:val="12"/>
                <w:szCs w:val="12"/>
              </w:rPr>
              <w:br/>
              <w:t>- Racial origin</w:t>
            </w:r>
          </w:p>
        </w:tc>
        <w:tc>
          <w:tcPr>
            <w:tcW w:w="851" w:type="dxa"/>
            <w:tcBorders>
              <w:top w:val="single" w:sz="4" w:space="0" w:color="888888"/>
              <w:left w:val="single" w:sz="4" w:space="0" w:color="888888"/>
              <w:bottom w:val="single" w:sz="4" w:space="0" w:color="888888"/>
              <w:right w:val="single" w:sz="4" w:space="0" w:color="888888"/>
            </w:tcBorders>
          </w:tcPr>
          <w:p w14:paraId="7A98771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461CDB16"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5C0DA40C"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125B3E06"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5167219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 xml:space="preserve">ROC analysis of the demographic FMF Stillbirth Risk Calculator yielded an AUC of 0.72 (95% CI 0.67-0.78) for predicting antepartum stillbirth. At a cut-off of </w:t>
            </w:r>
            <w:r>
              <w:rPr>
                <w:rFonts w:ascii="Arial" w:hAnsi="Arial" w:cs="Arial"/>
                <w:sz w:val="12"/>
                <w:szCs w:val="12"/>
              </w:rPr>
              <w:lastRenderedPageBreak/>
              <w:t>0.34%, sensitivity was 57.6% and specificity 81.8%.</w:t>
            </w:r>
          </w:p>
        </w:tc>
        <w:tc>
          <w:tcPr>
            <w:tcW w:w="851" w:type="dxa"/>
            <w:tcBorders>
              <w:top w:val="single" w:sz="4" w:space="0" w:color="888888"/>
              <w:left w:val="single" w:sz="4" w:space="0" w:color="888888"/>
              <w:bottom w:val="single" w:sz="4" w:space="0" w:color="888888"/>
              <w:right w:val="single" w:sz="4" w:space="0" w:color="888888"/>
            </w:tcBorders>
          </w:tcPr>
          <w:p w14:paraId="7C80FE56"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lastRenderedPageBreak/>
              <w:t>AUC, Sensitivity, Specificity</w:t>
            </w:r>
          </w:p>
        </w:tc>
        <w:tc>
          <w:tcPr>
            <w:tcW w:w="817" w:type="dxa"/>
            <w:tcBorders>
              <w:top w:val="single" w:sz="4" w:space="0" w:color="888888"/>
              <w:left w:val="single" w:sz="4" w:space="0" w:color="888888"/>
              <w:bottom w:val="single" w:sz="4" w:space="0" w:color="888888"/>
              <w:right w:val="single" w:sz="4" w:space="0" w:color="888888"/>
            </w:tcBorders>
          </w:tcPr>
          <w:p w14:paraId="7BAA30EF"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External validation only</w:t>
            </w:r>
          </w:p>
        </w:tc>
        <w:tc>
          <w:tcPr>
            <w:tcW w:w="742" w:type="dxa"/>
            <w:tcBorders>
              <w:top w:val="single" w:sz="4" w:space="0" w:color="888888"/>
              <w:left w:val="single" w:sz="4" w:space="0" w:color="888888"/>
              <w:bottom w:val="single" w:sz="4" w:space="0" w:color="888888"/>
              <w:right w:val="single" w:sz="4" w:space="0" w:color="888888"/>
            </w:tcBorders>
          </w:tcPr>
          <w:p w14:paraId="4B243F3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391 women (144 intrauterine foetal deaths, 247 live-birth controls)</w:t>
            </w:r>
          </w:p>
        </w:tc>
        <w:tc>
          <w:tcPr>
            <w:tcW w:w="851" w:type="dxa"/>
            <w:tcBorders>
              <w:top w:val="single" w:sz="4" w:space="0" w:color="888888"/>
              <w:left w:val="single" w:sz="4" w:space="0" w:color="888888"/>
              <w:bottom w:val="single" w:sz="4" w:space="0" w:color="888888"/>
              <w:right w:val="single" w:sz="4" w:space="0" w:color="888888"/>
            </w:tcBorders>
          </w:tcPr>
          <w:p w14:paraId="489A7E6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Not stated in the article</w:t>
            </w:r>
          </w:p>
        </w:tc>
        <w:tc>
          <w:tcPr>
            <w:tcW w:w="1134" w:type="dxa"/>
            <w:tcBorders>
              <w:top w:val="single" w:sz="4" w:space="0" w:color="888888"/>
              <w:left w:val="single" w:sz="4" w:space="0" w:color="888888"/>
              <w:bottom w:val="single" w:sz="4" w:space="0" w:color="888888"/>
              <w:right w:val="single" w:sz="4" w:space="0" w:color="888888"/>
            </w:tcBorders>
          </w:tcPr>
          <w:p w14:paraId="69EFB8D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65.2%</w:t>
            </w:r>
          </w:p>
        </w:tc>
        <w:tc>
          <w:tcPr>
            <w:tcW w:w="841" w:type="dxa"/>
            <w:tcBorders>
              <w:top w:val="single" w:sz="4" w:space="0" w:color="888888"/>
              <w:left w:val="single" w:sz="4" w:space="0" w:color="888888"/>
              <w:bottom w:val="single" w:sz="4" w:space="0" w:color="888888"/>
              <w:right w:val="single" w:sz="4" w:space="0" w:color="888888"/>
            </w:tcBorders>
          </w:tcPr>
          <w:p w14:paraId="2C93DDC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D1: Low risk</w:t>
            </w:r>
          </w:p>
          <w:p w14:paraId="3FAF55C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D2: High risk</w:t>
            </w:r>
          </w:p>
          <w:p w14:paraId="4479DE1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D3: Low risk</w:t>
            </w:r>
          </w:p>
          <w:p w14:paraId="124A512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D4: High risk</w:t>
            </w:r>
          </w:p>
        </w:tc>
        <w:tc>
          <w:tcPr>
            <w:tcW w:w="860" w:type="dxa"/>
            <w:tcBorders>
              <w:top w:val="single" w:sz="4" w:space="0" w:color="888888"/>
              <w:left w:val="single" w:sz="4" w:space="0" w:color="888888"/>
              <w:bottom w:val="single" w:sz="4" w:space="0" w:color="888888"/>
              <w:right w:val="single" w:sz="4" w:space="0" w:color="888888"/>
            </w:tcBorders>
          </w:tcPr>
          <w:p w14:paraId="481735F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Minimal data set available in supporting information</w:t>
            </w:r>
          </w:p>
        </w:tc>
        <w:tc>
          <w:tcPr>
            <w:tcW w:w="442" w:type="dxa"/>
            <w:tcBorders>
              <w:top w:val="single" w:sz="4" w:space="0" w:color="888888"/>
              <w:left w:val="single" w:sz="4" w:space="0" w:color="888888"/>
              <w:bottom w:val="single" w:sz="4" w:space="0" w:color="888888"/>
              <w:right w:val="single" w:sz="4" w:space="0" w:color="888888"/>
            </w:tcBorders>
          </w:tcPr>
          <w:p w14:paraId="3D7EB39A" w14:textId="77777777" w:rsidR="00871B31" w:rsidRPr="00756461" w:rsidRDefault="00871B31" w:rsidP="00BC1F31">
            <w:pPr>
              <w:spacing w:after="0" w:line="240" w:lineRule="auto"/>
              <w:jc w:val="center"/>
              <w:rPr>
                <w:rFonts w:ascii="Arial" w:hAnsi="Arial" w:cs="Arial"/>
                <w:sz w:val="12"/>
                <w:szCs w:val="12"/>
              </w:rPr>
            </w:pPr>
            <w:r>
              <w:rPr>
                <w:rFonts w:ascii="Arial Narrow" w:hAnsi="Arial Narrow"/>
                <w:sz w:val="12"/>
                <w:szCs w:val="12"/>
              </w:rPr>
              <w:fldChar w:fldCharType="begin"/>
            </w:r>
            <w:r>
              <w:rPr>
                <w:rFonts w:ascii="Arial Narrow" w:hAnsi="Arial Narrow"/>
                <w:sz w:val="12"/>
                <w:szCs w:val="12"/>
              </w:rPr>
              <w:instrText xml:space="preserve"> ADDIN ZOTERO_ITEM CSL_CITATION {"citationID":"F9xWbUCQ","properties":{"unsorted":false,"formattedCitation":"[120]","plainCitation":"[120]","noteIndex":0},"citationItems":[{"id":7404,"uris":["http://zotero.org/users/16018142/items/T5A6W5K3"],"itemData":{"id":7404,"type":"article-journal","abstract":"Objective\nTo assess the risk of singleton intrauterine fetal death (IUFD) in women by the demographic setting of the online Fetal Medicine Foundation (FMF) Stillbirth Risk Calculator.\n\nMethods\nRetrospective single-centre case-control study involving 144 women having suffered IUFD and 247 women after delivery of a live-born singleton. Nonparametric receiver operating characteristics (ROC) analyses were performed to predict the prognostic power of the FMF Stillbirth risk score and to generate a cut-off value to discriminate best between the event of IUFD versus live birth.\n\nResults\nWomen in the IUFD cohort born a significantly higher overall risk with a median FMF risk score of 0.45% (IQR 0.23–0.99) compared to controls [0.23% (IQR 0.21–0.29); p&lt;0.001]. Demographic factors contributing to an increased risk of IUFD in our cohort were maternal obesity (p = 0.002), smoking (p&lt;0.001), chronic hypertension (p = 0.015), antiphospholipid syndrome (p = 0.017), type 2 diabetes (p&lt;0.001), and insulin requirement (p&lt;0.001). ROC analyses showed an area under the curve (AUC) of 0.72 (95% CI 0.67–0.78; p&lt;0.001) for predicting overall IUFD and an AUC of 0.72 (95% CI 0.64–0.80; p&lt;0.001), respectively, for predicting IUFD excluding congenital malformations. The FMF risk score at a cut-off of 0.34% (OR 6.22; 95% CI 3.91–9.89; p&lt;0.001) yielded an 82% specificity and 58% sensitivity in predicting IUFD with a positive and negative predictive value of 0.94% and 99.84%, respectively.\n\nConclusion\nThe FMF Stillbirth Risk Calculator based upon maternal demographic and obstetric characteristics only may help identify women at low risk of antepartum stillbirth.","container-title":"PLoS ONE","DOI":"10.1371/journal.pone.0260964","ISSN":"1932-6203","issue":"1","journalAbbreviation":"PLoS One","page":"e0260964","PMID":"35051188","PMCID":"PMC8775340","source":"PubMed Central","title":"Predicting singleton antepartum stillbirth by the demographic Fetal Medicine Foundation Risk Calculator—A retrospective case-control study","volume":"17","author":[{"family":"Muin","given":"Dana A."},{"family":"Windsperger","given":"Karin"},{"family":"Attia","given":"Nadia"},{"family":"Kiss","given":"Herbert"}],"issued":{"date-parts":[["2022",1,20]]}}}],"schema":"https://github.com/citation-style-language/schema/raw/master/csl-citation.json"} </w:instrText>
            </w:r>
            <w:r>
              <w:rPr>
                <w:rFonts w:ascii="Arial Narrow" w:hAnsi="Arial Narrow"/>
                <w:sz w:val="12"/>
                <w:szCs w:val="12"/>
              </w:rPr>
              <w:fldChar w:fldCharType="separate"/>
            </w:r>
            <w:r>
              <w:rPr>
                <w:rFonts w:ascii="Arial Narrow" w:hAnsi="Arial Narrow"/>
                <w:sz w:val="12"/>
              </w:rPr>
              <w:t>[120]</w:t>
            </w:r>
            <w:r>
              <w:rPr>
                <w:rFonts w:ascii="Arial Narrow" w:hAnsi="Arial Narrow"/>
                <w:sz w:val="12"/>
                <w:szCs w:val="12"/>
              </w:rPr>
              <w:fldChar w:fldCharType="end"/>
            </w:r>
          </w:p>
        </w:tc>
      </w:tr>
      <w:tr w:rsidR="00871B31" w:rsidRPr="00756461" w14:paraId="7413174F"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2C6F100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Payne, et al. 2015</w:t>
            </w:r>
          </w:p>
        </w:tc>
        <w:tc>
          <w:tcPr>
            <w:tcW w:w="1054" w:type="dxa"/>
            <w:tcBorders>
              <w:top w:val="single" w:sz="4" w:space="0" w:color="888888"/>
              <w:left w:val="single" w:sz="4" w:space="0" w:color="888888"/>
              <w:bottom w:val="single" w:sz="4" w:space="0" w:color="888888"/>
              <w:right w:val="single" w:sz="4" w:space="0" w:color="888888"/>
            </w:tcBorders>
          </w:tcPr>
          <w:p w14:paraId="3BC707C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Secondary analysis</w:t>
            </w:r>
          </w:p>
        </w:tc>
        <w:tc>
          <w:tcPr>
            <w:tcW w:w="742" w:type="dxa"/>
            <w:tcBorders>
              <w:top w:val="single" w:sz="4" w:space="0" w:color="888888"/>
              <w:left w:val="single" w:sz="4" w:space="0" w:color="888888"/>
              <w:bottom w:val="single" w:sz="4" w:space="0" w:color="888888"/>
              <w:right w:val="single" w:sz="4" w:space="0" w:color="888888"/>
            </w:tcBorders>
          </w:tcPr>
          <w:p w14:paraId="5D8152D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Brazil, Fiji, Pakistan and South Africa (miniPIERS, five low-resourced countries)</w:t>
            </w:r>
          </w:p>
        </w:tc>
        <w:tc>
          <w:tcPr>
            <w:tcW w:w="786" w:type="dxa"/>
            <w:tcBorders>
              <w:top w:val="single" w:sz="4" w:space="0" w:color="888888"/>
              <w:left w:val="single" w:sz="4" w:space="0" w:color="888888"/>
              <w:bottom w:val="single" w:sz="4" w:space="0" w:color="888888"/>
              <w:right w:val="single" w:sz="4" w:space="0" w:color="888888"/>
            </w:tcBorders>
          </w:tcPr>
          <w:p w14:paraId="45534F1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Perinatal death (stillbirth + neonatal death)</w:t>
            </w:r>
          </w:p>
        </w:tc>
        <w:tc>
          <w:tcPr>
            <w:tcW w:w="786" w:type="dxa"/>
            <w:tcBorders>
              <w:top w:val="single" w:sz="4" w:space="0" w:color="888888"/>
              <w:left w:val="single" w:sz="4" w:space="0" w:color="888888"/>
              <w:bottom w:val="single" w:sz="4" w:space="0" w:color="888888"/>
              <w:right w:val="single" w:sz="4" w:space="0" w:color="888888"/>
            </w:tcBorders>
          </w:tcPr>
          <w:p w14:paraId="280D97B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 Model development</w:t>
            </w:r>
            <w:r>
              <w:rPr>
                <w:rFonts w:ascii="Arial" w:hAnsi="Arial" w:cs="Arial"/>
                <w:sz w:val="12"/>
                <w:szCs w:val="12"/>
              </w:rPr>
              <w:br/>
              <w:t>2. Internal validation</w:t>
            </w:r>
          </w:p>
        </w:tc>
        <w:tc>
          <w:tcPr>
            <w:tcW w:w="1051" w:type="dxa"/>
            <w:tcBorders>
              <w:top w:val="single" w:sz="4" w:space="0" w:color="888888"/>
              <w:left w:val="single" w:sz="4" w:space="0" w:color="888888"/>
              <w:bottom w:val="single" w:sz="4" w:space="0" w:color="888888"/>
              <w:right w:val="single" w:sz="4" w:space="0" w:color="888888"/>
            </w:tcBorders>
          </w:tcPr>
          <w:p w14:paraId="2C82457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Maternal factor</w:t>
            </w:r>
            <w:r>
              <w:rPr>
                <w:rFonts w:ascii="Arial" w:hAnsi="Arial" w:cs="Arial"/>
                <w:sz w:val="12"/>
                <w:szCs w:val="12"/>
              </w:rPr>
              <w:br/>
              <w:t>- Maternal age</w:t>
            </w:r>
            <w:r>
              <w:rPr>
                <w:rFonts w:ascii="Arial" w:hAnsi="Arial" w:cs="Arial"/>
                <w:sz w:val="12"/>
                <w:szCs w:val="12"/>
              </w:rPr>
              <w:br/>
              <w:t>Clinical factor</w:t>
            </w:r>
            <w:r>
              <w:rPr>
                <w:rFonts w:ascii="Arial" w:hAnsi="Arial" w:cs="Arial"/>
                <w:sz w:val="12"/>
                <w:szCs w:val="12"/>
              </w:rPr>
              <w:br/>
              <w:t>- Count of symptoms (0, 1 or ≥2)</w:t>
            </w:r>
            <w:r>
              <w:rPr>
                <w:rFonts w:ascii="Arial" w:hAnsi="Arial" w:cs="Arial"/>
                <w:sz w:val="12"/>
                <w:szCs w:val="12"/>
              </w:rPr>
              <w:br/>
              <w:t>- Dipstick proteinuria</w:t>
            </w:r>
          </w:p>
        </w:tc>
        <w:tc>
          <w:tcPr>
            <w:tcW w:w="851" w:type="dxa"/>
            <w:tcBorders>
              <w:top w:val="single" w:sz="4" w:space="0" w:color="888888"/>
              <w:left w:val="single" w:sz="4" w:space="0" w:color="888888"/>
              <w:bottom w:val="single" w:sz="4" w:space="0" w:color="888888"/>
              <w:right w:val="single" w:sz="4" w:space="0" w:color="888888"/>
            </w:tcBorders>
          </w:tcPr>
          <w:p w14:paraId="1CAE9A2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Health facility-based data</w:t>
            </w:r>
          </w:p>
        </w:tc>
        <w:tc>
          <w:tcPr>
            <w:tcW w:w="851" w:type="dxa"/>
            <w:tcBorders>
              <w:top w:val="single" w:sz="4" w:space="0" w:color="888888"/>
              <w:left w:val="single" w:sz="4" w:space="0" w:color="888888"/>
              <w:bottom w:val="single" w:sz="4" w:space="0" w:color="888888"/>
              <w:right w:val="single" w:sz="4" w:space="0" w:color="888888"/>
            </w:tcBorders>
          </w:tcPr>
          <w:p w14:paraId="715B9F8E"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6304F3EF"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500F00A6"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6A98BE9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 logistic regression model including maternal age, a count of symptoms and dipstick proteinuria achieved an area under the receiver operating characteristic curve of 0.75 (95% CI 0.71-0.80) and correctly identified 42 of 110 (38.2%) additional high-risk cases.</w:t>
            </w:r>
          </w:p>
        </w:tc>
        <w:tc>
          <w:tcPr>
            <w:tcW w:w="851" w:type="dxa"/>
            <w:tcBorders>
              <w:top w:val="single" w:sz="4" w:space="0" w:color="888888"/>
              <w:left w:val="single" w:sz="4" w:space="0" w:color="888888"/>
              <w:bottom w:val="single" w:sz="4" w:space="0" w:color="888888"/>
              <w:right w:val="single" w:sz="4" w:space="0" w:color="888888"/>
            </w:tcBorders>
          </w:tcPr>
          <w:p w14:paraId="00D3877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AUC</w:t>
            </w:r>
          </w:p>
        </w:tc>
        <w:tc>
          <w:tcPr>
            <w:tcW w:w="817" w:type="dxa"/>
            <w:tcBorders>
              <w:top w:val="single" w:sz="4" w:space="0" w:color="888888"/>
              <w:left w:val="single" w:sz="4" w:space="0" w:color="888888"/>
              <w:bottom w:val="single" w:sz="4" w:space="0" w:color="888888"/>
              <w:right w:val="single" w:sz="4" w:space="0" w:color="888888"/>
            </w:tcBorders>
          </w:tcPr>
          <w:p w14:paraId="4E016C7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Internal validation only</w:t>
            </w:r>
          </w:p>
        </w:tc>
        <w:tc>
          <w:tcPr>
            <w:tcW w:w="742" w:type="dxa"/>
            <w:tcBorders>
              <w:top w:val="single" w:sz="4" w:space="0" w:color="888888"/>
              <w:left w:val="single" w:sz="4" w:space="0" w:color="888888"/>
              <w:bottom w:val="single" w:sz="4" w:space="0" w:color="888888"/>
              <w:right w:val="single" w:sz="4" w:space="0" w:color="888888"/>
            </w:tcBorders>
          </w:tcPr>
          <w:p w14:paraId="27AB424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1,688 women with a hypertensive disorder of pregnancy (110 [6.5%] perinatal deaths), from a total cohort of 2,081</w:t>
            </w:r>
          </w:p>
        </w:tc>
        <w:tc>
          <w:tcPr>
            <w:tcW w:w="851" w:type="dxa"/>
            <w:tcBorders>
              <w:top w:val="single" w:sz="4" w:space="0" w:color="888888"/>
              <w:left w:val="single" w:sz="4" w:space="0" w:color="888888"/>
              <w:bottom w:val="single" w:sz="4" w:space="0" w:color="888888"/>
              <w:right w:val="single" w:sz="4" w:space="0" w:color="888888"/>
            </w:tcBorders>
          </w:tcPr>
          <w:p w14:paraId="701AD82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Bill &amp; Melinda Gates Foundation</w:t>
            </w:r>
          </w:p>
        </w:tc>
        <w:tc>
          <w:tcPr>
            <w:tcW w:w="1134" w:type="dxa"/>
            <w:tcBorders>
              <w:top w:val="single" w:sz="4" w:space="0" w:color="888888"/>
              <w:left w:val="single" w:sz="4" w:space="0" w:color="888888"/>
              <w:bottom w:val="single" w:sz="4" w:space="0" w:color="888888"/>
              <w:right w:val="single" w:sz="4" w:space="0" w:color="888888"/>
            </w:tcBorders>
          </w:tcPr>
          <w:p w14:paraId="50E2ACF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66.7%</w:t>
            </w:r>
          </w:p>
        </w:tc>
        <w:tc>
          <w:tcPr>
            <w:tcW w:w="841" w:type="dxa"/>
            <w:tcBorders>
              <w:top w:val="single" w:sz="4" w:space="0" w:color="888888"/>
              <w:left w:val="single" w:sz="4" w:space="0" w:color="888888"/>
              <w:bottom w:val="single" w:sz="4" w:space="0" w:color="888888"/>
              <w:right w:val="single" w:sz="4" w:space="0" w:color="888888"/>
            </w:tcBorders>
          </w:tcPr>
          <w:p w14:paraId="2311D86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D1: Low risk</w:t>
            </w:r>
          </w:p>
          <w:p w14:paraId="7EA766A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D2: Low risk</w:t>
            </w:r>
          </w:p>
          <w:p w14:paraId="771A8F00"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D3: Unclear risk</w:t>
            </w:r>
          </w:p>
          <w:p w14:paraId="50ECEDF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D4: High risk</w:t>
            </w:r>
          </w:p>
        </w:tc>
        <w:tc>
          <w:tcPr>
            <w:tcW w:w="860" w:type="dxa"/>
            <w:tcBorders>
              <w:top w:val="single" w:sz="4" w:space="0" w:color="888888"/>
              <w:left w:val="single" w:sz="4" w:space="0" w:color="888888"/>
              <w:bottom w:val="single" w:sz="4" w:space="0" w:color="888888"/>
              <w:right w:val="single" w:sz="4" w:space="0" w:color="888888"/>
            </w:tcBorders>
          </w:tcPr>
          <w:p w14:paraId="2C71ACB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Not stated</w:t>
            </w:r>
          </w:p>
        </w:tc>
        <w:tc>
          <w:tcPr>
            <w:tcW w:w="442" w:type="dxa"/>
            <w:tcBorders>
              <w:top w:val="single" w:sz="4" w:space="0" w:color="888888"/>
              <w:left w:val="single" w:sz="4" w:space="0" w:color="888888"/>
              <w:bottom w:val="single" w:sz="4" w:space="0" w:color="888888"/>
              <w:right w:val="single" w:sz="4" w:space="0" w:color="888888"/>
            </w:tcBorders>
          </w:tcPr>
          <w:p w14:paraId="1FFAD03A" w14:textId="77777777" w:rsidR="00871B31" w:rsidRPr="00756461" w:rsidRDefault="00871B31" w:rsidP="00BC1F31">
            <w:pPr>
              <w:spacing w:after="0" w:line="240" w:lineRule="auto"/>
              <w:jc w:val="center"/>
              <w:rPr>
                <w:rFonts w:ascii="Arial" w:hAnsi="Arial" w:cs="Arial"/>
                <w:sz w:val="12"/>
                <w:szCs w:val="12"/>
              </w:rPr>
            </w:pPr>
            <w:r>
              <w:rPr>
                <w:rFonts w:ascii="Arial Narrow" w:hAnsi="Arial Narrow"/>
                <w:sz w:val="12"/>
                <w:szCs w:val="12"/>
              </w:rPr>
              <w:fldChar w:fldCharType="begin"/>
            </w:r>
            <w:r>
              <w:rPr>
                <w:rFonts w:ascii="Arial Narrow" w:hAnsi="Arial Narrow"/>
                <w:sz w:val="12"/>
                <w:szCs w:val="12"/>
              </w:rPr>
              <w:instrText xml:space="preserve"> ADDIN ZOTERO_ITEM CSL_CITATION {"citationID":"xOvdaGx2","properties":{"unsorted":false,"formattedCitation":"[121]","plainCitation":"[121]","noteIndex":0},"citationItems":[{"id":7407,"uris":["http://zotero.org/users/16018142/items/M8X7CTJV"],"itemData":{"id":7407,"type":"article-journal","abstract":"Objective\nTo develop and internally validate a prognostic model for perinatal death that could guide community-based antenatal care of women with a hypertensive disorder of pregnancy (HDP) in low-resourced settings as part of a mobile health application.\nStudy design\nUsing data from 1688 women (110 (6.5%) perinatal deaths) admitted to hospital after 32weeks gestation with a HDP from five low-resourced countries in the miniPIERS prospective cohort, a logistic regression model to predict perinatal death was developed and internally validated. Model discrimination, calibration, and classification accuracy were assessed and compared with use of gestational age alone to determine prognosis.\nMain outcome measures\nStillbirth or neonatal death before hospital discharge.\nResults\nThe final model included maternal age; a count of symptoms (0, 1 or </w:instrText>
            </w:r>
            <w:r>
              <w:rPr>
                <w:rFonts w:ascii="Cambria Math" w:hAnsi="Cambria Math" w:cs="Cambria Math"/>
                <w:sz w:val="12"/>
                <w:szCs w:val="12"/>
              </w:rPr>
              <w:instrText>⩾</w:instrText>
            </w:r>
            <w:r>
              <w:rPr>
                <w:rFonts w:ascii="Arial Narrow" w:hAnsi="Arial Narrow"/>
                <w:sz w:val="12"/>
                <w:szCs w:val="12"/>
              </w:rPr>
              <w:instrText xml:space="preserve">2); and dipstick proteinuria. The area under the receiver operating characteristic curve was 0.75 [95% CI 0.71–0.80]. The model correctly identified 42/110 (38.2%) additional cases as high-risk (probability &gt;15%) of perinatal death compared with use of only gestational age &lt;34weeks at assessment with increased sensitivity (48.6% vs. 23.8%) and similar specificity (86.6% vs. 90.0%).\nConclusion\nUsing simple, routinely collected measures during antenatal care, we can identify women with a HDP who are at increased risk of perinatal death and who would benefit from transfer to facility-based care. This model requires external validation and assessment in an implementation study to confirm performance.","container-title":"Pregnancy Hypertension: An International Journal of Women's Cardiovascular Health","DOI":"10.1016/j.preghy.2015.08.006","ISSN":"2210-7789","issue":"4","journalAbbreviation":"Pregnancy Hypertension: An International Journal of Women's Cardiovascular Health","page":"315-321","source":"ScienceDirect","title":"Development and internal validation of a multivariable model to predict perinatal death in pregnancy hypertension","volume":"5","author":[{"family":"Payne","given":"Beth A."},{"family":"Groen","given":"Henk"},{"family":"Ukah","given":"U. Vivian"},{"family":"Ansermino","given":"J. Mark"},{"family":"Bhutta","given":"Zulfiqar"},{"family":"Grobman","given":"William"},{"family":"Hall","given":"David R."},{"family":"Hutcheon","given":"Jennifer A."},{"family":"Magee","given":"Laura A."},{"family":"Dadelszen","given":"Peter","non-dropping-particle":"von"}],"issued":{"date-parts":[["2015",10,1]]}}}],"schema":"https://github.com/citation-style-language/schema/raw/master/csl-citation.json"} </w:instrText>
            </w:r>
            <w:r>
              <w:rPr>
                <w:rFonts w:ascii="Arial Narrow" w:hAnsi="Arial Narrow"/>
                <w:sz w:val="12"/>
                <w:szCs w:val="12"/>
              </w:rPr>
              <w:fldChar w:fldCharType="separate"/>
            </w:r>
            <w:r>
              <w:rPr>
                <w:rFonts w:ascii="Arial Narrow" w:hAnsi="Arial Narrow"/>
                <w:sz w:val="12"/>
              </w:rPr>
              <w:t>[121]</w:t>
            </w:r>
            <w:r>
              <w:rPr>
                <w:rFonts w:ascii="Arial Narrow" w:hAnsi="Arial Narrow"/>
                <w:sz w:val="12"/>
                <w:szCs w:val="12"/>
              </w:rPr>
              <w:fldChar w:fldCharType="end"/>
            </w:r>
          </w:p>
        </w:tc>
      </w:tr>
      <w:tr w:rsidR="00871B31" w:rsidRPr="00756461" w14:paraId="17536DC6" w14:textId="77777777" w:rsidTr="00BC1F31">
        <w:trPr>
          <w:trHeight w:val="397"/>
        </w:trPr>
        <w:tc>
          <w:tcPr>
            <w:tcW w:w="926" w:type="dxa"/>
            <w:tcBorders>
              <w:top w:val="single" w:sz="4" w:space="0" w:color="888888"/>
              <w:left w:val="single" w:sz="4" w:space="0" w:color="888888"/>
              <w:bottom w:val="single" w:sz="4" w:space="0" w:color="888888"/>
              <w:right w:val="single" w:sz="4" w:space="0" w:color="888888"/>
            </w:tcBorders>
          </w:tcPr>
          <w:p w14:paraId="1B72348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Schuit, et al. 2012</w:t>
            </w:r>
          </w:p>
        </w:tc>
        <w:tc>
          <w:tcPr>
            <w:tcW w:w="1054" w:type="dxa"/>
            <w:tcBorders>
              <w:top w:val="single" w:sz="4" w:space="0" w:color="888888"/>
              <w:left w:val="single" w:sz="4" w:space="0" w:color="888888"/>
              <w:bottom w:val="single" w:sz="4" w:space="0" w:color="888888"/>
              <w:right w:val="single" w:sz="4" w:space="0" w:color="888888"/>
            </w:tcBorders>
          </w:tcPr>
          <w:p w14:paraId="0755D83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Retrospective registry-based study</w:t>
            </w:r>
          </w:p>
        </w:tc>
        <w:tc>
          <w:tcPr>
            <w:tcW w:w="742" w:type="dxa"/>
            <w:tcBorders>
              <w:top w:val="single" w:sz="4" w:space="0" w:color="888888"/>
              <w:left w:val="single" w:sz="4" w:space="0" w:color="888888"/>
              <w:bottom w:val="single" w:sz="4" w:space="0" w:color="888888"/>
              <w:right w:val="single" w:sz="4" w:space="0" w:color="888888"/>
            </w:tcBorders>
          </w:tcPr>
          <w:p w14:paraId="0354802A"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Netherlands</w:t>
            </w:r>
          </w:p>
        </w:tc>
        <w:tc>
          <w:tcPr>
            <w:tcW w:w="786" w:type="dxa"/>
            <w:tcBorders>
              <w:top w:val="single" w:sz="4" w:space="0" w:color="888888"/>
              <w:left w:val="single" w:sz="4" w:space="0" w:color="888888"/>
              <w:bottom w:val="single" w:sz="4" w:space="0" w:color="888888"/>
              <w:right w:val="single" w:sz="4" w:space="0" w:color="888888"/>
            </w:tcBorders>
          </w:tcPr>
          <w:p w14:paraId="5BC577FD"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Stillbirth and neonatal death (very preterm infants)</w:t>
            </w:r>
          </w:p>
        </w:tc>
        <w:tc>
          <w:tcPr>
            <w:tcW w:w="786" w:type="dxa"/>
            <w:tcBorders>
              <w:top w:val="single" w:sz="4" w:space="0" w:color="888888"/>
              <w:left w:val="single" w:sz="4" w:space="0" w:color="888888"/>
              <w:bottom w:val="single" w:sz="4" w:space="0" w:color="888888"/>
              <w:right w:val="single" w:sz="4" w:space="0" w:color="888888"/>
            </w:tcBorders>
          </w:tcPr>
          <w:p w14:paraId="41990F9C"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External validation of two existing prognostic models</w:t>
            </w:r>
          </w:p>
        </w:tc>
        <w:tc>
          <w:tcPr>
            <w:tcW w:w="1051" w:type="dxa"/>
            <w:tcBorders>
              <w:top w:val="single" w:sz="4" w:space="0" w:color="888888"/>
              <w:left w:val="single" w:sz="4" w:space="0" w:color="888888"/>
              <w:bottom w:val="single" w:sz="4" w:space="0" w:color="888888"/>
              <w:right w:val="single" w:sz="4" w:space="0" w:color="888888"/>
            </w:tcBorders>
          </w:tcPr>
          <w:p w14:paraId="27F8B75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Foetal factor</w:t>
            </w:r>
            <w:r>
              <w:rPr>
                <w:rFonts w:ascii="Arial" w:hAnsi="Arial" w:cs="Arial"/>
                <w:sz w:val="12"/>
                <w:szCs w:val="12"/>
              </w:rPr>
              <w:br/>
              <w:t>- Gestational age</w:t>
            </w:r>
            <w:r>
              <w:rPr>
                <w:rFonts w:ascii="Arial" w:hAnsi="Arial" w:cs="Arial"/>
                <w:sz w:val="12"/>
                <w:szCs w:val="12"/>
              </w:rPr>
              <w:br/>
              <w:t>- Birth weight</w:t>
            </w:r>
            <w:r>
              <w:rPr>
                <w:rFonts w:ascii="Arial" w:hAnsi="Arial" w:cs="Arial"/>
                <w:sz w:val="12"/>
                <w:szCs w:val="12"/>
              </w:rPr>
              <w:br/>
              <w:t>- Sex</w:t>
            </w:r>
            <w:r>
              <w:rPr>
                <w:rFonts w:ascii="Arial" w:hAnsi="Arial" w:cs="Arial"/>
                <w:sz w:val="12"/>
                <w:szCs w:val="12"/>
              </w:rPr>
              <w:br/>
              <w:t>- Plurality</w:t>
            </w:r>
            <w:r>
              <w:rPr>
                <w:rFonts w:ascii="Arial" w:hAnsi="Arial" w:cs="Arial"/>
                <w:sz w:val="12"/>
                <w:szCs w:val="12"/>
              </w:rPr>
              <w:br/>
              <w:t>- APGAR score (5 min)</w:t>
            </w:r>
            <w:r>
              <w:rPr>
                <w:rFonts w:ascii="Arial" w:hAnsi="Arial" w:cs="Arial"/>
                <w:sz w:val="12"/>
                <w:szCs w:val="12"/>
              </w:rPr>
              <w:br/>
              <w:t>- Congenital malformation</w:t>
            </w:r>
          </w:p>
        </w:tc>
        <w:tc>
          <w:tcPr>
            <w:tcW w:w="851" w:type="dxa"/>
            <w:tcBorders>
              <w:top w:val="single" w:sz="4" w:space="0" w:color="888888"/>
              <w:left w:val="single" w:sz="4" w:space="0" w:color="888888"/>
              <w:bottom w:val="single" w:sz="4" w:space="0" w:color="888888"/>
              <w:right w:val="single" w:sz="4" w:space="0" w:color="888888"/>
            </w:tcBorders>
          </w:tcPr>
          <w:p w14:paraId="0B9DDB53"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Population / Registry</w:t>
            </w:r>
          </w:p>
        </w:tc>
        <w:tc>
          <w:tcPr>
            <w:tcW w:w="851" w:type="dxa"/>
            <w:tcBorders>
              <w:top w:val="single" w:sz="4" w:space="0" w:color="888888"/>
              <w:left w:val="single" w:sz="4" w:space="0" w:color="888888"/>
              <w:bottom w:val="single" w:sz="4" w:space="0" w:color="888888"/>
              <w:right w:val="single" w:sz="4" w:space="0" w:color="888888"/>
            </w:tcBorders>
          </w:tcPr>
          <w:p w14:paraId="41F3AF68" w14:textId="77777777" w:rsidR="00871B31" w:rsidRPr="00756461" w:rsidRDefault="00871B31" w:rsidP="00BC1F31">
            <w:pPr>
              <w:spacing w:after="0" w:line="240" w:lineRule="auto"/>
              <w:jc w:val="center"/>
              <w:rPr>
                <w:rFonts w:ascii="Arial" w:hAnsi="Arial" w:cs="Arial"/>
                <w:sz w:val="12"/>
                <w:szCs w:val="12"/>
              </w:rPr>
            </w:pPr>
            <w:r>
              <w:rPr>
                <w:rFonts w:ascii="Segoe UI Symbol" w:hAnsi="Segoe UI Symbol" w:cs="Segoe UI Symbol"/>
                <w:sz w:val="12"/>
                <w:szCs w:val="12"/>
              </w:rPr>
              <w:t>✓</w:t>
            </w:r>
          </w:p>
        </w:tc>
        <w:tc>
          <w:tcPr>
            <w:tcW w:w="425" w:type="dxa"/>
            <w:tcBorders>
              <w:top w:val="single" w:sz="4" w:space="0" w:color="888888"/>
              <w:left w:val="single" w:sz="4" w:space="0" w:color="888888"/>
              <w:bottom w:val="single" w:sz="4" w:space="0" w:color="888888"/>
              <w:right w:val="single" w:sz="4" w:space="0" w:color="888888"/>
            </w:tcBorders>
          </w:tcPr>
          <w:p w14:paraId="3C9D01B9"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425" w:type="dxa"/>
            <w:tcBorders>
              <w:top w:val="single" w:sz="4" w:space="0" w:color="888888"/>
              <w:left w:val="single" w:sz="4" w:space="0" w:color="888888"/>
              <w:bottom w:val="single" w:sz="4" w:space="0" w:color="888888"/>
              <w:right w:val="single" w:sz="4" w:space="0" w:color="888888"/>
            </w:tcBorders>
          </w:tcPr>
          <w:p w14:paraId="6E57E0FC" w14:textId="77777777" w:rsidR="00871B31" w:rsidRPr="00756461" w:rsidRDefault="00871B31" w:rsidP="00BC1F31">
            <w:pPr>
              <w:spacing w:after="0" w:line="240" w:lineRule="auto"/>
              <w:jc w:val="center"/>
              <w:rPr>
                <w:rFonts w:ascii="Arial" w:hAnsi="Arial" w:cs="Arial"/>
                <w:sz w:val="12"/>
                <w:szCs w:val="12"/>
              </w:rPr>
            </w:pPr>
            <w:r>
              <w:rPr>
                <w:rFonts w:ascii="Arial" w:hAnsi="Arial" w:cs="Arial"/>
                <w:sz w:val="12"/>
                <w:szCs w:val="12"/>
              </w:rPr>
              <w:t>X</w:t>
            </w:r>
          </w:p>
        </w:tc>
        <w:tc>
          <w:tcPr>
            <w:tcW w:w="992" w:type="dxa"/>
            <w:tcBorders>
              <w:top w:val="single" w:sz="4" w:space="0" w:color="888888"/>
              <w:left w:val="single" w:sz="4" w:space="0" w:color="888888"/>
              <w:bottom w:val="single" w:sz="4" w:space="0" w:color="888888"/>
              <w:right w:val="single" w:sz="4" w:space="0" w:color="888888"/>
            </w:tcBorders>
          </w:tcPr>
          <w:p w14:paraId="3C5F080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Both models showed good calibration. The model for infants alive at the onset of labour showed excellent discrimination (c-statistic 0.92) and the model for infants admitted for neonatal intensive care showed good discrimination (c-statistic 0.82).</w:t>
            </w:r>
          </w:p>
        </w:tc>
        <w:tc>
          <w:tcPr>
            <w:tcW w:w="851" w:type="dxa"/>
            <w:tcBorders>
              <w:top w:val="single" w:sz="4" w:space="0" w:color="888888"/>
              <w:left w:val="single" w:sz="4" w:space="0" w:color="888888"/>
              <w:bottom w:val="single" w:sz="4" w:space="0" w:color="888888"/>
              <w:right w:val="single" w:sz="4" w:space="0" w:color="888888"/>
            </w:tcBorders>
          </w:tcPr>
          <w:p w14:paraId="24C3BE59"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C-statistic</w:t>
            </w:r>
          </w:p>
        </w:tc>
        <w:tc>
          <w:tcPr>
            <w:tcW w:w="817" w:type="dxa"/>
            <w:tcBorders>
              <w:top w:val="single" w:sz="4" w:space="0" w:color="888888"/>
              <w:left w:val="single" w:sz="4" w:space="0" w:color="888888"/>
              <w:bottom w:val="single" w:sz="4" w:space="0" w:color="888888"/>
              <w:right w:val="single" w:sz="4" w:space="0" w:color="888888"/>
            </w:tcBorders>
          </w:tcPr>
          <w:p w14:paraId="046A32F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External validation only</w:t>
            </w:r>
          </w:p>
        </w:tc>
        <w:tc>
          <w:tcPr>
            <w:tcW w:w="742" w:type="dxa"/>
            <w:tcBorders>
              <w:top w:val="single" w:sz="4" w:space="0" w:color="888888"/>
              <w:left w:val="single" w:sz="4" w:space="0" w:color="888888"/>
              <w:bottom w:val="single" w:sz="4" w:space="0" w:color="888888"/>
              <w:right w:val="single" w:sz="4" w:space="0" w:color="888888"/>
            </w:tcBorders>
          </w:tcPr>
          <w:p w14:paraId="79316D37"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17,582 infants alive at onset of labour (2,939 [16.7%] died); 11,578 admitted for neonatal intensive care (908 [7.8%] died)</w:t>
            </w:r>
          </w:p>
        </w:tc>
        <w:tc>
          <w:tcPr>
            <w:tcW w:w="851" w:type="dxa"/>
            <w:tcBorders>
              <w:top w:val="single" w:sz="4" w:space="0" w:color="888888"/>
              <w:left w:val="single" w:sz="4" w:space="0" w:color="888888"/>
              <w:bottom w:val="single" w:sz="4" w:space="0" w:color="888888"/>
              <w:right w:val="single" w:sz="4" w:space="0" w:color="888888"/>
            </w:tcBorders>
          </w:tcPr>
          <w:p w14:paraId="7837C81E"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Not stated in the article</w:t>
            </w:r>
          </w:p>
        </w:tc>
        <w:tc>
          <w:tcPr>
            <w:tcW w:w="1134" w:type="dxa"/>
            <w:tcBorders>
              <w:top w:val="single" w:sz="4" w:space="0" w:color="888888"/>
              <w:left w:val="single" w:sz="4" w:space="0" w:color="888888"/>
              <w:bottom w:val="single" w:sz="4" w:space="0" w:color="888888"/>
              <w:right w:val="single" w:sz="4" w:space="0" w:color="888888"/>
            </w:tcBorders>
          </w:tcPr>
          <w:p w14:paraId="0F0531E5"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51.0%</w:t>
            </w:r>
          </w:p>
        </w:tc>
        <w:tc>
          <w:tcPr>
            <w:tcW w:w="841" w:type="dxa"/>
            <w:tcBorders>
              <w:top w:val="single" w:sz="4" w:space="0" w:color="888888"/>
              <w:left w:val="single" w:sz="4" w:space="0" w:color="888888"/>
              <w:bottom w:val="single" w:sz="4" w:space="0" w:color="888888"/>
              <w:right w:val="single" w:sz="4" w:space="0" w:color="888888"/>
            </w:tcBorders>
          </w:tcPr>
          <w:p w14:paraId="5557CF91"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D1: Low risk</w:t>
            </w:r>
          </w:p>
          <w:p w14:paraId="24C2E26B"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D2: Low risk</w:t>
            </w:r>
          </w:p>
          <w:p w14:paraId="6374D632"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D3: Low risk</w:t>
            </w:r>
          </w:p>
          <w:p w14:paraId="144A2644"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D4: Unclear risk</w:t>
            </w:r>
          </w:p>
        </w:tc>
        <w:tc>
          <w:tcPr>
            <w:tcW w:w="860" w:type="dxa"/>
            <w:tcBorders>
              <w:top w:val="single" w:sz="4" w:space="0" w:color="888888"/>
              <w:left w:val="single" w:sz="4" w:space="0" w:color="888888"/>
              <w:bottom w:val="single" w:sz="4" w:space="0" w:color="888888"/>
              <w:right w:val="single" w:sz="4" w:space="0" w:color="888888"/>
            </w:tcBorders>
          </w:tcPr>
          <w:p w14:paraId="7BAAB9F8" w14:textId="77777777" w:rsidR="00871B31" w:rsidRPr="00756461" w:rsidRDefault="00871B31" w:rsidP="00BC1F31">
            <w:pPr>
              <w:spacing w:after="0" w:line="240" w:lineRule="auto"/>
              <w:rPr>
                <w:rFonts w:ascii="Arial" w:hAnsi="Arial" w:cs="Arial"/>
                <w:sz w:val="12"/>
                <w:szCs w:val="12"/>
              </w:rPr>
            </w:pPr>
            <w:r>
              <w:rPr>
                <w:rFonts w:ascii="Arial" w:hAnsi="Arial" w:cs="Arial"/>
                <w:sz w:val="12"/>
                <w:szCs w:val="12"/>
              </w:rPr>
              <w:t>Not stated</w:t>
            </w:r>
          </w:p>
        </w:tc>
        <w:tc>
          <w:tcPr>
            <w:tcW w:w="442" w:type="dxa"/>
            <w:tcBorders>
              <w:top w:val="single" w:sz="4" w:space="0" w:color="888888"/>
              <w:left w:val="single" w:sz="4" w:space="0" w:color="888888"/>
              <w:bottom w:val="single" w:sz="4" w:space="0" w:color="888888"/>
              <w:right w:val="single" w:sz="4" w:space="0" w:color="888888"/>
            </w:tcBorders>
          </w:tcPr>
          <w:p w14:paraId="5FAD52EE" w14:textId="77777777" w:rsidR="00871B31" w:rsidRPr="00756461" w:rsidRDefault="00871B31" w:rsidP="00BC1F31">
            <w:pPr>
              <w:spacing w:after="0" w:line="240" w:lineRule="auto"/>
              <w:jc w:val="center"/>
              <w:rPr>
                <w:rFonts w:ascii="Arial" w:hAnsi="Arial" w:cs="Arial"/>
                <w:sz w:val="12"/>
                <w:szCs w:val="12"/>
              </w:rPr>
            </w:pPr>
            <w:r>
              <w:rPr>
                <w:rFonts w:ascii="Arial Narrow" w:hAnsi="Arial Narrow"/>
                <w:sz w:val="12"/>
                <w:szCs w:val="12"/>
              </w:rPr>
              <w:fldChar w:fldCharType="begin"/>
            </w:r>
            <w:r>
              <w:rPr>
                <w:rFonts w:ascii="Arial Narrow" w:hAnsi="Arial Narrow"/>
                <w:sz w:val="12"/>
                <w:szCs w:val="12"/>
              </w:rPr>
              <w:instrText xml:space="preserve"> ADDIN ZOTERO_ITEM CSL_CITATION {"citationID":"8r3IrEqo","properties":{"unsorted":false,"formattedCitation":"[122]","plainCitation":"[122]","noteIndex":0},"citationItems":[{"id":7410,"uris":["http://zotero.org/users/16018142/items/NXHGXYRX"],"itemData":{"id":7410,"type":"article-journal","abstract":"To validate externally 2 prognostic models for stillbirth and neonatal death in very preterm infants who are either known to be alive at the onset of labor or admitted for neonatal intensive care.All infants, with gestational age 22 to 32 weeks, of European ethnicity, known to be alive at the onset of labor (n = 17582) and admitted for neonatal intensive care (n = 11578), who were born in the Netherlands between January 1, 2000, and December 31, 2007. The main outcome measures were stillbirth or death within 28 days for infants known to be alive at the onset of labor and death before discharge from the NICU for infants admitted for intensive care. Model performance was studied with calibration plots and c statistic.Of the infants known to be alive at the onset of labor, 16.7% (n = 2939) died during labor or within 28 days of birth, and 7.8% (n = 908) of the infants admitted for neonatal intensive care died before discharge from intensive care. The prognostic model for infants known to be alive at the onset of labor showed good calibration and excellent discrimination (c statistic 0.92). The prognostic model for infants admitted for neonatal intensive care showed good calibration and good discrimination (c statistic 0.82).The 2 prognostic models for stillbirth and neonatal death in very preterm Dutch infants showed good performance, suggesting their use in clinical practice in the Netherlands and possibly other Western countries.","container-title":"Pediatrics","DOI":"10.1542/peds.2011-0803","ISSN":"0031-4005","issue":"1","journalAbbreviation":"Pediatrics","page":"e120-e127","source":"Silverchair","title":"Prognostic Models for Stillbirth and Neonatal Death in Very Preterm Birth: A Validation Study","title-short":"Prognostic Models for Stillbirth and Neonatal Death in Very Preterm Birth","volume":"129","author":[{"family":"Schuit","given":"Ewoud"},{"family":"Hukkelhoven","given":"Chantal W.P.M."},{"family":"Manktelow","given":"Bradley N."},{"family":"Papatsonis","given":"Dimitri N.M."},{"family":"Kleine","given":"Martin J.K.","non-dropping-particle":"de"},{"family":"Draper","given":"Elizabeth S."},{"family":"Steyerberg","given":"Ewout W."},{"family":"Vergouwe","given":"Yvonne"}],"issued":{"date-parts":[["2012",1,1]]}}}],"schema":"https://github.com/citation-style-language/schema/raw/master/csl-citation.json"} </w:instrText>
            </w:r>
            <w:r>
              <w:rPr>
                <w:rFonts w:ascii="Arial Narrow" w:hAnsi="Arial Narrow"/>
                <w:sz w:val="12"/>
                <w:szCs w:val="12"/>
              </w:rPr>
              <w:fldChar w:fldCharType="separate"/>
            </w:r>
            <w:r>
              <w:rPr>
                <w:rFonts w:ascii="Arial Narrow" w:hAnsi="Arial Narrow"/>
                <w:sz w:val="12"/>
              </w:rPr>
              <w:t>[122]</w:t>
            </w:r>
            <w:r>
              <w:rPr>
                <w:rFonts w:ascii="Arial Narrow" w:hAnsi="Arial Narrow"/>
                <w:sz w:val="12"/>
                <w:szCs w:val="12"/>
              </w:rPr>
              <w:fldChar w:fldCharType="end"/>
            </w:r>
          </w:p>
        </w:tc>
      </w:tr>
    </w:tbl>
    <w:p w14:paraId="7328142F" w14:textId="77777777" w:rsidR="00CC351E" w:rsidRPr="00756461" w:rsidRDefault="00CC351E" w:rsidP="00CC351E">
      <w:pPr>
        <w:rPr>
          <w:rFonts w:ascii="Arial" w:hAnsi="Arial" w:cs="Arial"/>
          <w:b/>
          <w:bCs/>
        </w:rPr>
      </w:pPr>
    </w:p>
    <w:p w14:paraId="542C975B" w14:textId="77777777" w:rsidR="000746E7" w:rsidRPr="00756461" w:rsidRDefault="000746E7" w:rsidP="000746E7">
      <w:pPr>
        <w:rPr>
          <w:rFonts w:ascii="Arial" w:hAnsi="Arial" w:cs="Arial"/>
          <w:b/>
          <w:bCs/>
        </w:rPr>
      </w:pPr>
    </w:p>
    <w:p w14:paraId="7BC68894" w14:textId="575BF134" w:rsidR="000746E7" w:rsidRPr="00756461" w:rsidRDefault="000746E7" w:rsidP="000746E7">
      <w:pPr>
        <w:rPr>
          <w:rFonts w:ascii="Arial" w:hAnsi="Arial" w:cs="Arial"/>
          <w:sz w:val="26"/>
        </w:rPr>
        <w:sectPr w:rsidR="000746E7" w:rsidRPr="00756461" w:rsidSect="00CC351E">
          <w:pgSz w:w="16838" w:h="11906" w:orient="landscape"/>
          <w:pgMar w:top="850" w:right="850" w:bottom="850" w:left="850" w:header="720" w:footer="720" w:gutter="0"/>
          <w:cols w:space="720"/>
          <w:docGrid w:linePitch="360"/>
        </w:sectPr>
      </w:pPr>
    </w:p>
    <w:p w14:paraId="7A79D21C" w14:textId="6C434E9A" w:rsidR="00164EC5" w:rsidRPr="00756461" w:rsidRDefault="00164EC5" w:rsidP="00164EC5">
      <w:pPr>
        <w:spacing w:after="0" w:line="240" w:lineRule="auto"/>
        <w:rPr>
          <w:rFonts w:ascii="Arial" w:hAnsi="Arial" w:cs="Arial"/>
        </w:rPr>
      </w:pPr>
      <w:r>
        <w:rPr>
          <w:rFonts w:ascii="Arial" w:hAnsi="Arial" w:cs="Arial"/>
          <w:b/>
        </w:rPr>
        <w:lastRenderedPageBreak/>
        <w:t>Table S4: Named predictors across all included studies (n=93 studies)</w:t>
      </w:r>
    </w:p>
    <w:tbl>
      <w:tblPr>
        <w:tblW w:w="5000" w:type="pct"/>
        <w:tblLook w:val="04A0" w:firstRow="1" w:lastRow="0" w:firstColumn="1" w:lastColumn="0" w:noHBand="0" w:noVBand="1"/>
      </w:tblPr>
      <w:tblGrid>
        <w:gridCol w:w="474"/>
        <w:gridCol w:w="2542"/>
        <w:gridCol w:w="1411"/>
        <w:gridCol w:w="985"/>
        <w:gridCol w:w="1309"/>
        <w:gridCol w:w="1221"/>
        <w:gridCol w:w="1232"/>
        <w:gridCol w:w="1022"/>
      </w:tblGrid>
      <w:tr w:rsidR="007025C4" w:rsidRPr="00756461" w14:paraId="54BD8C44" w14:textId="77777777" w:rsidTr="00756461">
        <w:tc>
          <w:tcPr>
            <w:tcW w:w="232" w:type="pct"/>
            <w:tcBorders>
              <w:top w:val="single" w:sz="4" w:space="0" w:color="888888"/>
              <w:left w:val="single" w:sz="4" w:space="0" w:color="888888"/>
              <w:bottom w:val="single" w:sz="4" w:space="0" w:color="888888"/>
              <w:right w:val="single" w:sz="4" w:space="0" w:color="888888"/>
            </w:tcBorders>
            <w:shd w:val="clear" w:color="auto" w:fill="D9E2F3"/>
          </w:tcPr>
          <w:p w14:paraId="47536B27" w14:textId="77777777" w:rsidR="007025C4" w:rsidRPr="00756461" w:rsidRDefault="007025C4" w:rsidP="007025C4">
            <w:pPr>
              <w:spacing w:after="0" w:line="240" w:lineRule="auto"/>
              <w:rPr>
                <w:rFonts w:ascii="Arial" w:hAnsi="Arial" w:cs="Arial"/>
                <w:b/>
                <w:sz w:val="16"/>
                <w:szCs w:val="16"/>
              </w:rPr>
            </w:pPr>
            <w:r>
              <w:rPr>
                <w:rFonts w:ascii="Arial" w:hAnsi="Arial" w:cs="Arial"/>
                <w:b/>
                <w:sz w:val="16"/>
                <w:szCs w:val="16"/>
              </w:rPr>
              <w:t>No.</w:t>
            </w:r>
          </w:p>
        </w:tc>
        <w:tc>
          <w:tcPr>
            <w:tcW w:w="1247" w:type="pct"/>
            <w:tcBorders>
              <w:top w:val="single" w:sz="4" w:space="0" w:color="888888"/>
              <w:left w:val="single" w:sz="4" w:space="0" w:color="888888"/>
              <w:bottom w:val="single" w:sz="4" w:space="0" w:color="888888"/>
              <w:right w:val="single" w:sz="4" w:space="0" w:color="888888"/>
            </w:tcBorders>
            <w:shd w:val="clear" w:color="auto" w:fill="D9E2F3"/>
          </w:tcPr>
          <w:p w14:paraId="66429DF8" w14:textId="77777777" w:rsidR="007025C4" w:rsidRPr="00756461" w:rsidRDefault="007025C4" w:rsidP="007025C4">
            <w:pPr>
              <w:spacing w:after="0" w:line="240" w:lineRule="auto"/>
              <w:rPr>
                <w:rFonts w:ascii="Arial" w:hAnsi="Arial" w:cs="Arial"/>
                <w:sz w:val="16"/>
                <w:szCs w:val="16"/>
              </w:rPr>
            </w:pPr>
            <w:r>
              <w:rPr>
                <w:rFonts w:ascii="Arial" w:hAnsi="Arial" w:cs="Arial"/>
                <w:b/>
                <w:sz w:val="16"/>
                <w:szCs w:val="16"/>
              </w:rPr>
              <w:t>Named predictor</w:t>
            </w:r>
          </w:p>
        </w:tc>
        <w:tc>
          <w:tcPr>
            <w:tcW w:w="692" w:type="pct"/>
            <w:tcBorders>
              <w:top w:val="single" w:sz="4" w:space="0" w:color="888888"/>
              <w:left w:val="single" w:sz="4" w:space="0" w:color="888888"/>
              <w:bottom w:val="single" w:sz="4" w:space="0" w:color="888888"/>
              <w:right w:val="single" w:sz="4" w:space="0" w:color="888888"/>
            </w:tcBorders>
            <w:shd w:val="clear" w:color="auto" w:fill="D9E2F3"/>
          </w:tcPr>
          <w:p w14:paraId="24B31507" w14:textId="7F38C89A" w:rsidR="007025C4" w:rsidRPr="00756461" w:rsidRDefault="007025C4" w:rsidP="007025C4">
            <w:pPr>
              <w:spacing w:after="0" w:line="240" w:lineRule="auto"/>
              <w:jc w:val="center"/>
              <w:rPr>
                <w:rFonts w:ascii="Arial" w:hAnsi="Arial" w:cs="Arial"/>
                <w:sz w:val="16"/>
                <w:szCs w:val="16"/>
              </w:rPr>
            </w:pPr>
            <w:r>
              <w:rPr>
                <w:rFonts w:ascii="Arial" w:hAnsi="Arial" w:cs="Arial"/>
                <w:b/>
                <w:sz w:val="16"/>
                <w:szCs w:val="16"/>
              </w:rPr>
              <w:t>All studies (n=93)</w:t>
            </w:r>
          </w:p>
        </w:tc>
        <w:tc>
          <w:tcPr>
            <w:tcW w:w="483" w:type="pct"/>
            <w:tcBorders>
              <w:top w:val="single" w:sz="4" w:space="0" w:color="888888"/>
              <w:left w:val="single" w:sz="4" w:space="0" w:color="888888"/>
              <w:bottom w:val="single" w:sz="4" w:space="0" w:color="888888"/>
              <w:right w:val="single" w:sz="4" w:space="0" w:color="888888"/>
            </w:tcBorders>
            <w:shd w:val="clear" w:color="auto" w:fill="D9E2F3"/>
          </w:tcPr>
          <w:p w14:paraId="053A7088" w14:textId="4074BDB9" w:rsidR="007025C4" w:rsidRPr="00756461" w:rsidRDefault="007025C4" w:rsidP="007025C4">
            <w:pPr>
              <w:spacing w:after="0" w:line="240" w:lineRule="auto"/>
              <w:jc w:val="center"/>
              <w:rPr>
                <w:rFonts w:ascii="Arial" w:hAnsi="Arial" w:cs="Arial"/>
                <w:sz w:val="16"/>
                <w:szCs w:val="16"/>
              </w:rPr>
            </w:pPr>
            <w:r>
              <w:rPr>
                <w:rFonts w:ascii="Arial" w:hAnsi="Arial" w:cs="Arial"/>
                <w:b/>
                <w:sz w:val="16"/>
                <w:szCs w:val="16"/>
              </w:rPr>
              <w:t>SSA (n=26)</w:t>
            </w:r>
          </w:p>
        </w:tc>
        <w:tc>
          <w:tcPr>
            <w:tcW w:w="642" w:type="pct"/>
            <w:tcBorders>
              <w:top w:val="single" w:sz="4" w:space="0" w:color="888888"/>
              <w:left w:val="single" w:sz="4" w:space="0" w:color="888888"/>
              <w:bottom w:val="single" w:sz="4" w:space="0" w:color="888888"/>
              <w:right w:val="single" w:sz="4" w:space="0" w:color="888888"/>
            </w:tcBorders>
            <w:shd w:val="clear" w:color="auto" w:fill="D9E2F3"/>
          </w:tcPr>
          <w:p w14:paraId="2DFBD3B8" w14:textId="599F2CC2" w:rsidR="007025C4" w:rsidRPr="00756461" w:rsidRDefault="007025C4" w:rsidP="007025C4">
            <w:pPr>
              <w:spacing w:after="0" w:line="240" w:lineRule="auto"/>
              <w:jc w:val="center"/>
              <w:rPr>
                <w:rFonts w:ascii="Arial" w:hAnsi="Arial" w:cs="Arial"/>
                <w:sz w:val="16"/>
                <w:szCs w:val="16"/>
              </w:rPr>
            </w:pPr>
            <w:r>
              <w:rPr>
                <w:rFonts w:ascii="Arial" w:hAnsi="Arial" w:cs="Arial"/>
                <w:b/>
                <w:sz w:val="16"/>
                <w:szCs w:val="16"/>
              </w:rPr>
              <w:t>Non-SSA (n=67)</w:t>
            </w:r>
          </w:p>
        </w:tc>
        <w:tc>
          <w:tcPr>
            <w:tcW w:w="599" w:type="pct"/>
            <w:tcBorders>
              <w:top w:val="single" w:sz="4" w:space="0" w:color="888888"/>
              <w:left w:val="single" w:sz="4" w:space="0" w:color="888888"/>
              <w:bottom w:val="single" w:sz="4" w:space="0" w:color="888888"/>
              <w:right w:val="single" w:sz="4" w:space="0" w:color="888888"/>
            </w:tcBorders>
            <w:shd w:val="clear" w:color="auto" w:fill="D9E2F3"/>
          </w:tcPr>
          <w:p w14:paraId="30F60A2B" w14:textId="4A85046A" w:rsidR="007025C4" w:rsidRPr="00756461" w:rsidRDefault="007025C4" w:rsidP="007025C4">
            <w:pPr>
              <w:spacing w:after="0" w:line="240" w:lineRule="auto"/>
              <w:jc w:val="center"/>
              <w:rPr>
                <w:rFonts w:ascii="Arial" w:hAnsi="Arial" w:cs="Arial"/>
                <w:sz w:val="16"/>
                <w:szCs w:val="16"/>
              </w:rPr>
            </w:pPr>
            <w:r>
              <w:rPr>
                <w:rFonts w:ascii="Arial" w:hAnsi="Arial" w:cs="Arial"/>
                <w:b/>
                <w:sz w:val="16"/>
                <w:szCs w:val="16"/>
              </w:rPr>
              <w:t>SB only (n=43)</w:t>
            </w:r>
          </w:p>
        </w:tc>
        <w:tc>
          <w:tcPr>
            <w:tcW w:w="604" w:type="pct"/>
            <w:tcBorders>
              <w:top w:val="single" w:sz="4" w:space="0" w:color="888888"/>
              <w:left w:val="single" w:sz="4" w:space="0" w:color="888888"/>
              <w:bottom w:val="single" w:sz="4" w:space="0" w:color="888888"/>
              <w:right w:val="single" w:sz="4" w:space="0" w:color="888888"/>
            </w:tcBorders>
            <w:shd w:val="clear" w:color="auto" w:fill="D9E2F3"/>
          </w:tcPr>
          <w:p w14:paraId="69F0E2AB" w14:textId="7D421226" w:rsidR="007025C4" w:rsidRPr="00756461" w:rsidRDefault="007025C4" w:rsidP="007025C4">
            <w:pPr>
              <w:spacing w:after="0" w:line="240" w:lineRule="auto"/>
              <w:jc w:val="center"/>
              <w:rPr>
                <w:rFonts w:ascii="Arial" w:hAnsi="Arial" w:cs="Arial"/>
                <w:sz w:val="16"/>
                <w:szCs w:val="16"/>
              </w:rPr>
            </w:pPr>
            <w:r>
              <w:rPr>
                <w:rFonts w:ascii="Arial" w:hAnsi="Arial" w:cs="Arial"/>
                <w:b/>
                <w:sz w:val="16"/>
                <w:szCs w:val="16"/>
              </w:rPr>
              <w:t>ND only (n=30)</w:t>
            </w:r>
          </w:p>
        </w:tc>
        <w:tc>
          <w:tcPr>
            <w:tcW w:w="501" w:type="pct"/>
            <w:tcBorders>
              <w:top w:val="single" w:sz="4" w:space="0" w:color="888888"/>
              <w:left w:val="single" w:sz="4" w:space="0" w:color="888888"/>
              <w:bottom w:val="single" w:sz="4" w:space="0" w:color="888888"/>
              <w:right w:val="single" w:sz="4" w:space="0" w:color="888888"/>
            </w:tcBorders>
            <w:shd w:val="clear" w:color="auto" w:fill="D9E2F3"/>
          </w:tcPr>
          <w:p w14:paraId="5934AC29" w14:textId="6C072C99" w:rsidR="007025C4" w:rsidRPr="00756461" w:rsidRDefault="007025C4" w:rsidP="007025C4">
            <w:pPr>
              <w:spacing w:after="0" w:line="240" w:lineRule="auto"/>
              <w:jc w:val="center"/>
              <w:rPr>
                <w:rFonts w:ascii="Arial" w:hAnsi="Arial" w:cs="Arial"/>
                <w:sz w:val="16"/>
                <w:szCs w:val="16"/>
              </w:rPr>
            </w:pPr>
            <w:r>
              <w:rPr>
                <w:rFonts w:ascii="Arial" w:hAnsi="Arial" w:cs="Arial"/>
                <w:b/>
                <w:sz w:val="16"/>
                <w:szCs w:val="16"/>
              </w:rPr>
              <w:t>Both (n=20)</w:t>
            </w:r>
          </w:p>
        </w:tc>
      </w:tr>
      <w:tr w:rsidR="007025C4" w:rsidRPr="00756461" w14:paraId="7D5607E9" w14:textId="77777777" w:rsidTr="00756461">
        <w:tc>
          <w:tcPr>
            <w:tcW w:w="232" w:type="pct"/>
            <w:tcBorders>
              <w:top w:val="single" w:sz="4" w:space="0" w:color="888888"/>
              <w:left w:val="single" w:sz="4" w:space="0" w:color="888888"/>
              <w:bottom w:val="single" w:sz="4" w:space="0" w:color="888888"/>
              <w:right w:val="single" w:sz="4" w:space="0" w:color="888888"/>
            </w:tcBorders>
          </w:tcPr>
          <w:p w14:paraId="06BAF1B6"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1</w:t>
            </w:r>
          </w:p>
        </w:tc>
        <w:tc>
          <w:tcPr>
            <w:tcW w:w="1247" w:type="pct"/>
            <w:tcBorders>
              <w:top w:val="single" w:sz="4" w:space="0" w:color="888888"/>
              <w:left w:val="single" w:sz="4" w:space="0" w:color="888888"/>
              <w:bottom w:val="single" w:sz="4" w:space="0" w:color="888888"/>
              <w:right w:val="single" w:sz="4" w:space="0" w:color="888888"/>
            </w:tcBorders>
          </w:tcPr>
          <w:p w14:paraId="4CD780E6"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Gestational age</w:t>
            </w:r>
          </w:p>
        </w:tc>
        <w:tc>
          <w:tcPr>
            <w:tcW w:w="692" w:type="pct"/>
            <w:tcBorders>
              <w:top w:val="single" w:sz="4" w:space="0" w:color="888888"/>
              <w:left w:val="single" w:sz="4" w:space="0" w:color="888888"/>
              <w:bottom w:val="single" w:sz="4" w:space="0" w:color="888888"/>
              <w:right w:val="single" w:sz="4" w:space="0" w:color="888888"/>
            </w:tcBorders>
          </w:tcPr>
          <w:p w14:paraId="0278D0B9" w14:textId="6A46DE78" w:rsidR="007025C4" w:rsidRPr="00756461" w:rsidRDefault="007025C4" w:rsidP="007025C4">
            <w:pPr>
              <w:spacing w:after="0" w:line="240" w:lineRule="auto"/>
              <w:jc w:val="center"/>
              <w:rPr>
                <w:rFonts w:ascii="Arial" w:hAnsi="Arial" w:cs="Arial"/>
                <w:sz w:val="16"/>
                <w:szCs w:val="16"/>
              </w:rPr>
            </w:pPr>
            <w:r>
              <w:rPr>
                <w:rFonts w:ascii="Arial" w:hAnsi="Arial" w:cs="Arial"/>
                <w:b/>
                <w:sz w:val="16"/>
                <w:szCs w:val="16"/>
              </w:rPr>
              <w:t>31</w:t>
            </w:r>
          </w:p>
        </w:tc>
        <w:tc>
          <w:tcPr>
            <w:tcW w:w="483" w:type="pct"/>
            <w:tcBorders>
              <w:top w:val="single" w:sz="4" w:space="0" w:color="888888"/>
              <w:left w:val="single" w:sz="4" w:space="0" w:color="888888"/>
              <w:bottom w:val="single" w:sz="4" w:space="0" w:color="888888"/>
              <w:right w:val="single" w:sz="4" w:space="0" w:color="888888"/>
            </w:tcBorders>
          </w:tcPr>
          <w:p w14:paraId="6FEC0286" w14:textId="3BD18938"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8</w:t>
            </w:r>
          </w:p>
        </w:tc>
        <w:tc>
          <w:tcPr>
            <w:tcW w:w="642" w:type="pct"/>
            <w:tcBorders>
              <w:top w:val="single" w:sz="4" w:space="0" w:color="888888"/>
              <w:left w:val="single" w:sz="4" w:space="0" w:color="888888"/>
              <w:bottom w:val="single" w:sz="4" w:space="0" w:color="888888"/>
              <w:right w:val="single" w:sz="4" w:space="0" w:color="888888"/>
            </w:tcBorders>
          </w:tcPr>
          <w:p w14:paraId="4C29CD29" w14:textId="708A0B33"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23</w:t>
            </w:r>
          </w:p>
        </w:tc>
        <w:tc>
          <w:tcPr>
            <w:tcW w:w="599" w:type="pct"/>
            <w:tcBorders>
              <w:top w:val="single" w:sz="4" w:space="0" w:color="888888"/>
              <w:left w:val="single" w:sz="4" w:space="0" w:color="888888"/>
              <w:bottom w:val="single" w:sz="4" w:space="0" w:color="888888"/>
              <w:right w:val="single" w:sz="4" w:space="0" w:color="888888"/>
            </w:tcBorders>
          </w:tcPr>
          <w:p w14:paraId="7AB07FD3" w14:textId="7ADC85E8"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9</w:t>
            </w:r>
          </w:p>
        </w:tc>
        <w:tc>
          <w:tcPr>
            <w:tcW w:w="604" w:type="pct"/>
            <w:tcBorders>
              <w:top w:val="single" w:sz="4" w:space="0" w:color="888888"/>
              <w:left w:val="single" w:sz="4" w:space="0" w:color="888888"/>
              <w:bottom w:val="single" w:sz="4" w:space="0" w:color="888888"/>
              <w:right w:val="single" w:sz="4" w:space="0" w:color="888888"/>
            </w:tcBorders>
          </w:tcPr>
          <w:p w14:paraId="6024AB00" w14:textId="16D4699D"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14</w:t>
            </w:r>
          </w:p>
        </w:tc>
        <w:tc>
          <w:tcPr>
            <w:tcW w:w="501" w:type="pct"/>
            <w:tcBorders>
              <w:top w:val="single" w:sz="4" w:space="0" w:color="888888"/>
              <w:left w:val="single" w:sz="4" w:space="0" w:color="888888"/>
              <w:bottom w:val="single" w:sz="4" w:space="0" w:color="888888"/>
              <w:right w:val="single" w:sz="4" w:space="0" w:color="888888"/>
            </w:tcBorders>
          </w:tcPr>
          <w:p w14:paraId="79C107D2" w14:textId="790A0226"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8</w:t>
            </w:r>
          </w:p>
        </w:tc>
      </w:tr>
      <w:tr w:rsidR="007025C4" w:rsidRPr="00756461" w14:paraId="05923183" w14:textId="77777777" w:rsidTr="00756461">
        <w:tc>
          <w:tcPr>
            <w:tcW w:w="232" w:type="pct"/>
            <w:tcBorders>
              <w:top w:val="single" w:sz="4" w:space="0" w:color="888888"/>
              <w:left w:val="single" w:sz="4" w:space="0" w:color="888888"/>
              <w:bottom w:val="single" w:sz="4" w:space="0" w:color="888888"/>
              <w:right w:val="single" w:sz="4" w:space="0" w:color="888888"/>
            </w:tcBorders>
          </w:tcPr>
          <w:p w14:paraId="687A62F6"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2</w:t>
            </w:r>
          </w:p>
        </w:tc>
        <w:tc>
          <w:tcPr>
            <w:tcW w:w="1247" w:type="pct"/>
            <w:tcBorders>
              <w:top w:val="single" w:sz="4" w:space="0" w:color="888888"/>
              <w:left w:val="single" w:sz="4" w:space="0" w:color="888888"/>
              <w:bottom w:val="single" w:sz="4" w:space="0" w:color="888888"/>
              <w:right w:val="single" w:sz="4" w:space="0" w:color="888888"/>
            </w:tcBorders>
          </w:tcPr>
          <w:p w14:paraId="3A33782B"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Maternal age</w:t>
            </w:r>
          </w:p>
        </w:tc>
        <w:tc>
          <w:tcPr>
            <w:tcW w:w="692" w:type="pct"/>
            <w:tcBorders>
              <w:top w:val="single" w:sz="4" w:space="0" w:color="888888"/>
              <w:left w:val="single" w:sz="4" w:space="0" w:color="888888"/>
              <w:bottom w:val="single" w:sz="4" w:space="0" w:color="888888"/>
              <w:right w:val="single" w:sz="4" w:space="0" w:color="888888"/>
            </w:tcBorders>
          </w:tcPr>
          <w:p w14:paraId="6395ECAD" w14:textId="1001692A" w:rsidR="007025C4" w:rsidRPr="00756461" w:rsidRDefault="007025C4" w:rsidP="007025C4">
            <w:pPr>
              <w:spacing w:after="0" w:line="240" w:lineRule="auto"/>
              <w:jc w:val="center"/>
              <w:rPr>
                <w:rFonts w:ascii="Arial" w:hAnsi="Arial" w:cs="Arial"/>
                <w:sz w:val="16"/>
                <w:szCs w:val="16"/>
              </w:rPr>
            </w:pPr>
            <w:r>
              <w:rPr>
                <w:rFonts w:ascii="Arial" w:hAnsi="Arial" w:cs="Arial"/>
                <w:b/>
                <w:sz w:val="16"/>
                <w:szCs w:val="16"/>
              </w:rPr>
              <w:t>31</w:t>
            </w:r>
          </w:p>
        </w:tc>
        <w:tc>
          <w:tcPr>
            <w:tcW w:w="483" w:type="pct"/>
            <w:tcBorders>
              <w:top w:val="single" w:sz="4" w:space="0" w:color="888888"/>
              <w:left w:val="single" w:sz="4" w:space="0" w:color="888888"/>
              <w:bottom w:val="single" w:sz="4" w:space="0" w:color="888888"/>
              <w:right w:val="single" w:sz="4" w:space="0" w:color="888888"/>
            </w:tcBorders>
          </w:tcPr>
          <w:p w14:paraId="09A587A3" w14:textId="212C1F64"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14</w:t>
            </w:r>
          </w:p>
        </w:tc>
        <w:tc>
          <w:tcPr>
            <w:tcW w:w="642" w:type="pct"/>
            <w:tcBorders>
              <w:top w:val="single" w:sz="4" w:space="0" w:color="888888"/>
              <w:left w:val="single" w:sz="4" w:space="0" w:color="888888"/>
              <w:bottom w:val="single" w:sz="4" w:space="0" w:color="888888"/>
              <w:right w:val="single" w:sz="4" w:space="0" w:color="888888"/>
            </w:tcBorders>
          </w:tcPr>
          <w:p w14:paraId="2E512313" w14:textId="34BCFC78"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17</w:t>
            </w:r>
          </w:p>
        </w:tc>
        <w:tc>
          <w:tcPr>
            <w:tcW w:w="599" w:type="pct"/>
            <w:tcBorders>
              <w:top w:val="single" w:sz="4" w:space="0" w:color="888888"/>
              <w:left w:val="single" w:sz="4" w:space="0" w:color="888888"/>
              <w:bottom w:val="single" w:sz="4" w:space="0" w:color="888888"/>
              <w:right w:val="single" w:sz="4" w:space="0" w:color="888888"/>
            </w:tcBorders>
          </w:tcPr>
          <w:p w14:paraId="79BB65D8" w14:textId="512E69D3"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19</w:t>
            </w:r>
          </w:p>
        </w:tc>
        <w:tc>
          <w:tcPr>
            <w:tcW w:w="604" w:type="pct"/>
            <w:tcBorders>
              <w:top w:val="single" w:sz="4" w:space="0" w:color="888888"/>
              <w:left w:val="single" w:sz="4" w:space="0" w:color="888888"/>
              <w:bottom w:val="single" w:sz="4" w:space="0" w:color="888888"/>
              <w:right w:val="single" w:sz="4" w:space="0" w:color="888888"/>
            </w:tcBorders>
          </w:tcPr>
          <w:p w14:paraId="253EF66C" w14:textId="18ECAEAC"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5</w:t>
            </w:r>
          </w:p>
        </w:tc>
        <w:tc>
          <w:tcPr>
            <w:tcW w:w="501" w:type="pct"/>
            <w:tcBorders>
              <w:top w:val="single" w:sz="4" w:space="0" w:color="888888"/>
              <w:left w:val="single" w:sz="4" w:space="0" w:color="888888"/>
              <w:bottom w:val="single" w:sz="4" w:space="0" w:color="888888"/>
              <w:right w:val="single" w:sz="4" w:space="0" w:color="888888"/>
            </w:tcBorders>
          </w:tcPr>
          <w:p w14:paraId="7B8056E3" w14:textId="7C9EA282"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7</w:t>
            </w:r>
          </w:p>
        </w:tc>
      </w:tr>
      <w:tr w:rsidR="007025C4" w:rsidRPr="00756461" w14:paraId="286300A1" w14:textId="77777777" w:rsidTr="00756461">
        <w:tc>
          <w:tcPr>
            <w:tcW w:w="232" w:type="pct"/>
            <w:tcBorders>
              <w:top w:val="single" w:sz="4" w:space="0" w:color="888888"/>
              <w:left w:val="single" w:sz="4" w:space="0" w:color="888888"/>
              <w:bottom w:val="single" w:sz="4" w:space="0" w:color="888888"/>
              <w:right w:val="single" w:sz="4" w:space="0" w:color="888888"/>
            </w:tcBorders>
          </w:tcPr>
          <w:p w14:paraId="5482298F"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3</w:t>
            </w:r>
          </w:p>
        </w:tc>
        <w:tc>
          <w:tcPr>
            <w:tcW w:w="1247" w:type="pct"/>
            <w:tcBorders>
              <w:top w:val="single" w:sz="4" w:space="0" w:color="888888"/>
              <w:left w:val="single" w:sz="4" w:space="0" w:color="888888"/>
              <w:bottom w:val="single" w:sz="4" w:space="0" w:color="888888"/>
              <w:right w:val="single" w:sz="4" w:space="0" w:color="888888"/>
            </w:tcBorders>
          </w:tcPr>
          <w:p w14:paraId="20812AEB"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Birth weight</w:t>
            </w:r>
          </w:p>
        </w:tc>
        <w:tc>
          <w:tcPr>
            <w:tcW w:w="692" w:type="pct"/>
            <w:tcBorders>
              <w:top w:val="single" w:sz="4" w:space="0" w:color="888888"/>
              <w:left w:val="single" w:sz="4" w:space="0" w:color="888888"/>
              <w:bottom w:val="single" w:sz="4" w:space="0" w:color="888888"/>
              <w:right w:val="single" w:sz="4" w:space="0" w:color="888888"/>
            </w:tcBorders>
          </w:tcPr>
          <w:p w14:paraId="1658364A" w14:textId="6CCD53C7" w:rsidR="007025C4" w:rsidRPr="00756461" w:rsidRDefault="007025C4" w:rsidP="007025C4">
            <w:pPr>
              <w:spacing w:after="0" w:line="240" w:lineRule="auto"/>
              <w:jc w:val="center"/>
              <w:rPr>
                <w:rFonts w:ascii="Arial" w:hAnsi="Arial" w:cs="Arial"/>
                <w:sz w:val="16"/>
                <w:szCs w:val="16"/>
              </w:rPr>
            </w:pPr>
            <w:r>
              <w:rPr>
                <w:rFonts w:ascii="Arial" w:hAnsi="Arial" w:cs="Arial"/>
                <w:b/>
                <w:sz w:val="16"/>
                <w:szCs w:val="16"/>
              </w:rPr>
              <w:t>26</w:t>
            </w:r>
          </w:p>
        </w:tc>
        <w:tc>
          <w:tcPr>
            <w:tcW w:w="483" w:type="pct"/>
            <w:tcBorders>
              <w:top w:val="single" w:sz="4" w:space="0" w:color="888888"/>
              <w:left w:val="single" w:sz="4" w:space="0" w:color="888888"/>
              <w:bottom w:val="single" w:sz="4" w:space="0" w:color="888888"/>
              <w:right w:val="single" w:sz="4" w:space="0" w:color="888888"/>
            </w:tcBorders>
          </w:tcPr>
          <w:p w14:paraId="51278235" w14:textId="1C13F18E"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7</w:t>
            </w:r>
          </w:p>
        </w:tc>
        <w:tc>
          <w:tcPr>
            <w:tcW w:w="642" w:type="pct"/>
            <w:tcBorders>
              <w:top w:val="single" w:sz="4" w:space="0" w:color="888888"/>
              <w:left w:val="single" w:sz="4" w:space="0" w:color="888888"/>
              <w:bottom w:val="single" w:sz="4" w:space="0" w:color="888888"/>
              <w:right w:val="single" w:sz="4" w:space="0" w:color="888888"/>
            </w:tcBorders>
          </w:tcPr>
          <w:p w14:paraId="73BB1679" w14:textId="44269C98"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19</w:t>
            </w:r>
          </w:p>
        </w:tc>
        <w:tc>
          <w:tcPr>
            <w:tcW w:w="599" w:type="pct"/>
            <w:tcBorders>
              <w:top w:val="single" w:sz="4" w:space="0" w:color="888888"/>
              <w:left w:val="single" w:sz="4" w:space="0" w:color="888888"/>
              <w:bottom w:val="single" w:sz="4" w:space="0" w:color="888888"/>
              <w:right w:val="single" w:sz="4" w:space="0" w:color="888888"/>
            </w:tcBorders>
          </w:tcPr>
          <w:p w14:paraId="6B5A1D62" w14:textId="18523C0D"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5</w:t>
            </w:r>
          </w:p>
        </w:tc>
        <w:tc>
          <w:tcPr>
            <w:tcW w:w="604" w:type="pct"/>
            <w:tcBorders>
              <w:top w:val="single" w:sz="4" w:space="0" w:color="888888"/>
              <w:left w:val="single" w:sz="4" w:space="0" w:color="888888"/>
              <w:bottom w:val="single" w:sz="4" w:space="0" w:color="888888"/>
              <w:right w:val="single" w:sz="4" w:space="0" w:color="888888"/>
            </w:tcBorders>
          </w:tcPr>
          <w:p w14:paraId="7B263B7F" w14:textId="15CC64DF"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14</w:t>
            </w:r>
          </w:p>
        </w:tc>
        <w:tc>
          <w:tcPr>
            <w:tcW w:w="501" w:type="pct"/>
            <w:tcBorders>
              <w:top w:val="single" w:sz="4" w:space="0" w:color="888888"/>
              <w:left w:val="single" w:sz="4" w:space="0" w:color="888888"/>
              <w:bottom w:val="single" w:sz="4" w:space="0" w:color="888888"/>
              <w:right w:val="single" w:sz="4" w:space="0" w:color="888888"/>
            </w:tcBorders>
          </w:tcPr>
          <w:p w14:paraId="04C583EE" w14:textId="25D6877B"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7</w:t>
            </w:r>
          </w:p>
        </w:tc>
      </w:tr>
      <w:tr w:rsidR="007025C4" w:rsidRPr="00756461" w14:paraId="2733C82F" w14:textId="77777777" w:rsidTr="00756461">
        <w:tc>
          <w:tcPr>
            <w:tcW w:w="232" w:type="pct"/>
            <w:tcBorders>
              <w:top w:val="single" w:sz="4" w:space="0" w:color="888888"/>
              <w:left w:val="single" w:sz="4" w:space="0" w:color="888888"/>
              <w:bottom w:val="single" w:sz="4" w:space="0" w:color="888888"/>
              <w:right w:val="single" w:sz="4" w:space="0" w:color="888888"/>
            </w:tcBorders>
          </w:tcPr>
          <w:p w14:paraId="791BD8AE"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4</w:t>
            </w:r>
          </w:p>
        </w:tc>
        <w:tc>
          <w:tcPr>
            <w:tcW w:w="1247" w:type="pct"/>
            <w:tcBorders>
              <w:top w:val="single" w:sz="4" w:space="0" w:color="888888"/>
              <w:left w:val="single" w:sz="4" w:space="0" w:color="888888"/>
              <w:bottom w:val="single" w:sz="4" w:space="0" w:color="888888"/>
              <w:right w:val="single" w:sz="4" w:space="0" w:color="888888"/>
            </w:tcBorders>
          </w:tcPr>
          <w:p w14:paraId="3C549441"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Maternal body mass index</w:t>
            </w:r>
          </w:p>
        </w:tc>
        <w:tc>
          <w:tcPr>
            <w:tcW w:w="692" w:type="pct"/>
            <w:tcBorders>
              <w:top w:val="single" w:sz="4" w:space="0" w:color="888888"/>
              <w:left w:val="single" w:sz="4" w:space="0" w:color="888888"/>
              <w:bottom w:val="single" w:sz="4" w:space="0" w:color="888888"/>
              <w:right w:val="single" w:sz="4" w:space="0" w:color="888888"/>
            </w:tcBorders>
          </w:tcPr>
          <w:p w14:paraId="13C863FF" w14:textId="32183B79" w:rsidR="007025C4" w:rsidRPr="00756461" w:rsidRDefault="007025C4" w:rsidP="007025C4">
            <w:pPr>
              <w:spacing w:after="0" w:line="240" w:lineRule="auto"/>
              <w:jc w:val="center"/>
              <w:rPr>
                <w:rFonts w:ascii="Arial" w:hAnsi="Arial" w:cs="Arial"/>
                <w:sz w:val="16"/>
                <w:szCs w:val="16"/>
              </w:rPr>
            </w:pPr>
            <w:r>
              <w:rPr>
                <w:rFonts w:ascii="Arial" w:hAnsi="Arial" w:cs="Arial"/>
                <w:b/>
                <w:sz w:val="16"/>
                <w:szCs w:val="16"/>
              </w:rPr>
              <w:t>18</w:t>
            </w:r>
          </w:p>
        </w:tc>
        <w:tc>
          <w:tcPr>
            <w:tcW w:w="483" w:type="pct"/>
            <w:tcBorders>
              <w:top w:val="single" w:sz="4" w:space="0" w:color="888888"/>
              <w:left w:val="single" w:sz="4" w:space="0" w:color="888888"/>
              <w:bottom w:val="single" w:sz="4" w:space="0" w:color="888888"/>
              <w:right w:val="single" w:sz="4" w:space="0" w:color="888888"/>
            </w:tcBorders>
          </w:tcPr>
          <w:p w14:paraId="09B0F413" w14:textId="42FA8528"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1</w:t>
            </w:r>
          </w:p>
        </w:tc>
        <w:tc>
          <w:tcPr>
            <w:tcW w:w="642" w:type="pct"/>
            <w:tcBorders>
              <w:top w:val="single" w:sz="4" w:space="0" w:color="888888"/>
              <w:left w:val="single" w:sz="4" w:space="0" w:color="888888"/>
              <w:bottom w:val="single" w:sz="4" w:space="0" w:color="888888"/>
              <w:right w:val="single" w:sz="4" w:space="0" w:color="888888"/>
            </w:tcBorders>
          </w:tcPr>
          <w:p w14:paraId="6490267C" w14:textId="66AE56DD"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17</w:t>
            </w:r>
          </w:p>
        </w:tc>
        <w:tc>
          <w:tcPr>
            <w:tcW w:w="599" w:type="pct"/>
            <w:tcBorders>
              <w:top w:val="single" w:sz="4" w:space="0" w:color="888888"/>
              <w:left w:val="single" w:sz="4" w:space="0" w:color="888888"/>
              <w:bottom w:val="single" w:sz="4" w:space="0" w:color="888888"/>
              <w:right w:val="single" w:sz="4" w:space="0" w:color="888888"/>
            </w:tcBorders>
          </w:tcPr>
          <w:p w14:paraId="09215BFC" w14:textId="4947482F"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13</w:t>
            </w:r>
          </w:p>
        </w:tc>
        <w:tc>
          <w:tcPr>
            <w:tcW w:w="604" w:type="pct"/>
            <w:tcBorders>
              <w:top w:val="single" w:sz="4" w:space="0" w:color="888888"/>
              <w:left w:val="single" w:sz="4" w:space="0" w:color="888888"/>
              <w:bottom w:val="single" w:sz="4" w:space="0" w:color="888888"/>
              <w:right w:val="single" w:sz="4" w:space="0" w:color="888888"/>
            </w:tcBorders>
          </w:tcPr>
          <w:p w14:paraId="5FD28C77" w14:textId="434DCE35"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2</w:t>
            </w:r>
          </w:p>
        </w:tc>
        <w:tc>
          <w:tcPr>
            <w:tcW w:w="501" w:type="pct"/>
            <w:tcBorders>
              <w:top w:val="single" w:sz="4" w:space="0" w:color="888888"/>
              <w:left w:val="single" w:sz="4" w:space="0" w:color="888888"/>
              <w:bottom w:val="single" w:sz="4" w:space="0" w:color="888888"/>
              <w:right w:val="single" w:sz="4" w:space="0" w:color="888888"/>
            </w:tcBorders>
          </w:tcPr>
          <w:p w14:paraId="2B639ABB" w14:textId="027FAC4F"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3</w:t>
            </w:r>
          </w:p>
        </w:tc>
      </w:tr>
      <w:tr w:rsidR="007025C4" w:rsidRPr="00756461" w14:paraId="17151581" w14:textId="77777777" w:rsidTr="00756461">
        <w:tc>
          <w:tcPr>
            <w:tcW w:w="232" w:type="pct"/>
            <w:tcBorders>
              <w:top w:val="single" w:sz="4" w:space="0" w:color="888888"/>
              <w:left w:val="single" w:sz="4" w:space="0" w:color="888888"/>
              <w:bottom w:val="single" w:sz="4" w:space="0" w:color="888888"/>
              <w:right w:val="single" w:sz="4" w:space="0" w:color="888888"/>
            </w:tcBorders>
          </w:tcPr>
          <w:p w14:paraId="08937B29"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5</w:t>
            </w:r>
          </w:p>
        </w:tc>
        <w:tc>
          <w:tcPr>
            <w:tcW w:w="1247" w:type="pct"/>
            <w:tcBorders>
              <w:top w:val="single" w:sz="4" w:space="0" w:color="888888"/>
              <w:left w:val="single" w:sz="4" w:space="0" w:color="888888"/>
              <w:bottom w:val="single" w:sz="4" w:space="0" w:color="888888"/>
              <w:right w:val="single" w:sz="4" w:space="0" w:color="888888"/>
            </w:tcBorders>
          </w:tcPr>
          <w:p w14:paraId="1CE87D55"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Hypertensive disorders of pregnancy</w:t>
            </w:r>
          </w:p>
        </w:tc>
        <w:tc>
          <w:tcPr>
            <w:tcW w:w="692" w:type="pct"/>
            <w:tcBorders>
              <w:top w:val="single" w:sz="4" w:space="0" w:color="888888"/>
              <w:left w:val="single" w:sz="4" w:space="0" w:color="888888"/>
              <w:bottom w:val="single" w:sz="4" w:space="0" w:color="888888"/>
              <w:right w:val="single" w:sz="4" w:space="0" w:color="888888"/>
            </w:tcBorders>
          </w:tcPr>
          <w:p w14:paraId="1E1CEA84" w14:textId="4EA8FC21" w:rsidR="007025C4" w:rsidRPr="00756461" w:rsidRDefault="007025C4" w:rsidP="007025C4">
            <w:pPr>
              <w:spacing w:after="0" w:line="240" w:lineRule="auto"/>
              <w:jc w:val="center"/>
              <w:rPr>
                <w:rFonts w:ascii="Arial" w:hAnsi="Arial" w:cs="Arial"/>
                <w:sz w:val="16"/>
                <w:szCs w:val="16"/>
              </w:rPr>
            </w:pPr>
            <w:r>
              <w:rPr>
                <w:rFonts w:ascii="Arial" w:hAnsi="Arial" w:cs="Arial"/>
                <w:b/>
                <w:sz w:val="16"/>
                <w:szCs w:val="16"/>
              </w:rPr>
              <w:t>19</w:t>
            </w:r>
          </w:p>
        </w:tc>
        <w:tc>
          <w:tcPr>
            <w:tcW w:w="483" w:type="pct"/>
            <w:tcBorders>
              <w:top w:val="single" w:sz="4" w:space="0" w:color="888888"/>
              <w:left w:val="single" w:sz="4" w:space="0" w:color="888888"/>
              <w:bottom w:val="single" w:sz="4" w:space="0" w:color="888888"/>
              <w:right w:val="single" w:sz="4" w:space="0" w:color="888888"/>
            </w:tcBorders>
          </w:tcPr>
          <w:p w14:paraId="565D8C1D" w14:textId="43DD5BA6"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3</w:t>
            </w:r>
          </w:p>
        </w:tc>
        <w:tc>
          <w:tcPr>
            <w:tcW w:w="642" w:type="pct"/>
            <w:tcBorders>
              <w:top w:val="single" w:sz="4" w:space="0" w:color="888888"/>
              <w:left w:val="single" w:sz="4" w:space="0" w:color="888888"/>
              <w:bottom w:val="single" w:sz="4" w:space="0" w:color="888888"/>
              <w:right w:val="single" w:sz="4" w:space="0" w:color="888888"/>
            </w:tcBorders>
          </w:tcPr>
          <w:p w14:paraId="5DD51D49" w14:textId="1E11CB18"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16</w:t>
            </w:r>
          </w:p>
        </w:tc>
        <w:tc>
          <w:tcPr>
            <w:tcW w:w="599" w:type="pct"/>
            <w:tcBorders>
              <w:top w:val="single" w:sz="4" w:space="0" w:color="888888"/>
              <w:left w:val="single" w:sz="4" w:space="0" w:color="888888"/>
              <w:bottom w:val="single" w:sz="4" w:space="0" w:color="888888"/>
              <w:right w:val="single" w:sz="4" w:space="0" w:color="888888"/>
            </w:tcBorders>
          </w:tcPr>
          <w:p w14:paraId="53D150CF" w14:textId="2BA91EC1"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13</w:t>
            </w:r>
          </w:p>
        </w:tc>
        <w:tc>
          <w:tcPr>
            <w:tcW w:w="604" w:type="pct"/>
            <w:tcBorders>
              <w:top w:val="single" w:sz="4" w:space="0" w:color="888888"/>
              <w:left w:val="single" w:sz="4" w:space="0" w:color="888888"/>
              <w:bottom w:val="single" w:sz="4" w:space="0" w:color="888888"/>
              <w:right w:val="single" w:sz="4" w:space="0" w:color="888888"/>
            </w:tcBorders>
          </w:tcPr>
          <w:p w14:paraId="2016067E" w14:textId="48DAB573"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1</w:t>
            </w:r>
          </w:p>
        </w:tc>
        <w:tc>
          <w:tcPr>
            <w:tcW w:w="501" w:type="pct"/>
            <w:tcBorders>
              <w:top w:val="single" w:sz="4" w:space="0" w:color="888888"/>
              <w:left w:val="single" w:sz="4" w:space="0" w:color="888888"/>
              <w:bottom w:val="single" w:sz="4" w:space="0" w:color="888888"/>
              <w:right w:val="single" w:sz="4" w:space="0" w:color="888888"/>
            </w:tcBorders>
          </w:tcPr>
          <w:p w14:paraId="0803DBD4" w14:textId="20D170DC"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5</w:t>
            </w:r>
          </w:p>
        </w:tc>
      </w:tr>
      <w:tr w:rsidR="007025C4" w:rsidRPr="00756461" w14:paraId="204E2A41" w14:textId="77777777" w:rsidTr="00756461">
        <w:tc>
          <w:tcPr>
            <w:tcW w:w="232" w:type="pct"/>
            <w:tcBorders>
              <w:top w:val="single" w:sz="4" w:space="0" w:color="888888"/>
              <w:left w:val="single" w:sz="4" w:space="0" w:color="888888"/>
              <w:bottom w:val="single" w:sz="4" w:space="0" w:color="888888"/>
              <w:right w:val="single" w:sz="4" w:space="0" w:color="888888"/>
            </w:tcBorders>
          </w:tcPr>
          <w:p w14:paraId="1EE6C644"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6</w:t>
            </w:r>
          </w:p>
        </w:tc>
        <w:tc>
          <w:tcPr>
            <w:tcW w:w="1247" w:type="pct"/>
            <w:tcBorders>
              <w:top w:val="single" w:sz="4" w:space="0" w:color="888888"/>
              <w:left w:val="single" w:sz="4" w:space="0" w:color="888888"/>
              <w:bottom w:val="single" w:sz="4" w:space="0" w:color="888888"/>
              <w:right w:val="single" w:sz="4" w:space="0" w:color="888888"/>
            </w:tcBorders>
          </w:tcPr>
          <w:p w14:paraId="1650CE5C"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Parity</w:t>
            </w:r>
          </w:p>
        </w:tc>
        <w:tc>
          <w:tcPr>
            <w:tcW w:w="692" w:type="pct"/>
            <w:tcBorders>
              <w:top w:val="single" w:sz="4" w:space="0" w:color="888888"/>
              <w:left w:val="single" w:sz="4" w:space="0" w:color="888888"/>
              <w:bottom w:val="single" w:sz="4" w:space="0" w:color="888888"/>
              <w:right w:val="single" w:sz="4" w:space="0" w:color="888888"/>
            </w:tcBorders>
          </w:tcPr>
          <w:p w14:paraId="350966FB" w14:textId="120D8D16" w:rsidR="007025C4" w:rsidRPr="00756461" w:rsidRDefault="007025C4" w:rsidP="007025C4">
            <w:pPr>
              <w:spacing w:after="0" w:line="240" w:lineRule="auto"/>
              <w:jc w:val="center"/>
              <w:rPr>
                <w:rFonts w:ascii="Arial" w:hAnsi="Arial" w:cs="Arial"/>
                <w:sz w:val="16"/>
                <w:szCs w:val="16"/>
              </w:rPr>
            </w:pPr>
            <w:r>
              <w:rPr>
                <w:rFonts w:ascii="Arial" w:hAnsi="Arial" w:cs="Arial"/>
                <w:b/>
                <w:sz w:val="16"/>
                <w:szCs w:val="16"/>
              </w:rPr>
              <w:t>16</w:t>
            </w:r>
          </w:p>
        </w:tc>
        <w:tc>
          <w:tcPr>
            <w:tcW w:w="483" w:type="pct"/>
            <w:tcBorders>
              <w:top w:val="single" w:sz="4" w:space="0" w:color="888888"/>
              <w:left w:val="single" w:sz="4" w:space="0" w:color="888888"/>
              <w:bottom w:val="single" w:sz="4" w:space="0" w:color="888888"/>
              <w:right w:val="single" w:sz="4" w:space="0" w:color="888888"/>
            </w:tcBorders>
          </w:tcPr>
          <w:p w14:paraId="44C07091" w14:textId="2CEA3699"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7</w:t>
            </w:r>
          </w:p>
        </w:tc>
        <w:tc>
          <w:tcPr>
            <w:tcW w:w="642" w:type="pct"/>
            <w:tcBorders>
              <w:top w:val="single" w:sz="4" w:space="0" w:color="888888"/>
              <w:left w:val="single" w:sz="4" w:space="0" w:color="888888"/>
              <w:bottom w:val="single" w:sz="4" w:space="0" w:color="888888"/>
              <w:right w:val="single" w:sz="4" w:space="0" w:color="888888"/>
            </w:tcBorders>
          </w:tcPr>
          <w:p w14:paraId="25AB4C29" w14:textId="303D4880"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9</w:t>
            </w:r>
          </w:p>
        </w:tc>
        <w:tc>
          <w:tcPr>
            <w:tcW w:w="599" w:type="pct"/>
            <w:tcBorders>
              <w:top w:val="single" w:sz="4" w:space="0" w:color="888888"/>
              <w:left w:val="single" w:sz="4" w:space="0" w:color="888888"/>
              <w:bottom w:val="single" w:sz="4" w:space="0" w:color="888888"/>
              <w:right w:val="single" w:sz="4" w:space="0" w:color="888888"/>
            </w:tcBorders>
          </w:tcPr>
          <w:p w14:paraId="3795806F" w14:textId="3A1323D4"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12</w:t>
            </w:r>
          </w:p>
        </w:tc>
        <w:tc>
          <w:tcPr>
            <w:tcW w:w="604" w:type="pct"/>
            <w:tcBorders>
              <w:top w:val="single" w:sz="4" w:space="0" w:color="888888"/>
              <w:left w:val="single" w:sz="4" w:space="0" w:color="888888"/>
              <w:bottom w:val="single" w:sz="4" w:space="0" w:color="888888"/>
              <w:right w:val="single" w:sz="4" w:space="0" w:color="888888"/>
            </w:tcBorders>
          </w:tcPr>
          <w:p w14:paraId="7D6CFD5C" w14:textId="5998D8A5"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1</w:t>
            </w:r>
          </w:p>
        </w:tc>
        <w:tc>
          <w:tcPr>
            <w:tcW w:w="501" w:type="pct"/>
            <w:tcBorders>
              <w:top w:val="single" w:sz="4" w:space="0" w:color="888888"/>
              <w:left w:val="single" w:sz="4" w:space="0" w:color="888888"/>
              <w:bottom w:val="single" w:sz="4" w:space="0" w:color="888888"/>
              <w:right w:val="single" w:sz="4" w:space="0" w:color="888888"/>
            </w:tcBorders>
          </w:tcPr>
          <w:p w14:paraId="5940A6DC" w14:textId="0B5240E1"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3</w:t>
            </w:r>
          </w:p>
        </w:tc>
      </w:tr>
      <w:tr w:rsidR="007025C4" w:rsidRPr="00756461" w14:paraId="0909319B" w14:textId="77777777" w:rsidTr="00756461">
        <w:tc>
          <w:tcPr>
            <w:tcW w:w="232" w:type="pct"/>
            <w:tcBorders>
              <w:top w:val="single" w:sz="4" w:space="0" w:color="888888"/>
              <w:left w:val="single" w:sz="4" w:space="0" w:color="888888"/>
              <w:bottom w:val="single" w:sz="4" w:space="0" w:color="888888"/>
              <w:right w:val="single" w:sz="4" w:space="0" w:color="888888"/>
            </w:tcBorders>
          </w:tcPr>
          <w:p w14:paraId="71B7BB67"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7</w:t>
            </w:r>
          </w:p>
        </w:tc>
        <w:tc>
          <w:tcPr>
            <w:tcW w:w="1247" w:type="pct"/>
            <w:tcBorders>
              <w:top w:val="single" w:sz="4" w:space="0" w:color="888888"/>
              <w:left w:val="single" w:sz="4" w:space="0" w:color="888888"/>
              <w:bottom w:val="single" w:sz="4" w:space="0" w:color="888888"/>
              <w:right w:val="single" w:sz="4" w:space="0" w:color="888888"/>
            </w:tcBorders>
          </w:tcPr>
          <w:p w14:paraId="309D5CAC"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APGAR score</w:t>
            </w:r>
          </w:p>
        </w:tc>
        <w:tc>
          <w:tcPr>
            <w:tcW w:w="692" w:type="pct"/>
            <w:tcBorders>
              <w:top w:val="single" w:sz="4" w:space="0" w:color="888888"/>
              <w:left w:val="single" w:sz="4" w:space="0" w:color="888888"/>
              <w:bottom w:val="single" w:sz="4" w:space="0" w:color="888888"/>
              <w:right w:val="single" w:sz="4" w:space="0" w:color="888888"/>
            </w:tcBorders>
          </w:tcPr>
          <w:p w14:paraId="1FF90EE0" w14:textId="6D8FA870" w:rsidR="007025C4" w:rsidRPr="00756461" w:rsidRDefault="007025C4" w:rsidP="007025C4">
            <w:pPr>
              <w:spacing w:after="0" w:line="240" w:lineRule="auto"/>
              <w:jc w:val="center"/>
              <w:rPr>
                <w:rFonts w:ascii="Arial" w:hAnsi="Arial" w:cs="Arial"/>
                <w:sz w:val="16"/>
                <w:szCs w:val="16"/>
              </w:rPr>
            </w:pPr>
            <w:r>
              <w:rPr>
                <w:rFonts w:ascii="Arial" w:hAnsi="Arial" w:cs="Arial"/>
                <w:b/>
                <w:sz w:val="16"/>
                <w:szCs w:val="16"/>
              </w:rPr>
              <w:t>12</w:t>
            </w:r>
          </w:p>
        </w:tc>
        <w:tc>
          <w:tcPr>
            <w:tcW w:w="483" w:type="pct"/>
            <w:tcBorders>
              <w:top w:val="single" w:sz="4" w:space="0" w:color="888888"/>
              <w:left w:val="single" w:sz="4" w:space="0" w:color="888888"/>
              <w:bottom w:val="single" w:sz="4" w:space="0" w:color="888888"/>
              <w:right w:val="single" w:sz="4" w:space="0" w:color="888888"/>
            </w:tcBorders>
          </w:tcPr>
          <w:p w14:paraId="30BC596E" w14:textId="523C85E1"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3</w:t>
            </w:r>
          </w:p>
        </w:tc>
        <w:tc>
          <w:tcPr>
            <w:tcW w:w="642" w:type="pct"/>
            <w:tcBorders>
              <w:top w:val="single" w:sz="4" w:space="0" w:color="888888"/>
              <w:left w:val="single" w:sz="4" w:space="0" w:color="888888"/>
              <w:bottom w:val="single" w:sz="4" w:space="0" w:color="888888"/>
              <w:right w:val="single" w:sz="4" w:space="0" w:color="888888"/>
            </w:tcBorders>
          </w:tcPr>
          <w:p w14:paraId="44BF9153" w14:textId="3B3DD370"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9</w:t>
            </w:r>
          </w:p>
        </w:tc>
        <w:tc>
          <w:tcPr>
            <w:tcW w:w="599" w:type="pct"/>
            <w:tcBorders>
              <w:top w:val="single" w:sz="4" w:space="0" w:color="888888"/>
              <w:left w:val="single" w:sz="4" w:space="0" w:color="888888"/>
              <w:bottom w:val="single" w:sz="4" w:space="0" w:color="888888"/>
              <w:right w:val="single" w:sz="4" w:space="0" w:color="888888"/>
            </w:tcBorders>
          </w:tcPr>
          <w:p w14:paraId="0436F81F" w14:textId="771D1AA0"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w:t>
            </w:r>
          </w:p>
        </w:tc>
        <w:tc>
          <w:tcPr>
            <w:tcW w:w="604" w:type="pct"/>
            <w:tcBorders>
              <w:top w:val="single" w:sz="4" w:space="0" w:color="888888"/>
              <w:left w:val="single" w:sz="4" w:space="0" w:color="888888"/>
              <w:bottom w:val="single" w:sz="4" w:space="0" w:color="888888"/>
              <w:right w:val="single" w:sz="4" w:space="0" w:color="888888"/>
            </w:tcBorders>
          </w:tcPr>
          <w:p w14:paraId="4BD95E01" w14:textId="5CC0E37C"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9</w:t>
            </w:r>
          </w:p>
        </w:tc>
        <w:tc>
          <w:tcPr>
            <w:tcW w:w="501" w:type="pct"/>
            <w:tcBorders>
              <w:top w:val="single" w:sz="4" w:space="0" w:color="888888"/>
              <w:left w:val="single" w:sz="4" w:space="0" w:color="888888"/>
              <w:bottom w:val="single" w:sz="4" w:space="0" w:color="888888"/>
              <w:right w:val="single" w:sz="4" w:space="0" w:color="888888"/>
            </w:tcBorders>
          </w:tcPr>
          <w:p w14:paraId="6CF834A9" w14:textId="4DE5482D"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3</w:t>
            </w:r>
          </w:p>
        </w:tc>
      </w:tr>
      <w:tr w:rsidR="007025C4" w:rsidRPr="00756461" w14:paraId="1BA15226" w14:textId="77777777" w:rsidTr="00756461">
        <w:tc>
          <w:tcPr>
            <w:tcW w:w="232" w:type="pct"/>
            <w:tcBorders>
              <w:top w:val="single" w:sz="4" w:space="0" w:color="888888"/>
              <w:left w:val="single" w:sz="4" w:space="0" w:color="888888"/>
              <w:bottom w:val="single" w:sz="4" w:space="0" w:color="888888"/>
              <w:right w:val="single" w:sz="4" w:space="0" w:color="888888"/>
            </w:tcBorders>
          </w:tcPr>
          <w:p w14:paraId="40C0C4AD"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8</w:t>
            </w:r>
          </w:p>
        </w:tc>
        <w:tc>
          <w:tcPr>
            <w:tcW w:w="1247" w:type="pct"/>
            <w:tcBorders>
              <w:top w:val="single" w:sz="4" w:space="0" w:color="888888"/>
              <w:left w:val="single" w:sz="4" w:space="0" w:color="888888"/>
              <w:bottom w:val="single" w:sz="4" w:space="0" w:color="888888"/>
              <w:right w:val="single" w:sz="4" w:space="0" w:color="888888"/>
            </w:tcBorders>
          </w:tcPr>
          <w:p w14:paraId="3E45F19F"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Maternal education</w:t>
            </w:r>
          </w:p>
        </w:tc>
        <w:tc>
          <w:tcPr>
            <w:tcW w:w="692" w:type="pct"/>
            <w:tcBorders>
              <w:top w:val="single" w:sz="4" w:space="0" w:color="888888"/>
              <w:left w:val="single" w:sz="4" w:space="0" w:color="888888"/>
              <w:bottom w:val="single" w:sz="4" w:space="0" w:color="888888"/>
              <w:right w:val="single" w:sz="4" w:space="0" w:color="888888"/>
            </w:tcBorders>
          </w:tcPr>
          <w:p w14:paraId="1C533343" w14:textId="700ED40A" w:rsidR="007025C4" w:rsidRPr="00756461" w:rsidRDefault="007025C4" w:rsidP="007025C4">
            <w:pPr>
              <w:spacing w:after="0" w:line="240" w:lineRule="auto"/>
              <w:jc w:val="center"/>
              <w:rPr>
                <w:rFonts w:ascii="Arial" w:hAnsi="Arial" w:cs="Arial"/>
                <w:sz w:val="16"/>
                <w:szCs w:val="16"/>
              </w:rPr>
            </w:pPr>
            <w:r>
              <w:rPr>
                <w:rFonts w:ascii="Arial" w:hAnsi="Arial" w:cs="Arial"/>
                <w:b/>
                <w:sz w:val="16"/>
                <w:szCs w:val="16"/>
              </w:rPr>
              <w:t>10</w:t>
            </w:r>
          </w:p>
        </w:tc>
        <w:tc>
          <w:tcPr>
            <w:tcW w:w="483" w:type="pct"/>
            <w:tcBorders>
              <w:top w:val="single" w:sz="4" w:space="0" w:color="888888"/>
              <w:left w:val="single" w:sz="4" w:space="0" w:color="888888"/>
              <w:bottom w:val="single" w:sz="4" w:space="0" w:color="888888"/>
              <w:right w:val="single" w:sz="4" w:space="0" w:color="888888"/>
            </w:tcBorders>
          </w:tcPr>
          <w:p w14:paraId="3EE2444B" w14:textId="03E980D8"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4</w:t>
            </w:r>
          </w:p>
        </w:tc>
        <w:tc>
          <w:tcPr>
            <w:tcW w:w="642" w:type="pct"/>
            <w:tcBorders>
              <w:top w:val="single" w:sz="4" w:space="0" w:color="888888"/>
              <w:left w:val="single" w:sz="4" w:space="0" w:color="888888"/>
              <w:bottom w:val="single" w:sz="4" w:space="0" w:color="888888"/>
              <w:right w:val="single" w:sz="4" w:space="0" w:color="888888"/>
            </w:tcBorders>
          </w:tcPr>
          <w:p w14:paraId="0962B882" w14:textId="418AADA7"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6</w:t>
            </w:r>
          </w:p>
        </w:tc>
        <w:tc>
          <w:tcPr>
            <w:tcW w:w="599" w:type="pct"/>
            <w:tcBorders>
              <w:top w:val="single" w:sz="4" w:space="0" w:color="888888"/>
              <w:left w:val="single" w:sz="4" w:space="0" w:color="888888"/>
              <w:bottom w:val="single" w:sz="4" w:space="0" w:color="888888"/>
              <w:right w:val="single" w:sz="4" w:space="0" w:color="888888"/>
            </w:tcBorders>
          </w:tcPr>
          <w:p w14:paraId="2B4CFCBD" w14:textId="30007FAA"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6</w:t>
            </w:r>
          </w:p>
        </w:tc>
        <w:tc>
          <w:tcPr>
            <w:tcW w:w="604" w:type="pct"/>
            <w:tcBorders>
              <w:top w:val="single" w:sz="4" w:space="0" w:color="888888"/>
              <w:left w:val="single" w:sz="4" w:space="0" w:color="888888"/>
              <w:bottom w:val="single" w:sz="4" w:space="0" w:color="888888"/>
              <w:right w:val="single" w:sz="4" w:space="0" w:color="888888"/>
            </w:tcBorders>
          </w:tcPr>
          <w:p w14:paraId="4388AA43" w14:textId="4ABF9D33"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3</w:t>
            </w:r>
          </w:p>
        </w:tc>
        <w:tc>
          <w:tcPr>
            <w:tcW w:w="501" w:type="pct"/>
            <w:tcBorders>
              <w:top w:val="single" w:sz="4" w:space="0" w:color="888888"/>
              <w:left w:val="single" w:sz="4" w:space="0" w:color="888888"/>
              <w:bottom w:val="single" w:sz="4" w:space="0" w:color="888888"/>
              <w:right w:val="single" w:sz="4" w:space="0" w:color="888888"/>
            </w:tcBorders>
          </w:tcPr>
          <w:p w14:paraId="6CF8B0BE" w14:textId="45333303"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1</w:t>
            </w:r>
          </w:p>
        </w:tc>
      </w:tr>
      <w:tr w:rsidR="007025C4" w:rsidRPr="00756461" w14:paraId="5152095E" w14:textId="77777777" w:rsidTr="00756461">
        <w:tc>
          <w:tcPr>
            <w:tcW w:w="232" w:type="pct"/>
            <w:tcBorders>
              <w:top w:val="single" w:sz="4" w:space="0" w:color="888888"/>
              <w:left w:val="single" w:sz="4" w:space="0" w:color="888888"/>
              <w:bottom w:val="single" w:sz="4" w:space="0" w:color="888888"/>
              <w:right w:val="single" w:sz="4" w:space="0" w:color="888888"/>
            </w:tcBorders>
          </w:tcPr>
          <w:p w14:paraId="16D94FA7"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9</w:t>
            </w:r>
          </w:p>
        </w:tc>
        <w:tc>
          <w:tcPr>
            <w:tcW w:w="1247" w:type="pct"/>
            <w:tcBorders>
              <w:top w:val="single" w:sz="4" w:space="0" w:color="888888"/>
              <w:left w:val="single" w:sz="4" w:space="0" w:color="888888"/>
              <w:bottom w:val="single" w:sz="4" w:space="0" w:color="888888"/>
              <w:right w:val="single" w:sz="4" w:space="0" w:color="888888"/>
            </w:tcBorders>
          </w:tcPr>
          <w:p w14:paraId="29D176F6"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Umbilical artery Doppler</w:t>
            </w:r>
          </w:p>
        </w:tc>
        <w:tc>
          <w:tcPr>
            <w:tcW w:w="692" w:type="pct"/>
            <w:tcBorders>
              <w:top w:val="single" w:sz="4" w:space="0" w:color="888888"/>
              <w:left w:val="single" w:sz="4" w:space="0" w:color="888888"/>
              <w:bottom w:val="single" w:sz="4" w:space="0" w:color="888888"/>
              <w:right w:val="single" w:sz="4" w:space="0" w:color="888888"/>
            </w:tcBorders>
          </w:tcPr>
          <w:p w14:paraId="63CD852B" w14:textId="1E2E6225" w:rsidR="007025C4" w:rsidRPr="00756461" w:rsidRDefault="007025C4" w:rsidP="007025C4">
            <w:pPr>
              <w:spacing w:after="0" w:line="240" w:lineRule="auto"/>
              <w:jc w:val="center"/>
              <w:rPr>
                <w:rFonts w:ascii="Arial" w:hAnsi="Arial" w:cs="Arial"/>
                <w:sz w:val="16"/>
                <w:szCs w:val="16"/>
              </w:rPr>
            </w:pPr>
            <w:r>
              <w:rPr>
                <w:rFonts w:ascii="Arial" w:hAnsi="Arial" w:cs="Arial"/>
                <w:b/>
                <w:sz w:val="16"/>
                <w:szCs w:val="16"/>
              </w:rPr>
              <w:t>8</w:t>
            </w:r>
          </w:p>
        </w:tc>
        <w:tc>
          <w:tcPr>
            <w:tcW w:w="483" w:type="pct"/>
            <w:tcBorders>
              <w:top w:val="single" w:sz="4" w:space="0" w:color="888888"/>
              <w:left w:val="single" w:sz="4" w:space="0" w:color="888888"/>
              <w:bottom w:val="single" w:sz="4" w:space="0" w:color="888888"/>
              <w:right w:val="single" w:sz="4" w:space="0" w:color="888888"/>
            </w:tcBorders>
          </w:tcPr>
          <w:p w14:paraId="5E7ABF9A" w14:textId="49DA1696"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w:t>
            </w:r>
          </w:p>
        </w:tc>
        <w:tc>
          <w:tcPr>
            <w:tcW w:w="642" w:type="pct"/>
            <w:tcBorders>
              <w:top w:val="single" w:sz="4" w:space="0" w:color="888888"/>
              <w:left w:val="single" w:sz="4" w:space="0" w:color="888888"/>
              <w:bottom w:val="single" w:sz="4" w:space="0" w:color="888888"/>
              <w:right w:val="single" w:sz="4" w:space="0" w:color="888888"/>
            </w:tcBorders>
          </w:tcPr>
          <w:p w14:paraId="26154FE3" w14:textId="7477E08F"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8</w:t>
            </w:r>
          </w:p>
        </w:tc>
        <w:tc>
          <w:tcPr>
            <w:tcW w:w="599" w:type="pct"/>
            <w:tcBorders>
              <w:top w:val="single" w:sz="4" w:space="0" w:color="888888"/>
              <w:left w:val="single" w:sz="4" w:space="0" w:color="888888"/>
              <w:bottom w:val="single" w:sz="4" w:space="0" w:color="888888"/>
              <w:right w:val="single" w:sz="4" w:space="0" w:color="888888"/>
            </w:tcBorders>
          </w:tcPr>
          <w:p w14:paraId="1AA6823F" w14:textId="35EEB3DA"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3</w:t>
            </w:r>
          </w:p>
        </w:tc>
        <w:tc>
          <w:tcPr>
            <w:tcW w:w="604" w:type="pct"/>
            <w:tcBorders>
              <w:top w:val="single" w:sz="4" w:space="0" w:color="888888"/>
              <w:left w:val="single" w:sz="4" w:space="0" w:color="888888"/>
              <w:bottom w:val="single" w:sz="4" w:space="0" w:color="888888"/>
              <w:right w:val="single" w:sz="4" w:space="0" w:color="888888"/>
            </w:tcBorders>
          </w:tcPr>
          <w:p w14:paraId="00DF6902" w14:textId="3803D3DC"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1</w:t>
            </w:r>
          </w:p>
        </w:tc>
        <w:tc>
          <w:tcPr>
            <w:tcW w:w="501" w:type="pct"/>
            <w:tcBorders>
              <w:top w:val="single" w:sz="4" w:space="0" w:color="888888"/>
              <w:left w:val="single" w:sz="4" w:space="0" w:color="888888"/>
              <w:bottom w:val="single" w:sz="4" w:space="0" w:color="888888"/>
              <w:right w:val="single" w:sz="4" w:space="0" w:color="888888"/>
            </w:tcBorders>
          </w:tcPr>
          <w:p w14:paraId="15CC1518" w14:textId="0029FEB5"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4</w:t>
            </w:r>
          </w:p>
        </w:tc>
      </w:tr>
      <w:tr w:rsidR="007025C4" w:rsidRPr="00756461" w14:paraId="219DFC39" w14:textId="77777777" w:rsidTr="00756461">
        <w:tc>
          <w:tcPr>
            <w:tcW w:w="232" w:type="pct"/>
            <w:tcBorders>
              <w:top w:val="single" w:sz="4" w:space="0" w:color="888888"/>
              <w:left w:val="single" w:sz="4" w:space="0" w:color="888888"/>
              <w:bottom w:val="single" w:sz="4" w:space="0" w:color="888888"/>
              <w:right w:val="single" w:sz="4" w:space="0" w:color="888888"/>
            </w:tcBorders>
          </w:tcPr>
          <w:p w14:paraId="533E43B6"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10</w:t>
            </w:r>
          </w:p>
        </w:tc>
        <w:tc>
          <w:tcPr>
            <w:tcW w:w="1247" w:type="pct"/>
            <w:tcBorders>
              <w:top w:val="single" w:sz="4" w:space="0" w:color="888888"/>
              <w:left w:val="single" w:sz="4" w:space="0" w:color="888888"/>
              <w:bottom w:val="single" w:sz="4" w:space="0" w:color="888888"/>
              <w:right w:val="single" w:sz="4" w:space="0" w:color="888888"/>
            </w:tcBorders>
          </w:tcPr>
          <w:p w14:paraId="16B87623"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Geographic region / residence</w:t>
            </w:r>
          </w:p>
        </w:tc>
        <w:tc>
          <w:tcPr>
            <w:tcW w:w="692" w:type="pct"/>
            <w:tcBorders>
              <w:top w:val="single" w:sz="4" w:space="0" w:color="888888"/>
              <w:left w:val="single" w:sz="4" w:space="0" w:color="888888"/>
              <w:bottom w:val="single" w:sz="4" w:space="0" w:color="888888"/>
              <w:right w:val="single" w:sz="4" w:space="0" w:color="888888"/>
            </w:tcBorders>
          </w:tcPr>
          <w:p w14:paraId="3D98C819" w14:textId="07B3A336" w:rsidR="007025C4" w:rsidRPr="00756461" w:rsidRDefault="007025C4" w:rsidP="007025C4">
            <w:pPr>
              <w:spacing w:after="0" w:line="240" w:lineRule="auto"/>
              <w:jc w:val="center"/>
              <w:rPr>
                <w:rFonts w:ascii="Arial" w:hAnsi="Arial" w:cs="Arial"/>
                <w:sz w:val="16"/>
                <w:szCs w:val="16"/>
              </w:rPr>
            </w:pPr>
            <w:r>
              <w:rPr>
                <w:rFonts w:ascii="Arial" w:hAnsi="Arial" w:cs="Arial"/>
                <w:b/>
                <w:sz w:val="16"/>
                <w:szCs w:val="16"/>
              </w:rPr>
              <w:t>7</w:t>
            </w:r>
          </w:p>
        </w:tc>
        <w:tc>
          <w:tcPr>
            <w:tcW w:w="483" w:type="pct"/>
            <w:tcBorders>
              <w:top w:val="single" w:sz="4" w:space="0" w:color="888888"/>
              <w:left w:val="single" w:sz="4" w:space="0" w:color="888888"/>
              <w:bottom w:val="single" w:sz="4" w:space="0" w:color="888888"/>
              <w:right w:val="single" w:sz="4" w:space="0" w:color="888888"/>
            </w:tcBorders>
          </w:tcPr>
          <w:p w14:paraId="29414771" w14:textId="503EE319"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5</w:t>
            </w:r>
          </w:p>
        </w:tc>
        <w:tc>
          <w:tcPr>
            <w:tcW w:w="642" w:type="pct"/>
            <w:tcBorders>
              <w:top w:val="single" w:sz="4" w:space="0" w:color="888888"/>
              <w:left w:val="single" w:sz="4" w:space="0" w:color="888888"/>
              <w:bottom w:val="single" w:sz="4" w:space="0" w:color="888888"/>
              <w:right w:val="single" w:sz="4" w:space="0" w:color="888888"/>
            </w:tcBorders>
          </w:tcPr>
          <w:p w14:paraId="485E8428" w14:textId="32402819"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2</w:t>
            </w:r>
          </w:p>
        </w:tc>
        <w:tc>
          <w:tcPr>
            <w:tcW w:w="599" w:type="pct"/>
            <w:tcBorders>
              <w:top w:val="single" w:sz="4" w:space="0" w:color="888888"/>
              <w:left w:val="single" w:sz="4" w:space="0" w:color="888888"/>
              <w:bottom w:val="single" w:sz="4" w:space="0" w:color="888888"/>
              <w:right w:val="single" w:sz="4" w:space="0" w:color="888888"/>
            </w:tcBorders>
          </w:tcPr>
          <w:p w14:paraId="6D00BEA8" w14:textId="0F0B224B"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2</w:t>
            </w:r>
          </w:p>
        </w:tc>
        <w:tc>
          <w:tcPr>
            <w:tcW w:w="604" w:type="pct"/>
            <w:tcBorders>
              <w:top w:val="single" w:sz="4" w:space="0" w:color="888888"/>
              <w:left w:val="single" w:sz="4" w:space="0" w:color="888888"/>
              <w:bottom w:val="single" w:sz="4" w:space="0" w:color="888888"/>
              <w:right w:val="single" w:sz="4" w:space="0" w:color="888888"/>
            </w:tcBorders>
          </w:tcPr>
          <w:p w14:paraId="509F21D9" w14:textId="646F829B"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3</w:t>
            </w:r>
          </w:p>
        </w:tc>
        <w:tc>
          <w:tcPr>
            <w:tcW w:w="501" w:type="pct"/>
            <w:tcBorders>
              <w:top w:val="single" w:sz="4" w:space="0" w:color="888888"/>
              <w:left w:val="single" w:sz="4" w:space="0" w:color="888888"/>
              <w:bottom w:val="single" w:sz="4" w:space="0" w:color="888888"/>
              <w:right w:val="single" w:sz="4" w:space="0" w:color="888888"/>
            </w:tcBorders>
          </w:tcPr>
          <w:p w14:paraId="03E2748D" w14:textId="7EE09725"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2</w:t>
            </w:r>
          </w:p>
        </w:tc>
      </w:tr>
      <w:tr w:rsidR="007025C4" w:rsidRPr="00756461" w14:paraId="0A36966D" w14:textId="77777777" w:rsidTr="00756461">
        <w:tc>
          <w:tcPr>
            <w:tcW w:w="232" w:type="pct"/>
            <w:tcBorders>
              <w:top w:val="single" w:sz="4" w:space="0" w:color="888888"/>
              <w:left w:val="single" w:sz="4" w:space="0" w:color="888888"/>
              <w:bottom w:val="single" w:sz="4" w:space="0" w:color="888888"/>
              <w:right w:val="single" w:sz="4" w:space="0" w:color="888888"/>
            </w:tcBorders>
          </w:tcPr>
          <w:p w14:paraId="44E1D69F"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11</w:t>
            </w:r>
          </w:p>
        </w:tc>
        <w:tc>
          <w:tcPr>
            <w:tcW w:w="1247" w:type="pct"/>
            <w:tcBorders>
              <w:top w:val="single" w:sz="4" w:space="0" w:color="888888"/>
              <w:left w:val="single" w:sz="4" w:space="0" w:color="888888"/>
              <w:bottom w:val="single" w:sz="4" w:space="0" w:color="888888"/>
              <w:right w:val="single" w:sz="4" w:space="0" w:color="888888"/>
            </w:tcBorders>
          </w:tcPr>
          <w:p w14:paraId="26F36948"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Anaemia / haemoglobin</w:t>
            </w:r>
          </w:p>
        </w:tc>
        <w:tc>
          <w:tcPr>
            <w:tcW w:w="692" w:type="pct"/>
            <w:tcBorders>
              <w:top w:val="single" w:sz="4" w:space="0" w:color="888888"/>
              <w:left w:val="single" w:sz="4" w:space="0" w:color="888888"/>
              <w:bottom w:val="single" w:sz="4" w:space="0" w:color="888888"/>
              <w:right w:val="single" w:sz="4" w:space="0" w:color="888888"/>
            </w:tcBorders>
          </w:tcPr>
          <w:p w14:paraId="631AA8A0" w14:textId="21768D3C" w:rsidR="007025C4" w:rsidRPr="00756461" w:rsidRDefault="007025C4" w:rsidP="007025C4">
            <w:pPr>
              <w:spacing w:after="0" w:line="240" w:lineRule="auto"/>
              <w:jc w:val="center"/>
              <w:rPr>
                <w:rFonts w:ascii="Arial" w:hAnsi="Arial" w:cs="Arial"/>
                <w:sz w:val="16"/>
                <w:szCs w:val="16"/>
              </w:rPr>
            </w:pPr>
            <w:r>
              <w:rPr>
                <w:rFonts w:ascii="Arial" w:hAnsi="Arial" w:cs="Arial"/>
                <w:b/>
                <w:sz w:val="16"/>
                <w:szCs w:val="16"/>
              </w:rPr>
              <w:t>8</w:t>
            </w:r>
          </w:p>
        </w:tc>
        <w:tc>
          <w:tcPr>
            <w:tcW w:w="483" w:type="pct"/>
            <w:tcBorders>
              <w:top w:val="single" w:sz="4" w:space="0" w:color="888888"/>
              <w:left w:val="single" w:sz="4" w:space="0" w:color="888888"/>
              <w:bottom w:val="single" w:sz="4" w:space="0" w:color="888888"/>
              <w:right w:val="single" w:sz="4" w:space="0" w:color="888888"/>
            </w:tcBorders>
          </w:tcPr>
          <w:p w14:paraId="10C3E82E" w14:textId="5C1504DF"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6</w:t>
            </w:r>
          </w:p>
        </w:tc>
        <w:tc>
          <w:tcPr>
            <w:tcW w:w="642" w:type="pct"/>
            <w:tcBorders>
              <w:top w:val="single" w:sz="4" w:space="0" w:color="888888"/>
              <w:left w:val="single" w:sz="4" w:space="0" w:color="888888"/>
              <w:bottom w:val="single" w:sz="4" w:space="0" w:color="888888"/>
              <w:right w:val="single" w:sz="4" w:space="0" w:color="888888"/>
            </w:tcBorders>
          </w:tcPr>
          <w:p w14:paraId="46AEEF52" w14:textId="1EA95083"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2</w:t>
            </w:r>
          </w:p>
        </w:tc>
        <w:tc>
          <w:tcPr>
            <w:tcW w:w="599" w:type="pct"/>
            <w:tcBorders>
              <w:top w:val="single" w:sz="4" w:space="0" w:color="888888"/>
              <w:left w:val="single" w:sz="4" w:space="0" w:color="888888"/>
              <w:bottom w:val="single" w:sz="4" w:space="0" w:color="888888"/>
              <w:right w:val="single" w:sz="4" w:space="0" w:color="888888"/>
            </w:tcBorders>
          </w:tcPr>
          <w:p w14:paraId="402008FC" w14:textId="2D68C331"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5</w:t>
            </w:r>
          </w:p>
        </w:tc>
        <w:tc>
          <w:tcPr>
            <w:tcW w:w="604" w:type="pct"/>
            <w:tcBorders>
              <w:top w:val="single" w:sz="4" w:space="0" w:color="888888"/>
              <w:left w:val="single" w:sz="4" w:space="0" w:color="888888"/>
              <w:bottom w:val="single" w:sz="4" w:space="0" w:color="888888"/>
              <w:right w:val="single" w:sz="4" w:space="0" w:color="888888"/>
            </w:tcBorders>
          </w:tcPr>
          <w:p w14:paraId="2805907A" w14:textId="47C7AE5A"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w:t>
            </w:r>
          </w:p>
        </w:tc>
        <w:tc>
          <w:tcPr>
            <w:tcW w:w="501" w:type="pct"/>
            <w:tcBorders>
              <w:top w:val="single" w:sz="4" w:space="0" w:color="888888"/>
              <w:left w:val="single" w:sz="4" w:space="0" w:color="888888"/>
              <w:bottom w:val="single" w:sz="4" w:space="0" w:color="888888"/>
              <w:right w:val="single" w:sz="4" w:space="0" w:color="888888"/>
            </w:tcBorders>
          </w:tcPr>
          <w:p w14:paraId="7884657E" w14:textId="75A5D616"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3</w:t>
            </w:r>
          </w:p>
        </w:tc>
      </w:tr>
      <w:tr w:rsidR="007025C4" w:rsidRPr="00756461" w14:paraId="29EE9178" w14:textId="77777777" w:rsidTr="00756461">
        <w:tc>
          <w:tcPr>
            <w:tcW w:w="232" w:type="pct"/>
            <w:tcBorders>
              <w:top w:val="single" w:sz="4" w:space="0" w:color="888888"/>
              <w:left w:val="single" w:sz="4" w:space="0" w:color="888888"/>
              <w:bottom w:val="single" w:sz="4" w:space="0" w:color="888888"/>
              <w:right w:val="single" w:sz="4" w:space="0" w:color="888888"/>
            </w:tcBorders>
          </w:tcPr>
          <w:p w14:paraId="6B358C9E"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12</w:t>
            </w:r>
          </w:p>
        </w:tc>
        <w:tc>
          <w:tcPr>
            <w:tcW w:w="1247" w:type="pct"/>
            <w:tcBorders>
              <w:top w:val="single" w:sz="4" w:space="0" w:color="888888"/>
              <w:left w:val="single" w:sz="4" w:space="0" w:color="888888"/>
              <w:bottom w:val="single" w:sz="4" w:space="0" w:color="888888"/>
              <w:right w:val="single" w:sz="4" w:space="0" w:color="888888"/>
            </w:tcBorders>
          </w:tcPr>
          <w:p w14:paraId="00606C02"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Gravidity</w:t>
            </w:r>
          </w:p>
        </w:tc>
        <w:tc>
          <w:tcPr>
            <w:tcW w:w="692" w:type="pct"/>
            <w:tcBorders>
              <w:top w:val="single" w:sz="4" w:space="0" w:color="888888"/>
              <w:left w:val="single" w:sz="4" w:space="0" w:color="888888"/>
              <w:bottom w:val="single" w:sz="4" w:space="0" w:color="888888"/>
              <w:right w:val="single" w:sz="4" w:space="0" w:color="888888"/>
            </w:tcBorders>
          </w:tcPr>
          <w:p w14:paraId="0E1C3DB4" w14:textId="50C07143" w:rsidR="007025C4" w:rsidRPr="00756461" w:rsidRDefault="007025C4" w:rsidP="007025C4">
            <w:pPr>
              <w:spacing w:after="0" w:line="240" w:lineRule="auto"/>
              <w:jc w:val="center"/>
              <w:rPr>
                <w:rFonts w:ascii="Arial" w:hAnsi="Arial" w:cs="Arial"/>
                <w:sz w:val="16"/>
                <w:szCs w:val="16"/>
              </w:rPr>
            </w:pPr>
            <w:r>
              <w:rPr>
                <w:rFonts w:ascii="Arial" w:hAnsi="Arial" w:cs="Arial"/>
                <w:b/>
                <w:sz w:val="16"/>
                <w:szCs w:val="16"/>
              </w:rPr>
              <w:t>7</w:t>
            </w:r>
          </w:p>
        </w:tc>
        <w:tc>
          <w:tcPr>
            <w:tcW w:w="483" w:type="pct"/>
            <w:tcBorders>
              <w:top w:val="single" w:sz="4" w:space="0" w:color="888888"/>
              <w:left w:val="single" w:sz="4" w:space="0" w:color="888888"/>
              <w:bottom w:val="single" w:sz="4" w:space="0" w:color="888888"/>
              <w:right w:val="single" w:sz="4" w:space="0" w:color="888888"/>
            </w:tcBorders>
          </w:tcPr>
          <w:p w14:paraId="6C77E5FA" w14:textId="224C3D2D"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3</w:t>
            </w:r>
          </w:p>
        </w:tc>
        <w:tc>
          <w:tcPr>
            <w:tcW w:w="642" w:type="pct"/>
            <w:tcBorders>
              <w:top w:val="single" w:sz="4" w:space="0" w:color="888888"/>
              <w:left w:val="single" w:sz="4" w:space="0" w:color="888888"/>
              <w:bottom w:val="single" w:sz="4" w:space="0" w:color="888888"/>
              <w:right w:val="single" w:sz="4" w:space="0" w:color="888888"/>
            </w:tcBorders>
          </w:tcPr>
          <w:p w14:paraId="4EBE89E2" w14:textId="12B0023D"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4</w:t>
            </w:r>
          </w:p>
        </w:tc>
        <w:tc>
          <w:tcPr>
            <w:tcW w:w="599" w:type="pct"/>
            <w:tcBorders>
              <w:top w:val="single" w:sz="4" w:space="0" w:color="888888"/>
              <w:left w:val="single" w:sz="4" w:space="0" w:color="888888"/>
              <w:bottom w:val="single" w:sz="4" w:space="0" w:color="888888"/>
              <w:right w:val="single" w:sz="4" w:space="0" w:color="888888"/>
            </w:tcBorders>
          </w:tcPr>
          <w:p w14:paraId="7EBC7BE3" w14:textId="4B9B8C88"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5</w:t>
            </w:r>
          </w:p>
        </w:tc>
        <w:tc>
          <w:tcPr>
            <w:tcW w:w="604" w:type="pct"/>
            <w:tcBorders>
              <w:top w:val="single" w:sz="4" w:space="0" w:color="888888"/>
              <w:left w:val="single" w:sz="4" w:space="0" w:color="888888"/>
              <w:bottom w:val="single" w:sz="4" w:space="0" w:color="888888"/>
              <w:right w:val="single" w:sz="4" w:space="0" w:color="888888"/>
            </w:tcBorders>
          </w:tcPr>
          <w:p w14:paraId="1FE9BD09" w14:textId="0F6CDAC6"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2</w:t>
            </w:r>
          </w:p>
        </w:tc>
        <w:tc>
          <w:tcPr>
            <w:tcW w:w="501" w:type="pct"/>
            <w:tcBorders>
              <w:top w:val="single" w:sz="4" w:space="0" w:color="888888"/>
              <w:left w:val="single" w:sz="4" w:space="0" w:color="888888"/>
              <w:bottom w:val="single" w:sz="4" w:space="0" w:color="888888"/>
              <w:right w:val="single" w:sz="4" w:space="0" w:color="888888"/>
            </w:tcBorders>
          </w:tcPr>
          <w:p w14:paraId="6505C8A0" w14:textId="638B2E5F"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w:t>
            </w:r>
          </w:p>
        </w:tc>
      </w:tr>
      <w:tr w:rsidR="007025C4" w:rsidRPr="00756461" w14:paraId="2A414365" w14:textId="77777777" w:rsidTr="00756461">
        <w:tc>
          <w:tcPr>
            <w:tcW w:w="232" w:type="pct"/>
            <w:tcBorders>
              <w:top w:val="single" w:sz="4" w:space="0" w:color="888888"/>
              <w:left w:val="single" w:sz="4" w:space="0" w:color="888888"/>
              <w:bottom w:val="single" w:sz="4" w:space="0" w:color="888888"/>
              <w:right w:val="single" w:sz="4" w:space="0" w:color="888888"/>
            </w:tcBorders>
          </w:tcPr>
          <w:p w14:paraId="404F7F49"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13</w:t>
            </w:r>
          </w:p>
        </w:tc>
        <w:tc>
          <w:tcPr>
            <w:tcW w:w="1247" w:type="pct"/>
            <w:tcBorders>
              <w:top w:val="single" w:sz="4" w:space="0" w:color="888888"/>
              <w:left w:val="single" w:sz="4" w:space="0" w:color="888888"/>
              <w:bottom w:val="single" w:sz="4" w:space="0" w:color="888888"/>
              <w:right w:val="single" w:sz="4" w:space="0" w:color="888888"/>
            </w:tcBorders>
          </w:tcPr>
          <w:p w14:paraId="44D2F36E"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Previous adverse outcome</w:t>
            </w:r>
          </w:p>
        </w:tc>
        <w:tc>
          <w:tcPr>
            <w:tcW w:w="692" w:type="pct"/>
            <w:tcBorders>
              <w:top w:val="single" w:sz="4" w:space="0" w:color="888888"/>
              <w:left w:val="single" w:sz="4" w:space="0" w:color="888888"/>
              <w:bottom w:val="single" w:sz="4" w:space="0" w:color="888888"/>
              <w:right w:val="single" w:sz="4" w:space="0" w:color="888888"/>
            </w:tcBorders>
          </w:tcPr>
          <w:p w14:paraId="6BD1899E" w14:textId="27150306" w:rsidR="007025C4" w:rsidRPr="00756461" w:rsidRDefault="007025C4" w:rsidP="007025C4">
            <w:pPr>
              <w:spacing w:after="0" w:line="240" w:lineRule="auto"/>
              <w:jc w:val="center"/>
              <w:rPr>
                <w:rFonts w:ascii="Arial" w:hAnsi="Arial" w:cs="Arial"/>
                <w:sz w:val="16"/>
                <w:szCs w:val="16"/>
              </w:rPr>
            </w:pPr>
            <w:r>
              <w:rPr>
                <w:rFonts w:ascii="Arial" w:hAnsi="Arial" w:cs="Arial"/>
                <w:b/>
                <w:sz w:val="16"/>
                <w:szCs w:val="16"/>
              </w:rPr>
              <w:t>11</w:t>
            </w:r>
          </w:p>
        </w:tc>
        <w:tc>
          <w:tcPr>
            <w:tcW w:w="483" w:type="pct"/>
            <w:tcBorders>
              <w:top w:val="single" w:sz="4" w:space="0" w:color="888888"/>
              <w:left w:val="single" w:sz="4" w:space="0" w:color="888888"/>
              <w:bottom w:val="single" w:sz="4" w:space="0" w:color="888888"/>
              <w:right w:val="single" w:sz="4" w:space="0" w:color="888888"/>
            </w:tcBorders>
          </w:tcPr>
          <w:p w14:paraId="60995740" w14:textId="6C21B6F2"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5</w:t>
            </w:r>
          </w:p>
        </w:tc>
        <w:tc>
          <w:tcPr>
            <w:tcW w:w="642" w:type="pct"/>
            <w:tcBorders>
              <w:top w:val="single" w:sz="4" w:space="0" w:color="888888"/>
              <w:left w:val="single" w:sz="4" w:space="0" w:color="888888"/>
              <w:bottom w:val="single" w:sz="4" w:space="0" w:color="888888"/>
              <w:right w:val="single" w:sz="4" w:space="0" w:color="888888"/>
            </w:tcBorders>
          </w:tcPr>
          <w:p w14:paraId="75B51EF8" w14:textId="647463D6"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6</w:t>
            </w:r>
          </w:p>
        </w:tc>
        <w:tc>
          <w:tcPr>
            <w:tcW w:w="599" w:type="pct"/>
            <w:tcBorders>
              <w:top w:val="single" w:sz="4" w:space="0" w:color="888888"/>
              <w:left w:val="single" w:sz="4" w:space="0" w:color="888888"/>
              <w:bottom w:val="single" w:sz="4" w:space="0" w:color="888888"/>
              <w:right w:val="single" w:sz="4" w:space="0" w:color="888888"/>
            </w:tcBorders>
          </w:tcPr>
          <w:p w14:paraId="4071FF70" w14:textId="602707BE"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9</w:t>
            </w:r>
          </w:p>
        </w:tc>
        <w:tc>
          <w:tcPr>
            <w:tcW w:w="604" w:type="pct"/>
            <w:tcBorders>
              <w:top w:val="single" w:sz="4" w:space="0" w:color="888888"/>
              <w:left w:val="single" w:sz="4" w:space="0" w:color="888888"/>
              <w:bottom w:val="single" w:sz="4" w:space="0" w:color="888888"/>
              <w:right w:val="single" w:sz="4" w:space="0" w:color="888888"/>
            </w:tcBorders>
          </w:tcPr>
          <w:p w14:paraId="70614287" w14:textId="2EC66A38"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2</w:t>
            </w:r>
          </w:p>
        </w:tc>
        <w:tc>
          <w:tcPr>
            <w:tcW w:w="501" w:type="pct"/>
            <w:tcBorders>
              <w:top w:val="single" w:sz="4" w:space="0" w:color="888888"/>
              <w:left w:val="single" w:sz="4" w:space="0" w:color="888888"/>
              <w:bottom w:val="single" w:sz="4" w:space="0" w:color="888888"/>
              <w:right w:val="single" w:sz="4" w:space="0" w:color="888888"/>
            </w:tcBorders>
          </w:tcPr>
          <w:p w14:paraId="5E4222E3" w14:textId="61F14070"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w:t>
            </w:r>
          </w:p>
        </w:tc>
      </w:tr>
      <w:tr w:rsidR="007025C4" w:rsidRPr="00756461" w14:paraId="48515932" w14:textId="77777777" w:rsidTr="00756461">
        <w:tc>
          <w:tcPr>
            <w:tcW w:w="232" w:type="pct"/>
            <w:tcBorders>
              <w:top w:val="single" w:sz="4" w:space="0" w:color="888888"/>
              <w:left w:val="single" w:sz="4" w:space="0" w:color="888888"/>
              <w:bottom w:val="single" w:sz="4" w:space="0" w:color="888888"/>
              <w:right w:val="single" w:sz="4" w:space="0" w:color="888888"/>
            </w:tcBorders>
          </w:tcPr>
          <w:p w14:paraId="24C346DF"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14</w:t>
            </w:r>
          </w:p>
        </w:tc>
        <w:tc>
          <w:tcPr>
            <w:tcW w:w="1247" w:type="pct"/>
            <w:tcBorders>
              <w:top w:val="single" w:sz="4" w:space="0" w:color="888888"/>
              <w:left w:val="single" w:sz="4" w:space="0" w:color="888888"/>
              <w:bottom w:val="single" w:sz="4" w:space="0" w:color="888888"/>
              <w:right w:val="single" w:sz="4" w:space="0" w:color="888888"/>
            </w:tcBorders>
          </w:tcPr>
          <w:p w14:paraId="72828FEE"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Socioeconomic status</w:t>
            </w:r>
          </w:p>
        </w:tc>
        <w:tc>
          <w:tcPr>
            <w:tcW w:w="692" w:type="pct"/>
            <w:tcBorders>
              <w:top w:val="single" w:sz="4" w:space="0" w:color="888888"/>
              <w:left w:val="single" w:sz="4" w:space="0" w:color="888888"/>
              <w:bottom w:val="single" w:sz="4" w:space="0" w:color="888888"/>
              <w:right w:val="single" w:sz="4" w:space="0" w:color="888888"/>
            </w:tcBorders>
          </w:tcPr>
          <w:p w14:paraId="15D8A323" w14:textId="21453C8F" w:rsidR="007025C4" w:rsidRPr="00756461" w:rsidRDefault="007025C4" w:rsidP="007025C4">
            <w:pPr>
              <w:spacing w:after="0" w:line="240" w:lineRule="auto"/>
              <w:jc w:val="center"/>
              <w:rPr>
                <w:rFonts w:ascii="Arial" w:hAnsi="Arial" w:cs="Arial"/>
                <w:sz w:val="16"/>
                <w:szCs w:val="16"/>
              </w:rPr>
            </w:pPr>
            <w:r>
              <w:rPr>
                <w:rFonts w:ascii="Arial" w:hAnsi="Arial" w:cs="Arial"/>
                <w:b/>
                <w:sz w:val="16"/>
                <w:szCs w:val="16"/>
              </w:rPr>
              <w:t>6</w:t>
            </w:r>
          </w:p>
        </w:tc>
        <w:tc>
          <w:tcPr>
            <w:tcW w:w="483" w:type="pct"/>
            <w:tcBorders>
              <w:top w:val="single" w:sz="4" w:space="0" w:color="888888"/>
              <w:left w:val="single" w:sz="4" w:space="0" w:color="888888"/>
              <w:bottom w:val="single" w:sz="4" w:space="0" w:color="888888"/>
              <w:right w:val="single" w:sz="4" w:space="0" w:color="888888"/>
            </w:tcBorders>
          </w:tcPr>
          <w:p w14:paraId="32F72AFD" w14:textId="07E34258"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3</w:t>
            </w:r>
          </w:p>
        </w:tc>
        <w:tc>
          <w:tcPr>
            <w:tcW w:w="642" w:type="pct"/>
            <w:tcBorders>
              <w:top w:val="single" w:sz="4" w:space="0" w:color="888888"/>
              <w:left w:val="single" w:sz="4" w:space="0" w:color="888888"/>
              <w:bottom w:val="single" w:sz="4" w:space="0" w:color="888888"/>
              <w:right w:val="single" w:sz="4" w:space="0" w:color="888888"/>
            </w:tcBorders>
          </w:tcPr>
          <w:p w14:paraId="4F390B5E" w14:textId="00B6C33B"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3</w:t>
            </w:r>
          </w:p>
        </w:tc>
        <w:tc>
          <w:tcPr>
            <w:tcW w:w="599" w:type="pct"/>
            <w:tcBorders>
              <w:top w:val="single" w:sz="4" w:space="0" w:color="888888"/>
              <w:left w:val="single" w:sz="4" w:space="0" w:color="888888"/>
              <w:bottom w:val="single" w:sz="4" w:space="0" w:color="888888"/>
              <w:right w:val="single" w:sz="4" w:space="0" w:color="888888"/>
            </w:tcBorders>
          </w:tcPr>
          <w:p w14:paraId="5A75FEB9" w14:textId="1E4E40D2"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3</w:t>
            </w:r>
          </w:p>
        </w:tc>
        <w:tc>
          <w:tcPr>
            <w:tcW w:w="604" w:type="pct"/>
            <w:tcBorders>
              <w:top w:val="single" w:sz="4" w:space="0" w:color="888888"/>
              <w:left w:val="single" w:sz="4" w:space="0" w:color="888888"/>
              <w:bottom w:val="single" w:sz="4" w:space="0" w:color="888888"/>
              <w:right w:val="single" w:sz="4" w:space="0" w:color="888888"/>
            </w:tcBorders>
          </w:tcPr>
          <w:p w14:paraId="7BB9D66C" w14:textId="5C44AD79"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1</w:t>
            </w:r>
          </w:p>
        </w:tc>
        <w:tc>
          <w:tcPr>
            <w:tcW w:w="501" w:type="pct"/>
            <w:tcBorders>
              <w:top w:val="single" w:sz="4" w:space="0" w:color="888888"/>
              <w:left w:val="single" w:sz="4" w:space="0" w:color="888888"/>
              <w:bottom w:val="single" w:sz="4" w:space="0" w:color="888888"/>
              <w:right w:val="single" w:sz="4" w:space="0" w:color="888888"/>
            </w:tcBorders>
          </w:tcPr>
          <w:p w14:paraId="2363D78F" w14:textId="49B4CC5D"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2</w:t>
            </w:r>
          </w:p>
        </w:tc>
      </w:tr>
      <w:tr w:rsidR="007025C4" w:rsidRPr="00756461" w14:paraId="2DE0049D" w14:textId="77777777" w:rsidTr="00756461">
        <w:tc>
          <w:tcPr>
            <w:tcW w:w="232" w:type="pct"/>
            <w:tcBorders>
              <w:top w:val="single" w:sz="4" w:space="0" w:color="888888"/>
              <w:left w:val="single" w:sz="4" w:space="0" w:color="888888"/>
              <w:bottom w:val="single" w:sz="4" w:space="0" w:color="888888"/>
              <w:right w:val="single" w:sz="4" w:space="0" w:color="888888"/>
            </w:tcBorders>
          </w:tcPr>
          <w:p w14:paraId="73D7C19B"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15</w:t>
            </w:r>
          </w:p>
        </w:tc>
        <w:tc>
          <w:tcPr>
            <w:tcW w:w="1247" w:type="pct"/>
            <w:tcBorders>
              <w:top w:val="single" w:sz="4" w:space="0" w:color="888888"/>
              <w:left w:val="single" w:sz="4" w:space="0" w:color="888888"/>
              <w:bottom w:val="single" w:sz="4" w:space="0" w:color="888888"/>
              <w:right w:val="single" w:sz="4" w:space="0" w:color="888888"/>
            </w:tcBorders>
          </w:tcPr>
          <w:p w14:paraId="372B4D79"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Interpregnancy interval</w:t>
            </w:r>
          </w:p>
        </w:tc>
        <w:tc>
          <w:tcPr>
            <w:tcW w:w="692" w:type="pct"/>
            <w:tcBorders>
              <w:top w:val="single" w:sz="4" w:space="0" w:color="888888"/>
              <w:left w:val="single" w:sz="4" w:space="0" w:color="888888"/>
              <w:bottom w:val="single" w:sz="4" w:space="0" w:color="888888"/>
              <w:right w:val="single" w:sz="4" w:space="0" w:color="888888"/>
            </w:tcBorders>
          </w:tcPr>
          <w:p w14:paraId="1347DFAB" w14:textId="7C822E91" w:rsidR="007025C4" w:rsidRPr="00756461" w:rsidRDefault="007025C4" w:rsidP="007025C4">
            <w:pPr>
              <w:spacing w:after="0" w:line="240" w:lineRule="auto"/>
              <w:jc w:val="center"/>
              <w:rPr>
                <w:rFonts w:ascii="Arial" w:hAnsi="Arial" w:cs="Arial"/>
                <w:sz w:val="16"/>
                <w:szCs w:val="16"/>
              </w:rPr>
            </w:pPr>
            <w:r>
              <w:rPr>
                <w:rFonts w:ascii="Arial" w:hAnsi="Arial" w:cs="Arial"/>
                <w:b/>
                <w:sz w:val="16"/>
                <w:szCs w:val="16"/>
              </w:rPr>
              <w:t>6</w:t>
            </w:r>
          </w:p>
        </w:tc>
        <w:tc>
          <w:tcPr>
            <w:tcW w:w="483" w:type="pct"/>
            <w:tcBorders>
              <w:top w:val="single" w:sz="4" w:space="0" w:color="888888"/>
              <w:left w:val="single" w:sz="4" w:space="0" w:color="888888"/>
              <w:bottom w:val="single" w:sz="4" w:space="0" w:color="888888"/>
              <w:right w:val="single" w:sz="4" w:space="0" w:color="888888"/>
            </w:tcBorders>
          </w:tcPr>
          <w:p w14:paraId="475C6C40" w14:textId="4F912E1B"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3</w:t>
            </w:r>
          </w:p>
        </w:tc>
        <w:tc>
          <w:tcPr>
            <w:tcW w:w="642" w:type="pct"/>
            <w:tcBorders>
              <w:top w:val="single" w:sz="4" w:space="0" w:color="888888"/>
              <w:left w:val="single" w:sz="4" w:space="0" w:color="888888"/>
              <w:bottom w:val="single" w:sz="4" w:space="0" w:color="888888"/>
              <w:right w:val="single" w:sz="4" w:space="0" w:color="888888"/>
            </w:tcBorders>
          </w:tcPr>
          <w:p w14:paraId="3FB1B7E1" w14:textId="6A9933BA"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3</w:t>
            </w:r>
          </w:p>
        </w:tc>
        <w:tc>
          <w:tcPr>
            <w:tcW w:w="599" w:type="pct"/>
            <w:tcBorders>
              <w:top w:val="single" w:sz="4" w:space="0" w:color="888888"/>
              <w:left w:val="single" w:sz="4" w:space="0" w:color="888888"/>
              <w:bottom w:val="single" w:sz="4" w:space="0" w:color="888888"/>
              <w:right w:val="single" w:sz="4" w:space="0" w:color="888888"/>
            </w:tcBorders>
          </w:tcPr>
          <w:p w14:paraId="1FE80A68" w14:textId="618C8871"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1</w:t>
            </w:r>
          </w:p>
        </w:tc>
        <w:tc>
          <w:tcPr>
            <w:tcW w:w="604" w:type="pct"/>
            <w:tcBorders>
              <w:top w:val="single" w:sz="4" w:space="0" w:color="888888"/>
              <w:left w:val="single" w:sz="4" w:space="0" w:color="888888"/>
              <w:bottom w:val="single" w:sz="4" w:space="0" w:color="888888"/>
              <w:right w:val="single" w:sz="4" w:space="0" w:color="888888"/>
            </w:tcBorders>
          </w:tcPr>
          <w:p w14:paraId="23E3FF31" w14:textId="301C1040"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4</w:t>
            </w:r>
          </w:p>
        </w:tc>
        <w:tc>
          <w:tcPr>
            <w:tcW w:w="501" w:type="pct"/>
            <w:tcBorders>
              <w:top w:val="single" w:sz="4" w:space="0" w:color="888888"/>
              <w:left w:val="single" w:sz="4" w:space="0" w:color="888888"/>
              <w:bottom w:val="single" w:sz="4" w:space="0" w:color="888888"/>
              <w:right w:val="single" w:sz="4" w:space="0" w:color="888888"/>
            </w:tcBorders>
          </w:tcPr>
          <w:p w14:paraId="7CC1B23F" w14:textId="356E3A2D"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1</w:t>
            </w:r>
          </w:p>
        </w:tc>
      </w:tr>
      <w:tr w:rsidR="007025C4" w:rsidRPr="00756461" w14:paraId="51A77E15" w14:textId="77777777" w:rsidTr="00756461">
        <w:tc>
          <w:tcPr>
            <w:tcW w:w="232" w:type="pct"/>
            <w:tcBorders>
              <w:top w:val="single" w:sz="4" w:space="0" w:color="888888"/>
              <w:left w:val="single" w:sz="4" w:space="0" w:color="888888"/>
              <w:bottom w:val="single" w:sz="4" w:space="0" w:color="888888"/>
              <w:right w:val="single" w:sz="4" w:space="0" w:color="888888"/>
            </w:tcBorders>
          </w:tcPr>
          <w:p w14:paraId="061DB9E7"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16</w:t>
            </w:r>
          </w:p>
        </w:tc>
        <w:tc>
          <w:tcPr>
            <w:tcW w:w="1247" w:type="pct"/>
            <w:tcBorders>
              <w:top w:val="single" w:sz="4" w:space="0" w:color="888888"/>
              <w:left w:val="single" w:sz="4" w:space="0" w:color="888888"/>
              <w:bottom w:val="single" w:sz="4" w:space="0" w:color="888888"/>
              <w:right w:val="single" w:sz="4" w:space="0" w:color="888888"/>
            </w:tcBorders>
          </w:tcPr>
          <w:p w14:paraId="3D71959B"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Antenatal care visits</w:t>
            </w:r>
          </w:p>
        </w:tc>
        <w:tc>
          <w:tcPr>
            <w:tcW w:w="692" w:type="pct"/>
            <w:tcBorders>
              <w:top w:val="single" w:sz="4" w:space="0" w:color="888888"/>
              <w:left w:val="single" w:sz="4" w:space="0" w:color="888888"/>
              <w:bottom w:val="single" w:sz="4" w:space="0" w:color="888888"/>
              <w:right w:val="single" w:sz="4" w:space="0" w:color="888888"/>
            </w:tcBorders>
          </w:tcPr>
          <w:p w14:paraId="4985281C" w14:textId="5460FFA7" w:rsidR="007025C4" w:rsidRPr="00756461" w:rsidRDefault="007025C4" w:rsidP="007025C4">
            <w:pPr>
              <w:spacing w:after="0" w:line="240" w:lineRule="auto"/>
              <w:jc w:val="center"/>
              <w:rPr>
                <w:rFonts w:ascii="Arial" w:hAnsi="Arial" w:cs="Arial"/>
                <w:sz w:val="16"/>
                <w:szCs w:val="16"/>
              </w:rPr>
            </w:pPr>
            <w:r>
              <w:rPr>
                <w:rFonts w:ascii="Arial" w:hAnsi="Arial" w:cs="Arial"/>
                <w:b/>
                <w:sz w:val="16"/>
                <w:szCs w:val="16"/>
              </w:rPr>
              <w:t>8</w:t>
            </w:r>
          </w:p>
        </w:tc>
        <w:tc>
          <w:tcPr>
            <w:tcW w:w="483" w:type="pct"/>
            <w:tcBorders>
              <w:top w:val="single" w:sz="4" w:space="0" w:color="888888"/>
              <w:left w:val="single" w:sz="4" w:space="0" w:color="888888"/>
              <w:bottom w:val="single" w:sz="4" w:space="0" w:color="888888"/>
              <w:right w:val="single" w:sz="4" w:space="0" w:color="888888"/>
            </w:tcBorders>
          </w:tcPr>
          <w:p w14:paraId="14609AFB" w14:textId="283C9EA2"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5</w:t>
            </w:r>
          </w:p>
        </w:tc>
        <w:tc>
          <w:tcPr>
            <w:tcW w:w="642" w:type="pct"/>
            <w:tcBorders>
              <w:top w:val="single" w:sz="4" w:space="0" w:color="888888"/>
              <w:left w:val="single" w:sz="4" w:space="0" w:color="888888"/>
              <w:bottom w:val="single" w:sz="4" w:space="0" w:color="888888"/>
              <w:right w:val="single" w:sz="4" w:space="0" w:color="888888"/>
            </w:tcBorders>
          </w:tcPr>
          <w:p w14:paraId="59265CBC" w14:textId="439275C2"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3</w:t>
            </w:r>
          </w:p>
        </w:tc>
        <w:tc>
          <w:tcPr>
            <w:tcW w:w="599" w:type="pct"/>
            <w:tcBorders>
              <w:top w:val="single" w:sz="4" w:space="0" w:color="888888"/>
              <w:left w:val="single" w:sz="4" w:space="0" w:color="888888"/>
              <w:bottom w:val="single" w:sz="4" w:space="0" w:color="888888"/>
              <w:right w:val="single" w:sz="4" w:space="0" w:color="888888"/>
            </w:tcBorders>
          </w:tcPr>
          <w:p w14:paraId="2FC07210" w14:textId="389E7515"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4</w:t>
            </w:r>
          </w:p>
        </w:tc>
        <w:tc>
          <w:tcPr>
            <w:tcW w:w="604" w:type="pct"/>
            <w:tcBorders>
              <w:top w:val="single" w:sz="4" w:space="0" w:color="888888"/>
              <w:left w:val="single" w:sz="4" w:space="0" w:color="888888"/>
              <w:bottom w:val="single" w:sz="4" w:space="0" w:color="888888"/>
              <w:right w:val="single" w:sz="4" w:space="0" w:color="888888"/>
            </w:tcBorders>
          </w:tcPr>
          <w:p w14:paraId="04E49A85" w14:textId="4E2E2551"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3</w:t>
            </w:r>
          </w:p>
        </w:tc>
        <w:tc>
          <w:tcPr>
            <w:tcW w:w="501" w:type="pct"/>
            <w:tcBorders>
              <w:top w:val="single" w:sz="4" w:space="0" w:color="888888"/>
              <w:left w:val="single" w:sz="4" w:space="0" w:color="888888"/>
              <w:bottom w:val="single" w:sz="4" w:space="0" w:color="888888"/>
              <w:right w:val="single" w:sz="4" w:space="0" w:color="888888"/>
            </w:tcBorders>
          </w:tcPr>
          <w:p w14:paraId="51089777" w14:textId="31FE845E"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1</w:t>
            </w:r>
          </w:p>
        </w:tc>
      </w:tr>
      <w:tr w:rsidR="007025C4" w:rsidRPr="00756461" w14:paraId="1BCDA367" w14:textId="77777777" w:rsidTr="00756461">
        <w:tc>
          <w:tcPr>
            <w:tcW w:w="232" w:type="pct"/>
            <w:tcBorders>
              <w:top w:val="single" w:sz="4" w:space="0" w:color="888888"/>
              <w:left w:val="single" w:sz="4" w:space="0" w:color="888888"/>
              <w:bottom w:val="single" w:sz="4" w:space="0" w:color="888888"/>
              <w:right w:val="single" w:sz="4" w:space="0" w:color="888888"/>
            </w:tcBorders>
          </w:tcPr>
          <w:p w14:paraId="219CBAE8"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17</w:t>
            </w:r>
          </w:p>
        </w:tc>
        <w:tc>
          <w:tcPr>
            <w:tcW w:w="1247" w:type="pct"/>
            <w:tcBorders>
              <w:top w:val="single" w:sz="4" w:space="0" w:color="888888"/>
              <w:left w:val="single" w:sz="4" w:space="0" w:color="888888"/>
              <w:bottom w:val="single" w:sz="4" w:space="0" w:color="888888"/>
              <w:right w:val="single" w:sz="4" w:space="0" w:color="888888"/>
            </w:tcBorders>
          </w:tcPr>
          <w:p w14:paraId="14BB1081"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Infections</w:t>
            </w:r>
          </w:p>
        </w:tc>
        <w:tc>
          <w:tcPr>
            <w:tcW w:w="692" w:type="pct"/>
            <w:tcBorders>
              <w:top w:val="single" w:sz="4" w:space="0" w:color="888888"/>
              <w:left w:val="single" w:sz="4" w:space="0" w:color="888888"/>
              <w:bottom w:val="single" w:sz="4" w:space="0" w:color="888888"/>
              <w:right w:val="single" w:sz="4" w:space="0" w:color="888888"/>
            </w:tcBorders>
          </w:tcPr>
          <w:p w14:paraId="6774DD82" w14:textId="3ADF5995" w:rsidR="007025C4" w:rsidRPr="00756461" w:rsidRDefault="007025C4" w:rsidP="007025C4">
            <w:pPr>
              <w:spacing w:after="0" w:line="240" w:lineRule="auto"/>
              <w:jc w:val="center"/>
              <w:rPr>
                <w:rFonts w:ascii="Arial" w:hAnsi="Arial" w:cs="Arial"/>
                <w:sz w:val="16"/>
                <w:szCs w:val="16"/>
              </w:rPr>
            </w:pPr>
            <w:r>
              <w:rPr>
                <w:rFonts w:ascii="Arial" w:hAnsi="Arial" w:cs="Arial"/>
                <w:b/>
                <w:sz w:val="16"/>
                <w:szCs w:val="16"/>
              </w:rPr>
              <w:t>6</w:t>
            </w:r>
          </w:p>
        </w:tc>
        <w:tc>
          <w:tcPr>
            <w:tcW w:w="483" w:type="pct"/>
            <w:tcBorders>
              <w:top w:val="single" w:sz="4" w:space="0" w:color="888888"/>
              <w:left w:val="single" w:sz="4" w:space="0" w:color="888888"/>
              <w:bottom w:val="single" w:sz="4" w:space="0" w:color="888888"/>
              <w:right w:val="single" w:sz="4" w:space="0" w:color="888888"/>
            </w:tcBorders>
          </w:tcPr>
          <w:p w14:paraId="0962AA5C" w14:textId="35574EA7"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1</w:t>
            </w:r>
          </w:p>
        </w:tc>
        <w:tc>
          <w:tcPr>
            <w:tcW w:w="642" w:type="pct"/>
            <w:tcBorders>
              <w:top w:val="single" w:sz="4" w:space="0" w:color="888888"/>
              <w:left w:val="single" w:sz="4" w:space="0" w:color="888888"/>
              <w:bottom w:val="single" w:sz="4" w:space="0" w:color="888888"/>
              <w:right w:val="single" w:sz="4" w:space="0" w:color="888888"/>
            </w:tcBorders>
          </w:tcPr>
          <w:p w14:paraId="292E2EA4" w14:textId="1FBAC599"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5</w:t>
            </w:r>
          </w:p>
        </w:tc>
        <w:tc>
          <w:tcPr>
            <w:tcW w:w="599" w:type="pct"/>
            <w:tcBorders>
              <w:top w:val="single" w:sz="4" w:space="0" w:color="888888"/>
              <w:left w:val="single" w:sz="4" w:space="0" w:color="888888"/>
              <w:bottom w:val="single" w:sz="4" w:space="0" w:color="888888"/>
              <w:right w:val="single" w:sz="4" w:space="0" w:color="888888"/>
            </w:tcBorders>
          </w:tcPr>
          <w:p w14:paraId="6BC00B4A" w14:textId="0C5A9454"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5</w:t>
            </w:r>
          </w:p>
        </w:tc>
        <w:tc>
          <w:tcPr>
            <w:tcW w:w="604" w:type="pct"/>
            <w:tcBorders>
              <w:top w:val="single" w:sz="4" w:space="0" w:color="888888"/>
              <w:left w:val="single" w:sz="4" w:space="0" w:color="888888"/>
              <w:bottom w:val="single" w:sz="4" w:space="0" w:color="888888"/>
              <w:right w:val="single" w:sz="4" w:space="0" w:color="888888"/>
            </w:tcBorders>
          </w:tcPr>
          <w:p w14:paraId="417DFB30" w14:textId="313BEAB9"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1</w:t>
            </w:r>
          </w:p>
        </w:tc>
        <w:tc>
          <w:tcPr>
            <w:tcW w:w="501" w:type="pct"/>
            <w:tcBorders>
              <w:top w:val="single" w:sz="4" w:space="0" w:color="888888"/>
              <w:left w:val="single" w:sz="4" w:space="0" w:color="888888"/>
              <w:bottom w:val="single" w:sz="4" w:space="0" w:color="888888"/>
              <w:right w:val="single" w:sz="4" w:space="0" w:color="888888"/>
            </w:tcBorders>
          </w:tcPr>
          <w:p w14:paraId="191A2A18" w14:textId="78F4B8D2"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w:t>
            </w:r>
          </w:p>
        </w:tc>
      </w:tr>
      <w:tr w:rsidR="007025C4" w:rsidRPr="00756461" w14:paraId="558B7DA1" w14:textId="77777777" w:rsidTr="00756461">
        <w:tc>
          <w:tcPr>
            <w:tcW w:w="232" w:type="pct"/>
            <w:tcBorders>
              <w:top w:val="single" w:sz="4" w:space="0" w:color="888888"/>
              <w:left w:val="single" w:sz="4" w:space="0" w:color="888888"/>
              <w:bottom w:val="single" w:sz="4" w:space="0" w:color="888888"/>
              <w:right w:val="single" w:sz="4" w:space="0" w:color="888888"/>
            </w:tcBorders>
          </w:tcPr>
          <w:p w14:paraId="3B02613D"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18</w:t>
            </w:r>
          </w:p>
        </w:tc>
        <w:tc>
          <w:tcPr>
            <w:tcW w:w="1247" w:type="pct"/>
            <w:tcBorders>
              <w:top w:val="single" w:sz="4" w:space="0" w:color="888888"/>
              <w:left w:val="single" w:sz="4" w:space="0" w:color="888888"/>
              <w:bottom w:val="single" w:sz="4" w:space="0" w:color="888888"/>
              <w:right w:val="single" w:sz="4" w:space="0" w:color="888888"/>
            </w:tcBorders>
          </w:tcPr>
          <w:p w14:paraId="65592B30"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Diabetes / GDM</w:t>
            </w:r>
          </w:p>
        </w:tc>
        <w:tc>
          <w:tcPr>
            <w:tcW w:w="692" w:type="pct"/>
            <w:tcBorders>
              <w:top w:val="single" w:sz="4" w:space="0" w:color="888888"/>
              <w:left w:val="single" w:sz="4" w:space="0" w:color="888888"/>
              <w:bottom w:val="single" w:sz="4" w:space="0" w:color="888888"/>
              <w:right w:val="single" w:sz="4" w:space="0" w:color="888888"/>
            </w:tcBorders>
          </w:tcPr>
          <w:p w14:paraId="28DABBF6" w14:textId="0C28C68B" w:rsidR="007025C4" w:rsidRPr="00756461" w:rsidRDefault="007025C4" w:rsidP="007025C4">
            <w:pPr>
              <w:spacing w:after="0" w:line="240" w:lineRule="auto"/>
              <w:jc w:val="center"/>
              <w:rPr>
                <w:rFonts w:ascii="Arial" w:hAnsi="Arial" w:cs="Arial"/>
                <w:sz w:val="16"/>
                <w:szCs w:val="16"/>
              </w:rPr>
            </w:pPr>
            <w:r>
              <w:rPr>
                <w:rFonts w:ascii="Arial" w:hAnsi="Arial" w:cs="Arial"/>
                <w:b/>
                <w:sz w:val="16"/>
                <w:szCs w:val="16"/>
              </w:rPr>
              <w:t>9</w:t>
            </w:r>
          </w:p>
        </w:tc>
        <w:tc>
          <w:tcPr>
            <w:tcW w:w="483" w:type="pct"/>
            <w:tcBorders>
              <w:top w:val="single" w:sz="4" w:space="0" w:color="888888"/>
              <w:left w:val="single" w:sz="4" w:space="0" w:color="888888"/>
              <w:bottom w:val="single" w:sz="4" w:space="0" w:color="888888"/>
              <w:right w:val="single" w:sz="4" w:space="0" w:color="888888"/>
            </w:tcBorders>
          </w:tcPr>
          <w:p w14:paraId="6A6998F1" w14:textId="5C7DB683"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w:t>
            </w:r>
          </w:p>
        </w:tc>
        <w:tc>
          <w:tcPr>
            <w:tcW w:w="642" w:type="pct"/>
            <w:tcBorders>
              <w:top w:val="single" w:sz="4" w:space="0" w:color="888888"/>
              <w:left w:val="single" w:sz="4" w:space="0" w:color="888888"/>
              <w:bottom w:val="single" w:sz="4" w:space="0" w:color="888888"/>
              <w:right w:val="single" w:sz="4" w:space="0" w:color="888888"/>
            </w:tcBorders>
          </w:tcPr>
          <w:p w14:paraId="701D47D0" w14:textId="13558569"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9</w:t>
            </w:r>
          </w:p>
        </w:tc>
        <w:tc>
          <w:tcPr>
            <w:tcW w:w="599" w:type="pct"/>
            <w:tcBorders>
              <w:top w:val="single" w:sz="4" w:space="0" w:color="888888"/>
              <w:left w:val="single" w:sz="4" w:space="0" w:color="888888"/>
              <w:bottom w:val="single" w:sz="4" w:space="0" w:color="888888"/>
              <w:right w:val="single" w:sz="4" w:space="0" w:color="888888"/>
            </w:tcBorders>
          </w:tcPr>
          <w:p w14:paraId="2E58F6D7" w14:textId="52EBC87D"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8</w:t>
            </w:r>
          </w:p>
        </w:tc>
        <w:tc>
          <w:tcPr>
            <w:tcW w:w="604" w:type="pct"/>
            <w:tcBorders>
              <w:top w:val="single" w:sz="4" w:space="0" w:color="888888"/>
              <w:left w:val="single" w:sz="4" w:space="0" w:color="888888"/>
              <w:bottom w:val="single" w:sz="4" w:space="0" w:color="888888"/>
              <w:right w:val="single" w:sz="4" w:space="0" w:color="888888"/>
            </w:tcBorders>
          </w:tcPr>
          <w:p w14:paraId="26026EBF" w14:textId="2B4A1F69"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w:t>
            </w:r>
          </w:p>
        </w:tc>
        <w:tc>
          <w:tcPr>
            <w:tcW w:w="501" w:type="pct"/>
            <w:tcBorders>
              <w:top w:val="single" w:sz="4" w:space="0" w:color="888888"/>
              <w:left w:val="single" w:sz="4" w:space="0" w:color="888888"/>
              <w:bottom w:val="single" w:sz="4" w:space="0" w:color="888888"/>
              <w:right w:val="single" w:sz="4" w:space="0" w:color="888888"/>
            </w:tcBorders>
          </w:tcPr>
          <w:p w14:paraId="465F6AA8" w14:textId="07ABA589"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1</w:t>
            </w:r>
          </w:p>
        </w:tc>
      </w:tr>
      <w:tr w:rsidR="007025C4" w:rsidRPr="00756461" w14:paraId="798FC23F" w14:textId="77777777" w:rsidTr="00756461">
        <w:tc>
          <w:tcPr>
            <w:tcW w:w="232" w:type="pct"/>
            <w:tcBorders>
              <w:top w:val="single" w:sz="4" w:space="0" w:color="888888"/>
              <w:left w:val="single" w:sz="4" w:space="0" w:color="888888"/>
              <w:bottom w:val="single" w:sz="4" w:space="0" w:color="888888"/>
              <w:right w:val="single" w:sz="4" w:space="0" w:color="888888"/>
            </w:tcBorders>
          </w:tcPr>
          <w:p w14:paraId="635F7815"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19</w:t>
            </w:r>
          </w:p>
        </w:tc>
        <w:tc>
          <w:tcPr>
            <w:tcW w:w="1247" w:type="pct"/>
            <w:tcBorders>
              <w:top w:val="single" w:sz="4" w:space="0" w:color="888888"/>
              <w:left w:val="single" w:sz="4" w:space="0" w:color="888888"/>
              <w:bottom w:val="single" w:sz="4" w:space="0" w:color="888888"/>
              <w:right w:val="single" w:sz="4" w:space="0" w:color="888888"/>
            </w:tcBorders>
          </w:tcPr>
          <w:p w14:paraId="608E9B5D"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Blood pressure</w:t>
            </w:r>
          </w:p>
        </w:tc>
        <w:tc>
          <w:tcPr>
            <w:tcW w:w="692" w:type="pct"/>
            <w:tcBorders>
              <w:top w:val="single" w:sz="4" w:space="0" w:color="888888"/>
              <w:left w:val="single" w:sz="4" w:space="0" w:color="888888"/>
              <w:bottom w:val="single" w:sz="4" w:space="0" w:color="888888"/>
              <w:right w:val="single" w:sz="4" w:space="0" w:color="888888"/>
            </w:tcBorders>
          </w:tcPr>
          <w:p w14:paraId="59EB218A" w14:textId="3F8E7267" w:rsidR="007025C4" w:rsidRPr="00756461" w:rsidRDefault="007025C4" w:rsidP="007025C4">
            <w:pPr>
              <w:spacing w:after="0" w:line="240" w:lineRule="auto"/>
              <w:jc w:val="center"/>
              <w:rPr>
                <w:rFonts w:ascii="Arial" w:hAnsi="Arial" w:cs="Arial"/>
                <w:sz w:val="16"/>
                <w:szCs w:val="16"/>
              </w:rPr>
            </w:pPr>
            <w:r>
              <w:rPr>
                <w:rFonts w:ascii="Arial" w:hAnsi="Arial" w:cs="Arial"/>
                <w:b/>
                <w:sz w:val="16"/>
                <w:szCs w:val="16"/>
              </w:rPr>
              <w:t>5</w:t>
            </w:r>
          </w:p>
        </w:tc>
        <w:tc>
          <w:tcPr>
            <w:tcW w:w="483" w:type="pct"/>
            <w:tcBorders>
              <w:top w:val="single" w:sz="4" w:space="0" w:color="888888"/>
              <w:left w:val="single" w:sz="4" w:space="0" w:color="888888"/>
              <w:bottom w:val="single" w:sz="4" w:space="0" w:color="888888"/>
              <w:right w:val="single" w:sz="4" w:space="0" w:color="888888"/>
            </w:tcBorders>
          </w:tcPr>
          <w:p w14:paraId="2C729469" w14:textId="4593C3E4"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1</w:t>
            </w:r>
          </w:p>
        </w:tc>
        <w:tc>
          <w:tcPr>
            <w:tcW w:w="642" w:type="pct"/>
            <w:tcBorders>
              <w:top w:val="single" w:sz="4" w:space="0" w:color="888888"/>
              <w:left w:val="single" w:sz="4" w:space="0" w:color="888888"/>
              <w:bottom w:val="single" w:sz="4" w:space="0" w:color="888888"/>
              <w:right w:val="single" w:sz="4" w:space="0" w:color="888888"/>
            </w:tcBorders>
          </w:tcPr>
          <w:p w14:paraId="42B43B7D" w14:textId="2AD3C089"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4</w:t>
            </w:r>
          </w:p>
        </w:tc>
        <w:tc>
          <w:tcPr>
            <w:tcW w:w="599" w:type="pct"/>
            <w:tcBorders>
              <w:top w:val="single" w:sz="4" w:space="0" w:color="888888"/>
              <w:left w:val="single" w:sz="4" w:space="0" w:color="888888"/>
              <w:bottom w:val="single" w:sz="4" w:space="0" w:color="888888"/>
              <w:right w:val="single" w:sz="4" w:space="0" w:color="888888"/>
            </w:tcBorders>
          </w:tcPr>
          <w:p w14:paraId="175AFEDB" w14:textId="1E5EBE59"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2</w:t>
            </w:r>
          </w:p>
        </w:tc>
        <w:tc>
          <w:tcPr>
            <w:tcW w:w="604" w:type="pct"/>
            <w:tcBorders>
              <w:top w:val="single" w:sz="4" w:space="0" w:color="888888"/>
              <w:left w:val="single" w:sz="4" w:space="0" w:color="888888"/>
              <w:bottom w:val="single" w:sz="4" w:space="0" w:color="888888"/>
              <w:right w:val="single" w:sz="4" w:space="0" w:color="888888"/>
            </w:tcBorders>
          </w:tcPr>
          <w:p w14:paraId="18EFE63C" w14:textId="60356C20"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1</w:t>
            </w:r>
          </w:p>
        </w:tc>
        <w:tc>
          <w:tcPr>
            <w:tcW w:w="501" w:type="pct"/>
            <w:tcBorders>
              <w:top w:val="single" w:sz="4" w:space="0" w:color="888888"/>
              <w:left w:val="single" w:sz="4" w:space="0" w:color="888888"/>
              <w:bottom w:val="single" w:sz="4" w:space="0" w:color="888888"/>
              <w:right w:val="single" w:sz="4" w:space="0" w:color="888888"/>
            </w:tcBorders>
          </w:tcPr>
          <w:p w14:paraId="46605AFF" w14:textId="1F515148"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2</w:t>
            </w:r>
          </w:p>
        </w:tc>
      </w:tr>
      <w:tr w:rsidR="007025C4" w:rsidRPr="00756461" w14:paraId="2BA3D91D" w14:textId="77777777" w:rsidTr="00756461">
        <w:tc>
          <w:tcPr>
            <w:tcW w:w="232" w:type="pct"/>
            <w:tcBorders>
              <w:top w:val="single" w:sz="4" w:space="0" w:color="888888"/>
              <w:left w:val="single" w:sz="4" w:space="0" w:color="888888"/>
              <w:bottom w:val="single" w:sz="4" w:space="0" w:color="888888"/>
              <w:right w:val="single" w:sz="4" w:space="0" w:color="888888"/>
            </w:tcBorders>
          </w:tcPr>
          <w:p w14:paraId="1B1BF462"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20</w:t>
            </w:r>
          </w:p>
        </w:tc>
        <w:tc>
          <w:tcPr>
            <w:tcW w:w="1247" w:type="pct"/>
            <w:tcBorders>
              <w:top w:val="single" w:sz="4" w:space="0" w:color="888888"/>
              <w:left w:val="single" w:sz="4" w:space="0" w:color="888888"/>
              <w:bottom w:val="single" w:sz="4" w:space="0" w:color="888888"/>
              <w:right w:val="single" w:sz="4" w:space="0" w:color="888888"/>
            </w:tcBorders>
          </w:tcPr>
          <w:p w14:paraId="1A7B1312"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Smoking / substance use</w:t>
            </w:r>
          </w:p>
        </w:tc>
        <w:tc>
          <w:tcPr>
            <w:tcW w:w="692" w:type="pct"/>
            <w:tcBorders>
              <w:top w:val="single" w:sz="4" w:space="0" w:color="888888"/>
              <w:left w:val="single" w:sz="4" w:space="0" w:color="888888"/>
              <w:bottom w:val="single" w:sz="4" w:space="0" w:color="888888"/>
              <w:right w:val="single" w:sz="4" w:space="0" w:color="888888"/>
            </w:tcBorders>
          </w:tcPr>
          <w:p w14:paraId="7E97473E" w14:textId="3A7737DB" w:rsidR="007025C4" w:rsidRPr="00756461" w:rsidRDefault="007025C4" w:rsidP="007025C4">
            <w:pPr>
              <w:spacing w:after="0" w:line="240" w:lineRule="auto"/>
              <w:jc w:val="center"/>
              <w:rPr>
                <w:rFonts w:ascii="Arial" w:hAnsi="Arial" w:cs="Arial"/>
                <w:sz w:val="16"/>
                <w:szCs w:val="16"/>
              </w:rPr>
            </w:pPr>
            <w:r>
              <w:rPr>
                <w:rFonts w:ascii="Arial" w:hAnsi="Arial" w:cs="Arial"/>
                <w:b/>
                <w:sz w:val="16"/>
                <w:szCs w:val="16"/>
              </w:rPr>
              <w:t>9</w:t>
            </w:r>
          </w:p>
        </w:tc>
        <w:tc>
          <w:tcPr>
            <w:tcW w:w="483" w:type="pct"/>
            <w:tcBorders>
              <w:top w:val="single" w:sz="4" w:space="0" w:color="888888"/>
              <w:left w:val="single" w:sz="4" w:space="0" w:color="888888"/>
              <w:bottom w:val="single" w:sz="4" w:space="0" w:color="888888"/>
              <w:right w:val="single" w:sz="4" w:space="0" w:color="888888"/>
            </w:tcBorders>
          </w:tcPr>
          <w:p w14:paraId="0C950E16" w14:textId="392D571C"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2</w:t>
            </w:r>
          </w:p>
        </w:tc>
        <w:tc>
          <w:tcPr>
            <w:tcW w:w="642" w:type="pct"/>
            <w:tcBorders>
              <w:top w:val="single" w:sz="4" w:space="0" w:color="888888"/>
              <w:left w:val="single" w:sz="4" w:space="0" w:color="888888"/>
              <w:bottom w:val="single" w:sz="4" w:space="0" w:color="888888"/>
              <w:right w:val="single" w:sz="4" w:space="0" w:color="888888"/>
            </w:tcBorders>
          </w:tcPr>
          <w:p w14:paraId="4D4A1F82" w14:textId="0AA69B3D"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7</w:t>
            </w:r>
          </w:p>
        </w:tc>
        <w:tc>
          <w:tcPr>
            <w:tcW w:w="599" w:type="pct"/>
            <w:tcBorders>
              <w:top w:val="single" w:sz="4" w:space="0" w:color="888888"/>
              <w:left w:val="single" w:sz="4" w:space="0" w:color="888888"/>
              <w:bottom w:val="single" w:sz="4" w:space="0" w:color="888888"/>
              <w:right w:val="single" w:sz="4" w:space="0" w:color="888888"/>
            </w:tcBorders>
          </w:tcPr>
          <w:p w14:paraId="2FA79CF0" w14:textId="349E1BFF"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7</w:t>
            </w:r>
          </w:p>
        </w:tc>
        <w:tc>
          <w:tcPr>
            <w:tcW w:w="604" w:type="pct"/>
            <w:tcBorders>
              <w:top w:val="single" w:sz="4" w:space="0" w:color="888888"/>
              <w:left w:val="single" w:sz="4" w:space="0" w:color="888888"/>
              <w:bottom w:val="single" w:sz="4" w:space="0" w:color="888888"/>
              <w:right w:val="single" w:sz="4" w:space="0" w:color="888888"/>
            </w:tcBorders>
          </w:tcPr>
          <w:p w14:paraId="4C3C6D71" w14:textId="239DAF03"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w:t>
            </w:r>
          </w:p>
        </w:tc>
        <w:tc>
          <w:tcPr>
            <w:tcW w:w="501" w:type="pct"/>
            <w:tcBorders>
              <w:top w:val="single" w:sz="4" w:space="0" w:color="888888"/>
              <w:left w:val="single" w:sz="4" w:space="0" w:color="888888"/>
              <w:bottom w:val="single" w:sz="4" w:space="0" w:color="888888"/>
              <w:right w:val="single" w:sz="4" w:space="0" w:color="888888"/>
            </w:tcBorders>
          </w:tcPr>
          <w:p w14:paraId="453F621D" w14:textId="58885391"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2</w:t>
            </w:r>
          </w:p>
        </w:tc>
      </w:tr>
      <w:tr w:rsidR="007025C4" w:rsidRPr="00756461" w14:paraId="6CD13221" w14:textId="77777777" w:rsidTr="00756461">
        <w:tc>
          <w:tcPr>
            <w:tcW w:w="232" w:type="pct"/>
            <w:tcBorders>
              <w:top w:val="single" w:sz="4" w:space="0" w:color="888888"/>
              <w:left w:val="single" w:sz="4" w:space="0" w:color="888888"/>
              <w:bottom w:val="single" w:sz="4" w:space="0" w:color="888888"/>
              <w:right w:val="single" w:sz="4" w:space="0" w:color="888888"/>
            </w:tcBorders>
          </w:tcPr>
          <w:p w14:paraId="47CCFA90"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21</w:t>
            </w:r>
          </w:p>
        </w:tc>
        <w:tc>
          <w:tcPr>
            <w:tcW w:w="1247" w:type="pct"/>
            <w:tcBorders>
              <w:top w:val="single" w:sz="4" w:space="0" w:color="888888"/>
              <w:left w:val="single" w:sz="4" w:space="0" w:color="888888"/>
              <w:bottom w:val="single" w:sz="4" w:space="0" w:color="888888"/>
              <w:right w:val="single" w:sz="4" w:space="0" w:color="888888"/>
            </w:tcBorders>
          </w:tcPr>
          <w:p w14:paraId="1DB535AA"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Mode of delivery</w:t>
            </w:r>
          </w:p>
        </w:tc>
        <w:tc>
          <w:tcPr>
            <w:tcW w:w="692" w:type="pct"/>
            <w:tcBorders>
              <w:top w:val="single" w:sz="4" w:space="0" w:color="888888"/>
              <w:left w:val="single" w:sz="4" w:space="0" w:color="888888"/>
              <w:bottom w:val="single" w:sz="4" w:space="0" w:color="888888"/>
              <w:right w:val="single" w:sz="4" w:space="0" w:color="888888"/>
            </w:tcBorders>
          </w:tcPr>
          <w:p w14:paraId="4BD87BF2" w14:textId="2DBF0B37" w:rsidR="007025C4" w:rsidRPr="00756461" w:rsidRDefault="007025C4" w:rsidP="007025C4">
            <w:pPr>
              <w:spacing w:after="0" w:line="240" w:lineRule="auto"/>
              <w:jc w:val="center"/>
              <w:rPr>
                <w:rFonts w:ascii="Arial" w:hAnsi="Arial" w:cs="Arial"/>
                <w:sz w:val="16"/>
                <w:szCs w:val="16"/>
              </w:rPr>
            </w:pPr>
            <w:r>
              <w:rPr>
                <w:rFonts w:ascii="Arial" w:hAnsi="Arial" w:cs="Arial"/>
                <w:b/>
                <w:sz w:val="16"/>
                <w:szCs w:val="16"/>
              </w:rPr>
              <w:t>4</w:t>
            </w:r>
          </w:p>
        </w:tc>
        <w:tc>
          <w:tcPr>
            <w:tcW w:w="483" w:type="pct"/>
            <w:tcBorders>
              <w:top w:val="single" w:sz="4" w:space="0" w:color="888888"/>
              <w:left w:val="single" w:sz="4" w:space="0" w:color="888888"/>
              <w:bottom w:val="single" w:sz="4" w:space="0" w:color="888888"/>
              <w:right w:val="single" w:sz="4" w:space="0" w:color="888888"/>
            </w:tcBorders>
          </w:tcPr>
          <w:p w14:paraId="4B17CDCD" w14:textId="3967CCA0"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2</w:t>
            </w:r>
          </w:p>
        </w:tc>
        <w:tc>
          <w:tcPr>
            <w:tcW w:w="642" w:type="pct"/>
            <w:tcBorders>
              <w:top w:val="single" w:sz="4" w:space="0" w:color="888888"/>
              <w:left w:val="single" w:sz="4" w:space="0" w:color="888888"/>
              <w:bottom w:val="single" w:sz="4" w:space="0" w:color="888888"/>
              <w:right w:val="single" w:sz="4" w:space="0" w:color="888888"/>
            </w:tcBorders>
          </w:tcPr>
          <w:p w14:paraId="6B3F17F9" w14:textId="5623C255"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2</w:t>
            </w:r>
          </w:p>
        </w:tc>
        <w:tc>
          <w:tcPr>
            <w:tcW w:w="599" w:type="pct"/>
            <w:tcBorders>
              <w:top w:val="single" w:sz="4" w:space="0" w:color="888888"/>
              <w:left w:val="single" w:sz="4" w:space="0" w:color="888888"/>
              <w:bottom w:val="single" w:sz="4" w:space="0" w:color="888888"/>
              <w:right w:val="single" w:sz="4" w:space="0" w:color="888888"/>
            </w:tcBorders>
          </w:tcPr>
          <w:p w14:paraId="6E8797E0" w14:textId="07BA20DD"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2</w:t>
            </w:r>
          </w:p>
        </w:tc>
        <w:tc>
          <w:tcPr>
            <w:tcW w:w="604" w:type="pct"/>
            <w:tcBorders>
              <w:top w:val="single" w:sz="4" w:space="0" w:color="888888"/>
              <w:left w:val="single" w:sz="4" w:space="0" w:color="888888"/>
              <w:bottom w:val="single" w:sz="4" w:space="0" w:color="888888"/>
              <w:right w:val="single" w:sz="4" w:space="0" w:color="888888"/>
            </w:tcBorders>
          </w:tcPr>
          <w:p w14:paraId="62DA6648" w14:textId="20A3EE04"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2</w:t>
            </w:r>
          </w:p>
        </w:tc>
        <w:tc>
          <w:tcPr>
            <w:tcW w:w="501" w:type="pct"/>
            <w:tcBorders>
              <w:top w:val="single" w:sz="4" w:space="0" w:color="888888"/>
              <w:left w:val="single" w:sz="4" w:space="0" w:color="888888"/>
              <w:bottom w:val="single" w:sz="4" w:space="0" w:color="888888"/>
              <w:right w:val="single" w:sz="4" w:space="0" w:color="888888"/>
            </w:tcBorders>
          </w:tcPr>
          <w:p w14:paraId="6F92C660" w14:textId="25A14921"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w:t>
            </w:r>
          </w:p>
        </w:tc>
      </w:tr>
      <w:tr w:rsidR="007025C4" w:rsidRPr="00756461" w14:paraId="7989235B" w14:textId="77777777" w:rsidTr="00756461">
        <w:tc>
          <w:tcPr>
            <w:tcW w:w="232" w:type="pct"/>
            <w:tcBorders>
              <w:top w:val="single" w:sz="4" w:space="0" w:color="888888"/>
              <w:left w:val="single" w:sz="4" w:space="0" w:color="888888"/>
              <w:bottom w:val="single" w:sz="4" w:space="0" w:color="888888"/>
              <w:right w:val="single" w:sz="4" w:space="0" w:color="888888"/>
            </w:tcBorders>
          </w:tcPr>
          <w:p w14:paraId="307D1380"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22</w:t>
            </w:r>
          </w:p>
        </w:tc>
        <w:tc>
          <w:tcPr>
            <w:tcW w:w="1247" w:type="pct"/>
            <w:tcBorders>
              <w:top w:val="single" w:sz="4" w:space="0" w:color="888888"/>
              <w:left w:val="single" w:sz="4" w:space="0" w:color="888888"/>
              <w:bottom w:val="single" w:sz="4" w:space="0" w:color="888888"/>
              <w:right w:val="single" w:sz="4" w:space="0" w:color="888888"/>
            </w:tcBorders>
          </w:tcPr>
          <w:p w14:paraId="4961E48D"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Cholesterol / lipid panel</w:t>
            </w:r>
          </w:p>
        </w:tc>
        <w:tc>
          <w:tcPr>
            <w:tcW w:w="692" w:type="pct"/>
            <w:tcBorders>
              <w:top w:val="single" w:sz="4" w:space="0" w:color="888888"/>
              <w:left w:val="single" w:sz="4" w:space="0" w:color="888888"/>
              <w:bottom w:val="single" w:sz="4" w:space="0" w:color="888888"/>
              <w:right w:val="single" w:sz="4" w:space="0" w:color="888888"/>
            </w:tcBorders>
          </w:tcPr>
          <w:p w14:paraId="4B89C0E6" w14:textId="280800D0" w:rsidR="007025C4" w:rsidRPr="00756461" w:rsidRDefault="007025C4" w:rsidP="007025C4">
            <w:pPr>
              <w:spacing w:after="0" w:line="240" w:lineRule="auto"/>
              <w:jc w:val="center"/>
              <w:rPr>
                <w:rFonts w:ascii="Arial" w:hAnsi="Arial" w:cs="Arial"/>
                <w:sz w:val="16"/>
                <w:szCs w:val="16"/>
              </w:rPr>
            </w:pPr>
            <w:r>
              <w:rPr>
                <w:rFonts w:ascii="Arial" w:hAnsi="Arial" w:cs="Arial"/>
                <w:b/>
                <w:sz w:val="16"/>
                <w:szCs w:val="16"/>
              </w:rPr>
              <w:t>4</w:t>
            </w:r>
          </w:p>
        </w:tc>
        <w:tc>
          <w:tcPr>
            <w:tcW w:w="483" w:type="pct"/>
            <w:tcBorders>
              <w:top w:val="single" w:sz="4" w:space="0" w:color="888888"/>
              <w:left w:val="single" w:sz="4" w:space="0" w:color="888888"/>
              <w:bottom w:val="single" w:sz="4" w:space="0" w:color="888888"/>
              <w:right w:val="single" w:sz="4" w:space="0" w:color="888888"/>
            </w:tcBorders>
          </w:tcPr>
          <w:p w14:paraId="7EBA22EC" w14:textId="575426C8"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w:t>
            </w:r>
          </w:p>
        </w:tc>
        <w:tc>
          <w:tcPr>
            <w:tcW w:w="642" w:type="pct"/>
            <w:tcBorders>
              <w:top w:val="single" w:sz="4" w:space="0" w:color="888888"/>
              <w:left w:val="single" w:sz="4" w:space="0" w:color="888888"/>
              <w:bottom w:val="single" w:sz="4" w:space="0" w:color="888888"/>
              <w:right w:val="single" w:sz="4" w:space="0" w:color="888888"/>
            </w:tcBorders>
          </w:tcPr>
          <w:p w14:paraId="45DAC31A" w14:textId="60FCAE2B"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4</w:t>
            </w:r>
          </w:p>
        </w:tc>
        <w:tc>
          <w:tcPr>
            <w:tcW w:w="599" w:type="pct"/>
            <w:tcBorders>
              <w:top w:val="single" w:sz="4" w:space="0" w:color="888888"/>
              <w:left w:val="single" w:sz="4" w:space="0" w:color="888888"/>
              <w:bottom w:val="single" w:sz="4" w:space="0" w:color="888888"/>
              <w:right w:val="single" w:sz="4" w:space="0" w:color="888888"/>
            </w:tcBorders>
          </w:tcPr>
          <w:p w14:paraId="747B9096" w14:textId="54F4C854"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3</w:t>
            </w:r>
          </w:p>
        </w:tc>
        <w:tc>
          <w:tcPr>
            <w:tcW w:w="604" w:type="pct"/>
            <w:tcBorders>
              <w:top w:val="single" w:sz="4" w:space="0" w:color="888888"/>
              <w:left w:val="single" w:sz="4" w:space="0" w:color="888888"/>
              <w:bottom w:val="single" w:sz="4" w:space="0" w:color="888888"/>
              <w:right w:val="single" w:sz="4" w:space="0" w:color="888888"/>
            </w:tcBorders>
          </w:tcPr>
          <w:p w14:paraId="4366CA05" w14:textId="5FF35428"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w:t>
            </w:r>
          </w:p>
        </w:tc>
        <w:tc>
          <w:tcPr>
            <w:tcW w:w="501" w:type="pct"/>
            <w:tcBorders>
              <w:top w:val="single" w:sz="4" w:space="0" w:color="888888"/>
              <w:left w:val="single" w:sz="4" w:space="0" w:color="888888"/>
              <w:bottom w:val="single" w:sz="4" w:space="0" w:color="888888"/>
              <w:right w:val="single" w:sz="4" w:space="0" w:color="888888"/>
            </w:tcBorders>
          </w:tcPr>
          <w:p w14:paraId="596101A6" w14:textId="676753E7"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1</w:t>
            </w:r>
          </w:p>
        </w:tc>
      </w:tr>
      <w:tr w:rsidR="007025C4" w:rsidRPr="00756461" w14:paraId="23267829" w14:textId="77777777" w:rsidTr="00756461">
        <w:tc>
          <w:tcPr>
            <w:tcW w:w="232" w:type="pct"/>
            <w:tcBorders>
              <w:top w:val="single" w:sz="4" w:space="0" w:color="888888"/>
              <w:left w:val="single" w:sz="4" w:space="0" w:color="888888"/>
              <w:bottom w:val="single" w:sz="4" w:space="0" w:color="888888"/>
              <w:right w:val="single" w:sz="4" w:space="0" w:color="888888"/>
            </w:tcBorders>
          </w:tcPr>
          <w:p w14:paraId="1D1E4309"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23</w:t>
            </w:r>
          </w:p>
        </w:tc>
        <w:tc>
          <w:tcPr>
            <w:tcW w:w="1247" w:type="pct"/>
            <w:tcBorders>
              <w:top w:val="single" w:sz="4" w:space="0" w:color="888888"/>
              <w:left w:val="single" w:sz="4" w:space="0" w:color="888888"/>
              <w:bottom w:val="single" w:sz="4" w:space="0" w:color="888888"/>
              <w:right w:val="single" w:sz="4" w:space="0" w:color="888888"/>
            </w:tcBorders>
          </w:tcPr>
          <w:p w14:paraId="2CFE762E"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Amniotic fluid / meconium</w:t>
            </w:r>
          </w:p>
        </w:tc>
        <w:tc>
          <w:tcPr>
            <w:tcW w:w="692" w:type="pct"/>
            <w:tcBorders>
              <w:top w:val="single" w:sz="4" w:space="0" w:color="888888"/>
              <w:left w:val="single" w:sz="4" w:space="0" w:color="888888"/>
              <w:bottom w:val="single" w:sz="4" w:space="0" w:color="888888"/>
              <w:right w:val="single" w:sz="4" w:space="0" w:color="888888"/>
            </w:tcBorders>
          </w:tcPr>
          <w:p w14:paraId="3908883F" w14:textId="6D92FD79" w:rsidR="007025C4" w:rsidRPr="00756461" w:rsidRDefault="007025C4" w:rsidP="007025C4">
            <w:pPr>
              <w:spacing w:after="0" w:line="240" w:lineRule="auto"/>
              <w:jc w:val="center"/>
              <w:rPr>
                <w:rFonts w:ascii="Arial" w:hAnsi="Arial" w:cs="Arial"/>
                <w:sz w:val="16"/>
                <w:szCs w:val="16"/>
              </w:rPr>
            </w:pPr>
            <w:r>
              <w:rPr>
                <w:rFonts w:ascii="Arial" w:hAnsi="Arial" w:cs="Arial"/>
                <w:b/>
                <w:sz w:val="16"/>
                <w:szCs w:val="16"/>
              </w:rPr>
              <w:t>4</w:t>
            </w:r>
          </w:p>
        </w:tc>
        <w:tc>
          <w:tcPr>
            <w:tcW w:w="483" w:type="pct"/>
            <w:tcBorders>
              <w:top w:val="single" w:sz="4" w:space="0" w:color="888888"/>
              <w:left w:val="single" w:sz="4" w:space="0" w:color="888888"/>
              <w:bottom w:val="single" w:sz="4" w:space="0" w:color="888888"/>
              <w:right w:val="single" w:sz="4" w:space="0" w:color="888888"/>
            </w:tcBorders>
          </w:tcPr>
          <w:p w14:paraId="175FA1F2" w14:textId="6186B043"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1</w:t>
            </w:r>
          </w:p>
        </w:tc>
        <w:tc>
          <w:tcPr>
            <w:tcW w:w="642" w:type="pct"/>
            <w:tcBorders>
              <w:top w:val="single" w:sz="4" w:space="0" w:color="888888"/>
              <w:left w:val="single" w:sz="4" w:space="0" w:color="888888"/>
              <w:bottom w:val="single" w:sz="4" w:space="0" w:color="888888"/>
              <w:right w:val="single" w:sz="4" w:space="0" w:color="888888"/>
            </w:tcBorders>
          </w:tcPr>
          <w:p w14:paraId="4AD47836" w14:textId="2D39FFDF"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3</w:t>
            </w:r>
          </w:p>
        </w:tc>
        <w:tc>
          <w:tcPr>
            <w:tcW w:w="599" w:type="pct"/>
            <w:tcBorders>
              <w:top w:val="single" w:sz="4" w:space="0" w:color="888888"/>
              <w:left w:val="single" w:sz="4" w:space="0" w:color="888888"/>
              <w:bottom w:val="single" w:sz="4" w:space="0" w:color="888888"/>
              <w:right w:val="single" w:sz="4" w:space="0" w:color="888888"/>
            </w:tcBorders>
          </w:tcPr>
          <w:p w14:paraId="54148B67" w14:textId="6DAF8A10"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2</w:t>
            </w:r>
          </w:p>
        </w:tc>
        <w:tc>
          <w:tcPr>
            <w:tcW w:w="604" w:type="pct"/>
            <w:tcBorders>
              <w:top w:val="single" w:sz="4" w:space="0" w:color="888888"/>
              <w:left w:val="single" w:sz="4" w:space="0" w:color="888888"/>
              <w:bottom w:val="single" w:sz="4" w:space="0" w:color="888888"/>
              <w:right w:val="single" w:sz="4" w:space="0" w:color="888888"/>
            </w:tcBorders>
          </w:tcPr>
          <w:p w14:paraId="3334DBD0" w14:textId="656DBF69"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1</w:t>
            </w:r>
          </w:p>
        </w:tc>
        <w:tc>
          <w:tcPr>
            <w:tcW w:w="501" w:type="pct"/>
            <w:tcBorders>
              <w:top w:val="single" w:sz="4" w:space="0" w:color="888888"/>
              <w:left w:val="single" w:sz="4" w:space="0" w:color="888888"/>
              <w:bottom w:val="single" w:sz="4" w:space="0" w:color="888888"/>
              <w:right w:val="single" w:sz="4" w:space="0" w:color="888888"/>
            </w:tcBorders>
          </w:tcPr>
          <w:p w14:paraId="0DE19BE6" w14:textId="5DFD576B"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1</w:t>
            </w:r>
          </w:p>
        </w:tc>
      </w:tr>
      <w:tr w:rsidR="007025C4" w:rsidRPr="00756461" w14:paraId="3C3DB2B3" w14:textId="77777777" w:rsidTr="00756461">
        <w:tc>
          <w:tcPr>
            <w:tcW w:w="232" w:type="pct"/>
            <w:tcBorders>
              <w:top w:val="single" w:sz="4" w:space="0" w:color="888888"/>
              <w:left w:val="single" w:sz="4" w:space="0" w:color="888888"/>
              <w:bottom w:val="single" w:sz="4" w:space="0" w:color="888888"/>
              <w:right w:val="single" w:sz="4" w:space="0" w:color="888888"/>
            </w:tcBorders>
          </w:tcPr>
          <w:p w14:paraId="15DC79D0"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24</w:t>
            </w:r>
          </w:p>
        </w:tc>
        <w:tc>
          <w:tcPr>
            <w:tcW w:w="1247" w:type="pct"/>
            <w:tcBorders>
              <w:top w:val="single" w:sz="4" w:space="0" w:color="888888"/>
              <w:left w:val="single" w:sz="4" w:space="0" w:color="888888"/>
              <w:bottom w:val="single" w:sz="4" w:space="0" w:color="888888"/>
              <w:right w:val="single" w:sz="4" w:space="0" w:color="888888"/>
            </w:tcBorders>
          </w:tcPr>
          <w:p w14:paraId="4639EDE3"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Marital status</w:t>
            </w:r>
          </w:p>
        </w:tc>
        <w:tc>
          <w:tcPr>
            <w:tcW w:w="692" w:type="pct"/>
            <w:tcBorders>
              <w:top w:val="single" w:sz="4" w:space="0" w:color="888888"/>
              <w:left w:val="single" w:sz="4" w:space="0" w:color="888888"/>
              <w:bottom w:val="single" w:sz="4" w:space="0" w:color="888888"/>
              <w:right w:val="single" w:sz="4" w:space="0" w:color="888888"/>
            </w:tcBorders>
          </w:tcPr>
          <w:p w14:paraId="376808B0" w14:textId="7D02F907" w:rsidR="007025C4" w:rsidRPr="00756461" w:rsidRDefault="007025C4" w:rsidP="007025C4">
            <w:pPr>
              <w:spacing w:after="0" w:line="240" w:lineRule="auto"/>
              <w:jc w:val="center"/>
              <w:rPr>
                <w:rFonts w:ascii="Arial" w:hAnsi="Arial" w:cs="Arial"/>
                <w:sz w:val="16"/>
                <w:szCs w:val="16"/>
              </w:rPr>
            </w:pPr>
            <w:r>
              <w:rPr>
                <w:rFonts w:ascii="Arial" w:hAnsi="Arial" w:cs="Arial"/>
                <w:b/>
                <w:sz w:val="16"/>
                <w:szCs w:val="16"/>
              </w:rPr>
              <w:t>3</w:t>
            </w:r>
          </w:p>
        </w:tc>
        <w:tc>
          <w:tcPr>
            <w:tcW w:w="483" w:type="pct"/>
            <w:tcBorders>
              <w:top w:val="single" w:sz="4" w:space="0" w:color="888888"/>
              <w:left w:val="single" w:sz="4" w:space="0" w:color="888888"/>
              <w:bottom w:val="single" w:sz="4" w:space="0" w:color="888888"/>
              <w:right w:val="single" w:sz="4" w:space="0" w:color="888888"/>
            </w:tcBorders>
          </w:tcPr>
          <w:p w14:paraId="2D221F01" w14:textId="2295AC66"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3</w:t>
            </w:r>
          </w:p>
        </w:tc>
        <w:tc>
          <w:tcPr>
            <w:tcW w:w="642" w:type="pct"/>
            <w:tcBorders>
              <w:top w:val="single" w:sz="4" w:space="0" w:color="888888"/>
              <w:left w:val="single" w:sz="4" w:space="0" w:color="888888"/>
              <w:bottom w:val="single" w:sz="4" w:space="0" w:color="888888"/>
              <w:right w:val="single" w:sz="4" w:space="0" w:color="888888"/>
            </w:tcBorders>
          </w:tcPr>
          <w:p w14:paraId="110C45C1" w14:textId="18F9F6A6"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w:t>
            </w:r>
          </w:p>
        </w:tc>
        <w:tc>
          <w:tcPr>
            <w:tcW w:w="599" w:type="pct"/>
            <w:tcBorders>
              <w:top w:val="single" w:sz="4" w:space="0" w:color="888888"/>
              <w:left w:val="single" w:sz="4" w:space="0" w:color="888888"/>
              <w:bottom w:val="single" w:sz="4" w:space="0" w:color="888888"/>
              <w:right w:val="single" w:sz="4" w:space="0" w:color="888888"/>
            </w:tcBorders>
          </w:tcPr>
          <w:p w14:paraId="1EDCAF2B" w14:textId="3C9A564B"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2</w:t>
            </w:r>
          </w:p>
        </w:tc>
        <w:tc>
          <w:tcPr>
            <w:tcW w:w="604" w:type="pct"/>
            <w:tcBorders>
              <w:top w:val="single" w:sz="4" w:space="0" w:color="888888"/>
              <w:left w:val="single" w:sz="4" w:space="0" w:color="888888"/>
              <w:bottom w:val="single" w:sz="4" w:space="0" w:color="888888"/>
              <w:right w:val="single" w:sz="4" w:space="0" w:color="888888"/>
            </w:tcBorders>
          </w:tcPr>
          <w:p w14:paraId="1338C4FD" w14:textId="37A3B621"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w:t>
            </w:r>
          </w:p>
        </w:tc>
        <w:tc>
          <w:tcPr>
            <w:tcW w:w="501" w:type="pct"/>
            <w:tcBorders>
              <w:top w:val="single" w:sz="4" w:space="0" w:color="888888"/>
              <w:left w:val="single" w:sz="4" w:space="0" w:color="888888"/>
              <w:bottom w:val="single" w:sz="4" w:space="0" w:color="888888"/>
              <w:right w:val="single" w:sz="4" w:space="0" w:color="888888"/>
            </w:tcBorders>
          </w:tcPr>
          <w:p w14:paraId="03E9D284" w14:textId="6B17C269"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1</w:t>
            </w:r>
          </w:p>
        </w:tc>
      </w:tr>
      <w:tr w:rsidR="007025C4" w:rsidRPr="00756461" w14:paraId="6482B9B7" w14:textId="77777777" w:rsidTr="00756461">
        <w:tc>
          <w:tcPr>
            <w:tcW w:w="232" w:type="pct"/>
            <w:tcBorders>
              <w:top w:val="single" w:sz="4" w:space="0" w:color="888888"/>
              <w:left w:val="single" w:sz="4" w:space="0" w:color="888888"/>
              <w:bottom w:val="single" w:sz="4" w:space="0" w:color="888888"/>
              <w:right w:val="single" w:sz="4" w:space="0" w:color="888888"/>
            </w:tcBorders>
          </w:tcPr>
          <w:p w14:paraId="25FD3EF7"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25</w:t>
            </w:r>
          </w:p>
        </w:tc>
        <w:tc>
          <w:tcPr>
            <w:tcW w:w="1247" w:type="pct"/>
            <w:tcBorders>
              <w:top w:val="single" w:sz="4" w:space="0" w:color="888888"/>
              <w:left w:val="single" w:sz="4" w:space="0" w:color="888888"/>
              <w:bottom w:val="single" w:sz="4" w:space="0" w:color="888888"/>
              <w:right w:val="single" w:sz="4" w:space="0" w:color="888888"/>
            </w:tcBorders>
          </w:tcPr>
          <w:p w14:paraId="7F655D92"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Perinatal asphyxia</w:t>
            </w:r>
          </w:p>
        </w:tc>
        <w:tc>
          <w:tcPr>
            <w:tcW w:w="692" w:type="pct"/>
            <w:tcBorders>
              <w:top w:val="single" w:sz="4" w:space="0" w:color="888888"/>
              <w:left w:val="single" w:sz="4" w:space="0" w:color="888888"/>
              <w:bottom w:val="single" w:sz="4" w:space="0" w:color="888888"/>
              <w:right w:val="single" w:sz="4" w:space="0" w:color="888888"/>
            </w:tcBorders>
          </w:tcPr>
          <w:p w14:paraId="6EC3B40E" w14:textId="13E12246" w:rsidR="007025C4" w:rsidRPr="00756461" w:rsidRDefault="007025C4" w:rsidP="007025C4">
            <w:pPr>
              <w:spacing w:after="0" w:line="240" w:lineRule="auto"/>
              <w:jc w:val="center"/>
              <w:rPr>
                <w:rFonts w:ascii="Arial" w:hAnsi="Arial" w:cs="Arial"/>
                <w:sz w:val="16"/>
                <w:szCs w:val="16"/>
              </w:rPr>
            </w:pPr>
            <w:r>
              <w:rPr>
                <w:rFonts w:ascii="Arial" w:hAnsi="Arial" w:cs="Arial"/>
                <w:b/>
                <w:sz w:val="16"/>
                <w:szCs w:val="16"/>
              </w:rPr>
              <w:t>3</w:t>
            </w:r>
          </w:p>
        </w:tc>
        <w:tc>
          <w:tcPr>
            <w:tcW w:w="483" w:type="pct"/>
            <w:tcBorders>
              <w:top w:val="single" w:sz="4" w:space="0" w:color="888888"/>
              <w:left w:val="single" w:sz="4" w:space="0" w:color="888888"/>
              <w:bottom w:val="single" w:sz="4" w:space="0" w:color="888888"/>
              <w:right w:val="single" w:sz="4" w:space="0" w:color="888888"/>
            </w:tcBorders>
          </w:tcPr>
          <w:p w14:paraId="64DF6D67" w14:textId="16FAF107"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3</w:t>
            </w:r>
          </w:p>
        </w:tc>
        <w:tc>
          <w:tcPr>
            <w:tcW w:w="642" w:type="pct"/>
            <w:tcBorders>
              <w:top w:val="single" w:sz="4" w:space="0" w:color="888888"/>
              <w:left w:val="single" w:sz="4" w:space="0" w:color="888888"/>
              <w:bottom w:val="single" w:sz="4" w:space="0" w:color="888888"/>
              <w:right w:val="single" w:sz="4" w:space="0" w:color="888888"/>
            </w:tcBorders>
          </w:tcPr>
          <w:p w14:paraId="6A74ED0B" w14:textId="1B437F2B"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w:t>
            </w:r>
          </w:p>
        </w:tc>
        <w:tc>
          <w:tcPr>
            <w:tcW w:w="599" w:type="pct"/>
            <w:tcBorders>
              <w:top w:val="single" w:sz="4" w:space="0" w:color="888888"/>
              <w:left w:val="single" w:sz="4" w:space="0" w:color="888888"/>
              <w:bottom w:val="single" w:sz="4" w:space="0" w:color="888888"/>
              <w:right w:val="single" w:sz="4" w:space="0" w:color="888888"/>
            </w:tcBorders>
          </w:tcPr>
          <w:p w14:paraId="22B6BD07" w14:textId="464798A0"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w:t>
            </w:r>
          </w:p>
        </w:tc>
        <w:tc>
          <w:tcPr>
            <w:tcW w:w="604" w:type="pct"/>
            <w:tcBorders>
              <w:top w:val="single" w:sz="4" w:space="0" w:color="888888"/>
              <w:left w:val="single" w:sz="4" w:space="0" w:color="888888"/>
              <w:bottom w:val="single" w:sz="4" w:space="0" w:color="888888"/>
              <w:right w:val="single" w:sz="4" w:space="0" w:color="888888"/>
            </w:tcBorders>
          </w:tcPr>
          <w:p w14:paraId="577E7CF3" w14:textId="5FA37C4A"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3</w:t>
            </w:r>
          </w:p>
        </w:tc>
        <w:tc>
          <w:tcPr>
            <w:tcW w:w="501" w:type="pct"/>
            <w:tcBorders>
              <w:top w:val="single" w:sz="4" w:space="0" w:color="888888"/>
              <w:left w:val="single" w:sz="4" w:space="0" w:color="888888"/>
              <w:bottom w:val="single" w:sz="4" w:space="0" w:color="888888"/>
              <w:right w:val="single" w:sz="4" w:space="0" w:color="888888"/>
            </w:tcBorders>
          </w:tcPr>
          <w:p w14:paraId="2A8C5417" w14:textId="517F530E"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w:t>
            </w:r>
          </w:p>
        </w:tc>
      </w:tr>
      <w:tr w:rsidR="007025C4" w:rsidRPr="00756461" w14:paraId="21AE0E78" w14:textId="77777777" w:rsidTr="00756461">
        <w:tc>
          <w:tcPr>
            <w:tcW w:w="232" w:type="pct"/>
            <w:tcBorders>
              <w:top w:val="single" w:sz="4" w:space="0" w:color="888888"/>
              <w:left w:val="single" w:sz="4" w:space="0" w:color="888888"/>
              <w:bottom w:val="single" w:sz="4" w:space="0" w:color="888888"/>
              <w:right w:val="single" w:sz="4" w:space="0" w:color="888888"/>
            </w:tcBorders>
          </w:tcPr>
          <w:p w14:paraId="061B86A3"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26</w:t>
            </w:r>
          </w:p>
        </w:tc>
        <w:tc>
          <w:tcPr>
            <w:tcW w:w="1247" w:type="pct"/>
            <w:tcBorders>
              <w:top w:val="single" w:sz="4" w:space="0" w:color="888888"/>
              <w:left w:val="single" w:sz="4" w:space="0" w:color="888888"/>
              <w:bottom w:val="single" w:sz="4" w:space="0" w:color="888888"/>
              <w:right w:val="single" w:sz="4" w:space="0" w:color="888888"/>
            </w:tcBorders>
          </w:tcPr>
          <w:p w14:paraId="6908D6EE"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Plurality (singleton/multiple)</w:t>
            </w:r>
          </w:p>
        </w:tc>
        <w:tc>
          <w:tcPr>
            <w:tcW w:w="692" w:type="pct"/>
            <w:tcBorders>
              <w:top w:val="single" w:sz="4" w:space="0" w:color="888888"/>
              <w:left w:val="single" w:sz="4" w:space="0" w:color="888888"/>
              <w:bottom w:val="single" w:sz="4" w:space="0" w:color="888888"/>
              <w:right w:val="single" w:sz="4" w:space="0" w:color="888888"/>
            </w:tcBorders>
          </w:tcPr>
          <w:p w14:paraId="132A5FC0" w14:textId="30A4DF41" w:rsidR="007025C4" w:rsidRPr="00756461" w:rsidRDefault="007025C4" w:rsidP="007025C4">
            <w:pPr>
              <w:spacing w:after="0" w:line="240" w:lineRule="auto"/>
              <w:jc w:val="center"/>
              <w:rPr>
                <w:rFonts w:ascii="Arial" w:hAnsi="Arial" w:cs="Arial"/>
                <w:sz w:val="16"/>
                <w:szCs w:val="16"/>
              </w:rPr>
            </w:pPr>
            <w:r>
              <w:rPr>
                <w:rFonts w:ascii="Arial" w:hAnsi="Arial" w:cs="Arial"/>
                <w:b/>
                <w:sz w:val="16"/>
                <w:szCs w:val="16"/>
              </w:rPr>
              <w:t>5</w:t>
            </w:r>
          </w:p>
        </w:tc>
        <w:tc>
          <w:tcPr>
            <w:tcW w:w="483" w:type="pct"/>
            <w:tcBorders>
              <w:top w:val="single" w:sz="4" w:space="0" w:color="888888"/>
              <w:left w:val="single" w:sz="4" w:space="0" w:color="888888"/>
              <w:bottom w:val="single" w:sz="4" w:space="0" w:color="888888"/>
              <w:right w:val="single" w:sz="4" w:space="0" w:color="888888"/>
            </w:tcBorders>
          </w:tcPr>
          <w:p w14:paraId="5BA802D1" w14:textId="40157D61"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2</w:t>
            </w:r>
          </w:p>
        </w:tc>
        <w:tc>
          <w:tcPr>
            <w:tcW w:w="642" w:type="pct"/>
            <w:tcBorders>
              <w:top w:val="single" w:sz="4" w:space="0" w:color="888888"/>
              <w:left w:val="single" w:sz="4" w:space="0" w:color="888888"/>
              <w:bottom w:val="single" w:sz="4" w:space="0" w:color="888888"/>
              <w:right w:val="single" w:sz="4" w:space="0" w:color="888888"/>
            </w:tcBorders>
          </w:tcPr>
          <w:p w14:paraId="5781035C" w14:textId="1377D7FE"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3</w:t>
            </w:r>
          </w:p>
        </w:tc>
        <w:tc>
          <w:tcPr>
            <w:tcW w:w="599" w:type="pct"/>
            <w:tcBorders>
              <w:top w:val="single" w:sz="4" w:space="0" w:color="888888"/>
              <w:left w:val="single" w:sz="4" w:space="0" w:color="888888"/>
              <w:bottom w:val="single" w:sz="4" w:space="0" w:color="888888"/>
              <w:right w:val="single" w:sz="4" w:space="0" w:color="888888"/>
            </w:tcBorders>
          </w:tcPr>
          <w:p w14:paraId="0B6ACECB" w14:textId="77A5F85F"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2</w:t>
            </w:r>
          </w:p>
        </w:tc>
        <w:tc>
          <w:tcPr>
            <w:tcW w:w="604" w:type="pct"/>
            <w:tcBorders>
              <w:top w:val="single" w:sz="4" w:space="0" w:color="888888"/>
              <w:left w:val="single" w:sz="4" w:space="0" w:color="888888"/>
              <w:bottom w:val="single" w:sz="4" w:space="0" w:color="888888"/>
              <w:right w:val="single" w:sz="4" w:space="0" w:color="888888"/>
            </w:tcBorders>
          </w:tcPr>
          <w:p w14:paraId="1B8C0A94" w14:textId="67C4C1F8"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2</w:t>
            </w:r>
          </w:p>
        </w:tc>
        <w:tc>
          <w:tcPr>
            <w:tcW w:w="501" w:type="pct"/>
            <w:tcBorders>
              <w:top w:val="single" w:sz="4" w:space="0" w:color="888888"/>
              <w:left w:val="single" w:sz="4" w:space="0" w:color="888888"/>
              <w:bottom w:val="single" w:sz="4" w:space="0" w:color="888888"/>
              <w:right w:val="single" w:sz="4" w:space="0" w:color="888888"/>
            </w:tcBorders>
          </w:tcPr>
          <w:p w14:paraId="667E9885" w14:textId="35365132"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1</w:t>
            </w:r>
          </w:p>
        </w:tc>
      </w:tr>
      <w:tr w:rsidR="007025C4" w:rsidRPr="00756461" w14:paraId="3C2E0737" w14:textId="77777777" w:rsidTr="00756461">
        <w:tc>
          <w:tcPr>
            <w:tcW w:w="232" w:type="pct"/>
            <w:tcBorders>
              <w:top w:val="single" w:sz="4" w:space="0" w:color="888888"/>
              <w:left w:val="single" w:sz="4" w:space="0" w:color="888888"/>
              <w:bottom w:val="single" w:sz="4" w:space="0" w:color="888888"/>
              <w:right w:val="single" w:sz="4" w:space="0" w:color="888888"/>
            </w:tcBorders>
          </w:tcPr>
          <w:p w14:paraId="2D6DD781"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27</w:t>
            </w:r>
          </w:p>
        </w:tc>
        <w:tc>
          <w:tcPr>
            <w:tcW w:w="1247" w:type="pct"/>
            <w:tcBorders>
              <w:top w:val="single" w:sz="4" w:space="0" w:color="888888"/>
              <w:left w:val="single" w:sz="4" w:space="0" w:color="888888"/>
              <w:bottom w:val="single" w:sz="4" w:space="0" w:color="888888"/>
              <w:right w:val="single" w:sz="4" w:space="0" w:color="888888"/>
            </w:tcBorders>
          </w:tcPr>
          <w:p w14:paraId="69F13565"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Foetal heart rate / CTG</w:t>
            </w:r>
          </w:p>
        </w:tc>
        <w:tc>
          <w:tcPr>
            <w:tcW w:w="692" w:type="pct"/>
            <w:tcBorders>
              <w:top w:val="single" w:sz="4" w:space="0" w:color="888888"/>
              <w:left w:val="single" w:sz="4" w:space="0" w:color="888888"/>
              <w:bottom w:val="single" w:sz="4" w:space="0" w:color="888888"/>
              <w:right w:val="single" w:sz="4" w:space="0" w:color="888888"/>
            </w:tcBorders>
          </w:tcPr>
          <w:p w14:paraId="659A531C" w14:textId="621D5D8E" w:rsidR="007025C4" w:rsidRPr="00756461" w:rsidRDefault="007025C4" w:rsidP="007025C4">
            <w:pPr>
              <w:spacing w:after="0" w:line="240" w:lineRule="auto"/>
              <w:jc w:val="center"/>
              <w:rPr>
                <w:rFonts w:ascii="Arial" w:hAnsi="Arial" w:cs="Arial"/>
                <w:sz w:val="16"/>
                <w:szCs w:val="16"/>
              </w:rPr>
            </w:pPr>
            <w:r>
              <w:rPr>
                <w:rFonts w:ascii="Arial" w:hAnsi="Arial" w:cs="Arial"/>
                <w:b/>
                <w:sz w:val="16"/>
                <w:szCs w:val="16"/>
              </w:rPr>
              <w:t>3</w:t>
            </w:r>
          </w:p>
        </w:tc>
        <w:tc>
          <w:tcPr>
            <w:tcW w:w="483" w:type="pct"/>
            <w:tcBorders>
              <w:top w:val="single" w:sz="4" w:space="0" w:color="888888"/>
              <w:left w:val="single" w:sz="4" w:space="0" w:color="888888"/>
              <w:bottom w:val="single" w:sz="4" w:space="0" w:color="888888"/>
              <w:right w:val="single" w:sz="4" w:space="0" w:color="888888"/>
            </w:tcBorders>
          </w:tcPr>
          <w:p w14:paraId="6C7336D4" w14:textId="25367A32"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2</w:t>
            </w:r>
          </w:p>
        </w:tc>
        <w:tc>
          <w:tcPr>
            <w:tcW w:w="642" w:type="pct"/>
            <w:tcBorders>
              <w:top w:val="single" w:sz="4" w:space="0" w:color="888888"/>
              <w:left w:val="single" w:sz="4" w:space="0" w:color="888888"/>
              <w:bottom w:val="single" w:sz="4" w:space="0" w:color="888888"/>
              <w:right w:val="single" w:sz="4" w:space="0" w:color="888888"/>
            </w:tcBorders>
          </w:tcPr>
          <w:p w14:paraId="1B0B652B" w14:textId="6BB20189"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1</w:t>
            </w:r>
          </w:p>
        </w:tc>
        <w:tc>
          <w:tcPr>
            <w:tcW w:w="599" w:type="pct"/>
            <w:tcBorders>
              <w:top w:val="single" w:sz="4" w:space="0" w:color="888888"/>
              <w:left w:val="single" w:sz="4" w:space="0" w:color="888888"/>
              <w:bottom w:val="single" w:sz="4" w:space="0" w:color="888888"/>
              <w:right w:val="single" w:sz="4" w:space="0" w:color="888888"/>
            </w:tcBorders>
          </w:tcPr>
          <w:p w14:paraId="1F34E9BB" w14:textId="246C29F0"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2</w:t>
            </w:r>
          </w:p>
        </w:tc>
        <w:tc>
          <w:tcPr>
            <w:tcW w:w="604" w:type="pct"/>
            <w:tcBorders>
              <w:top w:val="single" w:sz="4" w:space="0" w:color="888888"/>
              <w:left w:val="single" w:sz="4" w:space="0" w:color="888888"/>
              <w:bottom w:val="single" w:sz="4" w:space="0" w:color="888888"/>
              <w:right w:val="single" w:sz="4" w:space="0" w:color="888888"/>
            </w:tcBorders>
          </w:tcPr>
          <w:p w14:paraId="4BF76CDF" w14:textId="400D553F"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w:t>
            </w:r>
          </w:p>
        </w:tc>
        <w:tc>
          <w:tcPr>
            <w:tcW w:w="501" w:type="pct"/>
            <w:tcBorders>
              <w:top w:val="single" w:sz="4" w:space="0" w:color="888888"/>
              <w:left w:val="single" w:sz="4" w:space="0" w:color="888888"/>
              <w:bottom w:val="single" w:sz="4" w:space="0" w:color="888888"/>
              <w:right w:val="single" w:sz="4" w:space="0" w:color="888888"/>
            </w:tcBorders>
          </w:tcPr>
          <w:p w14:paraId="6E187ADB" w14:textId="508A1851"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1</w:t>
            </w:r>
          </w:p>
        </w:tc>
      </w:tr>
      <w:tr w:rsidR="007025C4" w:rsidRPr="00756461" w14:paraId="0F1D0D5C" w14:textId="77777777" w:rsidTr="00756461">
        <w:tc>
          <w:tcPr>
            <w:tcW w:w="232" w:type="pct"/>
            <w:tcBorders>
              <w:top w:val="single" w:sz="4" w:space="0" w:color="888888"/>
              <w:left w:val="single" w:sz="4" w:space="0" w:color="888888"/>
              <w:bottom w:val="single" w:sz="4" w:space="0" w:color="888888"/>
              <w:right w:val="single" w:sz="4" w:space="0" w:color="888888"/>
            </w:tcBorders>
          </w:tcPr>
          <w:p w14:paraId="4CD792EF"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28</w:t>
            </w:r>
          </w:p>
        </w:tc>
        <w:tc>
          <w:tcPr>
            <w:tcW w:w="1247" w:type="pct"/>
            <w:tcBorders>
              <w:top w:val="single" w:sz="4" w:space="0" w:color="888888"/>
              <w:left w:val="single" w:sz="4" w:space="0" w:color="888888"/>
              <w:bottom w:val="single" w:sz="4" w:space="0" w:color="888888"/>
              <w:right w:val="single" w:sz="4" w:space="0" w:color="888888"/>
            </w:tcBorders>
          </w:tcPr>
          <w:p w14:paraId="052CBF62"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Doppler (non-umbilical)</w:t>
            </w:r>
          </w:p>
        </w:tc>
        <w:tc>
          <w:tcPr>
            <w:tcW w:w="692" w:type="pct"/>
            <w:tcBorders>
              <w:top w:val="single" w:sz="4" w:space="0" w:color="888888"/>
              <w:left w:val="single" w:sz="4" w:space="0" w:color="888888"/>
              <w:bottom w:val="single" w:sz="4" w:space="0" w:color="888888"/>
              <w:right w:val="single" w:sz="4" w:space="0" w:color="888888"/>
            </w:tcBorders>
          </w:tcPr>
          <w:p w14:paraId="20B6BCF0" w14:textId="7FD5A83A" w:rsidR="007025C4" w:rsidRPr="00756461" w:rsidRDefault="007025C4" w:rsidP="007025C4">
            <w:pPr>
              <w:spacing w:after="0" w:line="240" w:lineRule="auto"/>
              <w:jc w:val="center"/>
              <w:rPr>
                <w:rFonts w:ascii="Arial" w:hAnsi="Arial" w:cs="Arial"/>
                <w:sz w:val="16"/>
                <w:szCs w:val="16"/>
              </w:rPr>
            </w:pPr>
            <w:r>
              <w:rPr>
                <w:rFonts w:ascii="Arial" w:hAnsi="Arial" w:cs="Arial"/>
                <w:b/>
                <w:sz w:val="16"/>
                <w:szCs w:val="16"/>
              </w:rPr>
              <w:t>5</w:t>
            </w:r>
          </w:p>
        </w:tc>
        <w:tc>
          <w:tcPr>
            <w:tcW w:w="483" w:type="pct"/>
            <w:tcBorders>
              <w:top w:val="single" w:sz="4" w:space="0" w:color="888888"/>
              <w:left w:val="single" w:sz="4" w:space="0" w:color="888888"/>
              <w:bottom w:val="single" w:sz="4" w:space="0" w:color="888888"/>
              <w:right w:val="single" w:sz="4" w:space="0" w:color="888888"/>
            </w:tcBorders>
          </w:tcPr>
          <w:p w14:paraId="1D7B0EB8" w14:textId="658F61E4"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w:t>
            </w:r>
          </w:p>
        </w:tc>
        <w:tc>
          <w:tcPr>
            <w:tcW w:w="642" w:type="pct"/>
            <w:tcBorders>
              <w:top w:val="single" w:sz="4" w:space="0" w:color="888888"/>
              <w:left w:val="single" w:sz="4" w:space="0" w:color="888888"/>
              <w:bottom w:val="single" w:sz="4" w:space="0" w:color="888888"/>
              <w:right w:val="single" w:sz="4" w:space="0" w:color="888888"/>
            </w:tcBorders>
          </w:tcPr>
          <w:p w14:paraId="14F05FEB" w14:textId="42A3BAB2"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5</w:t>
            </w:r>
          </w:p>
        </w:tc>
        <w:tc>
          <w:tcPr>
            <w:tcW w:w="599" w:type="pct"/>
            <w:tcBorders>
              <w:top w:val="single" w:sz="4" w:space="0" w:color="888888"/>
              <w:left w:val="single" w:sz="4" w:space="0" w:color="888888"/>
              <w:bottom w:val="single" w:sz="4" w:space="0" w:color="888888"/>
              <w:right w:val="single" w:sz="4" w:space="0" w:color="888888"/>
            </w:tcBorders>
          </w:tcPr>
          <w:p w14:paraId="649C8140" w14:textId="1E3E21CC"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3</w:t>
            </w:r>
          </w:p>
        </w:tc>
        <w:tc>
          <w:tcPr>
            <w:tcW w:w="604" w:type="pct"/>
            <w:tcBorders>
              <w:top w:val="single" w:sz="4" w:space="0" w:color="888888"/>
              <w:left w:val="single" w:sz="4" w:space="0" w:color="888888"/>
              <w:bottom w:val="single" w:sz="4" w:space="0" w:color="888888"/>
              <w:right w:val="single" w:sz="4" w:space="0" w:color="888888"/>
            </w:tcBorders>
          </w:tcPr>
          <w:p w14:paraId="63176E02" w14:textId="3E1C5825"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w:t>
            </w:r>
          </w:p>
        </w:tc>
        <w:tc>
          <w:tcPr>
            <w:tcW w:w="501" w:type="pct"/>
            <w:tcBorders>
              <w:top w:val="single" w:sz="4" w:space="0" w:color="888888"/>
              <w:left w:val="single" w:sz="4" w:space="0" w:color="888888"/>
              <w:bottom w:val="single" w:sz="4" w:space="0" w:color="888888"/>
              <w:right w:val="single" w:sz="4" w:space="0" w:color="888888"/>
            </w:tcBorders>
          </w:tcPr>
          <w:p w14:paraId="14E422F0" w14:textId="06E04F1B"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2</w:t>
            </w:r>
          </w:p>
        </w:tc>
      </w:tr>
      <w:tr w:rsidR="007025C4" w:rsidRPr="00756461" w14:paraId="1D0DD33D" w14:textId="77777777" w:rsidTr="00756461">
        <w:tc>
          <w:tcPr>
            <w:tcW w:w="232" w:type="pct"/>
            <w:tcBorders>
              <w:top w:val="single" w:sz="4" w:space="0" w:color="888888"/>
              <w:left w:val="single" w:sz="4" w:space="0" w:color="888888"/>
              <w:bottom w:val="single" w:sz="4" w:space="0" w:color="888888"/>
              <w:right w:val="single" w:sz="4" w:space="0" w:color="888888"/>
            </w:tcBorders>
          </w:tcPr>
          <w:p w14:paraId="6896306D"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29</w:t>
            </w:r>
          </w:p>
        </w:tc>
        <w:tc>
          <w:tcPr>
            <w:tcW w:w="1247" w:type="pct"/>
            <w:tcBorders>
              <w:top w:val="single" w:sz="4" w:space="0" w:color="888888"/>
              <w:left w:val="single" w:sz="4" w:space="0" w:color="888888"/>
              <w:bottom w:val="single" w:sz="4" w:space="0" w:color="888888"/>
              <w:right w:val="single" w:sz="4" w:space="0" w:color="888888"/>
            </w:tcBorders>
          </w:tcPr>
          <w:p w14:paraId="64CCB3AA"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Proteinuria</w:t>
            </w:r>
          </w:p>
        </w:tc>
        <w:tc>
          <w:tcPr>
            <w:tcW w:w="692" w:type="pct"/>
            <w:tcBorders>
              <w:top w:val="single" w:sz="4" w:space="0" w:color="888888"/>
              <w:left w:val="single" w:sz="4" w:space="0" w:color="888888"/>
              <w:bottom w:val="single" w:sz="4" w:space="0" w:color="888888"/>
              <w:right w:val="single" w:sz="4" w:space="0" w:color="888888"/>
            </w:tcBorders>
          </w:tcPr>
          <w:p w14:paraId="1C157A72" w14:textId="50A34E7F" w:rsidR="007025C4" w:rsidRPr="00756461" w:rsidRDefault="007025C4" w:rsidP="007025C4">
            <w:pPr>
              <w:spacing w:after="0" w:line="240" w:lineRule="auto"/>
              <w:jc w:val="center"/>
              <w:rPr>
                <w:rFonts w:ascii="Arial" w:hAnsi="Arial" w:cs="Arial"/>
                <w:sz w:val="16"/>
                <w:szCs w:val="16"/>
              </w:rPr>
            </w:pPr>
            <w:r>
              <w:rPr>
                <w:rFonts w:ascii="Arial" w:hAnsi="Arial" w:cs="Arial"/>
                <w:b/>
                <w:sz w:val="16"/>
                <w:szCs w:val="16"/>
              </w:rPr>
              <w:t>3</w:t>
            </w:r>
          </w:p>
        </w:tc>
        <w:tc>
          <w:tcPr>
            <w:tcW w:w="483" w:type="pct"/>
            <w:tcBorders>
              <w:top w:val="single" w:sz="4" w:space="0" w:color="888888"/>
              <w:left w:val="single" w:sz="4" w:space="0" w:color="888888"/>
              <w:bottom w:val="single" w:sz="4" w:space="0" w:color="888888"/>
              <w:right w:val="single" w:sz="4" w:space="0" w:color="888888"/>
            </w:tcBorders>
          </w:tcPr>
          <w:p w14:paraId="7F071A49" w14:textId="2407519A"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2</w:t>
            </w:r>
          </w:p>
        </w:tc>
        <w:tc>
          <w:tcPr>
            <w:tcW w:w="642" w:type="pct"/>
            <w:tcBorders>
              <w:top w:val="single" w:sz="4" w:space="0" w:color="888888"/>
              <w:left w:val="single" w:sz="4" w:space="0" w:color="888888"/>
              <w:bottom w:val="single" w:sz="4" w:space="0" w:color="888888"/>
              <w:right w:val="single" w:sz="4" w:space="0" w:color="888888"/>
            </w:tcBorders>
          </w:tcPr>
          <w:p w14:paraId="4E886F89" w14:textId="40108765"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1</w:t>
            </w:r>
          </w:p>
        </w:tc>
        <w:tc>
          <w:tcPr>
            <w:tcW w:w="599" w:type="pct"/>
            <w:tcBorders>
              <w:top w:val="single" w:sz="4" w:space="0" w:color="888888"/>
              <w:left w:val="single" w:sz="4" w:space="0" w:color="888888"/>
              <w:bottom w:val="single" w:sz="4" w:space="0" w:color="888888"/>
              <w:right w:val="single" w:sz="4" w:space="0" w:color="888888"/>
            </w:tcBorders>
          </w:tcPr>
          <w:p w14:paraId="632BAEEA" w14:textId="53BAD0B3"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1</w:t>
            </w:r>
          </w:p>
        </w:tc>
        <w:tc>
          <w:tcPr>
            <w:tcW w:w="604" w:type="pct"/>
            <w:tcBorders>
              <w:top w:val="single" w:sz="4" w:space="0" w:color="888888"/>
              <w:left w:val="single" w:sz="4" w:space="0" w:color="888888"/>
              <w:bottom w:val="single" w:sz="4" w:space="0" w:color="888888"/>
              <w:right w:val="single" w:sz="4" w:space="0" w:color="888888"/>
            </w:tcBorders>
          </w:tcPr>
          <w:p w14:paraId="1DE2202D" w14:textId="37FD840F"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w:t>
            </w:r>
          </w:p>
        </w:tc>
        <w:tc>
          <w:tcPr>
            <w:tcW w:w="501" w:type="pct"/>
            <w:tcBorders>
              <w:top w:val="single" w:sz="4" w:space="0" w:color="888888"/>
              <w:left w:val="single" w:sz="4" w:space="0" w:color="888888"/>
              <w:bottom w:val="single" w:sz="4" w:space="0" w:color="888888"/>
              <w:right w:val="single" w:sz="4" w:space="0" w:color="888888"/>
            </w:tcBorders>
          </w:tcPr>
          <w:p w14:paraId="06F917AC" w14:textId="47D25743"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2</w:t>
            </w:r>
          </w:p>
        </w:tc>
      </w:tr>
      <w:tr w:rsidR="007025C4" w:rsidRPr="00756461" w14:paraId="03F05211" w14:textId="77777777" w:rsidTr="00756461">
        <w:tc>
          <w:tcPr>
            <w:tcW w:w="232" w:type="pct"/>
            <w:tcBorders>
              <w:top w:val="single" w:sz="4" w:space="0" w:color="888888"/>
              <w:left w:val="single" w:sz="4" w:space="0" w:color="888888"/>
              <w:bottom w:val="single" w:sz="4" w:space="0" w:color="888888"/>
              <w:right w:val="single" w:sz="4" w:space="0" w:color="888888"/>
            </w:tcBorders>
          </w:tcPr>
          <w:p w14:paraId="366D9604"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30</w:t>
            </w:r>
          </w:p>
        </w:tc>
        <w:tc>
          <w:tcPr>
            <w:tcW w:w="1247" w:type="pct"/>
            <w:tcBorders>
              <w:top w:val="single" w:sz="4" w:space="0" w:color="888888"/>
              <w:left w:val="single" w:sz="4" w:space="0" w:color="888888"/>
              <w:bottom w:val="single" w:sz="4" w:space="0" w:color="888888"/>
              <w:right w:val="single" w:sz="4" w:space="0" w:color="888888"/>
            </w:tcBorders>
          </w:tcPr>
          <w:p w14:paraId="2520DC8A"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Health insurance</w:t>
            </w:r>
          </w:p>
        </w:tc>
        <w:tc>
          <w:tcPr>
            <w:tcW w:w="692" w:type="pct"/>
            <w:tcBorders>
              <w:top w:val="single" w:sz="4" w:space="0" w:color="888888"/>
              <w:left w:val="single" w:sz="4" w:space="0" w:color="888888"/>
              <w:bottom w:val="single" w:sz="4" w:space="0" w:color="888888"/>
              <w:right w:val="single" w:sz="4" w:space="0" w:color="888888"/>
            </w:tcBorders>
          </w:tcPr>
          <w:p w14:paraId="78B95FBD" w14:textId="34A57EA3" w:rsidR="007025C4" w:rsidRPr="00756461" w:rsidRDefault="007025C4" w:rsidP="007025C4">
            <w:pPr>
              <w:spacing w:after="0" w:line="240" w:lineRule="auto"/>
              <w:jc w:val="center"/>
              <w:rPr>
                <w:rFonts w:ascii="Arial" w:hAnsi="Arial" w:cs="Arial"/>
                <w:sz w:val="16"/>
                <w:szCs w:val="16"/>
              </w:rPr>
            </w:pPr>
            <w:r>
              <w:rPr>
                <w:rFonts w:ascii="Arial" w:hAnsi="Arial" w:cs="Arial"/>
                <w:b/>
                <w:sz w:val="16"/>
                <w:szCs w:val="16"/>
              </w:rPr>
              <w:t>2</w:t>
            </w:r>
          </w:p>
        </w:tc>
        <w:tc>
          <w:tcPr>
            <w:tcW w:w="483" w:type="pct"/>
            <w:tcBorders>
              <w:top w:val="single" w:sz="4" w:space="0" w:color="888888"/>
              <w:left w:val="single" w:sz="4" w:space="0" w:color="888888"/>
              <w:bottom w:val="single" w:sz="4" w:space="0" w:color="888888"/>
              <w:right w:val="single" w:sz="4" w:space="0" w:color="888888"/>
            </w:tcBorders>
          </w:tcPr>
          <w:p w14:paraId="7A9ACC0B" w14:textId="03DABDA0"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2</w:t>
            </w:r>
          </w:p>
        </w:tc>
        <w:tc>
          <w:tcPr>
            <w:tcW w:w="642" w:type="pct"/>
            <w:tcBorders>
              <w:top w:val="single" w:sz="4" w:space="0" w:color="888888"/>
              <w:left w:val="single" w:sz="4" w:space="0" w:color="888888"/>
              <w:bottom w:val="single" w:sz="4" w:space="0" w:color="888888"/>
              <w:right w:val="single" w:sz="4" w:space="0" w:color="888888"/>
            </w:tcBorders>
          </w:tcPr>
          <w:p w14:paraId="1F92C1E7" w14:textId="7323C451"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w:t>
            </w:r>
          </w:p>
        </w:tc>
        <w:tc>
          <w:tcPr>
            <w:tcW w:w="599" w:type="pct"/>
            <w:tcBorders>
              <w:top w:val="single" w:sz="4" w:space="0" w:color="888888"/>
              <w:left w:val="single" w:sz="4" w:space="0" w:color="888888"/>
              <w:bottom w:val="single" w:sz="4" w:space="0" w:color="888888"/>
              <w:right w:val="single" w:sz="4" w:space="0" w:color="888888"/>
            </w:tcBorders>
          </w:tcPr>
          <w:p w14:paraId="5C2570CA" w14:textId="39360DC1"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w:t>
            </w:r>
          </w:p>
        </w:tc>
        <w:tc>
          <w:tcPr>
            <w:tcW w:w="604" w:type="pct"/>
            <w:tcBorders>
              <w:top w:val="single" w:sz="4" w:space="0" w:color="888888"/>
              <w:left w:val="single" w:sz="4" w:space="0" w:color="888888"/>
              <w:bottom w:val="single" w:sz="4" w:space="0" w:color="888888"/>
              <w:right w:val="single" w:sz="4" w:space="0" w:color="888888"/>
            </w:tcBorders>
          </w:tcPr>
          <w:p w14:paraId="2364E63A" w14:textId="3057E2D3"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1</w:t>
            </w:r>
          </w:p>
        </w:tc>
        <w:tc>
          <w:tcPr>
            <w:tcW w:w="501" w:type="pct"/>
            <w:tcBorders>
              <w:top w:val="single" w:sz="4" w:space="0" w:color="888888"/>
              <w:left w:val="single" w:sz="4" w:space="0" w:color="888888"/>
              <w:bottom w:val="single" w:sz="4" w:space="0" w:color="888888"/>
              <w:right w:val="single" w:sz="4" w:space="0" w:color="888888"/>
            </w:tcBorders>
          </w:tcPr>
          <w:p w14:paraId="70E107AC" w14:textId="09001CCD"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1</w:t>
            </w:r>
          </w:p>
        </w:tc>
      </w:tr>
      <w:tr w:rsidR="007025C4" w:rsidRPr="00756461" w14:paraId="74D1B5FD" w14:textId="77777777" w:rsidTr="00756461">
        <w:tc>
          <w:tcPr>
            <w:tcW w:w="232" w:type="pct"/>
            <w:tcBorders>
              <w:top w:val="single" w:sz="4" w:space="0" w:color="888888"/>
              <w:left w:val="single" w:sz="4" w:space="0" w:color="888888"/>
              <w:bottom w:val="single" w:sz="4" w:space="0" w:color="888888"/>
              <w:right w:val="single" w:sz="4" w:space="0" w:color="888888"/>
            </w:tcBorders>
          </w:tcPr>
          <w:p w14:paraId="3588FDF7"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31</w:t>
            </w:r>
          </w:p>
        </w:tc>
        <w:tc>
          <w:tcPr>
            <w:tcW w:w="1247" w:type="pct"/>
            <w:tcBorders>
              <w:top w:val="single" w:sz="4" w:space="0" w:color="888888"/>
              <w:left w:val="single" w:sz="4" w:space="0" w:color="888888"/>
              <w:bottom w:val="single" w:sz="4" w:space="0" w:color="888888"/>
              <w:right w:val="single" w:sz="4" w:space="0" w:color="888888"/>
            </w:tcBorders>
          </w:tcPr>
          <w:p w14:paraId="6383B183"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Albumin</w:t>
            </w:r>
          </w:p>
        </w:tc>
        <w:tc>
          <w:tcPr>
            <w:tcW w:w="692" w:type="pct"/>
            <w:tcBorders>
              <w:top w:val="single" w:sz="4" w:space="0" w:color="888888"/>
              <w:left w:val="single" w:sz="4" w:space="0" w:color="888888"/>
              <w:bottom w:val="single" w:sz="4" w:space="0" w:color="888888"/>
              <w:right w:val="single" w:sz="4" w:space="0" w:color="888888"/>
            </w:tcBorders>
          </w:tcPr>
          <w:p w14:paraId="4E3DE50D" w14:textId="78331912" w:rsidR="007025C4" w:rsidRPr="00756461" w:rsidRDefault="007025C4" w:rsidP="007025C4">
            <w:pPr>
              <w:spacing w:after="0" w:line="240" w:lineRule="auto"/>
              <w:jc w:val="center"/>
              <w:rPr>
                <w:rFonts w:ascii="Arial" w:hAnsi="Arial" w:cs="Arial"/>
                <w:sz w:val="16"/>
                <w:szCs w:val="16"/>
              </w:rPr>
            </w:pPr>
            <w:r>
              <w:rPr>
                <w:rFonts w:ascii="Arial" w:hAnsi="Arial" w:cs="Arial"/>
                <w:b/>
                <w:sz w:val="16"/>
                <w:szCs w:val="16"/>
              </w:rPr>
              <w:t>2</w:t>
            </w:r>
          </w:p>
        </w:tc>
        <w:tc>
          <w:tcPr>
            <w:tcW w:w="483" w:type="pct"/>
            <w:tcBorders>
              <w:top w:val="single" w:sz="4" w:space="0" w:color="888888"/>
              <w:left w:val="single" w:sz="4" w:space="0" w:color="888888"/>
              <w:bottom w:val="single" w:sz="4" w:space="0" w:color="888888"/>
              <w:right w:val="single" w:sz="4" w:space="0" w:color="888888"/>
            </w:tcBorders>
          </w:tcPr>
          <w:p w14:paraId="3789043B" w14:textId="05DC6A30"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w:t>
            </w:r>
          </w:p>
        </w:tc>
        <w:tc>
          <w:tcPr>
            <w:tcW w:w="642" w:type="pct"/>
            <w:tcBorders>
              <w:top w:val="single" w:sz="4" w:space="0" w:color="888888"/>
              <w:left w:val="single" w:sz="4" w:space="0" w:color="888888"/>
              <w:bottom w:val="single" w:sz="4" w:space="0" w:color="888888"/>
              <w:right w:val="single" w:sz="4" w:space="0" w:color="888888"/>
            </w:tcBorders>
          </w:tcPr>
          <w:p w14:paraId="1E74237A" w14:textId="5208745B"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2</w:t>
            </w:r>
          </w:p>
        </w:tc>
        <w:tc>
          <w:tcPr>
            <w:tcW w:w="599" w:type="pct"/>
            <w:tcBorders>
              <w:top w:val="single" w:sz="4" w:space="0" w:color="888888"/>
              <w:left w:val="single" w:sz="4" w:space="0" w:color="888888"/>
              <w:bottom w:val="single" w:sz="4" w:space="0" w:color="888888"/>
              <w:right w:val="single" w:sz="4" w:space="0" w:color="888888"/>
            </w:tcBorders>
          </w:tcPr>
          <w:p w14:paraId="6881C334" w14:textId="17298A73"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w:t>
            </w:r>
          </w:p>
        </w:tc>
        <w:tc>
          <w:tcPr>
            <w:tcW w:w="604" w:type="pct"/>
            <w:tcBorders>
              <w:top w:val="single" w:sz="4" w:space="0" w:color="888888"/>
              <w:left w:val="single" w:sz="4" w:space="0" w:color="888888"/>
              <w:bottom w:val="single" w:sz="4" w:space="0" w:color="888888"/>
              <w:right w:val="single" w:sz="4" w:space="0" w:color="888888"/>
            </w:tcBorders>
          </w:tcPr>
          <w:p w14:paraId="552A9175" w14:textId="395CA05A"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1</w:t>
            </w:r>
          </w:p>
        </w:tc>
        <w:tc>
          <w:tcPr>
            <w:tcW w:w="501" w:type="pct"/>
            <w:tcBorders>
              <w:top w:val="single" w:sz="4" w:space="0" w:color="888888"/>
              <w:left w:val="single" w:sz="4" w:space="0" w:color="888888"/>
              <w:bottom w:val="single" w:sz="4" w:space="0" w:color="888888"/>
              <w:right w:val="single" w:sz="4" w:space="0" w:color="888888"/>
            </w:tcBorders>
          </w:tcPr>
          <w:p w14:paraId="5D1B2119" w14:textId="271405AB"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1</w:t>
            </w:r>
          </w:p>
        </w:tc>
      </w:tr>
      <w:tr w:rsidR="007025C4" w:rsidRPr="00756461" w14:paraId="129B2A61" w14:textId="77777777" w:rsidTr="00756461">
        <w:tc>
          <w:tcPr>
            <w:tcW w:w="232" w:type="pct"/>
            <w:tcBorders>
              <w:top w:val="single" w:sz="4" w:space="0" w:color="888888"/>
              <w:left w:val="single" w:sz="4" w:space="0" w:color="888888"/>
              <w:bottom w:val="single" w:sz="4" w:space="0" w:color="888888"/>
              <w:right w:val="single" w:sz="4" w:space="0" w:color="888888"/>
            </w:tcBorders>
          </w:tcPr>
          <w:p w14:paraId="2C3F990E"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32</w:t>
            </w:r>
          </w:p>
        </w:tc>
        <w:tc>
          <w:tcPr>
            <w:tcW w:w="1247" w:type="pct"/>
            <w:tcBorders>
              <w:top w:val="single" w:sz="4" w:space="0" w:color="888888"/>
              <w:left w:val="single" w:sz="4" w:space="0" w:color="888888"/>
              <w:bottom w:val="single" w:sz="4" w:space="0" w:color="888888"/>
              <w:right w:val="single" w:sz="4" w:space="0" w:color="888888"/>
            </w:tcBorders>
          </w:tcPr>
          <w:p w14:paraId="1EDF8887"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Household size / composition</w:t>
            </w:r>
          </w:p>
        </w:tc>
        <w:tc>
          <w:tcPr>
            <w:tcW w:w="692" w:type="pct"/>
            <w:tcBorders>
              <w:top w:val="single" w:sz="4" w:space="0" w:color="888888"/>
              <w:left w:val="single" w:sz="4" w:space="0" w:color="888888"/>
              <w:bottom w:val="single" w:sz="4" w:space="0" w:color="888888"/>
              <w:right w:val="single" w:sz="4" w:space="0" w:color="888888"/>
            </w:tcBorders>
          </w:tcPr>
          <w:p w14:paraId="00855FBD" w14:textId="5E6B1DF8" w:rsidR="007025C4" w:rsidRPr="00756461" w:rsidRDefault="007025C4" w:rsidP="007025C4">
            <w:pPr>
              <w:spacing w:after="0" w:line="240" w:lineRule="auto"/>
              <w:jc w:val="center"/>
              <w:rPr>
                <w:rFonts w:ascii="Arial" w:hAnsi="Arial" w:cs="Arial"/>
                <w:sz w:val="16"/>
                <w:szCs w:val="16"/>
              </w:rPr>
            </w:pPr>
            <w:r>
              <w:rPr>
                <w:rFonts w:ascii="Arial" w:hAnsi="Arial" w:cs="Arial"/>
                <w:b/>
                <w:sz w:val="16"/>
                <w:szCs w:val="16"/>
              </w:rPr>
              <w:t>2</w:t>
            </w:r>
          </w:p>
        </w:tc>
        <w:tc>
          <w:tcPr>
            <w:tcW w:w="483" w:type="pct"/>
            <w:tcBorders>
              <w:top w:val="single" w:sz="4" w:space="0" w:color="888888"/>
              <w:left w:val="single" w:sz="4" w:space="0" w:color="888888"/>
              <w:bottom w:val="single" w:sz="4" w:space="0" w:color="888888"/>
              <w:right w:val="single" w:sz="4" w:space="0" w:color="888888"/>
            </w:tcBorders>
          </w:tcPr>
          <w:p w14:paraId="17B68E15" w14:textId="46838E21"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2</w:t>
            </w:r>
          </w:p>
        </w:tc>
        <w:tc>
          <w:tcPr>
            <w:tcW w:w="642" w:type="pct"/>
            <w:tcBorders>
              <w:top w:val="single" w:sz="4" w:space="0" w:color="888888"/>
              <w:left w:val="single" w:sz="4" w:space="0" w:color="888888"/>
              <w:bottom w:val="single" w:sz="4" w:space="0" w:color="888888"/>
              <w:right w:val="single" w:sz="4" w:space="0" w:color="888888"/>
            </w:tcBorders>
          </w:tcPr>
          <w:p w14:paraId="51758CDA" w14:textId="02D1E01B"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w:t>
            </w:r>
          </w:p>
        </w:tc>
        <w:tc>
          <w:tcPr>
            <w:tcW w:w="599" w:type="pct"/>
            <w:tcBorders>
              <w:top w:val="single" w:sz="4" w:space="0" w:color="888888"/>
              <w:left w:val="single" w:sz="4" w:space="0" w:color="888888"/>
              <w:bottom w:val="single" w:sz="4" w:space="0" w:color="888888"/>
              <w:right w:val="single" w:sz="4" w:space="0" w:color="888888"/>
            </w:tcBorders>
          </w:tcPr>
          <w:p w14:paraId="25A968A4" w14:textId="376AB147"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w:t>
            </w:r>
          </w:p>
        </w:tc>
        <w:tc>
          <w:tcPr>
            <w:tcW w:w="604" w:type="pct"/>
            <w:tcBorders>
              <w:top w:val="single" w:sz="4" w:space="0" w:color="888888"/>
              <w:left w:val="single" w:sz="4" w:space="0" w:color="888888"/>
              <w:bottom w:val="single" w:sz="4" w:space="0" w:color="888888"/>
              <w:right w:val="single" w:sz="4" w:space="0" w:color="888888"/>
            </w:tcBorders>
          </w:tcPr>
          <w:p w14:paraId="6F202ADA" w14:textId="45EF978D"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2</w:t>
            </w:r>
          </w:p>
        </w:tc>
        <w:tc>
          <w:tcPr>
            <w:tcW w:w="501" w:type="pct"/>
            <w:tcBorders>
              <w:top w:val="single" w:sz="4" w:space="0" w:color="888888"/>
              <w:left w:val="single" w:sz="4" w:space="0" w:color="888888"/>
              <w:bottom w:val="single" w:sz="4" w:space="0" w:color="888888"/>
              <w:right w:val="single" w:sz="4" w:space="0" w:color="888888"/>
            </w:tcBorders>
          </w:tcPr>
          <w:p w14:paraId="4018CDC7" w14:textId="737BF56D"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w:t>
            </w:r>
          </w:p>
        </w:tc>
      </w:tr>
      <w:tr w:rsidR="007025C4" w:rsidRPr="00756461" w14:paraId="4121C98B" w14:textId="77777777" w:rsidTr="00756461">
        <w:tc>
          <w:tcPr>
            <w:tcW w:w="232" w:type="pct"/>
            <w:tcBorders>
              <w:top w:val="single" w:sz="4" w:space="0" w:color="888888"/>
              <w:left w:val="single" w:sz="4" w:space="0" w:color="888888"/>
              <w:bottom w:val="single" w:sz="4" w:space="0" w:color="888888"/>
              <w:right w:val="single" w:sz="4" w:space="0" w:color="888888"/>
            </w:tcBorders>
          </w:tcPr>
          <w:p w14:paraId="65B591F8"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33</w:t>
            </w:r>
          </w:p>
        </w:tc>
        <w:tc>
          <w:tcPr>
            <w:tcW w:w="1247" w:type="pct"/>
            <w:tcBorders>
              <w:top w:val="single" w:sz="4" w:space="0" w:color="888888"/>
              <w:left w:val="single" w:sz="4" w:space="0" w:color="888888"/>
              <w:bottom w:val="single" w:sz="4" w:space="0" w:color="888888"/>
              <w:right w:val="single" w:sz="4" w:space="0" w:color="888888"/>
            </w:tcBorders>
          </w:tcPr>
          <w:p w14:paraId="01ADC2EB"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Foetal abdominal circumference</w:t>
            </w:r>
          </w:p>
        </w:tc>
        <w:tc>
          <w:tcPr>
            <w:tcW w:w="692" w:type="pct"/>
            <w:tcBorders>
              <w:top w:val="single" w:sz="4" w:space="0" w:color="888888"/>
              <w:left w:val="single" w:sz="4" w:space="0" w:color="888888"/>
              <w:bottom w:val="single" w:sz="4" w:space="0" w:color="888888"/>
              <w:right w:val="single" w:sz="4" w:space="0" w:color="888888"/>
            </w:tcBorders>
          </w:tcPr>
          <w:p w14:paraId="021B7376" w14:textId="6B6A88C4" w:rsidR="007025C4" w:rsidRPr="00756461" w:rsidRDefault="007025C4" w:rsidP="007025C4">
            <w:pPr>
              <w:spacing w:after="0" w:line="240" w:lineRule="auto"/>
              <w:jc w:val="center"/>
              <w:rPr>
                <w:rFonts w:ascii="Arial" w:hAnsi="Arial" w:cs="Arial"/>
                <w:sz w:val="16"/>
                <w:szCs w:val="16"/>
              </w:rPr>
            </w:pPr>
            <w:r>
              <w:rPr>
                <w:rFonts w:ascii="Arial" w:hAnsi="Arial" w:cs="Arial"/>
                <w:b/>
                <w:sz w:val="16"/>
                <w:szCs w:val="16"/>
              </w:rPr>
              <w:t>3</w:t>
            </w:r>
          </w:p>
        </w:tc>
        <w:tc>
          <w:tcPr>
            <w:tcW w:w="483" w:type="pct"/>
            <w:tcBorders>
              <w:top w:val="single" w:sz="4" w:space="0" w:color="888888"/>
              <w:left w:val="single" w:sz="4" w:space="0" w:color="888888"/>
              <w:bottom w:val="single" w:sz="4" w:space="0" w:color="888888"/>
              <w:right w:val="single" w:sz="4" w:space="0" w:color="888888"/>
            </w:tcBorders>
          </w:tcPr>
          <w:p w14:paraId="72293149" w14:textId="190C0795"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w:t>
            </w:r>
          </w:p>
        </w:tc>
        <w:tc>
          <w:tcPr>
            <w:tcW w:w="642" w:type="pct"/>
            <w:tcBorders>
              <w:top w:val="single" w:sz="4" w:space="0" w:color="888888"/>
              <w:left w:val="single" w:sz="4" w:space="0" w:color="888888"/>
              <w:bottom w:val="single" w:sz="4" w:space="0" w:color="888888"/>
              <w:right w:val="single" w:sz="4" w:space="0" w:color="888888"/>
            </w:tcBorders>
          </w:tcPr>
          <w:p w14:paraId="3154AFEE" w14:textId="710DC8D4"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3</w:t>
            </w:r>
          </w:p>
        </w:tc>
        <w:tc>
          <w:tcPr>
            <w:tcW w:w="599" w:type="pct"/>
            <w:tcBorders>
              <w:top w:val="single" w:sz="4" w:space="0" w:color="888888"/>
              <w:left w:val="single" w:sz="4" w:space="0" w:color="888888"/>
              <w:bottom w:val="single" w:sz="4" w:space="0" w:color="888888"/>
              <w:right w:val="single" w:sz="4" w:space="0" w:color="888888"/>
            </w:tcBorders>
          </w:tcPr>
          <w:p w14:paraId="18EE1DBF" w14:textId="38DE5026"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2</w:t>
            </w:r>
          </w:p>
        </w:tc>
        <w:tc>
          <w:tcPr>
            <w:tcW w:w="604" w:type="pct"/>
            <w:tcBorders>
              <w:top w:val="single" w:sz="4" w:space="0" w:color="888888"/>
              <w:left w:val="single" w:sz="4" w:space="0" w:color="888888"/>
              <w:bottom w:val="single" w:sz="4" w:space="0" w:color="888888"/>
              <w:right w:val="single" w:sz="4" w:space="0" w:color="888888"/>
            </w:tcBorders>
          </w:tcPr>
          <w:p w14:paraId="01F7EB87" w14:textId="1D0DA0B6"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w:t>
            </w:r>
          </w:p>
        </w:tc>
        <w:tc>
          <w:tcPr>
            <w:tcW w:w="501" w:type="pct"/>
            <w:tcBorders>
              <w:top w:val="single" w:sz="4" w:space="0" w:color="888888"/>
              <w:left w:val="single" w:sz="4" w:space="0" w:color="888888"/>
              <w:bottom w:val="single" w:sz="4" w:space="0" w:color="888888"/>
              <w:right w:val="single" w:sz="4" w:space="0" w:color="888888"/>
            </w:tcBorders>
          </w:tcPr>
          <w:p w14:paraId="1F1343EE" w14:textId="26DC091B"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1</w:t>
            </w:r>
          </w:p>
        </w:tc>
      </w:tr>
      <w:tr w:rsidR="007025C4" w:rsidRPr="00756461" w14:paraId="25D66889" w14:textId="77777777" w:rsidTr="00756461">
        <w:tc>
          <w:tcPr>
            <w:tcW w:w="232" w:type="pct"/>
            <w:tcBorders>
              <w:top w:val="single" w:sz="4" w:space="0" w:color="888888"/>
              <w:left w:val="single" w:sz="4" w:space="0" w:color="888888"/>
              <w:bottom w:val="single" w:sz="4" w:space="0" w:color="auto"/>
              <w:right w:val="single" w:sz="4" w:space="0" w:color="888888"/>
            </w:tcBorders>
          </w:tcPr>
          <w:p w14:paraId="483DC04C"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34</w:t>
            </w:r>
          </w:p>
        </w:tc>
        <w:tc>
          <w:tcPr>
            <w:tcW w:w="1247" w:type="pct"/>
            <w:tcBorders>
              <w:top w:val="single" w:sz="4" w:space="0" w:color="888888"/>
              <w:left w:val="single" w:sz="4" w:space="0" w:color="888888"/>
              <w:bottom w:val="single" w:sz="4" w:space="0" w:color="auto"/>
              <w:right w:val="single" w:sz="4" w:space="0" w:color="888888"/>
            </w:tcBorders>
          </w:tcPr>
          <w:p w14:paraId="0407058B" w14:textId="77777777" w:rsidR="007025C4" w:rsidRPr="00756461" w:rsidRDefault="007025C4" w:rsidP="007025C4">
            <w:pPr>
              <w:spacing w:after="0" w:line="240" w:lineRule="auto"/>
              <w:rPr>
                <w:rFonts w:ascii="Arial" w:hAnsi="Arial" w:cs="Arial"/>
                <w:sz w:val="16"/>
                <w:szCs w:val="16"/>
              </w:rPr>
            </w:pPr>
            <w:r>
              <w:rPr>
                <w:rFonts w:ascii="Arial" w:hAnsi="Arial" w:cs="Arial"/>
                <w:sz w:val="16"/>
                <w:szCs w:val="16"/>
              </w:rPr>
              <w:t>Maternal height</w:t>
            </w:r>
          </w:p>
        </w:tc>
        <w:tc>
          <w:tcPr>
            <w:tcW w:w="692" w:type="pct"/>
            <w:tcBorders>
              <w:top w:val="single" w:sz="4" w:space="0" w:color="888888"/>
              <w:left w:val="single" w:sz="4" w:space="0" w:color="888888"/>
              <w:bottom w:val="single" w:sz="4" w:space="0" w:color="auto"/>
              <w:right w:val="single" w:sz="4" w:space="0" w:color="888888"/>
            </w:tcBorders>
          </w:tcPr>
          <w:p w14:paraId="1C6C687C" w14:textId="43B58145" w:rsidR="007025C4" w:rsidRPr="00756461" w:rsidRDefault="007025C4" w:rsidP="007025C4">
            <w:pPr>
              <w:spacing w:after="0" w:line="240" w:lineRule="auto"/>
              <w:jc w:val="center"/>
              <w:rPr>
                <w:rFonts w:ascii="Arial" w:hAnsi="Arial" w:cs="Arial"/>
                <w:sz w:val="16"/>
                <w:szCs w:val="16"/>
              </w:rPr>
            </w:pPr>
            <w:r>
              <w:rPr>
                <w:rFonts w:ascii="Arial" w:hAnsi="Arial" w:cs="Arial"/>
                <w:b/>
                <w:sz w:val="16"/>
                <w:szCs w:val="16"/>
              </w:rPr>
              <w:t>2</w:t>
            </w:r>
          </w:p>
        </w:tc>
        <w:tc>
          <w:tcPr>
            <w:tcW w:w="483" w:type="pct"/>
            <w:tcBorders>
              <w:top w:val="single" w:sz="4" w:space="0" w:color="888888"/>
              <w:left w:val="single" w:sz="4" w:space="0" w:color="888888"/>
              <w:bottom w:val="single" w:sz="4" w:space="0" w:color="auto"/>
              <w:right w:val="single" w:sz="4" w:space="0" w:color="888888"/>
            </w:tcBorders>
          </w:tcPr>
          <w:p w14:paraId="05F11F5D" w14:textId="1915F244"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w:t>
            </w:r>
          </w:p>
        </w:tc>
        <w:tc>
          <w:tcPr>
            <w:tcW w:w="642" w:type="pct"/>
            <w:tcBorders>
              <w:top w:val="single" w:sz="4" w:space="0" w:color="888888"/>
              <w:left w:val="single" w:sz="4" w:space="0" w:color="888888"/>
              <w:bottom w:val="single" w:sz="4" w:space="0" w:color="auto"/>
              <w:right w:val="single" w:sz="4" w:space="0" w:color="888888"/>
            </w:tcBorders>
          </w:tcPr>
          <w:p w14:paraId="0E4CDCC0" w14:textId="252D0823"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2</w:t>
            </w:r>
          </w:p>
        </w:tc>
        <w:tc>
          <w:tcPr>
            <w:tcW w:w="599" w:type="pct"/>
            <w:tcBorders>
              <w:top w:val="single" w:sz="4" w:space="0" w:color="888888"/>
              <w:left w:val="single" w:sz="4" w:space="0" w:color="888888"/>
              <w:bottom w:val="single" w:sz="4" w:space="0" w:color="auto"/>
              <w:right w:val="single" w:sz="4" w:space="0" w:color="888888"/>
            </w:tcBorders>
          </w:tcPr>
          <w:p w14:paraId="35BD5A70" w14:textId="4B9DF8E9"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2</w:t>
            </w:r>
          </w:p>
        </w:tc>
        <w:tc>
          <w:tcPr>
            <w:tcW w:w="604" w:type="pct"/>
            <w:tcBorders>
              <w:top w:val="single" w:sz="4" w:space="0" w:color="888888"/>
              <w:left w:val="single" w:sz="4" w:space="0" w:color="888888"/>
              <w:bottom w:val="single" w:sz="4" w:space="0" w:color="auto"/>
              <w:right w:val="single" w:sz="4" w:space="0" w:color="888888"/>
            </w:tcBorders>
          </w:tcPr>
          <w:p w14:paraId="3C43465E" w14:textId="21749F57"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w:t>
            </w:r>
          </w:p>
        </w:tc>
        <w:tc>
          <w:tcPr>
            <w:tcW w:w="501" w:type="pct"/>
            <w:tcBorders>
              <w:top w:val="single" w:sz="4" w:space="0" w:color="888888"/>
              <w:left w:val="single" w:sz="4" w:space="0" w:color="888888"/>
              <w:bottom w:val="single" w:sz="4" w:space="0" w:color="auto"/>
              <w:right w:val="single" w:sz="4" w:space="0" w:color="888888"/>
            </w:tcBorders>
          </w:tcPr>
          <w:p w14:paraId="7BEF4927" w14:textId="4496A0DD" w:rsidR="007025C4" w:rsidRPr="00756461" w:rsidRDefault="007025C4" w:rsidP="007025C4">
            <w:pPr>
              <w:spacing w:after="0" w:line="240" w:lineRule="auto"/>
              <w:jc w:val="center"/>
              <w:rPr>
                <w:rFonts w:ascii="Arial" w:hAnsi="Arial" w:cs="Arial"/>
                <w:sz w:val="16"/>
                <w:szCs w:val="16"/>
              </w:rPr>
            </w:pPr>
            <w:r>
              <w:rPr>
                <w:rFonts w:ascii="Arial" w:hAnsi="Arial" w:cs="Arial"/>
                <w:sz w:val="16"/>
                <w:szCs w:val="16"/>
              </w:rPr>
              <w:t>–</w:t>
            </w:r>
          </w:p>
        </w:tc>
      </w:tr>
      <w:tr w:rsidR="00164EC5" w:rsidRPr="00756461" w14:paraId="01EFA12D" w14:textId="77777777" w:rsidTr="0074736B">
        <w:tc>
          <w:tcPr>
            <w:tcW w:w="5000" w:type="pct"/>
            <w:gridSpan w:val="8"/>
            <w:tcBorders>
              <w:top w:val="single" w:sz="4" w:space="0" w:color="auto"/>
            </w:tcBorders>
          </w:tcPr>
          <w:p w14:paraId="2D7523EA" w14:textId="24C42149" w:rsidR="00164EC5" w:rsidRPr="00756461" w:rsidRDefault="00164EC5" w:rsidP="0074736B">
            <w:pPr>
              <w:spacing w:after="0" w:line="240" w:lineRule="auto"/>
              <w:rPr>
                <w:rFonts w:ascii="Arial" w:hAnsi="Arial" w:cs="Arial"/>
                <w:sz w:val="16"/>
                <w:szCs w:val="16"/>
              </w:rPr>
            </w:pPr>
            <w:r>
              <w:rPr>
                <w:rFonts w:ascii="Arial" w:hAnsi="Arial" w:cs="Arial"/>
                <w:i/>
                <w:sz w:val="16"/>
                <w:szCs w:val="16"/>
              </w:rPr>
              <w:t>Number of studies reporting each predictor, with each study counted once per predictor. Values are study counts only; no percentages are shown. Counts were derived using the Pred_* regex vocabulary applied to Predictors_text.</w:t>
            </w:r>
          </w:p>
        </w:tc>
      </w:tr>
    </w:tbl>
    <w:p w14:paraId="6106F4AB" w14:textId="77777777" w:rsidR="00164EC5" w:rsidRPr="00756461" w:rsidRDefault="00164EC5" w:rsidP="00164EC5">
      <w:pPr>
        <w:rPr>
          <w:rFonts w:ascii="Arial" w:hAnsi="Arial" w:cs="Arial"/>
          <w:i/>
          <w:sz w:val="16"/>
          <w:szCs w:val="16"/>
        </w:rPr>
      </w:pPr>
    </w:p>
    <w:p w14:paraId="55BADCD0" w14:textId="33B6DB05" w:rsidR="00164EC5" w:rsidRPr="00756461" w:rsidRDefault="00164EC5" w:rsidP="00164EC5">
      <w:pPr>
        <w:spacing w:after="0" w:line="240" w:lineRule="auto"/>
        <w:rPr>
          <w:rFonts w:ascii="Arial" w:hAnsi="Arial" w:cs="Arial"/>
          <w:b/>
        </w:rPr>
      </w:pPr>
      <w:r>
        <w:rPr>
          <w:rFonts w:ascii="Arial" w:hAnsi="Arial" w:cs="Arial"/>
          <w:b/>
        </w:rPr>
        <w:t>Table S5: AUC distribution by stratum, model family group, and stratum × outcome (n=77 studies reporting a discrimination metric)</w:t>
      </w:r>
    </w:p>
    <w:tbl>
      <w:tblPr>
        <w:tblW w:w="5000" w:type="pct"/>
        <w:tblLook w:val="04A0" w:firstRow="1" w:lastRow="0" w:firstColumn="1" w:lastColumn="0" w:noHBand="0" w:noVBand="1"/>
      </w:tblPr>
      <w:tblGrid>
        <w:gridCol w:w="4324"/>
        <w:gridCol w:w="752"/>
        <w:gridCol w:w="1389"/>
        <w:gridCol w:w="1841"/>
        <w:gridCol w:w="1890"/>
      </w:tblGrid>
      <w:tr w:rsidR="00164EC5" w:rsidRPr="00756461" w14:paraId="6CD3468F" w14:textId="77777777" w:rsidTr="0074736B">
        <w:trPr>
          <w:trHeight w:val="20"/>
        </w:trPr>
        <w:tc>
          <w:tcPr>
            <w:tcW w:w="2120" w:type="pct"/>
            <w:tcBorders>
              <w:top w:val="single" w:sz="4" w:space="0" w:color="auto"/>
              <w:left w:val="single" w:sz="4" w:space="0" w:color="auto"/>
              <w:bottom w:val="single" w:sz="4" w:space="0" w:color="auto"/>
              <w:right w:val="single" w:sz="4" w:space="0" w:color="auto"/>
            </w:tcBorders>
            <w:shd w:val="clear" w:color="auto" w:fill="B7D4EF" w:themeFill="text2" w:themeFillTint="33"/>
            <w:noWrap/>
            <w:vAlign w:val="center"/>
            <w:hideMark/>
          </w:tcPr>
          <w:p w14:paraId="7CB5F61E" w14:textId="77777777" w:rsidR="00164EC5" w:rsidRPr="00756461" w:rsidRDefault="00164EC5" w:rsidP="0074736B">
            <w:pPr>
              <w:spacing w:after="0" w:line="240" w:lineRule="auto"/>
              <w:rPr>
                <w:rFonts w:ascii="Arial" w:eastAsia="Times New Roman" w:hAnsi="Arial" w:cs="Arial"/>
                <w:b/>
                <w:bCs/>
                <w:sz w:val="16"/>
                <w:szCs w:val="16"/>
                <w:lang w:eastAsia="en-GB"/>
              </w:rPr>
            </w:pPr>
            <w:r>
              <w:rPr>
                <w:rFonts w:ascii="Arial" w:eastAsia="Times New Roman" w:hAnsi="Arial" w:cs="Arial"/>
                <w:b/>
                <w:bCs/>
                <w:sz w:val="16"/>
                <w:szCs w:val="16"/>
                <w:lang w:eastAsia="en-GB"/>
              </w:rPr>
              <w:t>Group</w:t>
            </w:r>
          </w:p>
        </w:tc>
        <w:tc>
          <w:tcPr>
            <w:tcW w:w="369" w:type="pct"/>
            <w:tcBorders>
              <w:top w:val="single" w:sz="4" w:space="0" w:color="auto"/>
              <w:left w:val="nil"/>
              <w:bottom w:val="single" w:sz="4" w:space="0" w:color="auto"/>
              <w:right w:val="single" w:sz="4" w:space="0" w:color="auto"/>
            </w:tcBorders>
            <w:shd w:val="clear" w:color="auto" w:fill="B7D4EF" w:themeFill="text2" w:themeFillTint="33"/>
            <w:noWrap/>
            <w:vAlign w:val="center"/>
            <w:hideMark/>
          </w:tcPr>
          <w:p w14:paraId="6BAFE5F1" w14:textId="77777777" w:rsidR="00164EC5" w:rsidRPr="00756461" w:rsidRDefault="00164EC5" w:rsidP="0074736B">
            <w:pPr>
              <w:spacing w:after="0" w:line="240" w:lineRule="auto"/>
              <w:rPr>
                <w:rFonts w:ascii="Arial" w:eastAsia="Times New Roman" w:hAnsi="Arial" w:cs="Arial"/>
                <w:b/>
                <w:bCs/>
                <w:sz w:val="16"/>
                <w:szCs w:val="16"/>
                <w:lang w:eastAsia="en-GB"/>
              </w:rPr>
            </w:pPr>
            <w:r>
              <w:rPr>
                <w:rFonts w:ascii="Arial" w:eastAsia="Times New Roman" w:hAnsi="Arial" w:cs="Arial"/>
                <w:b/>
                <w:bCs/>
                <w:sz w:val="16"/>
                <w:szCs w:val="16"/>
                <w:lang w:eastAsia="en-GB"/>
              </w:rPr>
              <w:t>n</w:t>
            </w:r>
          </w:p>
        </w:tc>
        <w:tc>
          <w:tcPr>
            <w:tcW w:w="681" w:type="pct"/>
            <w:tcBorders>
              <w:top w:val="single" w:sz="4" w:space="0" w:color="auto"/>
              <w:left w:val="nil"/>
              <w:bottom w:val="single" w:sz="4" w:space="0" w:color="auto"/>
              <w:right w:val="single" w:sz="4" w:space="0" w:color="auto"/>
            </w:tcBorders>
            <w:shd w:val="clear" w:color="auto" w:fill="B7D4EF" w:themeFill="text2" w:themeFillTint="33"/>
            <w:noWrap/>
            <w:vAlign w:val="center"/>
            <w:hideMark/>
          </w:tcPr>
          <w:p w14:paraId="561530EE" w14:textId="77777777" w:rsidR="00164EC5" w:rsidRPr="00756461" w:rsidRDefault="00164EC5" w:rsidP="0074736B">
            <w:pPr>
              <w:spacing w:after="0" w:line="240" w:lineRule="auto"/>
              <w:rPr>
                <w:rFonts w:ascii="Arial" w:eastAsia="Times New Roman" w:hAnsi="Arial" w:cs="Arial"/>
                <w:b/>
                <w:bCs/>
                <w:sz w:val="16"/>
                <w:szCs w:val="16"/>
                <w:lang w:eastAsia="en-GB"/>
              </w:rPr>
            </w:pPr>
            <w:r>
              <w:rPr>
                <w:rFonts w:ascii="Arial" w:eastAsia="Times New Roman" w:hAnsi="Arial" w:cs="Arial"/>
                <w:b/>
                <w:bCs/>
                <w:sz w:val="16"/>
                <w:szCs w:val="16"/>
                <w:lang w:eastAsia="en-GB"/>
              </w:rPr>
              <w:t>Median</w:t>
            </w:r>
          </w:p>
        </w:tc>
        <w:tc>
          <w:tcPr>
            <w:tcW w:w="903" w:type="pct"/>
            <w:tcBorders>
              <w:top w:val="single" w:sz="4" w:space="0" w:color="auto"/>
              <w:left w:val="nil"/>
              <w:bottom w:val="single" w:sz="4" w:space="0" w:color="auto"/>
              <w:right w:val="single" w:sz="4" w:space="0" w:color="auto"/>
            </w:tcBorders>
            <w:shd w:val="clear" w:color="auto" w:fill="B7D4EF" w:themeFill="text2" w:themeFillTint="33"/>
            <w:noWrap/>
            <w:vAlign w:val="center"/>
            <w:hideMark/>
          </w:tcPr>
          <w:p w14:paraId="06030756" w14:textId="77777777" w:rsidR="00164EC5" w:rsidRPr="00756461" w:rsidRDefault="00164EC5" w:rsidP="0074736B">
            <w:pPr>
              <w:spacing w:after="0" w:line="240" w:lineRule="auto"/>
              <w:rPr>
                <w:rFonts w:ascii="Arial" w:eastAsia="Times New Roman" w:hAnsi="Arial" w:cs="Arial"/>
                <w:b/>
                <w:bCs/>
                <w:sz w:val="16"/>
                <w:szCs w:val="16"/>
                <w:lang w:eastAsia="en-GB"/>
              </w:rPr>
            </w:pPr>
            <w:r>
              <w:rPr>
                <w:rFonts w:ascii="Arial" w:eastAsia="Times New Roman" w:hAnsi="Arial" w:cs="Arial"/>
                <w:b/>
                <w:bCs/>
                <w:sz w:val="16"/>
                <w:szCs w:val="16"/>
                <w:lang w:eastAsia="en-GB"/>
              </w:rPr>
              <w:t>IQR</w:t>
            </w:r>
          </w:p>
        </w:tc>
        <w:tc>
          <w:tcPr>
            <w:tcW w:w="927" w:type="pct"/>
            <w:tcBorders>
              <w:top w:val="single" w:sz="4" w:space="0" w:color="auto"/>
              <w:left w:val="nil"/>
              <w:bottom w:val="single" w:sz="4" w:space="0" w:color="auto"/>
              <w:right w:val="single" w:sz="4" w:space="0" w:color="auto"/>
            </w:tcBorders>
            <w:shd w:val="clear" w:color="auto" w:fill="B7D4EF" w:themeFill="text2" w:themeFillTint="33"/>
            <w:noWrap/>
            <w:vAlign w:val="center"/>
            <w:hideMark/>
          </w:tcPr>
          <w:p w14:paraId="3D3D1ECC" w14:textId="77777777" w:rsidR="00164EC5" w:rsidRPr="00756461" w:rsidRDefault="00164EC5" w:rsidP="0074736B">
            <w:pPr>
              <w:spacing w:after="0" w:line="240" w:lineRule="auto"/>
              <w:rPr>
                <w:rFonts w:ascii="Arial" w:eastAsia="Times New Roman" w:hAnsi="Arial" w:cs="Arial"/>
                <w:b/>
                <w:bCs/>
                <w:sz w:val="16"/>
                <w:szCs w:val="16"/>
                <w:lang w:eastAsia="en-GB"/>
              </w:rPr>
            </w:pPr>
            <w:r>
              <w:rPr>
                <w:rFonts w:ascii="Arial" w:eastAsia="Times New Roman" w:hAnsi="Arial" w:cs="Arial"/>
                <w:b/>
                <w:bCs/>
                <w:sz w:val="16"/>
                <w:szCs w:val="16"/>
                <w:lang w:eastAsia="en-GB"/>
              </w:rPr>
              <w:t>Range</w:t>
            </w:r>
          </w:p>
        </w:tc>
      </w:tr>
      <w:tr w:rsidR="00164EC5" w:rsidRPr="00756461" w14:paraId="64097B3E" w14:textId="77777777" w:rsidTr="0074736B">
        <w:trPr>
          <w:trHeight w:val="20"/>
        </w:trPr>
        <w:tc>
          <w:tcPr>
            <w:tcW w:w="2120" w:type="pct"/>
            <w:tcBorders>
              <w:top w:val="nil"/>
              <w:left w:val="single" w:sz="4" w:space="0" w:color="auto"/>
              <w:bottom w:val="single" w:sz="4" w:space="0" w:color="auto"/>
              <w:right w:val="single" w:sz="4" w:space="0" w:color="auto"/>
            </w:tcBorders>
            <w:shd w:val="clear" w:color="000000" w:fill="F5F5F5"/>
            <w:vAlign w:val="center"/>
            <w:hideMark/>
          </w:tcPr>
          <w:p w14:paraId="0046BC9C" w14:textId="77777777" w:rsidR="00164EC5" w:rsidRPr="00756461" w:rsidRDefault="00164EC5" w:rsidP="0074736B">
            <w:pPr>
              <w:spacing w:after="0" w:line="240" w:lineRule="auto"/>
              <w:rPr>
                <w:rFonts w:ascii="Arial" w:eastAsia="Times New Roman" w:hAnsi="Arial" w:cs="Arial"/>
                <w:b/>
                <w:bCs/>
                <w:i/>
                <w:iCs/>
                <w:sz w:val="16"/>
                <w:szCs w:val="16"/>
                <w:lang w:eastAsia="en-GB"/>
              </w:rPr>
            </w:pPr>
            <w:r>
              <w:rPr>
                <w:rFonts w:ascii="Arial" w:eastAsia="Times New Roman" w:hAnsi="Arial" w:cs="Arial"/>
                <w:b/>
                <w:bCs/>
                <w:i/>
                <w:iCs/>
                <w:sz w:val="16"/>
                <w:szCs w:val="16"/>
                <w:lang w:eastAsia="en-GB"/>
              </w:rPr>
              <w:t>Overall</w:t>
            </w:r>
          </w:p>
        </w:tc>
        <w:tc>
          <w:tcPr>
            <w:tcW w:w="369" w:type="pct"/>
            <w:tcBorders>
              <w:top w:val="nil"/>
              <w:left w:val="nil"/>
              <w:bottom w:val="single" w:sz="4" w:space="0" w:color="auto"/>
              <w:right w:val="single" w:sz="4" w:space="0" w:color="auto"/>
            </w:tcBorders>
            <w:shd w:val="clear" w:color="000000" w:fill="F5F5F5"/>
            <w:vAlign w:val="center"/>
            <w:hideMark/>
          </w:tcPr>
          <w:p w14:paraId="34BE6C70" w14:textId="77777777" w:rsidR="00164EC5" w:rsidRPr="00756461" w:rsidRDefault="00164EC5" w:rsidP="0074736B">
            <w:pPr>
              <w:spacing w:after="0" w:line="240" w:lineRule="auto"/>
              <w:rPr>
                <w:rFonts w:ascii="Arial" w:eastAsia="Times New Roman" w:hAnsi="Arial" w:cs="Arial"/>
                <w:b/>
                <w:bCs/>
                <w:i/>
                <w:iCs/>
                <w:sz w:val="16"/>
                <w:szCs w:val="16"/>
                <w:lang w:eastAsia="en-GB"/>
              </w:rPr>
            </w:pPr>
            <w:r>
              <w:rPr>
                <w:rFonts w:ascii="Arial" w:eastAsia="Times New Roman" w:hAnsi="Arial" w:cs="Arial"/>
                <w:b/>
                <w:bCs/>
                <w:i/>
                <w:iCs/>
                <w:sz w:val="16"/>
                <w:szCs w:val="16"/>
                <w:lang w:eastAsia="en-GB"/>
              </w:rPr>
              <w:t> </w:t>
            </w:r>
          </w:p>
        </w:tc>
        <w:tc>
          <w:tcPr>
            <w:tcW w:w="681" w:type="pct"/>
            <w:tcBorders>
              <w:top w:val="nil"/>
              <w:left w:val="nil"/>
              <w:bottom w:val="single" w:sz="4" w:space="0" w:color="auto"/>
              <w:right w:val="single" w:sz="4" w:space="0" w:color="auto"/>
            </w:tcBorders>
            <w:shd w:val="clear" w:color="000000" w:fill="F5F5F5"/>
            <w:vAlign w:val="center"/>
            <w:hideMark/>
          </w:tcPr>
          <w:p w14:paraId="0852CE46" w14:textId="77777777" w:rsidR="00164EC5" w:rsidRPr="00756461" w:rsidRDefault="00164EC5" w:rsidP="0074736B">
            <w:pPr>
              <w:spacing w:after="0" w:line="240" w:lineRule="auto"/>
              <w:rPr>
                <w:rFonts w:ascii="Arial" w:eastAsia="Times New Roman" w:hAnsi="Arial" w:cs="Arial"/>
                <w:b/>
                <w:bCs/>
                <w:i/>
                <w:iCs/>
                <w:sz w:val="16"/>
                <w:szCs w:val="16"/>
                <w:lang w:eastAsia="en-GB"/>
              </w:rPr>
            </w:pPr>
            <w:r>
              <w:rPr>
                <w:rFonts w:ascii="Arial" w:eastAsia="Times New Roman" w:hAnsi="Arial" w:cs="Arial"/>
                <w:b/>
                <w:bCs/>
                <w:i/>
                <w:iCs/>
                <w:sz w:val="16"/>
                <w:szCs w:val="16"/>
                <w:lang w:eastAsia="en-GB"/>
              </w:rPr>
              <w:t> </w:t>
            </w:r>
          </w:p>
        </w:tc>
        <w:tc>
          <w:tcPr>
            <w:tcW w:w="903" w:type="pct"/>
            <w:tcBorders>
              <w:top w:val="nil"/>
              <w:left w:val="nil"/>
              <w:bottom w:val="single" w:sz="4" w:space="0" w:color="auto"/>
              <w:right w:val="single" w:sz="4" w:space="0" w:color="auto"/>
            </w:tcBorders>
            <w:shd w:val="clear" w:color="000000" w:fill="F5F5F5"/>
            <w:vAlign w:val="center"/>
            <w:hideMark/>
          </w:tcPr>
          <w:p w14:paraId="6BBFFD2A" w14:textId="77777777" w:rsidR="00164EC5" w:rsidRPr="00756461" w:rsidRDefault="00164EC5" w:rsidP="0074736B">
            <w:pPr>
              <w:spacing w:after="0" w:line="240" w:lineRule="auto"/>
              <w:rPr>
                <w:rFonts w:ascii="Arial" w:eastAsia="Times New Roman" w:hAnsi="Arial" w:cs="Arial"/>
                <w:b/>
                <w:bCs/>
                <w:i/>
                <w:iCs/>
                <w:sz w:val="16"/>
                <w:szCs w:val="16"/>
                <w:lang w:eastAsia="en-GB"/>
              </w:rPr>
            </w:pPr>
            <w:r>
              <w:rPr>
                <w:rFonts w:ascii="Arial" w:eastAsia="Times New Roman" w:hAnsi="Arial" w:cs="Arial"/>
                <w:b/>
                <w:bCs/>
                <w:i/>
                <w:iCs/>
                <w:sz w:val="16"/>
                <w:szCs w:val="16"/>
                <w:lang w:eastAsia="en-GB"/>
              </w:rPr>
              <w:t> </w:t>
            </w:r>
          </w:p>
        </w:tc>
        <w:tc>
          <w:tcPr>
            <w:tcW w:w="927" w:type="pct"/>
            <w:tcBorders>
              <w:top w:val="nil"/>
              <w:left w:val="nil"/>
              <w:bottom w:val="single" w:sz="4" w:space="0" w:color="auto"/>
              <w:right w:val="single" w:sz="4" w:space="0" w:color="auto"/>
            </w:tcBorders>
            <w:shd w:val="clear" w:color="000000" w:fill="F5F5F5"/>
            <w:vAlign w:val="center"/>
            <w:hideMark/>
          </w:tcPr>
          <w:p w14:paraId="3F6014C4" w14:textId="77777777" w:rsidR="00164EC5" w:rsidRPr="00756461" w:rsidRDefault="00164EC5" w:rsidP="0074736B">
            <w:pPr>
              <w:spacing w:after="0" w:line="240" w:lineRule="auto"/>
              <w:rPr>
                <w:rFonts w:ascii="Arial" w:eastAsia="Times New Roman" w:hAnsi="Arial" w:cs="Arial"/>
                <w:b/>
                <w:bCs/>
                <w:i/>
                <w:iCs/>
                <w:sz w:val="16"/>
                <w:szCs w:val="16"/>
                <w:lang w:eastAsia="en-GB"/>
              </w:rPr>
            </w:pPr>
            <w:r>
              <w:rPr>
                <w:rFonts w:ascii="Arial" w:eastAsia="Times New Roman" w:hAnsi="Arial" w:cs="Arial"/>
                <w:b/>
                <w:bCs/>
                <w:i/>
                <w:iCs/>
                <w:sz w:val="16"/>
                <w:szCs w:val="16"/>
                <w:lang w:eastAsia="en-GB"/>
              </w:rPr>
              <w:t> </w:t>
            </w:r>
          </w:p>
        </w:tc>
      </w:tr>
      <w:tr w:rsidR="007025C4" w:rsidRPr="00756461" w14:paraId="57210A7B" w14:textId="77777777" w:rsidTr="0074736B">
        <w:trPr>
          <w:trHeight w:val="20"/>
        </w:trPr>
        <w:tc>
          <w:tcPr>
            <w:tcW w:w="2120" w:type="pct"/>
            <w:tcBorders>
              <w:top w:val="nil"/>
              <w:left w:val="single" w:sz="4" w:space="0" w:color="auto"/>
              <w:bottom w:val="single" w:sz="4" w:space="0" w:color="auto"/>
              <w:right w:val="single" w:sz="4" w:space="0" w:color="auto"/>
            </w:tcBorders>
            <w:vAlign w:val="center"/>
            <w:hideMark/>
          </w:tcPr>
          <w:p w14:paraId="5AC9E3C5" w14:textId="77777777" w:rsidR="007025C4" w:rsidRPr="00756461" w:rsidRDefault="007025C4" w:rsidP="007025C4">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All studies with AUC reported</w:t>
            </w:r>
          </w:p>
        </w:tc>
        <w:tc>
          <w:tcPr>
            <w:tcW w:w="369" w:type="pct"/>
            <w:tcBorders>
              <w:top w:val="nil"/>
              <w:left w:val="nil"/>
              <w:bottom w:val="single" w:sz="4" w:space="0" w:color="auto"/>
              <w:right w:val="single" w:sz="4" w:space="0" w:color="auto"/>
            </w:tcBorders>
            <w:vAlign w:val="center"/>
            <w:hideMark/>
          </w:tcPr>
          <w:p w14:paraId="0E33EC23" w14:textId="1B2FA185"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77</w:t>
            </w:r>
          </w:p>
        </w:tc>
        <w:tc>
          <w:tcPr>
            <w:tcW w:w="681" w:type="pct"/>
            <w:tcBorders>
              <w:top w:val="nil"/>
              <w:left w:val="nil"/>
              <w:bottom w:val="single" w:sz="4" w:space="0" w:color="auto"/>
              <w:right w:val="single" w:sz="4" w:space="0" w:color="auto"/>
            </w:tcBorders>
            <w:vAlign w:val="center"/>
            <w:hideMark/>
          </w:tcPr>
          <w:p w14:paraId="78F6BFF2" w14:textId="0D5439B2"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0.860</w:t>
            </w:r>
          </w:p>
        </w:tc>
        <w:tc>
          <w:tcPr>
            <w:tcW w:w="903" w:type="pct"/>
            <w:tcBorders>
              <w:top w:val="nil"/>
              <w:left w:val="nil"/>
              <w:bottom w:val="single" w:sz="4" w:space="0" w:color="auto"/>
              <w:right w:val="single" w:sz="4" w:space="0" w:color="auto"/>
            </w:tcBorders>
            <w:vAlign w:val="center"/>
            <w:hideMark/>
          </w:tcPr>
          <w:p w14:paraId="2D2EA0D3" w14:textId="733614FD"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0.800 to 0.950</w:t>
            </w:r>
          </w:p>
        </w:tc>
        <w:tc>
          <w:tcPr>
            <w:tcW w:w="927" w:type="pct"/>
            <w:tcBorders>
              <w:top w:val="nil"/>
              <w:left w:val="nil"/>
              <w:bottom w:val="single" w:sz="4" w:space="0" w:color="auto"/>
              <w:right w:val="single" w:sz="4" w:space="0" w:color="auto"/>
            </w:tcBorders>
            <w:vAlign w:val="center"/>
            <w:hideMark/>
          </w:tcPr>
          <w:p w14:paraId="70DC8682" w14:textId="196E2BD8"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0.610 to 0.996</w:t>
            </w:r>
          </w:p>
        </w:tc>
      </w:tr>
      <w:tr w:rsidR="007025C4" w:rsidRPr="00756461" w14:paraId="4E31FA02" w14:textId="77777777" w:rsidTr="0074736B">
        <w:trPr>
          <w:trHeight w:val="20"/>
        </w:trPr>
        <w:tc>
          <w:tcPr>
            <w:tcW w:w="2120" w:type="pct"/>
            <w:tcBorders>
              <w:top w:val="nil"/>
              <w:left w:val="single" w:sz="4" w:space="0" w:color="auto"/>
              <w:bottom w:val="single" w:sz="4" w:space="0" w:color="auto"/>
              <w:right w:val="single" w:sz="4" w:space="0" w:color="auto"/>
            </w:tcBorders>
            <w:shd w:val="clear" w:color="000000" w:fill="F5F5F5"/>
            <w:vAlign w:val="center"/>
            <w:hideMark/>
          </w:tcPr>
          <w:p w14:paraId="299C0832" w14:textId="77777777" w:rsidR="007025C4" w:rsidRPr="00756461" w:rsidRDefault="007025C4" w:rsidP="007025C4">
            <w:pPr>
              <w:spacing w:after="0" w:line="240" w:lineRule="auto"/>
              <w:rPr>
                <w:rFonts w:ascii="Arial" w:eastAsia="Times New Roman" w:hAnsi="Arial" w:cs="Arial"/>
                <w:b/>
                <w:bCs/>
                <w:i/>
                <w:iCs/>
                <w:sz w:val="16"/>
                <w:szCs w:val="16"/>
                <w:lang w:eastAsia="en-GB"/>
              </w:rPr>
            </w:pPr>
            <w:r>
              <w:rPr>
                <w:rFonts w:ascii="Arial" w:eastAsia="Times New Roman" w:hAnsi="Arial" w:cs="Arial"/>
                <w:b/>
                <w:bCs/>
                <w:i/>
                <w:iCs/>
                <w:sz w:val="16"/>
                <w:szCs w:val="16"/>
                <w:lang w:eastAsia="en-GB"/>
              </w:rPr>
              <w:t>By stratum</w:t>
            </w:r>
          </w:p>
        </w:tc>
        <w:tc>
          <w:tcPr>
            <w:tcW w:w="369" w:type="pct"/>
            <w:tcBorders>
              <w:top w:val="nil"/>
              <w:left w:val="nil"/>
              <w:bottom w:val="single" w:sz="4" w:space="0" w:color="auto"/>
              <w:right w:val="single" w:sz="4" w:space="0" w:color="auto"/>
            </w:tcBorders>
            <w:shd w:val="clear" w:color="000000" w:fill="F5F5F5"/>
            <w:vAlign w:val="center"/>
            <w:hideMark/>
          </w:tcPr>
          <w:p w14:paraId="61F33523" w14:textId="77777777" w:rsidR="007025C4" w:rsidRPr="00756461" w:rsidRDefault="007025C4" w:rsidP="007025C4">
            <w:pPr>
              <w:spacing w:after="0" w:line="240" w:lineRule="auto"/>
              <w:jc w:val="center"/>
              <w:rPr>
                <w:rFonts w:ascii="Arial" w:eastAsia="Times New Roman" w:hAnsi="Arial" w:cs="Arial"/>
                <w:b/>
                <w:bCs/>
                <w:i/>
                <w:iCs/>
                <w:sz w:val="16"/>
                <w:szCs w:val="16"/>
                <w:lang w:eastAsia="en-GB"/>
              </w:rPr>
            </w:pPr>
          </w:p>
        </w:tc>
        <w:tc>
          <w:tcPr>
            <w:tcW w:w="681" w:type="pct"/>
            <w:tcBorders>
              <w:top w:val="nil"/>
              <w:left w:val="nil"/>
              <w:bottom w:val="single" w:sz="4" w:space="0" w:color="auto"/>
              <w:right w:val="single" w:sz="4" w:space="0" w:color="auto"/>
            </w:tcBorders>
            <w:shd w:val="clear" w:color="000000" w:fill="F5F5F5"/>
            <w:vAlign w:val="center"/>
            <w:hideMark/>
          </w:tcPr>
          <w:p w14:paraId="4A4A6AC9" w14:textId="77777777" w:rsidR="007025C4" w:rsidRPr="00756461" w:rsidRDefault="007025C4" w:rsidP="007025C4">
            <w:pPr>
              <w:spacing w:after="0" w:line="240" w:lineRule="auto"/>
              <w:jc w:val="center"/>
              <w:rPr>
                <w:rFonts w:ascii="Arial" w:eastAsia="Times New Roman" w:hAnsi="Arial" w:cs="Arial"/>
                <w:b/>
                <w:bCs/>
                <w:i/>
                <w:iCs/>
                <w:sz w:val="16"/>
                <w:szCs w:val="16"/>
                <w:lang w:eastAsia="en-GB"/>
              </w:rPr>
            </w:pPr>
          </w:p>
        </w:tc>
        <w:tc>
          <w:tcPr>
            <w:tcW w:w="903" w:type="pct"/>
            <w:tcBorders>
              <w:top w:val="nil"/>
              <w:left w:val="nil"/>
              <w:bottom w:val="single" w:sz="4" w:space="0" w:color="auto"/>
              <w:right w:val="single" w:sz="4" w:space="0" w:color="auto"/>
            </w:tcBorders>
            <w:shd w:val="clear" w:color="000000" w:fill="F5F5F5"/>
            <w:vAlign w:val="center"/>
            <w:hideMark/>
          </w:tcPr>
          <w:p w14:paraId="23EF9084" w14:textId="77777777" w:rsidR="007025C4" w:rsidRPr="00756461" w:rsidRDefault="007025C4" w:rsidP="007025C4">
            <w:pPr>
              <w:spacing w:after="0" w:line="240" w:lineRule="auto"/>
              <w:jc w:val="center"/>
              <w:rPr>
                <w:rFonts w:ascii="Arial" w:eastAsia="Times New Roman" w:hAnsi="Arial" w:cs="Arial"/>
                <w:b/>
                <w:bCs/>
                <w:i/>
                <w:iCs/>
                <w:sz w:val="16"/>
                <w:szCs w:val="16"/>
                <w:lang w:eastAsia="en-GB"/>
              </w:rPr>
            </w:pPr>
          </w:p>
        </w:tc>
        <w:tc>
          <w:tcPr>
            <w:tcW w:w="927" w:type="pct"/>
            <w:tcBorders>
              <w:top w:val="nil"/>
              <w:left w:val="nil"/>
              <w:bottom w:val="single" w:sz="4" w:space="0" w:color="auto"/>
              <w:right w:val="single" w:sz="4" w:space="0" w:color="auto"/>
            </w:tcBorders>
            <w:shd w:val="clear" w:color="000000" w:fill="F5F5F5"/>
            <w:vAlign w:val="center"/>
            <w:hideMark/>
          </w:tcPr>
          <w:p w14:paraId="3887D638" w14:textId="77777777" w:rsidR="007025C4" w:rsidRPr="00756461" w:rsidRDefault="007025C4" w:rsidP="007025C4">
            <w:pPr>
              <w:spacing w:after="0" w:line="240" w:lineRule="auto"/>
              <w:jc w:val="center"/>
              <w:rPr>
                <w:rFonts w:ascii="Arial" w:eastAsia="Times New Roman" w:hAnsi="Arial" w:cs="Arial"/>
                <w:b/>
                <w:bCs/>
                <w:i/>
                <w:iCs/>
                <w:sz w:val="16"/>
                <w:szCs w:val="16"/>
                <w:lang w:eastAsia="en-GB"/>
              </w:rPr>
            </w:pPr>
          </w:p>
        </w:tc>
      </w:tr>
      <w:tr w:rsidR="007025C4" w:rsidRPr="00756461" w14:paraId="72AC145A" w14:textId="77777777" w:rsidTr="0074736B">
        <w:trPr>
          <w:trHeight w:val="20"/>
        </w:trPr>
        <w:tc>
          <w:tcPr>
            <w:tcW w:w="2120" w:type="pct"/>
            <w:tcBorders>
              <w:top w:val="nil"/>
              <w:left w:val="single" w:sz="4" w:space="0" w:color="auto"/>
              <w:bottom w:val="single" w:sz="4" w:space="0" w:color="auto"/>
              <w:right w:val="single" w:sz="4" w:space="0" w:color="auto"/>
            </w:tcBorders>
            <w:vAlign w:val="center"/>
            <w:hideMark/>
          </w:tcPr>
          <w:p w14:paraId="6E510C7E" w14:textId="77777777" w:rsidR="007025C4" w:rsidRPr="00756461" w:rsidRDefault="007025C4" w:rsidP="007025C4">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SSA</w:t>
            </w:r>
          </w:p>
        </w:tc>
        <w:tc>
          <w:tcPr>
            <w:tcW w:w="369" w:type="pct"/>
            <w:tcBorders>
              <w:top w:val="nil"/>
              <w:left w:val="nil"/>
              <w:bottom w:val="single" w:sz="4" w:space="0" w:color="auto"/>
              <w:right w:val="single" w:sz="4" w:space="0" w:color="auto"/>
            </w:tcBorders>
            <w:vAlign w:val="center"/>
            <w:hideMark/>
          </w:tcPr>
          <w:p w14:paraId="365941F3" w14:textId="7CD01801"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21</w:t>
            </w:r>
          </w:p>
        </w:tc>
        <w:tc>
          <w:tcPr>
            <w:tcW w:w="681" w:type="pct"/>
            <w:tcBorders>
              <w:top w:val="nil"/>
              <w:left w:val="nil"/>
              <w:bottom w:val="single" w:sz="4" w:space="0" w:color="auto"/>
              <w:right w:val="single" w:sz="4" w:space="0" w:color="auto"/>
            </w:tcBorders>
            <w:vAlign w:val="center"/>
            <w:hideMark/>
          </w:tcPr>
          <w:p w14:paraId="1943CAA4" w14:textId="5635E65B"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0.851</w:t>
            </w:r>
          </w:p>
        </w:tc>
        <w:tc>
          <w:tcPr>
            <w:tcW w:w="903" w:type="pct"/>
            <w:tcBorders>
              <w:top w:val="nil"/>
              <w:left w:val="nil"/>
              <w:bottom w:val="single" w:sz="4" w:space="0" w:color="auto"/>
              <w:right w:val="single" w:sz="4" w:space="0" w:color="auto"/>
            </w:tcBorders>
            <w:vAlign w:val="center"/>
            <w:hideMark/>
          </w:tcPr>
          <w:p w14:paraId="58C1B45E" w14:textId="6CD324F8"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0.816 to 0.950</w:t>
            </w:r>
          </w:p>
        </w:tc>
        <w:tc>
          <w:tcPr>
            <w:tcW w:w="927" w:type="pct"/>
            <w:tcBorders>
              <w:top w:val="nil"/>
              <w:left w:val="nil"/>
              <w:bottom w:val="single" w:sz="4" w:space="0" w:color="auto"/>
              <w:right w:val="single" w:sz="4" w:space="0" w:color="auto"/>
            </w:tcBorders>
            <w:vAlign w:val="center"/>
            <w:hideMark/>
          </w:tcPr>
          <w:p w14:paraId="1A315C3B" w14:textId="7B3E3E38"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0.750 to 0.996</w:t>
            </w:r>
          </w:p>
        </w:tc>
      </w:tr>
      <w:tr w:rsidR="007025C4" w:rsidRPr="00756461" w14:paraId="03C44913" w14:textId="77777777" w:rsidTr="0074736B">
        <w:trPr>
          <w:trHeight w:val="20"/>
        </w:trPr>
        <w:tc>
          <w:tcPr>
            <w:tcW w:w="2120" w:type="pct"/>
            <w:tcBorders>
              <w:top w:val="nil"/>
              <w:left w:val="single" w:sz="4" w:space="0" w:color="auto"/>
              <w:bottom w:val="single" w:sz="4" w:space="0" w:color="auto"/>
              <w:right w:val="single" w:sz="4" w:space="0" w:color="auto"/>
            </w:tcBorders>
            <w:vAlign w:val="center"/>
            <w:hideMark/>
          </w:tcPr>
          <w:p w14:paraId="4E95C77E" w14:textId="77777777" w:rsidR="007025C4" w:rsidRPr="00756461" w:rsidRDefault="007025C4" w:rsidP="007025C4">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Non-SSA</w:t>
            </w:r>
          </w:p>
        </w:tc>
        <w:tc>
          <w:tcPr>
            <w:tcW w:w="369" w:type="pct"/>
            <w:tcBorders>
              <w:top w:val="nil"/>
              <w:left w:val="nil"/>
              <w:bottom w:val="single" w:sz="4" w:space="0" w:color="auto"/>
              <w:right w:val="single" w:sz="4" w:space="0" w:color="auto"/>
            </w:tcBorders>
            <w:vAlign w:val="center"/>
            <w:hideMark/>
          </w:tcPr>
          <w:p w14:paraId="6312FDEB" w14:textId="1DE5DB90"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56</w:t>
            </w:r>
          </w:p>
        </w:tc>
        <w:tc>
          <w:tcPr>
            <w:tcW w:w="681" w:type="pct"/>
            <w:tcBorders>
              <w:top w:val="nil"/>
              <w:left w:val="nil"/>
              <w:bottom w:val="single" w:sz="4" w:space="0" w:color="auto"/>
              <w:right w:val="single" w:sz="4" w:space="0" w:color="auto"/>
            </w:tcBorders>
            <w:vAlign w:val="center"/>
            <w:hideMark/>
          </w:tcPr>
          <w:p w14:paraId="6AA415B5" w14:textId="1624E879"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0.863</w:t>
            </w:r>
          </w:p>
        </w:tc>
        <w:tc>
          <w:tcPr>
            <w:tcW w:w="903" w:type="pct"/>
            <w:tcBorders>
              <w:top w:val="nil"/>
              <w:left w:val="nil"/>
              <w:bottom w:val="single" w:sz="4" w:space="0" w:color="auto"/>
              <w:right w:val="single" w:sz="4" w:space="0" w:color="auto"/>
            </w:tcBorders>
            <w:vAlign w:val="center"/>
            <w:hideMark/>
          </w:tcPr>
          <w:p w14:paraId="33E1ABD4" w14:textId="20F73689"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0.794 to 0.935</w:t>
            </w:r>
          </w:p>
        </w:tc>
        <w:tc>
          <w:tcPr>
            <w:tcW w:w="927" w:type="pct"/>
            <w:tcBorders>
              <w:top w:val="nil"/>
              <w:left w:val="nil"/>
              <w:bottom w:val="single" w:sz="4" w:space="0" w:color="auto"/>
              <w:right w:val="single" w:sz="4" w:space="0" w:color="auto"/>
            </w:tcBorders>
            <w:vAlign w:val="center"/>
            <w:hideMark/>
          </w:tcPr>
          <w:p w14:paraId="7389AD25" w14:textId="4E726530"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0.610 to 0.992</w:t>
            </w:r>
          </w:p>
        </w:tc>
      </w:tr>
      <w:tr w:rsidR="007025C4" w:rsidRPr="00756461" w14:paraId="3C11F66D" w14:textId="77777777" w:rsidTr="0074736B">
        <w:trPr>
          <w:trHeight w:val="20"/>
        </w:trPr>
        <w:tc>
          <w:tcPr>
            <w:tcW w:w="2120" w:type="pct"/>
            <w:tcBorders>
              <w:top w:val="nil"/>
              <w:left w:val="single" w:sz="4" w:space="0" w:color="auto"/>
              <w:bottom w:val="single" w:sz="4" w:space="0" w:color="auto"/>
              <w:right w:val="single" w:sz="4" w:space="0" w:color="auto"/>
            </w:tcBorders>
            <w:shd w:val="clear" w:color="000000" w:fill="F5F5F5"/>
            <w:vAlign w:val="center"/>
            <w:hideMark/>
          </w:tcPr>
          <w:p w14:paraId="1C340F48" w14:textId="77777777" w:rsidR="007025C4" w:rsidRPr="00756461" w:rsidRDefault="007025C4" w:rsidP="007025C4">
            <w:pPr>
              <w:spacing w:after="0" w:line="240" w:lineRule="auto"/>
              <w:rPr>
                <w:rFonts w:ascii="Arial" w:eastAsia="Times New Roman" w:hAnsi="Arial" w:cs="Arial"/>
                <w:b/>
                <w:bCs/>
                <w:i/>
                <w:iCs/>
                <w:sz w:val="16"/>
                <w:szCs w:val="16"/>
                <w:lang w:eastAsia="en-GB"/>
              </w:rPr>
            </w:pPr>
            <w:r>
              <w:rPr>
                <w:rFonts w:ascii="Arial" w:eastAsia="Times New Roman" w:hAnsi="Arial" w:cs="Arial"/>
                <w:b/>
                <w:bCs/>
                <w:i/>
                <w:iCs/>
                <w:sz w:val="16"/>
                <w:szCs w:val="16"/>
                <w:lang w:eastAsia="en-GB"/>
              </w:rPr>
              <w:t>By stratum × outcome</w:t>
            </w:r>
          </w:p>
        </w:tc>
        <w:tc>
          <w:tcPr>
            <w:tcW w:w="369" w:type="pct"/>
            <w:tcBorders>
              <w:top w:val="nil"/>
              <w:left w:val="nil"/>
              <w:bottom w:val="single" w:sz="4" w:space="0" w:color="auto"/>
              <w:right w:val="single" w:sz="4" w:space="0" w:color="auto"/>
            </w:tcBorders>
            <w:shd w:val="clear" w:color="000000" w:fill="F5F5F5"/>
            <w:vAlign w:val="center"/>
            <w:hideMark/>
          </w:tcPr>
          <w:p w14:paraId="143B0B89" w14:textId="77777777" w:rsidR="007025C4" w:rsidRPr="00756461" w:rsidRDefault="007025C4" w:rsidP="007025C4">
            <w:pPr>
              <w:spacing w:after="0" w:line="240" w:lineRule="auto"/>
              <w:jc w:val="center"/>
              <w:rPr>
                <w:rFonts w:ascii="Arial" w:eastAsia="Times New Roman" w:hAnsi="Arial" w:cs="Arial"/>
                <w:b/>
                <w:bCs/>
                <w:i/>
                <w:iCs/>
                <w:sz w:val="16"/>
                <w:szCs w:val="16"/>
                <w:lang w:eastAsia="en-GB"/>
              </w:rPr>
            </w:pPr>
          </w:p>
        </w:tc>
        <w:tc>
          <w:tcPr>
            <w:tcW w:w="681" w:type="pct"/>
            <w:tcBorders>
              <w:top w:val="nil"/>
              <w:left w:val="nil"/>
              <w:bottom w:val="single" w:sz="4" w:space="0" w:color="auto"/>
              <w:right w:val="single" w:sz="4" w:space="0" w:color="auto"/>
            </w:tcBorders>
            <w:shd w:val="clear" w:color="000000" w:fill="F5F5F5"/>
            <w:vAlign w:val="center"/>
            <w:hideMark/>
          </w:tcPr>
          <w:p w14:paraId="38363A19" w14:textId="77777777" w:rsidR="007025C4" w:rsidRPr="00756461" w:rsidRDefault="007025C4" w:rsidP="007025C4">
            <w:pPr>
              <w:spacing w:after="0" w:line="240" w:lineRule="auto"/>
              <w:jc w:val="center"/>
              <w:rPr>
                <w:rFonts w:ascii="Arial" w:eastAsia="Times New Roman" w:hAnsi="Arial" w:cs="Arial"/>
                <w:b/>
                <w:bCs/>
                <w:i/>
                <w:iCs/>
                <w:sz w:val="16"/>
                <w:szCs w:val="16"/>
                <w:lang w:eastAsia="en-GB"/>
              </w:rPr>
            </w:pPr>
          </w:p>
        </w:tc>
        <w:tc>
          <w:tcPr>
            <w:tcW w:w="903" w:type="pct"/>
            <w:tcBorders>
              <w:top w:val="nil"/>
              <w:left w:val="nil"/>
              <w:bottom w:val="single" w:sz="4" w:space="0" w:color="auto"/>
              <w:right w:val="single" w:sz="4" w:space="0" w:color="auto"/>
            </w:tcBorders>
            <w:shd w:val="clear" w:color="000000" w:fill="F5F5F5"/>
            <w:vAlign w:val="center"/>
            <w:hideMark/>
          </w:tcPr>
          <w:p w14:paraId="135F94D2" w14:textId="77777777" w:rsidR="007025C4" w:rsidRPr="00756461" w:rsidRDefault="007025C4" w:rsidP="007025C4">
            <w:pPr>
              <w:spacing w:after="0" w:line="240" w:lineRule="auto"/>
              <w:jc w:val="center"/>
              <w:rPr>
                <w:rFonts w:ascii="Arial" w:eastAsia="Times New Roman" w:hAnsi="Arial" w:cs="Arial"/>
                <w:b/>
                <w:bCs/>
                <w:i/>
                <w:iCs/>
                <w:sz w:val="16"/>
                <w:szCs w:val="16"/>
                <w:lang w:eastAsia="en-GB"/>
              </w:rPr>
            </w:pPr>
          </w:p>
        </w:tc>
        <w:tc>
          <w:tcPr>
            <w:tcW w:w="927" w:type="pct"/>
            <w:tcBorders>
              <w:top w:val="nil"/>
              <w:left w:val="nil"/>
              <w:bottom w:val="single" w:sz="4" w:space="0" w:color="auto"/>
              <w:right w:val="single" w:sz="4" w:space="0" w:color="auto"/>
            </w:tcBorders>
            <w:shd w:val="clear" w:color="000000" w:fill="F5F5F5"/>
            <w:vAlign w:val="center"/>
            <w:hideMark/>
          </w:tcPr>
          <w:p w14:paraId="54DCF78E" w14:textId="77777777" w:rsidR="007025C4" w:rsidRPr="00756461" w:rsidRDefault="007025C4" w:rsidP="007025C4">
            <w:pPr>
              <w:spacing w:after="0" w:line="240" w:lineRule="auto"/>
              <w:jc w:val="center"/>
              <w:rPr>
                <w:rFonts w:ascii="Arial" w:eastAsia="Times New Roman" w:hAnsi="Arial" w:cs="Arial"/>
                <w:b/>
                <w:bCs/>
                <w:i/>
                <w:iCs/>
                <w:sz w:val="16"/>
                <w:szCs w:val="16"/>
                <w:lang w:eastAsia="en-GB"/>
              </w:rPr>
            </w:pPr>
          </w:p>
        </w:tc>
      </w:tr>
      <w:tr w:rsidR="007025C4" w:rsidRPr="00756461" w14:paraId="426B947D" w14:textId="77777777" w:rsidTr="0074736B">
        <w:trPr>
          <w:trHeight w:val="20"/>
        </w:trPr>
        <w:tc>
          <w:tcPr>
            <w:tcW w:w="2120" w:type="pct"/>
            <w:tcBorders>
              <w:top w:val="nil"/>
              <w:left w:val="single" w:sz="4" w:space="0" w:color="auto"/>
              <w:bottom w:val="single" w:sz="4" w:space="0" w:color="auto"/>
              <w:right w:val="single" w:sz="4" w:space="0" w:color="auto"/>
            </w:tcBorders>
            <w:vAlign w:val="center"/>
            <w:hideMark/>
          </w:tcPr>
          <w:p w14:paraId="18278665" w14:textId="77777777" w:rsidR="007025C4" w:rsidRPr="00756461" w:rsidRDefault="007025C4" w:rsidP="007025C4">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Stillbirth only, SSA</w:t>
            </w:r>
          </w:p>
        </w:tc>
        <w:tc>
          <w:tcPr>
            <w:tcW w:w="369" w:type="pct"/>
            <w:tcBorders>
              <w:top w:val="nil"/>
              <w:left w:val="nil"/>
              <w:bottom w:val="single" w:sz="4" w:space="0" w:color="auto"/>
              <w:right w:val="single" w:sz="4" w:space="0" w:color="auto"/>
            </w:tcBorders>
            <w:vAlign w:val="center"/>
            <w:hideMark/>
          </w:tcPr>
          <w:p w14:paraId="3F5B9F84" w14:textId="46F3F1AC"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9</w:t>
            </w:r>
          </w:p>
        </w:tc>
        <w:tc>
          <w:tcPr>
            <w:tcW w:w="681" w:type="pct"/>
            <w:tcBorders>
              <w:top w:val="nil"/>
              <w:left w:val="nil"/>
              <w:bottom w:val="single" w:sz="4" w:space="0" w:color="auto"/>
              <w:right w:val="single" w:sz="4" w:space="0" w:color="auto"/>
            </w:tcBorders>
            <w:vAlign w:val="center"/>
            <w:hideMark/>
          </w:tcPr>
          <w:p w14:paraId="39036817" w14:textId="178B2D67"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0.900</w:t>
            </w:r>
          </w:p>
        </w:tc>
        <w:tc>
          <w:tcPr>
            <w:tcW w:w="903" w:type="pct"/>
            <w:tcBorders>
              <w:top w:val="nil"/>
              <w:left w:val="nil"/>
              <w:bottom w:val="single" w:sz="4" w:space="0" w:color="auto"/>
              <w:right w:val="single" w:sz="4" w:space="0" w:color="auto"/>
            </w:tcBorders>
            <w:vAlign w:val="center"/>
            <w:hideMark/>
          </w:tcPr>
          <w:p w14:paraId="52BD0BBA" w14:textId="51597AB2"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0.842 to 0.950</w:t>
            </w:r>
          </w:p>
        </w:tc>
        <w:tc>
          <w:tcPr>
            <w:tcW w:w="927" w:type="pct"/>
            <w:tcBorders>
              <w:top w:val="nil"/>
              <w:left w:val="nil"/>
              <w:bottom w:val="single" w:sz="4" w:space="0" w:color="auto"/>
              <w:right w:val="single" w:sz="4" w:space="0" w:color="auto"/>
            </w:tcBorders>
            <w:vAlign w:val="center"/>
            <w:hideMark/>
          </w:tcPr>
          <w:p w14:paraId="3977C273" w14:textId="70C4D3EE"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0.750 to 0.982</w:t>
            </w:r>
          </w:p>
        </w:tc>
      </w:tr>
      <w:tr w:rsidR="007025C4" w:rsidRPr="00756461" w14:paraId="525F38B7" w14:textId="77777777" w:rsidTr="0074736B">
        <w:trPr>
          <w:trHeight w:val="20"/>
        </w:trPr>
        <w:tc>
          <w:tcPr>
            <w:tcW w:w="2120" w:type="pct"/>
            <w:tcBorders>
              <w:top w:val="nil"/>
              <w:left w:val="single" w:sz="4" w:space="0" w:color="auto"/>
              <w:bottom w:val="single" w:sz="4" w:space="0" w:color="auto"/>
              <w:right w:val="single" w:sz="4" w:space="0" w:color="auto"/>
            </w:tcBorders>
            <w:vAlign w:val="center"/>
            <w:hideMark/>
          </w:tcPr>
          <w:p w14:paraId="342C49AA" w14:textId="77777777" w:rsidR="007025C4" w:rsidRPr="00756461" w:rsidRDefault="007025C4" w:rsidP="007025C4">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Stillbirth only, non-SSA</w:t>
            </w:r>
          </w:p>
        </w:tc>
        <w:tc>
          <w:tcPr>
            <w:tcW w:w="369" w:type="pct"/>
            <w:tcBorders>
              <w:top w:val="nil"/>
              <w:left w:val="nil"/>
              <w:bottom w:val="single" w:sz="4" w:space="0" w:color="auto"/>
              <w:right w:val="single" w:sz="4" w:space="0" w:color="auto"/>
            </w:tcBorders>
            <w:vAlign w:val="center"/>
            <w:hideMark/>
          </w:tcPr>
          <w:p w14:paraId="2212D8D3" w14:textId="4A03466C"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27</w:t>
            </w:r>
          </w:p>
        </w:tc>
        <w:tc>
          <w:tcPr>
            <w:tcW w:w="681" w:type="pct"/>
            <w:tcBorders>
              <w:top w:val="nil"/>
              <w:left w:val="nil"/>
              <w:bottom w:val="single" w:sz="4" w:space="0" w:color="auto"/>
              <w:right w:val="single" w:sz="4" w:space="0" w:color="auto"/>
            </w:tcBorders>
            <w:vAlign w:val="center"/>
            <w:hideMark/>
          </w:tcPr>
          <w:p w14:paraId="4814D6DE" w14:textId="7AB18BE6"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0.851</w:t>
            </w:r>
          </w:p>
        </w:tc>
        <w:tc>
          <w:tcPr>
            <w:tcW w:w="903" w:type="pct"/>
            <w:tcBorders>
              <w:top w:val="nil"/>
              <w:left w:val="nil"/>
              <w:bottom w:val="single" w:sz="4" w:space="0" w:color="auto"/>
              <w:right w:val="single" w:sz="4" w:space="0" w:color="auto"/>
            </w:tcBorders>
            <w:vAlign w:val="center"/>
            <w:hideMark/>
          </w:tcPr>
          <w:p w14:paraId="6283CFAC" w14:textId="085101A0"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0.725 to 0.928</w:t>
            </w:r>
          </w:p>
        </w:tc>
        <w:tc>
          <w:tcPr>
            <w:tcW w:w="927" w:type="pct"/>
            <w:tcBorders>
              <w:top w:val="nil"/>
              <w:left w:val="nil"/>
              <w:bottom w:val="single" w:sz="4" w:space="0" w:color="auto"/>
              <w:right w:val="single" w:sz="4" w:space="0" w:color="auto"/>
            </w:tcBorders>
            <w:vAlign w:val="center"/>
            <w:hideMark/>
          </w:tcPr>
          <w:p w14:paraId="75C2EF32" w14:textId="18E248FC"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0.610 to 0.992</w:t>
            </w:r>
          </w:p>
        </w:tc>
      </w:tr>
      <w:tr w:rsidR="007025C4" w:rsidRPr="00756461" w14:paraId="3A35F8E3" w14:textId="77777777" w:rsidTr="0074736B">
        <w:trPr>
          <w:trHeight w:val="20"/>
        </w:trPr>
        <w:tc>
          <w:tcPr>
            <w:tcW w:w="2120" w:type="pct"/>
            <w:tcBorders>
              <w:top w:val="nil"/>
              <w:left w:val="single" w:sz="4" w:space="0" w:color="auto"/>
              <w:bottom w:val="single" w:sz="4" w:space="0" w:color="auto"/>
              <w:right w:val="single" w:sz="4" w:space="0" w:color="auto"/>
            </w:tcBorders>
            <w:vAlign w:val="center"/>
            <w:hideMark/>
          </w:tcPr>
          <w:p w14:paraId="2A0F9F85" w14:textId="77777777" w:rsidR="007025C4" w:rsidRPr="00756461" w:rsidRDefault="007025C4" w:rsidP="007025C4">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Neonatal death only, SSA</w:t>
            </w:r>
          </w:p>
        </w:tc>
        <w:tc>
          <w:tcPr>
            <w:tcW w:w="369" w:type="pct"/>
            <w:tcBorders>
              <w:top w:val="nil"/>
              <w:left w:val="nil"/>
              <w:bottom w:val="single" w:sz="4" w:space="0" w:color="auto"/>
              <w:right w:val="single" w:sz="4" w:space="0" w:color="auto"/>
            </w:tcBorders>
            <w:vAlign w:val="center"/>
            <w:hideMark/>
          </w:tcPr>
          <w:p w14:paraId="34677F65" w14:textId="4ACE3BA1"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7</w:t>
            </w:r>
          </w:p>
        </w:tc>
        <w:tc>
          <w:tcPr>
            <w:tcW w:w="681" w:type="pct"/>
            <w:tcBorders>
              <w:top w:val="nil"/>
              <w:left w:val="nil"/>
              <w:bottom w:val="single" w:sz="4" w:space="0" w:color="auto"/>
              <w:right w:val="single" w:sz="4" w:space="0" w:color="auto"/>
            </w:tcBorders>
            <w:vAlign w:val="center"/>
            <w:hideMark/>
          </w:tcPr>
          <w:p w14:paraId="018F0383" w14:textId="7503257F"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0.851</w:t>
            </w:r>
          </w:p>
        </w:tc>
        <w:tc>
          <w:tcPr>
            <w:tcW w:w="903" w:type="pct"/>
            <w:tcBorders>
              <w:top w:val="nil"/>
              <w:left w:val="nil"/>
              <w:bottom w:val="single" w:sz="4" w:space="0" w:color="auto"/>
              <w:right w:val="single" w:sz="4" w:space="0" w:color="auto"/>
            </w:tcBorders>
            <w:vAlign w:val="center"/>
            <w:hideMark/>
          </w:tcPr>
          <w:p w14:paraId="66866672" w14:textId="04C40433"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0.817 to 0.978</w:t>
            </w:r>
          </w:p>
        </w:tc>
        <w:tc>
          <w:tcPr>
            <w:tcW w:w="927" w:type="pct"/>
            <w:tcBorders>
              <w:top w:val="nil"/>
              <w:left w:val="nil"/>
              <w:bottom w:val="single" w:sz="4" w:space="0" w:color="auto"/>
              <w:right w:val="single" w:sz="4" w:space="0" w:color="auto"/>
            </w:tcBorders>
            <w:vAlign w:val="center"/>
            <w:hideMark/>
          </w:tcPr>
          <w:p w14:paraId="4D15038C" w14:textId="67C66F3F"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0.796 to 0.996</w:t>
            </w:r>
          </w:p>
        </w:tc>
      </w:tr>
      <w:tr w:rsidR="007025C4" w:rsidRPr="00756461" w14:paraId="644DB445" w14:textId="77777777" w:rsidTr="0074736B">
        <w:trPr>
          <w:trHeight w:val="20"/>
        </w:trPr>
        <w:tc>
          <w:tcPr>
            <w:tcW w:w="2120" w:type="pct"/>
            <w:tcBorders>
              <w:top w:val="nil"/>
              <w:left w:val="single" w:sz="4" w:space="0" w:color="auto"/>
              <w:bottom w:val="single" w:sz="4" w:space="0" w:color="auto"/>
              <w:right w:val="single" w:sz="4" w:space="0" w:color="auto"/>
            </w:tcBorders>
            <w:vAlign w:val="center"/>
            <w:hideMark/>
          </w:tcPr>
          <w:p w14:paraId="4399ECF0" w14:textId="77777777" w:rsidR="007025C4" w:rsidRPr="00756461" w:rsidRDefault="007025C4" w:rsidP="007025C4">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Neonatal death only, non-SSA</w:t>
            </w:r>
          </w:p>
        </w:tc>
        <w:tc>
          <w:tcPr>
            <w:tcW w:w="369" w:type="pct"/>
            <w:tcBorders>
              <w:top w:val="nil"/>
              <w:left w:val="nil"/>
              <w:bottom w:val="single" w:sz="4" w:space="0" w:color="auto"/>
              <w:right w:val="single" w:sz="4" w:space="0" w:color="auto"/>
            </w:tcBorders>
            <w:vAlign w:val="center"/>
            <w:hideMark/>
          </w:tcPr>
          <w:p w14:paraId="0323902D" w14:textId="12D476FF"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18</w:t>
            </w:r>
          </w:p>
        </w:tc>
        <w:tc>
          <w:tcPr>
            <w:tcW w:w="681" w:type="pct"/>
            <w:tcBorders>
              <w:top w:val="nil"/>
              <w:left w:val="nil"/>
              <w:bottom w:val="single" w:sz="4" w:space="0" w:color="auto"/>
              <w:right w:val="single" w:sz="4" w:space="0" w:color="auto"/>
            </w:tcBorders>
            <w:vAlign w:val="center"/>
            <w:hideMark/>
          </w:tcPr>
          <w:p w14:paraId="065ED1C9" w14:textId="39F889AC"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0.887</w:t>
            </w:r>
          </w:p>
        </w:tc>
        <w:tc>
          <w:tcPr>
            <w:tcW w:w="903" w:type="pct"/>
            <w:tcBorders>
              <w:top w:val="nil"/>
              <w:left w:val="nil"/>
              <w:bottom w:val="single" w:sz="4" w:space="0" w:color="auto"/>
              <w:right w:val="single" w:sz="4" w:space="0" w:color="auto"/>
            </w:tcBorders>
            <w:vAlign w:val="center"/>
            <w:hideMark/>
          </w:tcPr>
          <w:p w14:paraId="7EA2D1C7" w14:textId="6B94798C"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0.829 to 0.962</w:t>
            </w:r>
          </w:p>
        </w:tc>
        <w:tc>
          <w:tcPr>
            <w:tcW w:w="927" w:type="pct"/>
            <w:tcBorders>
              <w:top w:val="nil"/>
              <w:left w:val="nil"/>
              <w:bottom w:val="single" w:sz="4" w:space="0" w:color="auto"/>
              <w:right w:val="single" w:sz="4" w:space="0" w:color="auto"/>
            </w:tcBorders>
            <w:vAlign w:val="center"/>
            <w:hideMark/>
          </w:tcPr>
          <w:p w14:paraId="4756B43F" w14:textId="5B1EC3C0"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0.678 to 0.984</w:t>
            </w:r>
          </w:p>
        </w:tc>
      </w:tr>
      <w:tr w:rsidR="007025C4" w:rsidRPr="00756461" w14:paraId="2801C3D7" w14:textId="77777777" w:rsidTr="0074736B">
        <w:trPr>
          <w:trHeight w:val="20"/>
        </w:trPr>
        <w:tc>
          <w:tcPr>
            <w:tcW w:w="2120" w:type="pct"/>
            <w:tcBorders>
              <w:top w:val="nil"/>
              <w:left w:val="single" w:sz="4" w:space="0" w:color="auto"/>
              <w:bottom w:val="single" w:sz="4" w:space="0" w:color="auto"/>
              <w:right w:val="single" w:sz="4" w:space="0" w:color="auto"/>
            </w:tcBorders>
            <w:vAlign w:val="center"/>
            <w:hideMark/>
          </w:tcPr>
          <w:p w14:paraId="14099DAD" w14:textId="77777777" w:rsidR="007025C4" w:rsidRPr="00756461" w:rsidRDefault="007025C4" w:rsidP="007025C4">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Both stillbirth and neonatal death, SSA</w:t>
            </w:r>
          </w:p>
        </w:tc>
        <w:tc>
          <w:tcPr>
            <w:tcW w:w="369" w:type="pct"/>
            <w:tcBorders>
              <w:top w:val="nil"/>
              <w:left w:val="nil"/>
              <w:bottom w:val="single" w:sz="4" w:space="0" w:color="auto"/>
              <w:right w:val="single" w:sz="4" w:space="0" w:color="auto"/>
            </w:tcBorders>
            <w:vAlign w:val="center"/>
            <w:hideMark/>
          </w:tcPr>
          <w:p w14:paraId="4FF2AAD2" w14:textId="26B80F66"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5</w:t>
            </w:r>
          </w:p>
        </w:tc>
        <w:tc>
          <w:tcPr>
            <w:tcW w:w="681" w:type="pct"/>
            <w:tcBorders>
              <w:top w:val="nil"/>
              <w:left w:val="nil"/>
              <w:bottom w:val="single" w:sz="4" w:space="0" w:color="auto"/>
              <w:right w:val="single" w:sz="4" w:space="0" w:color="auto"/>
            </w:tcBorders>
            <w:vAlign w:val="center"/>
            <w:hideMark/>
          </w:tcPr>
          <w:p w14:paraId="2B90243D" w14:textId="7E337F56"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0.800</w:t>
            </w:r>
          </w:p>
        </w:tc>
        <w:tc>
          <w:tcPr>
            <w:tcW w:w="903" w:type="pct"/>
            <w:tcBorders>
              <w:top w:val="nil"/>
              <w:left w:val="nil"/>
              <w:bottom w:val="single" w:sz="4" w:space="0" w:color="auto"/>
              <w:right w:val="single" w:sz="4" w:space="0" w:color="auto"/>
            </w:tcBorders>
            <w:vAlign w:val="center"/>
            <w:hideMark/>
          </w:tcPr>
          <w:p w14:paraId="53CB0BDB" w14:textId="18A90ACB"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0.780 to 0.902</w:t>
            </w:r>
          </w:p>
        </w:tc>
        <w:tc>
          <w:tcPr>
            <w:tcW w:w="927" w:type="pct"/>
            <w:tcBorders>
              <w:top w:val="nil"/>
              <w:left w:val="nil"/>
              <w:bottom w:val="single" w:sz="4" w:space="0" w:color="auto"/>
              <w:right w:val="single" w:sz="4" w:space="0" w:color="auto"/>
            </w:tcBorders>
            <w:vAlign w:val="center"/>
            <w:hideMark/>
          </w:tcPr>
          <w:p w14:paraId="2F92A647" w14:textId="280FCDA9"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0.750 to 0.970</w:t>
            </w:r>
          </w:p>
        </w:tc>
      </w:tr>
      <w:tr w:rsidR="007025C4" w:rsidRPr="00756461" w14:paraId="6C2F7B00" w14:textId="77777777" w:rsidTr="0074736B">
        <w:trPr>
          <w:trHeight w:val="20"/>
        </w:trPr>
        <w:tc>
          <w:tcPr>
            <w:tcW w:w="2120" w:type="pct"/>
            <w:tcBorders>
              <w:top w:val="nil"/>
              <w:left w:val="single" w:sz="4" w:space="0" w:color="auto"/>
              <w:bottom w:val="single" w:sz="4" w:space="0" w:color="auto"/>
              <w:right w:val="single" w:sz="4" w:space="0" w:color="auto"/>
            </w:tcBorders>
            <w:vAlign w:val="center"/>
            <w:hideMark/>
          </w:tcPr>
          <w:p w14:paraId="66C2E4F9" w14:textId="77777777" w:rsidR="007025C4" w:rsidRPr="00756461" w:rsidRDefault="007025C4" w:rsidP="007025C4">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Both stillbirth and neonatal death, non-SSA</w:t>
            </w:r>
          </w:p>
        </w:tc>
        <w:tc>
          <w:tcPr>
            <w:tcW w:w="369" w:type="pct"/>
            <w:tcBorders>
              <w:top w:val="nil"/>
              <w:left w:val="nil"/>
              <w:bottom w:val="single" w:sz="4" w:space="0" w:color="auto"/>
              <w:right w:val="single" w:sz="4" w:space="0" w:color="auto"/>
            </w:tcBorders>
            <w:vAlign w:val="center"/>
            <w:hideMark/>
          </w:tcPr>
          <w:p w14:paraId="5DD70470" w14:textId="0151A3EA"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11</w:t>
            </w:r>
          </w:p>
        </w:tc>
        <w:tc>
          <w:tcPr>
            <w:tcW w:w="681" w:type="pct"/>
            <w:tcBorders>
              <w:top w:val="nil"/>
              <w:left w:val="nil"/>
              <w:bottom w:val="single" w:sz="4" w:space="0" w:color="auto"/>
              <w:right w:val="single" w:sz="4" w:space="0" w:color="auto"/>
            </w:tcBorders>
            <w:vAlign w:val="center"/>
            <w:hideMark/>
          </w:tcPr>
          <w:p w14:paraId="1CD230AE" w14:textId="340A017B"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0.840</w:t>
            </w:r>
          </w:p>
        </w:tc>
        <w:tc>
          <w:tcPr>
            <w:tcW w:w="903" w:type="pct"/>
            <w:tcBorders>
              <w:top w:val="nil"/>
              <w:left w:val="nil"/>
              <w:bottom w:val="single" w:sz="4" w:space="0" w:color="auto"/>
              <w:right w:val="single" w:sz="4" w:space="0" w:color="auto"/>
            </w:tcBorders>
            <w:vAlign w:val="center"/>
            <w:hideMark/>
          </w:tcPr>
          <w:p w14:paraId="46A23D94" w14:textId="7EE78B5F"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0.814 to 0.913</w:t>
            </w:r>
          </w:p>
        </w:tc>
        <w:tc>
          <w:tcPr>
            <w:tcW w:w="927" w:type="pct"/>
            <w:tcBorders>
              <w:top w:val="nil"/>
              <w:left w:val="nil"/>
              <w:bottom w:val="single" w:sz="4" w:space="0" w:color="auto"/>
              <w:right w:val="single" w:sz="4" w:space="0" w:color="auto"/>
            </w:tcBorders>
            <w:vAlign w:val="center"/>
            <w:hideMark/>
          </w:tcPr>
          <w:p w14:paraId="592143B6" w14:textId="4AB115D3"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0.710 to 0.990</w:t>
            </w:r>
          </w:p>
        </w:tc>
      </w:tr>
      <w:tr w:rsidR="007025C4" w:rsidRPr="00756461" w14:paraId="50128EB7" w14:textId="77777777" w:rsidTr="0074736B">
        <w:trPr>
          <w:trHeight w:val="20"/>
        </w:trPr>
        <w:tc>
          <w:tcPr>
            <w:tcW w:w="2120" w:type="pct"/>
            <w:tcBorders>
              <w:top w:val="nil"/>
              <w:left w:val="single" w:sz="4" w:space="0" w:color="auto"/>
              <w:bottom w:val="single" w:sz="4" w:space="0" w:color="auto"/>
              <w:right w:val="single" w:sz="4" w:space="0" w:color="auto"/>
            </w:tcBorders>
            <w:shd w:val="clear" w:color="000000" w:fill="F5F5F5"/>
            <w:vAlign w:val="center"/>
            <w:hideMark/>
          </w:tcPr>
          <w:p w14:paraId="748E9FB0" w14:textId="77777777" w:rsidR="007025C4" w:rsidRPr="00756461" w:rsidRDefault="007025C4" w:rsidP="007025C4">
            <w:pPr>
              <w:spacing w:after="0" w:line="240" w:lineRule="auto"/>
              <w:rPr>
                <w:rFonts w:ascii="Arial" w:eastAsia="Times New Roman" w:hAnsi="Arial" w:cs="Arial"/>
                <w:b/>
                <w:bCs/>
                <w:i/>
                <w:iCs/>
                <w:sz w:val="16"/>
                <w:szCs w:val="16"/>
                <w:lang w:eastAsia="en-GB"/>
              </w:rPr>
            </w:pPr>
            <w:r>
              <w:rPr>
                <w:rFonts w:ascii="Arial" w:eastAsia="Times New Roman" w:hAnsi="Arial" w:cs="Arial"/>
                <w:b/>
                <w:bCs/>
                <w:i/>
                <w:iCs/>
                <w:sz w:val="16"/>
                <w:szCs w:val="16"/>
                <w:lang w:eastAsia="en-GB"/>
              </w:rPr>
              <w:t>By model family group</w:t>
            </w:r>
          </w:p>
        </w:tc>
        <w:tc>
          <w:tcPr>
            <w:tcW w:w="369" w:type="pct"/>
            <w:tcBorders>
              <w:top w:val="nil"/>
              <w:left w:val="nil"/>
              <w:bottom w:val="single" w:sz="4" w:space="0" w:color="auto"/>
              <w:right w:val="single" w:sz="4" w:space="0" w:color="auto"/>
            </w:tcBorders>
            <w:shd w:val="clear" w:color="000000" w:fill="F5F5F5"/>
            <w:vAlign w:val="center"/>
            <w:hideMark/>
          </w:tcPr>
          <w:p w14:paraId="1E912A56" w14:textId="77777777" w:rsidR="007025C4" w:rsidRPr="00756461" w:rsidRDefault="007025C4" w:rsidP="007025C4">
            <w:pPr>
              <w:spacing w:after="0" w:line="240" w:lineRule="auto"/>
              <w:jc w:val="center"/>
              <w:rPr>
                <w:rFonts w:ascii="Arial" w:eastAsia="Times New Roman" w:hAnsi="Arial" w:cs="Arial"/>
                <w:b/>
                <w:bCs/>
                <w:i/>
                <w:iCs/>
                <w:sz w:val="16"/>
                <w:szCs w:val="16"/>
                <w:lang w:eastAsia="en-GB"/>
              </w:rPr>
            </w:pPr>
          </w:p>
        </w:tc>
        <w:tc>
          <w:tcPr>
            <w:tcW w:w="681" w:type="pct"/>
            <w:tcBorders>
              <w:top w:val="nil"/>
              <w:left w:val="nil"/>
              <w:bottom w:val="single" w:sz="4" w:space="0" w:color="auto"/>
              <w:right w:val="single" w:sz="4" w:space="0" w:color="auto"/>
            </w:tcBorders>
            <w:shd w:val="clear" w:color="000000" w:fill="F5F5F5"/>
            <w:vAlign w:val="center"/>
            <w:hideMark/>
          </w:tcPr>
          <w:p w14:paraId="4211E169" w14:textId="77777777" w:rsidR="007025C4" w:rsidRPr="00756461" w:rsidRDefault="007025C4" w:rsidP="007025C4">
            <w:pPr>
              <w:spacing w:after="0" w:line="240" w:lineRule="auto"/>
              <w:jc w:val="center"/>
              <w:rPr>
                <w:rFonts w:ascii="Arial" w:eastAsia="Times New Roman" w:hAnsi="Arial" w:cs="Arial"/>
                <w:b/>
                <w:bCs/>
                <w:i/>
                <w:iCs/>
                <w:sz w:val="16"/>
                <w:szCs w:val="16"/>
                <w:lang w:eastAsia="en-GB"/>
              </w:rPr>
            </w:pPr>
          </w:p>
        </w:tc>
        <w:tc>
          <w:tcPr>
            <w:tcW w:w="903" w:type="pct"/>
            <w:tcBorders>
              <w:top w:val="nil"/>
              <w:left w:val="nil"/>
              <w:bottom w:val="single" w:sz="4" w:space="0" w:color="auto"/>
              <w:right w:val="single" w:sz="4" w:space="0" w:color="auto"/>
            </w:tcBorders>
            <w:shd w:val="clear" w:color="000000" w:fill="F5F5F5"/>
            <w:vAlign w:val="center"/>
            <w:hideMark/>
          </w:tcPr>
          <w:p w14:paraId="43014D84" w14:textId="77777777" w:rsidR="007025C4" w:rsidRPr="00756461" w:rsidRDefault="007025C4" w:rsidP="007025C4">
            <w:pPr>
              <w:spacing w:after="0" w:line="240" w:lineRule="auto"/>
              <w:jc w:val="center"/>
              <w:rPr>
                <w:rFonts w:ascii="Arial" w:eastAsia="Times New Roman" w:hAnsi="Arial" w:cs="Arial"/>
                <w:b/>
                <w:bCs/>
                <w:i/>
                <w:iCs/>
                <w:sz w:val="16"/>
                <w:szCs w:val="16"/>
                <w:lang w:eastAsia="en-GB"/>
              </w:rPr>
            </w:pPr>
          </w:p>
        </w:tc>
        <w:tc>
          <w:tcPr>
            <w:tcW w:w="927" w:type="pct"/>
            <w:tcBorders>
              <w:top w:val="nil"/>
              <w:left w:val="nil"/>
              <w:bottom w:val="single" w:sz="4" w:space="0" w:color="auto"/>
              <w:right w:val="single" w:sz="4" w:space="0" w:color="auto"/>
            </w:tcBorders>
            <w:shd w:val="clear" w:color="000000" w:fill="F5F5F5"/>
            <w:vAlign w:val="center"/>
            <w:hideMark/>
          </w:tcPr>
          <w:p w14:paraId="240788A9" w14:textId="77777777" w:rsidR="007025C4" w:rsidRPr="00756461" w:rsidRDefault="007025C4" w:rsidP="007025C4">
            <w:pPr>
              <w:spacing w:after="0" w:line="240" w:lineRule="auto"/>
              <w:jc w:val="center"/>
              <w:rPr>
                <w:rFonts w:ascii="Arial" w:eastAsia="Times New Roman" w:hAnsi="Arial" w:cs="Arial"/>
                <w:b/>
                <w:bCs/>
                <w:i/>
                <w:iCs/>
                <w:sz w:val="16"/>
                <w:szCs w:val="16"/>
                <w:lang w:eastAsia="en-GB"/>
              </w:rPr>
            </w:pPr>
          </w:p>
        </w:tc>
      </w:tr>
      <w:tr w:rsidR="007025C4" w:rsidRPr="00756461" w14:paraId="0FE217F7" w14:textId="77777777" w:rsidTr="0074736B">
        <w:trPr>
          <w:trHeight w:val="20"/>
        </w:trPr>
        <w:tc>
          <w:tcPr>
            <w:tcW w:w="2120" w:type="pct"/>
            <w:tcBorders>
              <w:top w:val="nil"/>
              <w:left w:val="single" w:sz="4" w:space="0" w:color="auto"/>
              <w:bottom w:val="single" w:sz="4" w:space="0" w:color="auto"/>
              <w:right w:val="single" w:sz="4" w:space="0" w:color="auto"/>
            </w:tcBorders>
            <w:vAlign w:val="center"/>
            <w:hideMark/>
          </w:tcPr>
          <w:p w14:paraId="72F9DBB8" w14:textId="77777777" w:rsidR="007025C4" w:rsidRPr="00756461" w:rsidRDefault="007025C4" w:rsidP="007025C4">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Classical only</w:t>
            </w:r>
          </w:p>
        </w:tc>
        <w:tc>
          <w:tcPr>
            <w:tcW w:w="369" w:type="pct"/>
            <w:tcBorders>
              <w:top w:val="nil"/>
              <w:left w:val="nil"/>
              <w:bottom w:val="single" w:sz="4" w:space="0" w:color="auto"/>
              <w:right w:val="single" w:sz="4" w:space="0" w:color="auto"/>
            </w:tcBorders>
            <w:vAlign w:val="center"/>
            <w:hideMark/>
          </w:tcPr>
          <w:p w14:paraId="766F087E" w14:textId="13DAAFFE"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39</w:t>
            </w:r>
          </w:p>
        </w:tc>
        <w:tc>
          <w:tcPr>
            <w:tcW w:w="681" w:type="pct"/>
            <w:tcBorders>
              <w:top w:val="nil"/>
              <w:left w:val="nil"/>
              <w:bottom w:val="single" w:sz="4" w:space="0" w:color="auto"/>
              <w:right w:val="single" w:sz="4" w:space="0" w:color="auto"/>
            </w:tcBorders>
            <w:vAlign w:val="center"/>
            <w:hideMark/>
          </w:tcPr>
          <w:p w14:paraId="1CA5C449" w14:textId="479E5181"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0.828</w:t>
            </w:r>
          </w:p>
        </w:tc>
        <w:tc>
          <w:tcPr>
            <w:tcW w:w="903" w:type="pct"/>
            <w:tcBorders>
              <w:top w:val="nil"/>
              <w:left w:val="nil"/>
              <w:bottom w:val="single" w:sz="4" w:space="0" w:color="auto"/>
              <w:right w:val="single" w:sz="4" w:space="0" w:color="auto"/>
            </w:tcBorders>
            <w:vAlign w:val="center"/>
            <w:hideMark/>
          </w:tcPr>
          <w:p w14:paraId="1E67D766" w14:textId="1FA99E7A"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0.749 to 0.893</w:t>
            </w:r>
          </w:p>
        </w:tc>
        <w:tc>
          <w:tcPr>
            <w:tcW w:w="927" w:type="pct"/>
            <w:tcBorders>
              <w:top w:val="nil"/>
              <w:left w:val="nil"/>
              <w:bottom w:val="single" w:sz="4" w:space="0" w:color="auto"/>
              <w:right w:val="single" w:sz="4" w:space="0" w:color="auto"/>
            </w:tcBorders>
            <w:vAlign w:val="center"/>
            <w:hideMark/>
          </w:tcPr>
          <w:p w14:paraId="10BF2459" w14:textId="4E784405"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0.610 to 0.992</w:t>
            </w:r>
          </w:p>
        </w:tc>
      </w:tr>
      <w:tr w:rsidR="007025C4" w:rsidRPr="00756461" w14:paraId="52EB4F81" w14:textId="77777777" w:rsidTr="0074736B">
        <w:trPr>
          <w:trHeight w:val="20"/>
        </w:trPr>
        <w:tc>
          <w:tcPr>
            <w:tcW w:w="2120" w:type="pct"/>
            <w:tcBorders>
              <w:top w:val="nil"/>
              <w:left w:val="single" w:sz="4" w:space="0" w:color="auto"/>
              <w:bottom w:val="single" w:sz="4" w:space="0" w:color="auto"/>
              <w:right w:val="single" w:sz="4" w:space="0" w:color="auto"/>
            </w:tcBorders>
            <w:vAlign w:val="center"/>
            <w:hideMark/>
          </w:tcPr>
          <w:p w14:paraId="6FBE29F5" w14:textId="77777777" w:rsidR="007025C4" w:rsidRPr="00756461" w:rsidRDefault="007025C4" w:rsidP="007025C4">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Hybrid (Classical + ML/AI)</w:t>
            </w:r>
          </w:p>
        </w:tc>
        <w:tc>
          <w:tcPr>
            <w:tcW w:w="369" w:type="pct"/>
            <w:tcBorders>
              <w:top w:val="nil"/>
              <w:left w:val="nil"/>
              <w:bottom w:val="single" w:sz="4" w:space="0" w:color="auto"/>
              <w:right w:val="single" w:sz="4" w:space="0" w:color="auto"/>
            </w:tcBorders>
            <w:vAlign w:val="center"/>
            <w:hideMark/>
          </w:tcPr>
          <w:p w14:paraId="6D5C83ED" w14:textId="16A1B561"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25</w:t>
            </w:r>
          </w:p>
        </w:tc>
        <w:tc>
          <w:tcPr>
            <w:tcW w:w="681" w:type="pct"/>
            <w:tcBorders>
              <w:top w:val="nil"/>
              <w:left w:val="nil"/>
              <w:bottom w:val="single" w:sz="4" w:space="0" w:color="auto"/>
              <w:right w:val="single" w:sz="4" w:space="0" w:color="auto"/>
            </w:tcBorders>
            <w:vAlign w:val="center"/>
            <w:hideMark/>
          </w:tcPr>
          <w:p w14:paraId="113E18E8" w14:textId="31DDA388"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0.900</w:t>
            </w:r>
          </w:p>
        </w:tc>
        <w:tc>
          <w:tcPr>
            <w:tcW w:w="903" w:type="pct"/>
            <w:tcBorders>
              <w:top w:val="nil"/>
              <w:left w:val="nil"/>
              <w:bottom w:val="single" w:sz="4" w:space="0" w:color="auto"/>
              <w:right w:val="single" w:sz="4" w:space="0" w:color="auto"/>
            </w:tcBorders>
            <w:vAlign w:val="center"/>
            <w:hideMark/>
          </w:tcPr>
          <w:p w14:paraId="164E2EDC" w14:textId="4A29EDDA"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0.830 to 0.967</w:t>
            </w:r>
          </w:p>
        </w:tc>
        <w:tc>
          <w:tcPr>
            <w:tcW w:w="927" w:type="pct"/>
            <w:tcBorders>
              <w:top w:val="nil"/>
              <w:left w:val="nil"/>
              <w:bottom w:val="single" w:sz="4" w:space="0" w:color="auto"/>
              <w:right w:val="single" w:sz="4" w:space="0" w:color="auto"/>
            </w:tcBorders>
            <w:vAlign w:val="center"/>
            <w:hideMark/>
          </w:tcPr>
          <w:p w14:paraId="506878B3" w14:textId="3E958CCE"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0.678 to 0.996</w:t>
            </w:r>
          </w:p>
        </w:tc>
      </w:tr>
      <w:tr w:rsidR="007025C4" w:rsidRPr="00756461" w14:paraId="6199B7DC" w14:textId="77777777" w:rsidTr="0074736B">
        <w:trPr>
          <w:trHeight w:val="20"/>
        </w:trPr>
        <w:tc>
          <w:tcPr>
            <w:tcW w:w="2120" w:type="pct"/>
            <w:tcBorders>
              <w:top w:val="single" w:sz="4" w:space="0" w:color="auto"/>
              <w:left w:val="single" w:sz="4" w:space="0" w:color="auto"/>
              <w:bottom w:val="single" w:sz="4" w:space="0" w:color="auto"/>
              <w:right w:val="single" w:sz="4" w:space="0" w:color="auto"/>
            </w:tcBorders>
            <w:vAlign w:val="center"/>
            <w:hideMark/>
          </w:tcPr>
          <w:p w14:paraId="2855F7F5" w14:textId="77777777" w:rsidR="007025C4" w:rsidRPr="00756461" w:rsidRDefault="007025C4" w:rsidP="007025C4">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ML or AI only (not classical arm)</w:t>
            </w:r>
          </w:p>
        </w:tc>
        <w:tc>
          <w:tcPr>
            <w:tcW w:w="369" w:type="pct"/>
            <w:tcBorders>
              <w:top w:val="single" w:sz="4" w:space="0" w:color="auto"/>
              <w:left w:val="nil"/>
              <w:bottom w:val="single" w:sz="4" w:space="0" w:color="auto"/>
              <w:right w:val="single" w:sz="4" w:space="0" w:color="auto"/>
            </w:tcBorders>
            <w:vAlign w:val="center"/>
            <w:hideMark/>
          </w:tcPr>
          <w:p w14:paraId="051641A8" w14:textId="748A6043"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13</w:t>
            </w:r>
          </w:p>
        </w:tc>
        <w:tc>
          <w:tcPr>
            <w:tcW w:w="681" w:type="pct"/>
            <w:tcBorders>
              <w:top w:val="single" w:sz="4" w:space="0" w:color="auto"/>
              <w:left w:val="nil"/>
              <w:bottom w:val="single" w:sz="4" w:space="0" w:color="auto"/>
              <w:right w:val="single" w:sz="4" w:space="0" w:color="auto"/>
            </w:tcBorders>
            <w:vAlign w:val="center"/>
            <w:hideMark/>
          </w:tcPr>
          <w:p w14:paraId="41E180BB" w14:textId="25C13C6B"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0.940</w:t>
            </w:r>
          </w:p>
        </w:tc>
        <w:tc>
          <w:tcPr>
            <w:tcW w:w="903" w:type="pct"/>
            <w:tcBorders>
              <w:top w:val="single" w:sz="4" w:space="0" w:color="auto"/>
              <w:left w:val="nil"/>
              <w:bottom w:val="single" w:sz="4" w:space="0" w:color="auto"/>
              <w:right w:val="single" w:sz="4" w:space="0" w:color="auto"/>
            </w:tcBorders>
            <w:vAlign w:val="center"/>
            <w:hideMark/>
          </w:tcPr>
          <w:p w14:paraId="03145057" w14:textId="4FCED272"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0.900 to 0.980</w:t>
            </w:r>
          </w:p>
        </w:tc>
        <w:tc>
          <w:tcPr>
            <w:tcW w:w="927" w:type="pct"/>
            <w:tcBorders>
              <w:top w:val="single" w:sz="4" w:space="0" w:color="auto"/>
              <w:left w:val="nil"/>
              <w:bottom w:val="single" w:sz="4" w:space="0" w:color="auto"/>
              <w:right w:val="single" w:sz="4" w:space="0" w:color="auto"/>
            </w:tcBorders>
            <w:vAlign w:val="center"/>
            <w:hideMark/>
          </w:tcPr>
          <w:p w14:paraId="3D5ADB3E" w14:textId="6E089951" w:rsidR="007025C4" w:rsidRPr="00756461" w:rsidRDefault="007025C4" w:rsidP="007025C4">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0.800 to 0.990</w:t>
            </w:r>
          </w:p>
        </w:tc>
      </w:tr>
      <w:tr w:rsidR="00164EC5" w:rsidRPr="00756461" w14:paraId="704453A1" w14:textId="77777777" w:rsidTr="007025C4">
        <w:trPr>
          <w:trHeight w:val="80"/>
        </w:trPr>
        <w:tc>
          <w:tcPr>
            <w:tcW w:w="5000" w:type="pct"/>
            <w:gridSpan w:val="5"/>
            <w:tcBorders>
              <w:top w:val="single" w:sz="4" w:space="0" w:color="auto"/>
            </w:tcBorders>
            <w:hideMark/>
          </w:tcPr>
          <w:p w14:paraId="612F57B3" w14:textId="73134671" w:rsidR="00164EC5" w:rsidRPr="00756461" w:rsidRDefault="00164EC5" w:rsidP="0074736B">
            <w:pPr>
              <w:spacing w:after="0" w:line="240" w:lineRule="auto"/>
              <w:rPr>
                <w:rFonts w:ascii="Arial" w:eastAsia="Times New Roman" w:hAnsi="Arial" w:cs="Arial"/>
                <w:i/>
                <w:iCs/>
                <w:sz w:val="16"/>
                <w:szCs w:val="16"/>
                <w:lang w:eastAsia="en-GB"/>
              </w:rPr>
            </w:pPr>
            <w:r>
              <w:rPr>
                <w:rFonts w:ascii="Arial" w:eastAsia="Times New Roman" w:hAnsi="Arial" w:cs="Arial"/>
                <w:i/>
                <w:iCs/>
                <w:sz w:val="16"/>
                <w:szCs w:val="16"/>
                <w:lang w:eastAsia="en-GB"/>
              </w:rPr>
              <w:t xml:space="preserve">AUC values represent the highest reported discrimination per study (best AUC, AUROC or C-statistic). IQR is reported as Q1 to Q3. Model family group collapses the seven </w:t>
            </w:r>
            <w:proofErr w:type="gramStart"/>
            <w:r>
              <w:rPr>
                <w:rFonts w:ascii="Arial" w:eastAsia="Times New Roman" w:hAnsi="Arial" w:cs="Arial"/>
                <w:i/>
                <w:iCs/>
                <w:sz w:val="16"/>
                <w:szCs w:val="16"/>
                <w:lang w:eastAsia="en-GB"/>
              </w:rPr>
              <w:t>mutually-exclusive</w:t>
            </w:r>
            <w:proofErr w:type="gramEnd"/>
            <w:r>
              <w:rPr>
                <w:rFonts w:ascii="Arial" w:eastAsia="Times New Roman" w:hAnsi="Arial" w:cs="Arial"/>
                <w:i/>
                <w:iCs/>
                <w:sz w:val="16"/>
                <w:szCs w:val="16"/>
                <w:lang w:eastAsia="en-GB"/>
              </w:rPr>
              <w:t xml:space="preserve"> Table 1 categories into three: classical-only (n=39); hybrid (Classical + ML, Classical + ML + AI, Classical + AI; n=25); and no-classical-arm (ML only, AI only, ML + AI; n=13). Sixteen of the 93 included studies did not report a discrimination metric and are not represented here</w:t>
            </w:r>
          </w:p>
        </w:tc>
      </w:tr>
    </w:tbl>
    <w:p w14:paraId="12469DC9" w14:textId="71F7A834" w:rsidR="00164EC5" w:rsidRPr="00756461" w:rsidRDefault="00164EC5" w:rsidP="00164EC5">
      <w:pPr>
        <w:tabs>
          <w:tab w:val="left" w:pos="6195"/>
        </w:tabs>
        <w:rPr>
          <w:rFonts w:ascii="Arial" w:hAnsi="Arial" w:cs="Arial"/>
        </w:rPr>
        <w:sectPr w:rsidR="00164EC5" w:rsidRPr="00756461" w:rsidSect="00164EC5">
          <w:pgSz w:w="11906" w:h="16838"/>
          <w:pgMar w:top="850" w:right="850" w:bottom="850" w:left="850" w:header="720" w:footer="720" w:gutter="0"/>
          <w:cols w:space="720"/>
          <w:docGrid w:linePitch="360"/>
        </w:sectPr>
      </w:pPr>
    </w:p>
    <w:p w14:paraId="6D5F9C6C" w14:textId="7AB5D743" w:rsidR="009B78F9" w:rsidRPr="00756461" w:rsidRDefault="009B78F9" w:rsidP="009B78F9">
      <w:pPr>
        <w:rPr>
          <w:rFonts w:ascii="Arial" w:hAnsi="Arial" w:cs="Arial"/>
        </w:rPr>
      </w:pPr>
      <w:r>
        <w:rPr>
          <w:rFonts w:ascii="Arial" w:hAnsi="Arial" w:cs="Arial"/>
          <w:b/>
        </w:rPr>
        <w:lastRenderedPageBreak/>
        <w:t>Table S6. Best-reported AUC by model family, region and outcome, with details of the top-performing model in each cell (n = 77 of 93 included studies reporting a discrimination metric).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6"/>
        <w:gridCol w:w="767"/>
        <w:gridCol w:w="1011"/>
        <w:gridCol w:w="378"/>
        <w:gridCol w:w="752"/>
        <w:gridCol w:w="762"/>
        <w:gridCol w:w="512"/>
        <w:gridCol w:w="7697"/>
        <w:gridCol w:w="1053"/>
      </w:tblGrid>
      <w:tr w:rsidR="009B78F9" w:rsidRPr="00756461" w14:paraId="753E2E53" w14:textId="77777777" w:rsidTr="005251ED">
        <w:trPr>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B7D4EF" w:themeFill="text2" w:themeFillTint="33"/>
            <w:tcMar>
              <w:top w:w="60" w:type="dxa"/>
              <w:left w:w="100" w:type="dxa"/>
              <w:bottom w:w="60" w:type="dxa"/>
              <w:right w:w="100" w:type="dxa"/>
            </w:tcMar>
          </w:tcPr>
          <w:p w14:paraId="0800BF58" w14:textId="77777777" w:rsidR="009B78F9" w:rsidRPr="00756461" w:rsidRDefault="009B78F9" w:rsidP="00C81EA7">
            <w:pPr>
              <w:spacing w:after="0" w:line="240" w:lineRule="auto"/>
              <w:jc w:val="center"/>
              <w:rPr>
                <w:rFonts w:ascii="Arial" w:hAnsi="Arial" w:cs="Arial"/>
                <w:b/>
                <w:sz w:val="16"/>
                <w:szCs w:val="16"/>
              </w:rPr>
            </w:pPr>
            <w:r>
              <w:rPr>
                <w:rFonts w:ascii="Arial" w:hAnsi="Arial" w:cs="Arial"/>
                <w:b/>
                <w:sz w:val="16"/>
                <w:szCs w:val="16"/>
              </w:rPr>
              <w:t>Model family</w:t>
            </w:r>
          </w:p>
        </w:tc>
        <w:tc>
          <w:tcPr>
            <w:tcW w:w="0" w:type="auto"/>
            <w:tcBorders>
              <w:top w:val="single" w:sz="4" w:space="0" w:color="000000"/>
              <w:left w:val="single" w:sz="4" w:space="0" w:color="000000"/>
              <w:bottom w:val="single" w:sz="4" w:space="0" w:color="000000"/>
              <w:right w:val="single" w:sz="4" w:space="0" w:color="000000"/>
            </w:tcBorders>
            <w:shd w:val="clear" w:color="auto" w:fill="B7D4EF" w:themeFill="text2" w:themeFillTint="33"/>
            <w:tcMar>
              <w:top w:w="60" w:type="dxa"/>
              <w:left w:w="100" w:type="dxa"/>
              <w:bottom w:w="60" w:type="dxa"/>
              <w:right w:w="100" w:type="dxa"/>
            </w:tcMar>
          </w:tcPr>
          <w:p w14:paraId="1FB939DC" w14:textId="77777777" w:rsidR="009B78F9" w:rsidRPr="00756461" w:rsidRDefault="009B78F9" w:rsidP="00C81EA7">
            <w:pPr>
              <w:spacing w:after="0" w:line="240" w:lineRule="auto"/>
              <w:jc w:val="center"/>
              <w:rPr>
                <w:rFonts w:ascii="Arial" w:hAnsi="Arial" w:cs="Arial"/>
                <w:b/>
                <w:sz w:val="16"/>
                <w:szCs w:val="16"/>
              </w:rPr>
            </w:pPr>
            <w:r>
              <w:rPr>
                <w:rFonts w:ascii="Arial" w:hAnsi="Arial" w:cs="Arial"/>
                <w:b/>
                <w:sz w:val="16"/>
                <w:szCs w:val="16"/>
              </w:rPr>
              <w:t>Region</w:t>
            </w:r>
          </w:p>
        </w:tc>
        <w:tc>
          <w:tcPr>
            <w:tcW w:w="0" w:type="auto"/>
            <w:tcBorders>
              <w:top w:val="single" w:sz="4" w:space="0" w:color="000000"/>
              <w:left w:val="single" w:sz="4" w:space="0" w:color="000000"/>
              <w:bottom w:val="single" w:sz="4" w:space="0" w:color="000000"/>
              <w:right w:val="single" w:sz="4" w:space="0" w:color="000000"/>
            </w:tcBorders>
            <w:shd w:val="clear" w:color="auto" w:fill="B7D4EF" w:themeFill="text2" w:themeFillTint="33"/>
            <w:tcMar>
              <w:top w:w="60" w:type="dxa"/>
              <w:left w:w="100" w:type="dxa"/>
              <w:bottom w:w="60" w:type="dxa"/>
              <w:right w:w="100" w:type="dxa"/>
            </w:tcMar>
          </w:tcPr>
          <w:p w14:paraId="1FED6AD1" w14:textId="77777777" w:rsidR="009B78F9" w:rsidRPr="00756461" w:rsidRDefault="009B78F9" w:rsidP="00C81EA7">
            <w:pPr>
              <w:spacing w:after="0" w:line="240" w:lineRule="auto"/>
              <w:jc w:val="center"/>
              <w:rPr>
                <w:rFonts w:ascii="Arial" w:hAnsi="Arial" w:cs="Arial"/>
                <w:b/>
                <w:sz w:val="16"/>
                <w:szCs w:val="16"/>
              </w:rPr>
            </w:pPr>
            <w:r>
              <w:rPr>
                <w:rFonts w:ascii="Arial" w:hAnsi="Arial" w:cs="Arial"/>
                <w:b/>
                <w:sz w:val="16"/>
                <w:szCs w:val="16"/>
              </w:rPr>
              <w:t>Outcome</w:t>
            </w:r>
          </w:p>
        </w:tc>
        <w:tc>
          <w:tcPr>
            <w:tcW w:w="0" w:type="auto"/>
            <w:tcBorders>
              <w:top w:val="single" w:sz="4" w:space="0" w:color="000000"/>
              <w:left w:val="single" w:sz="4" w:space="0" w:color="000000"/>
              <w:bottom w:val="single" w:sz="4" w:space="0" w:color="000000"/>
              <w:right w:val="single" w:sz="4" w:space="0" w:color="000000"/>
            </w:tcBorders>
            <w:shd w:val="clear" w:color="auto" w:fill="B7D4EF" w:themeFill="text2" w:themeFillTint="33"/>
            <w:tcMar>
              <w:top w:w="60" w:type="dxa"/>
              <w:left w:w="100" w:type="dxa"/>
              <w:bottom w:w="60" w:type="dxa"/>
              <w:right w:w="100" w:type="dxa"/>
            </w:tcMar>
          </w:tcPr>
          <w:p w14:paraId="722788BF" w14:textId="77777777" w:rsidR="009B78F9" w:rsidRPr="00756461" w:rsidRDefault="009B78F9" w:rsidP="00C81EA7">
            <w:pPr>
              <w:spacing w:after="0" w:line="240" w:lineRule="auto"/>
              <w:jc w:val="center"/>
              <w:rPr>
                <w:rFonts w:ascii="Arial" w:hAnsi="Arial" w:cs="Arial"/>
                <w:b/>
                <w:sz w:val="16"/>
                <w:szCs w:val="16"/>
              </w:rPr>
            </w:pPr>
            <w:r>
              <w:rPr>
                <w:rFonts w:ascii="Arial" w:hAnsi="Arial" w:cs="Arial"/>
                <w:b/>
                <w:sz w:val="16"/>
                <w:szCs w:val="16"/>
              </w:rPr>
              <w:t>n</w:t>
            </w:r>
          </w:p>
        </w:tc>
        <w:tc>
          <w:tcPr>
            <w:tcW w:w="0" w:type="auto"/>
            <w:tcBorders>
              <w:top w:val="single" w:sz="4" w:space="0" w:color="000000"/>
              <w:left w:val="single" w:sz="4" w:space="0" w:color="000000"/>
              <w:bottom w:val="single" w:sz="4" w:space="0" w:color="000000"/>
              <w:right w:val="single" w:sz="4" w:space="0" w:color="000000"/>
            </w:tcBorders>
            <w:shd w:val="clear" w:color="auto" w:fill="B7D4EF" w:themeFill="text2" w:themeFillTint="33"/>
            <w:tcMar>
              <w:top w:w="60" w:type="dxa"/>
              <w:left w:w="100" w:type="dxa"/>
              <w:bottom w:w="60" w:type="dxa"/>
              <w:right w:w="100" w:type="dxa"/>
            </w:tcMar>
          </w:tcPr>
          <w:p w14:paraId="71B609C2" w14:textId="77777777" w:rsidR="009B78F9" w:rsidRPr="00756461" w:rsidRDefault="009B78F9" w:rsidP="00C81EA7">
            <w:pPr>
              <w:spacing w:after="0" w:line="240" w:lineRule="auto"/>
              <w:jc w:val="center"/>
              <w:rPr>
                <w:rFonts w:ascii="Arial" w:hAnsi="Arial" w:cs="Arial"/>
                <w:b/>
                <w:sz w:val="16"/>
                <w:szCs w:val="16"/>
              </w:rPr>
            </w:pPr>
            <w:r>
              <w:rPr>
                <w:rFonts w:ascii="Arial" w:hAnsi="Arial" w:cs="Arial"/>
                <w:b/>
                <w:sz w:val="16"/>
                <w:szCs w:val="16"/>
              </w:rPr>
              <w:t>Median</w:t>
            </w:r>
          </w:p>
        </w:tc>
        <w:tc>
          <w:tcPr>
            <w:tcW w:w="0" w:type="auto"/>
            <w:tcBorders>
              <w:top w:val="single" w:sz="4" w:space="0" w:color="000000"/>
              <w:left w:val="single" w:sz="4" w:space="0" w:color="000000"/>
              <w:bottom w:val="single" w:sz="4" w:space="0" w:color="000000"/>
              <w:right w:val="single" w:sz="4" w:space="0" w:color="000000"/>
            </w:tcBorders>
            <w:shd w:val="clear" w:color="auto" w:fill="B7D4EF" w:themeFill="text2" w:themeFillTint="33"/>
            <w:tcMar>
              <w:top w:w="60" w:type="dxa"/>
              <w:left w:w="100" w:type="dxa"/>
              <w:bottom w:w="60" w:type="dxa"/>
              <w:right w:w="100" w:type="dxa"/>
            </w:tcMar>
          </w:tcPr>
          <w:p w14:paraId="6FA159C6" w14:textId="77777777" w:rsidR="009B78F9" w:rsidRPr="00756461" w:rsidRDefault="009B78F9" w:rsidP="00C81EA7">
            <w:pPr>
              <w:spacing w:after="0" w:line="240" w:lineRule="auto"/>
              <w:jc w:val="center"/>
              <w:rPr>
                <w:rFonts w:ascii="Arial" w:hAnsi="Arial" w:cs="Arial"/>
                <w:b/>
                <w:sz w:val="16"/>
                <w:szCs w:val="16"/>
              </w:rPr>
            </w:pPr>
            <w:r>
              <w:rPr>
                <w:rFonts w:ascii="Arial" w:hAnsi="Arial" w:cs="Arial"/>
                <w:b/>
                <w:sz w:val="16"/>
                <w:szCs w:val="16"/>
              </w:rPr>
              <w:t>Range</w:t>
            </w:r>
          </w:p>
        </w:tc>
        <w:tc>
          <w:tcPr>
            <w:tcW w:w="0" w:type="auto"/>
            <w:tcBorders>
              <w:top w:val="single" w:sz="4" w:space="0" w:color="000000"/>
              <w:left w:val="single" w:sz="4" w:space="0" w:color="000000"/>
              <w:bottom w:val="single" w:sz="4" w:space="0" w:color="000000"/>
              <w:right w:val="single" w:sz="4" w:space="0" w:color="000000"/>
            </w:tcBorders>
            <w:shd w:val="clear" w:color="auto" w:fill="B7D4EF" w:themeFill="text2" w:themeFillTint="33"/>
          </w:tcPr>
          <w:p w14:paraId="1BFDFC57" w14:textId="77777777" w:rsidR="009B78F9" w:rsidRPr="00756461" w:rsidRDefault="009B78F9" w:rsidP="00C81EA7">
            <w:pPr>
              <w:spacing w:after="0" w:line="240" w:lineRule="auto"/>
              <w:jc w:val="center"/>
              <w:rPr>
                <w:rFonts w:ascii="Arial" w:hAnsi="Arial" w:cs="Arial"/>
                <w:b/>
                <w:sz w:val="16"/>
                <w:szCs w:val="16"/>
              </w:rPr>
            </w:pPr>
            <w:r>
              <w:rPr>
                <w:rFonts w:ascii="Arial" w:hAnsi="Arial" w:cs="Arial"/>
                <w:b/>
                <w:sz w:val="16"/>
                <w:szCs w:val="16"/>
              </w:rPr>
              <w:t>Best AUC</w:t>
            </w:r>
          </w:p>
        </w:tc>
        <w:tc>
          <w:tcPr>
            <w:tcW w:w="7697" w:type="dxa"/>
            <w:tcBorders>
              <w:top w:val="single" w:sz="4" w:space="0" w:color="000000"/>
              <w:left w:val="single" w:sz="4" w:space="0" w:color="000000"/>
              <w:bottom w:val="single" w:sz="4" w:space="0" w:color="000000"/>
              <w:right w:val="single" w:sz="4" w:space="0" w:color="000000"/>
            </w:tcBorders>
            <w:shd w:val="clear" w:color="auto" w:fill="B7D4EF" w:themeFill="text2" w:themeFillTint="33"/>
            <w:tcMar>
              <w:top w:w="60" w:type="dxa"/>
              <w:left w:w="100" w:type="dxa"/>
              <w:bottom w:w="60" w:type="dxa"/>
              <w:right w:w="100" w:type="dxa"/>
            </w:tcMar>
          </w:tcPr>
          <w:p w14:paraId="79C64F5F" w14:textId="77777777" w:rsidR="009B78F9" w:rsidRPr="00756461" w:rsidRDefault="009B78F9" w:rsidP="00C81EA7">
            <w:pPr>
              <w:spacing w:after="0" w:line="240" w:lineRule="auto"/>
              <w:jc w:val="center"/>
              <w:rPr>
                <w:rFonts w:ascii="Arial" w:hAnsi="Arial" w:cs="Arial"/>
                <w:b/>
                <w:sz w:val="16"/>
                <w:szCs w:val="16"/>
              </w:rPr>
            </w:pPr>
            <w:r>
              <w:rPr>
                <w:rFonts w:ascii="Arial" w:hAnsi="Arial" w:cs="Arial"/>
                <w:b/>
                <w:sz w:val="16"/>
                <w:szCs w:val="16"/>
              </w:rPr>
              <w:t>Best-performing model (algorithm, predictors, sample, validation, performance)</w:t>
            </w:r>
          </w:p>
        </w:tc>
        <w:tc>
          <w:tcPr>
            <w:tcW w:w="1053" w:type="dxa"/>
            <w:tcBorders>
              <w:top w:val="single" w:sz="4" w:space="0" w:color="000000"/>
              <w:left w:val="single" w:sz="4" w:space="0" w:color="000000"/>
              <w:bottom w:val="single" w:sz="4" w:space="0" w:color="000000"/>
              <w:right w:val="single" w:sz="4" w:space="0" w:color="000000"/>
            </w:tcBorders>
            <w:shd w:val="clear" w:color="auto" w:fill="B7D4EF" w:themeFill="text2" w:themeFillTint="33"/>
            <w:tcMar>
              <w:top w:w="60" w:type="dxa"/>
              <w:left w:w="100" w:type="dxa"/>
              <w:bottom w:w="60" w:type="dxa"/>
              <w:right w:w="100" w:type="dxa"/>
            </w:tcMar>
          </w:tcPr>
          <w:p w14:paraId="47DFF170" w14:textId="77777777" w:rsidR="009B78F9" w:rsidRPr="00756461" w:rsidRDefault="009B78F9" w:rsidP="00C81EA7">
            <w:pPr>
              <w:spacing w:after="0" w:line="240" w:lineRule="auto"/>
              <w:jc w:val="center"/>
              <w:rPr>
                <w:rFonts w:ascii="Arial" w:hAnsi="Arial" w:cs="Arial"/>
                <w:b/>
                <w:sz w:val="16"/>
                <w:szCs w:val="16"/>
              </w:rPr>
            </w:pPr>
            <w:r>
              <w:rPr>
                <w:rFonts w:ascii="Arial" w:hAnsi="Arial" w:cs="Arial"/>
                <w:b/>
                <w:sz w:val="16"/>
                <w:szCs w:val="16"/>
              </w:rPr>
              <w:t>Refs</w:t>
            </w:r>
          </w:p>
        </w:tc>
      </w:tr>
      <w:tr w:rsidR="005251ED" w:rsidRPr="00756461" w14:paraId="7B497989" w14:textId="77777777" w:rsidTr="005251ED">
        <w:trPr>
          <w:trHeight w:val="20"/>
        </w:trPr>
        <w:tc>
          <w:tcPr>
            <w:tcW w:w="0" w:type="auto"/>
            <w:vMerge w:val="restart"/>
            <w:tcBorders>
              <w:top w:val="single" w:sz="4" w:space="0" w:color="000000"/>
              <w:left w:val="single" w:sz="4" w:space="0" w:color="000000"/>
              <w:right w:val="single" w:sz="4" w:space="0" w:color="000000"/>
            </w:tcBorders>
            <w:tcMar>
              <w:top w:w="60" w:type="dxa"/>
              <w:left w:w="100" w:type="dxa"/>
              <w:bottom w:w="60" w:type="dxa"/>
              <w:right w:w="100" w:type="dxa"/>
            </w:tcMar>
          </w:tcPr>
          <w:p w14:paraId="6D8421C8"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b/>
                <w:bCs/>
                <w:sz w:val="16"/>
                <w:szCs w:val="16"/>
              </w:rPr>
              <w:t>Classical only</w:t>
            </w:r>
          </w:p>
        </w:tc>
        <w:tc>
          <w:tcPr>
            <w:tcW w:w="0" w:type="auto"/>
            <w:vMerge w:val="restart"/>
            <w:tcBorders>
              <w:top w:val="single" w:sz="4" w:space="0" w:color="000000"/>
              <w:left w:val="single" w:sz="4" w:space="0" w:color="000000"/>
              <w:right w:val="single" w:sz="4" w:space="0" w:color="000000"/>
            </w:tcBorders>
            <w:tcMar>
              <w:top w:w="60" w:type="dxa"/>
              <w:left w:w="100" w:type="dxa"/>
              <w:bottom w:w="60" w:type="dxa"/>
              <w:right w:w="100" w:type="dxa"/>
            </w:tcMar>
          </w:tcPr>
          <w:p w14:paraId="0110EAC6"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b/>
                <w:bCs/>
                <w:sz w:val="16"/>
                <w:szCs w:val="16"/>
              </w:rPr>
              <w:t>SSA</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10B5DD0"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sz w:val="16"/>
                <w:szCs w:val="16"/>
              </w:rPr>
              <w:t>Stillbirth only</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C1AAAAA"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2</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6120048"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0.785</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BA17E0B"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0.750–0.820</w:t>
            </w:r>
          </w:p>
        </w:tc>
        <w:tc>
          <w:tcPr>
            <w:tcW w:w="0" w:type="auto"/>
            <w:tcBorders>
              <w:top w:val="single" w:sz="4" w:space="0" w:color="000000"/>
              <w:left w:val="single" w:sz="4" w:space="0" w:color="000000"/>
              <w:bottom w:val="single" w:sz="4" w:space="0" w:color="000000"/>
              <w:right w:val="single" w:sz="4" w:space="0" w:color="000000"/>
            </w:tcBorders>
          </w:tcPr>
          <w:p w14:paraId="0D6D50D1"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0.820</w:t>
            </w:r>
          </w:p>
        </w:tc>
        <w:tc>
          <w:tcPr>
            <w:tcW w:w="769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5C2116E" w14:textId="49E347D0" w:rsidR="005251ED" w:rsidRPr="00756461" w:rsidRDefault="005251ED" w:rsidP="00C81EA7">
            <w:pPr>
              <w:spacing w:after="0" w:line="240" w:lineRule="auto"/>
              <w:rPr>
                <w:rFonts w:ascii="Arial" w:hAnsi="Arial" w:cs="Arial"/>
                <w:sz w:val="16"/>
                <w:szCs w:val="16"/>
              </w:rPr>
            </w:pPr>
            <w:r>
              <w:rPr>
                <w:rFonts w:ascii="Arial" w:eastAsia="Arial Narrow" w:hAnsi="Arial" w:cs="Arial"/>
                <w:sz w:val="16"/>
                <w:szCs w:val="16"/>
              </w:rPr>
              <w:t>Multivariable logistic regression (basic and extended antenatal models) for stillbirth. Predictors retained in the extended model: maternal age, parity, previous stillbirth, maternal education, antenatal-care attendance, hypertensive disorders in pregnancy, antepartum haemorrhage, multiple pregnancy, gestational age at delivery and birth weight. Sample: 6,573 pregnant women, Federal Medical Centre Bida, Nigeria (Kayode et al. 2016). Validation: internal only (bootstrap; calibration assessed). Performance: extended-model c-statistic 0.82 (basic model 0.80); good calibration reported. Awor et al. 2022 (Uganda) reported a community-level logistic-regression screening tool with AUC 0.75.</w:t>
            </w:r>
          </w:p>
        </w:tc>
        <w:tc>
          <w:tcPr>
            <w:tcW w:w="105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12388F1" w14:textId="4E9A944D" w:rsidR="005251ED" w:rsidRPr="00756461" w:rsidRDefault="00756461" w:rsidP="00C81EA7">
            <w:pPr>
              <w:spacing w:after="0" w:line="240" w:lineRule="auto"/>
              <w:rPr>
                <w:rFonts w:ascii="Arial" w:hAnsi="Arial" w:cs="Arial"/>
                <w:sz w:val="16"/>
                <w:szCs w:val="16"/>
              </w:rPr>
            </w:pPr>
            <w:r>
              <w:rPr>
                <w:rFonts w:ascii="Arial" w:eastAsia="Arial Narrow" w:hAnsi="Arial" w:cs="Arial"/>
                <w:sz w:val="16"/>
                <w:szCs w:val="16"/>
              </w:rPr>
              <w:t>[120*, 116]</w:t>
            </w:r>
          </w:p>
        </w:tc>
      </w:tr>
      <w:tr w:rsidR="005251ED" w:rsidRPr="00756461" w14:paraId="3C0773AA" w14:textId="77777777" w:rsidTr="005251ED">
        <w:trPr>
          <w:trHeight w:val="20"/>
        </w:trPr>
        <w:tc>
          <w:tcPr>
            <w:tcW w:w="0" w:type="auto"/>
            <w:vMerge/>
            <w:tcBorders>
              <w:left w:val="single" w:sz="4" w:space="0" w:color="000000"/>
              <w:right w:val="single" w:sz="4" w:space="0" w:color="000000"/>
            </w:tcBorders>
            <w:tcMar>
              <w:top w:w="60" w:type="dxa"/>
              <w:left w:w="100" w:type="dxa"/>
              <w:bottom w:w="60" w:type="dxa"/>
              <w:right w:w="100" w:type="dxa"/>
            </w:tcMar>
          </w:tcPr>
          <w:p w14:paraId="4CC883DD" w14:textId="77777777" w:rsidR="005251ED" w:rsidRPr="00756461" w:rsidRDefault="005251ED" w:rsidP="00C81EA7">
            <w:pPr>
              <w:spacing w:after="0" w:line="240" w:lineRule="auto"/>
              <w:rPr>
                <w:rFonts w:ascii="Arial" w:hAnsi="Arial" w:cs="Arial"/>
                <w:sz w:val="16"/>
                <w:szCs w:val="16"/>
              </w:rPr>
            </w:pPr>
          </w:p>
        </w:tc>
        <w:tc>
          <w:tcPr>
            <w:tcW w:w="0" w:type="auto"/>
            <w:vMerge/>
            <w:tcBorders>
              <w:left w:val="single" w:sz="4" w:space="0" w:color="000000"/>
              <w:right w:val="single" w:sz="4" w:space="0" w:color="000000"/>
            </w:tcBorders>
            <w:tcMar>
              <w:top w:w="60" w:type="dxa"/>
              <w:left w:w="100" w:type="dxa"/>
              <w:bottom w:w="60" w:type="dxa"/>
              <w:right w:w="100" w:type="dxa"/>
            </w:tcMar>
          </w:tcPr>
          <w:p w14:paraId="4377A24E" w14:textId="77777777" w:rsidR="005251ED" w:rsidRPr="00756461" w:rsidRDefault="005251ED" w:rsidP="00C81EA7">
            <w:pPr>
              <w:spacing w:after="0" w:line="240" w:lineRule="auto"/>
              <w:rPr>
                <w:rFonts w:ascii="Arial" w:hAnsi="Arial" w:cs="Arial"/>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F9A6F30"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sz w:val="16"/>
                <w:szCs w:val="16"/>
              </w:rPr>
              <w:t>Neonatal death only</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2A87102"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4</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3043B22"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0.834</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45D6649"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0.796–0.967</w:t>
            </w:r>
          </w:p>
        </w:tc>
        <w:tc>
          <w:tcPr>
            <w:tcW w:w="0" w:type="auto"/>
            <w:tcBorders>
              <w:top w:val="single" w:sz="4" w:space="0" w:color="000000"/>
              <w:left w:val="single" w:sz="4" w:space="0" w:color="000000"/>
              <w:bottom w:val="single" w:sz="4" w:space="0" w:color="000000"/>
              <w:right w:val="single" w:sz="4" w:space="0" w:color="000000"/>
            </w:tcBorders>
          </w:tcPr>
          <w:p w14:paraId="6E29DDAD"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b/>
                <w:bCs/>
                <w:sz w:val="16"/>
                <w:szCs w:val="16"/>
              </w:rPr>
              <w:t>0.967</w:t>
            </w:r>
          </w:p>
        </w:tc>
        <w:tc>
          <w:tcPr>
            <w:tcW w:w="769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72A29E9" w14:textId="092685C7" w:rsidR="005251ED" w:rsidRPr="00756461" w:rsidRDefault="005251ED" w:rsidP="00C81EA7">
            <w:pPr>
              <w:spacing w:after="0" w:line="240" w:lineRule="auto"/>
              <w:rPr>
                <w:rFonts w:ascii="Arial" w:hAnsi="Arial" w:cs="Arial"/>
                <w:sz w:val="16"/>
                <w:szCs w:val="16"/>
              </w:rPr>
            </w:pPr>
            <w:r>
              <w:rPr>
                <w:rFonts w:ascii="Arial" w:eastAsia="Arial Narrow" w:hAnsi="Arial" w:cs="Arial"/>
                <w:sz w:val="16"/>
                <w:szCs w:val="16"/>
              </w:rPr>
              <w:t>Logistic-regression nomogram (LASSO with 10-fold CV for variable selection, then multivariable LR with backwards likelihood-ratio reduction at p&lt;0.15) for in-hospital mortality among preterm neonates with sepsis. Predictors retained in final model: gestational age, preterm premature rupture of membrane, hypoglycaemia, respiratory distress syndrome, perinatal asphyxia, necrotising enterocolitis, total bilirubin, platelet count, kangaroo-mother care. Sample: 603 preterm neonates with sepsis, University of Gondar Comprehensive Specialized Hospital, Ethiopia (Tesfie et al. 2024). Validation: internal only (1,000 bootstrap resamples; reported zero optimism between apparent and bootstrap-corrected performance). Performance: AUC 0.967; sensitivity 90.5%, specificity 90.6%, accuracy 90.5% at cut-off 0.403; Brier 0.07; Hosmer–Lemeshow p = 0.165.</w:t>
            </w:r>
          </w:p>
        </w:tc>
        <w:tc>
          <w:tcPr>
            <w:tcW w:w="105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796B76D" w14:textId="54ACA49D" w:rsidR="005251ED" w:rsidRPr="00756461" w:rsidRDefault="00756461" w:rsidP="00C81EA7">
            <w:pPr>
              <w:spacing w:after="0" w:line="240" w:lineRule="auto"/>
              <w:rPr>
                <w:rFonts w:ascii="Arial" w:hAnsi="Arial" w:cs="Arial"/>
                <w:sz w:val="16"/>
                <w:szCs w:val="16"/>
              </w:rPr>
            </w:pPr>
            <w:r>
              <w:rPr>
                <w:rFonts w:ascii="Arial" w:eastAsia="Arial Narrow" w:hAnsi="Arial" w:cs="Arial"/>
                <w:sz w:val="16"/>
                <w:szCs w:val="16"/>
              </w:rPr>
              <w:t>[100*, 88, 99, 30]</w:t>
            </w:r>
          </w:p>
        </w:tc>
      </w:tr>
      <w:tr w:rsidR="005251ED" w:rsidRPr="00756461" w14:paraId="38C7D29E" w14:textId="77777777" w:rsidTr="005251ED">
        <w:trPr>
          <w:trHeight w:val="20"/>
        </w:trPr>
        <w:tc>
          <w:tcPr>
            <w:tcW w:w="0" w:type="auto"/>
            <w:vMerge/>
            <w:tcBorders>
              <w:left w:val="single" w:sz="4" w:space="0" w:color="000000"/>
              <w:right w:val="single" w:sz="4" w:space="0" w:color="000000"/>
            </w:tcBorders>
            <w:tcMar>
              <w:top w:w="60" w:type="dxa"/>
              <w:left w:w="100" w:type="dxa"/>
              <w:bottom w:w="60" w:type="dxa"/>
              <w:right w:w="100" w:type="dxa"/>
            </w:tcMar>
          </w:tcPr>
          <w:p w14:paraId="04ED1AE7" w14:textId="77777777" w:rsidR="005251ED" w:rsidRPr="00756461" w:rsidRDefault="005251ED" w:rsidP="00C81EA7">
            <w:pPr>
              <w:spacing w:after="0" w:line="240" w:lineRule="auto"/>
              <w:rPr>
                <w:rFonts w:ascii="Arial" w:hAnsi="Arial" w:cs="Arial"/>
                <w:sz w:val="16"/>
                <w:szCs w:val="16"/>
              </w:rPr>
            </w:pPr>
          </w:p>
        </w:tc>
        <w:tc>
          <w:tcPr>
            <w:tcW w:w="0" w:type="auto"/>
            <w:vMerge/>
            <w:tcBorders>
              <w:left w:val="single" w:sz="4" w:space="0" w:color="000000"/>
              <w:bottom w:val="single" w:sz="4" w:space="0" w:color="000000"/>
              <w:right w:val="single" w:sz="4" w:space="0" w:color="000000"/>
            </w:tcBorders>
            <w:tcMar>
              <w:top w:w="60" w:type="dxa"/>
              <w:left w:w="100" w:type="dxa"/>
              <w:bottom w:w="60" w:type="dxa"/>
              <w:right w:w="100" w:type="dxa"/>
            </w:tcMar>
          </w:tcPr>
          <w:p w14:paraId="172DB0BD" w14:textId="77777777" w:rsidR="005251ED" w:rsidRPr="00756461" w:rsidRDefault="005251ED" w:rsidP="00C81EA7">
            <w:pPr>
              <w:spacing w:after="0" w:line="240" w:lineRule="auto"/>
              <w:rPr>
                <w:rFonts w:ascii="Arial" w:hAnsi="Arial" w:cs="Arial"/>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EE20B91"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sz w:val="16"/>
                <w:szCs w:val="16"/>
              </w:rPr>
              <w:t>Both</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0E28966"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3</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DBDF216"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.0.780</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AFCFC47"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0.750–0.902.</w:t>
            </w:r>
          </w:p>
        </w:tc>
        <w:tc>
          <w:tcPr>
            <w:tcW w:w="0" w:type="auto"/>
            <w:tcBorders>
              <w:top w:val="single" w:sz="4" w:space="0" w:color="000000"/>
              <w:left w:val="single" w:sz="4" w:space="0" w:color="000000"/>
              <w:bottom w:val="single" w:sz="4" w:space="0" w:color="000000"/>
              <w:right w:val="single" w:sz="4" w:space="0" w:color="000000"/>
            </w:tcBorders>
          </w:tcPr>
          <w:p w14:paraId="7666F1CD"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b/>
                <w:bCs/>
                <w:sz w:val="16"/>
                <w:szCs w:val="16"/>
              </w:rPr>
              <w:t>0.902</w:t>
            </w:r>
          </w:p>
        </w:tc>
        <w:tc>
          <w:tcPr>
            <w:tcW w:w="769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65746A6" w14:textId="5B55E497" w:rsidR="005251ED" w:rsidRPr="00756461" w:rsidRDefault="00756461" w:rsidP="00C81EA7">
            <w:pPr>
              <w:spacing w:after="0" w:line="240" w:lineRule="auto"/>
              <w:rPr>
                <w:rFonts w:ascii="Arial" w:eastAsia="Arial Narrow" w:hAnsi="Arial" w:cs="Arial"/>
                <w:sz w:val="16"/>
                <w:szCs w:val="16"/>
              </w:rPr>
            </w:pPr>
            <w:r>
              <w:rPr>
                <w:rFonts w:ascii="Arial" w:eastAsia="Arial Narrow" w:hAnsi="Arial" w:cs="Arial"/>
                <w:sz w:val="16"/>
                <w:szCs w:val="16"/>
              </w:rPr>
              <w:t>Multivariable logistic regression (separate maternal-outcome and neonatal-outcome models) internally and externally validated. Predictors retained in adverse-neonatal-outcome model: maternal age, parity, gestational age on admission, booked status, systolic BP ≥201 mmHg, diastolic BP ≥151 mmHg, dipstick proteinuria ≥2+, platelet count 0–49 ×10⁹/L, ALT ≥226 IU/L. Sample: 549 women with severe pre-eclampsia, Mpilo Central Hospital, Bulawayo, Zimbabwe (Ngwenya et al. 2021). Validation: bootstrap internal validation + population-level external reweighting. Performance: AUROC 0.902 (95% CI 0.876–0.927); sensitivity 87.7%, specificity 79.2% at cut-off 0.4257</w:t>
            </w:r>
          </w:p>
        </w:tc>
        <w:tc>
          <w:tcPr>
            <w:tcW w:w="105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D3E2DD7" w14:textId="2A294857" w:rsidR="005251ED" w:rsidRPr="00756461" w:rsidRDefault="00756461" w:rsidP="00C81EA7">
            <w:pPr>
              <w:spacing w:after="0" w:line="240" w:lineRule="auto"/>
              <w:rPr>
                <w:rFonts w:ascii="Arial" w:eastAsia="Arial Narrow" w:hAnsi="Arial" w:cs="Arial"/>
                <w:sz w:val="16"/>
                <w:szCs w:val="16"/>
              </w:rPr>
            </w:pPr>
            <w:r>
              <w:rPr>
                <w:rFonts w:ascii="Arial" w:eastAsia="Arial Narrow" w:hAnsi="Arial" w:cs="Arial"/>
                <w:sz w:val="16"/>
                <w:szCs w:val="16"/>
              </w:rPr>
              <w:t xml:space="preserve">[84*, </w:t>
            </w:r>
            <w:r>
              <w:rPr>
                <w:rFonts w:ascii="Arial" w:eastAsia="Arial Narrow" w:hAnsi="Arial" w:cs="Arial"/>
                <w:sz w:val="16"/>
                <w:szCs w:val="16"/>
                <w:highlight w:val="yellow"/>
              </w:rPr>
              <w:t>120</w:t>
            </w:r>
            <w:r>
              <w:rPr>
                <w:rFonts w:ascii="Arial" w:eastAsia="Arial Narrow" w:hAnsi="Arial" w:cs="Arial"/>
                <w:sz w:val="16"/>
                <w:szCs w:val="16"/>
              </w:rPr>
              <w:t>, 122]</w:t>
            </w:r>
          </w:p>
          <w:p w14:paraId="15715B4A" w14:textId="77777777" w:rsidR="005251ED" w:rsidRPr="00756461" w:rsidRDefault="005251ED" w:rsidP="00C81EA7">
            <w:pPr>
              <w:spacing w:after="0" w:line="240" w:lineRule="auto"/>
              <w:rPr>
                <w:rFonts w:ascii="Arial" w:hAnsi="Arial" w:cs="Arial"/>
                <w:sz w:val="16"/>
                <w:szCs w:val="16"/>
              </w:rPr>
            </w:pPr>
          </w:p>
        </w:tc>
      </w:tr>
      <w:tr w:rsidR="005251ED" w:rsidRPr="00756461" w14:paraId="64807B04" w14:textId="77777777" w:rsidTr="005251ED">
        <w:trPr>
          <w:trHeight w:val="20"/>
        </w:trPr>
        <w:tc>
          <w:tcPr>
            <w:tcW w:w="0" w:type="auto"/>
            <w:vMerge/>
            <w:tcBorders>
              <w:left w:val="single" w:sz="4" w:space="0" w:color="000000"/>
              <w:right w:val="single" w:sz="4" w:space="0" w:color="000000"/>
            </w:tcBorders>
            <w:tcMar>
              <w:top w:w="60" w:type="dxa"/>
              <w:left w:w="100" w:type="dxa"/>
              <w:bottom w:w="60" w:type="dxa"/>
              <w:right w:w="100" w:type="dxa"/>
            </w:tcMar>
          </w:tcPr>
          <w:p w14:paraId="64E7BBBB" w14:textId="77777777" w:rsidR="005251ED" w:rsidRPr="00756461" w:rsidRDefault="005251ED" w:rsidP="00C81EA7">
            <w:pPr>
              <w:spacing w:after="0" w:line="240" w:lineRule="auto"/>
              <w:rPr>
                <w:rFonts w:ascii="Arial" w:hAnsi="Arial" w:cs="Arial"/>
                <w:sz w:val="16"/>
                <w:szCs w:val="16"/>
              </w:rPr>
            </w:pPr>
          </w:p>
        </w:tc>
        <w:tc>
          <w:tcPr>
            <w:tcW w:w="0" w:type="auto"/>
            <w:vMerge w:val="restart"/>
            <w:tcBorders>
              <w:top w:val="single" w:sz="4" w:space="0" w:color="000000"/>
              <w:left w:val="single" w:sz="4" w:space="0" w:color="000000"/>
              <w:right w:val="single" w:sz="4" w:space="0" w:color="000000"/>
            </w:tcBorders>
            <w:tcMar>
              <w:top w:w="60" w:type="dxa"/>
              <w:left w:w="100" w:type="dxa"/>
              <w:bottom w:w="60" w:type="dxa"/>
              <w:right w:w="100" w:type="dxa"/>
            </w:tcMar>
          </w:tcPr>
          <w:p w14:paraId="2919E7F3"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b/>
                <w:bCs/>
                <w:sz w:val="16"/>
                <w:szCs w:val="16"/>
              </w:rPr>
              <w:t>Non-SSA</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1E42825"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sz w:val="16"/>
                <w:szCs w:val="16"/>
              </w:rPr>
              <w:t>Stillbirth only</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8E50F9A"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16</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6943999"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.0.784</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F727455"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0.610–0.992</w:t>
            </w:r>
          </w:p>
        </w:tc>
        <w:tc>
          <w:tcPr>
            <w:tcW w:w="0" w:type="auto"/>
            <w:tcBorders>
              <w:top w:val="single" w:sz="4" w:space="0" w:color="000000"/>
              <w:left w:val="single" w:sz="4" w:space="0" w:color="000000"/>
              <w:bottom w:val="single" w:sz="4" w:space="0" w:color="000000"/>
              <w:right w:val="single" w:sz="4" w:space="0" w:color="000000"/>
            </w:tcBorders>
          </w:tcPr>
          <w:p w14:paraId="34E59AE0"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b/>
                <w:bCs/>
                <w:sz w:val="16"/>
                <w:szCs w:val="16"/>
              </w:rPr>
              <w:t>.0.992</w:t>
            </w:r>
          </w:p>
        </w:tc>
        <w:tc>
          <w:tcPr>
            <w:tcW w:w="769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7734D7A" w14:textId="715329D7" w:rsidR="005251ED" w:rsidRPr="00756461" w:rsidRDefault="005251ED" w:rsidP="00C81EA7">
            <w:pPr>
              <w:spacing w:after="0" w:line="240" w:lineRule="auto"/>
              <w:rPr>
                <w:rFonts w:ascii="Arial" w:hAnsi="Arial" w:cs="Arial"/>
                <w:sz w:val="16"/>
                <w:szCs w:val="16"/>
              </w:rPr>
            </w:pPr>
            <w:r>
              <w:rPr>
                <w:rFonts w:ascii="Arial" w:eastAsia="Arial Narrow" w:hAnsi="Arial" w:cs="Arial"/>
                <w:sz w:val="16"/>
                <w:szCs w:val="16"/>
              </w:rPr>
              <w:t>First-trimester combined microRNA screening (binary logistic regression). Predictors: 6 plasma microRNAs measured at 10–13 weeks (miR-181a-5p, miR-20a-5p, miR-146a-5p, miR-574-3p, miR-1-3p, miR-16-5p); maternal clinical characteristics were not added because the miRNA-only model already achieved high detection. Sample: 6,440 singleton pregnancies, Czech Republic (Hromadnikova et al. 2024, Front Cell Dev</w:t>
            </w:r>
            <w:r>
              <w:rPr>
                <w:rFonts w:ascii="Arial" w:hAnsi="Arial" w:cs="Arial"/>
                <w:sz w:val="16"/>
                <w:szCs w:val="16"/>
              </w:rPr>
              <w:t xml:space="preserve">. </w:t>
            </w:r>
            <w:r>
              <w:rPr>
                <w:rFonts w:ascii="Arial" w:eastAsia="Arial Narrow" w:hAnsi="Arial" w:cs="Arial"/>
                <w:sz w:val="16"/>
                <w:szCs w:val="16"/>
              </w:rPr>
              <w:t xml:space="preserve">Validation: internal (logistic regression on the singleton-pregnancy cohort). Performance for stillbirth: AUC 0.967 (95% CI 0.912–0.992); detection rate 91.67% at 10% FPR; specificity 100.00% (95% CI 95.5–100.0). </w:t>
            </w:r>
          </w:p>
        </w:tc>
        <w:tc>
          <w:tcPr>
            <w:tcW w:w="105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D7033CF" w14:textId="1824E1F3" w:rsidR="005251ED" w:rsidRPr="00756461" w:rsidRDefault="00756461" w:rsidP="00C81EA7">
            <w:pPr>
              <w:spacing w:after="0" w:line="240" w:lineRule="auto"/>
              <w:rPr>
                <w:rFonts w:ascii="Arial" w:hAnsi="Arial" w:cs="Arial"/>
                <w:sz w:val="16"/>
                <w:szCs w:val="16"/>
              </w:rPr>
            </w:pPr>
            <w:r>
              <w:rPr>
                <w:rFonts w:ascii="Arial" w:eastAsia="Arial Narrow" w:hAnsi="Arial" w:cs="Arial"/>
                <w:sz w:val="16"/>
                <w:szCs w:val="16"/>
              </w:rPr>
              <w:t xml:space="preserve">[59*, 34, 58, 87, 54, 107, 94, 61, 115, 119, 37, 102, </w:t>
            </w:r>
            <w:r>
              <w:rPr>
                <w:rFonts w:ascii="Arial" w:eastAsia="Arial Narrow" w:hAnsi="Arial" w:cs="Arial"/>
                <w:sz w:val="16"/>
                <w:szCs w:val="16"/>
                <w:highlight w:val="yellow"/>
              </w:rPr>
              <w:t>120</w:t>
            </w:r>
            <w:r>
              <w:rPr>
                <w:rFonts w:ascii="Arial" w:eastAsia="Arial Narrow" w:hAnsi="Arial" w:cs="Arial"/>
                <w:sz w:val="16"/>
                <w:szCs w:val="16"/>
              </w:rPr>
              <w:t xml:space="preserve">, 35, 106, 80, </w:t>
            </w:r>
            <w:r>
              <w:rPr>
                <w:rFonts w:ascii="Arial" w:eastAsia="Arial Narrow" w:hAnsi="Arial" w:cs="Arial"/>
                <w:sz w:val="16"/>
                <w:szCs w:val="16"/>
                <w:highlight w:val="yellow"/>
              </w:rPr>
              <w:t>121</w:t>
            </w:r>
            <w:r>
              <w:rPr>
                <w:rFonts w:ascii="Arial" w:eastAsia="Arial Narrow" w:hAnsi="Arial" w:cs="Arial"/>
                <w:sz w:val="16"/>
                <w:szCs w:val="16"/>
              </w:rPr>
              <w:t>]</w:t>
            </w:r>
          </w:p>
        </w:tc>
      </w:tr>
      <w:tr w:rsidR="005251ED" w:rsidRPr="00756461" w14:paraId="1244DC88" w14:textId="77777777" w:rsidTr="005251ED">
        <w:trPr>
          <w:trHeight w:val="20"/>
        </w:trPr>
        <w:tc>
          <w:tcPr>
            <w:tcW w:w="0" w:type="auto"/>
            <w:vMerge/>
            <w:tcBorders>
              <w:left w:val="single" w:sz="4" w:space="0" w:color="000000"/>
              <w:right w:val="single" w:sz="4" w:space="0" w:color="000000"/>
            </w:tcBorders>
            <w:tcMar>
              <w:top w:w="60" w:type="dxa"/>
              <w:left w:w="100" w:type="dxa"/>
              <w:bottom w:w="60" w:type="dxa"/>
              <w:right w:w="100" w:type="dxa"/>
            </w:tcMar>
          </w:tcPr>
          <w:p w14:paraId="2FFC3B18" w14:textId="77777777" w:rsidR="005251ED" w:rsidRPr="00756461" w:rsidRDefault="005251ED" w:rsidP="00C81EA7">
            <w:pPr>
              <w:spacing w:after="0" w:line="240" w:lineRule="auto"/>
              <w:rPr>
                <w:rFonts w:ascii="Arial" w:hAnsi="Arial" w:cs="Arial"/>
                <w:sz w:val="16"/>
                <w:szCs w:val="16"/>
              </w:rPr>
            </w:pPr>
          </w:p>
        </w:tc>
        <w:tc>
          <w:tcPr>
            <w:tcW w:w="0" w:type="auto"/>
            <w:vMerge/>
            <w:tcBorders>
              <w:left w:val="single" w:sz="4" w:space="0" w:color="000000"/>
              <w:right w:val="single" w:sz="4" w:space="0" w:color="000000"/>
            </w:tcBorders>
            <w:tcMar>
              <w:top w:w="60" w:type="dxa"/>
              <w:left w:w="100" w:type="dxa"/>
              <w:bottom w:w="60" w:type="dxa"/>
              <w:right w:w="100" w:type="dxa"/>
            </w:tcMar>
          </w:tcPr>
          <w:p w14:paraId="7A73DE1C" w14:textId="77777777" w:rsidR="005251ED" w:rsidRPr="00756461" w:rsidRDefault="005251ED" w:rsidP="00C81EA7">
            <w:pPr>
              <w:spacing w:after="0" w:line="240" w:lineRule="auto"/>
              <w:rPr>
                <w:rFonts w:ascii="Arial" w:hAnsi="Arial" w:cs="Arial"/>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A1CC292"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sz w:val="16"/>
                <w:szCs w:val="16"/>
              </w:rPr>
              <w:t>Neonatal death only</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C61322E"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7</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7CEF211"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0.830</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9294A78"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0.737–0.903</w:t>
            </w:r>
          </w:p>
        </w:tc>
        <w:tc>
          <w:tcPr>
            <w:tcW w:w="0" w:type="auto"/>
            <w:tcBorders>
              <w:top w:val="single" w:sz="4" w:space="0" w:color="000000"/>
              <w:left w:val="single" w:sz="4" w:space="0" w:color="000000"/>
              <w:bottom w:val="single" w:sz="4" w:space="0" w:color="000000"/>
              <w:right w:val="single" w:sz="4" w:space="0" w:color="000000"/>
            </w:tcBorders>
          </w:tcPr>
          <w:p w14:paraId="701AC4B1"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b/>
                <w:bCs/>
                <w:sz w:val="16"/>
                <w:szCs w:val="16"/>
              </w:rPr>
              <w:t>0.903</w:t>
            </w:r>
          </w:p>
        </w:tc>
        <w:tc>
          <w:tcPr>
            <w:tcW w:w="769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DF8B81B" w14:textId="4EE7ACA5" w:rsidR="005251ED" w:rsidRPr="00756461" w:rsidRDefault="005251ED" w:rsidP="00C81EA7">
            <w:pPr>
              <w:spacing w:after="0" w:line="240" w:lineRule="auto"/>
              <w:rPr>
                <w:rFonts w:ascii="Arial" w:hAnsi="Arial" w:cs="Arial"/>
                <w:sz w:val="16"/>
                <w:szCs w:val="16"/>
              </w:rPr>
            </w:pPr>
            <w:r>
              <w:rPr>
                <w:rFonts w:ascii="Arial" w:eastAsia="Arial Narrow" w:hAnsi="Arial" w:cs="Arial"/>
                <w:sz w:val="16"/>
                <w:szCs w:val="16"/>
              </w:rPr>
              <w:t xml:space="preserve">Multivariable binary logistic regression (forward selection) for 1-year mortality in neonatal cholestasis. Predictors retained: 7 routinely available laboratory indices — platelet count, prothrombin time (PT INR), aspartate aminotransferase (AST), albumin, direct bilirubin, creatinine, C-reactive protein. Sample: 4,028 neonates with direct bilirubin &gt;1.0 mg/dL enrolled (398 [9.9%] died &lt;1 year); 2,661-neonate complete-case subset (without missing PT INR) used as main reference for development; n=920 from 2 other South Korean centres for external validation (Choi et al. 2022). Validation: internal (bootstrap and split-sample) + </w:t>
            </w:r>
            <w:r>
              <w:rPr>
                <w:rFonts w:ascii="Arial" w:eastAsia="Arial Narrow" w:hAnsi="Arial" w:cs="Arial"/>
                <w:sz w:val="16"/>
                <w:szCs w:val="16"/>
              </w:rPr>
              <w:lastRenderedPageBreak/>
              <w:t>external (independent two-centre cohort). Performance: development AUC 0.916; external validation AUC 0.903; calibration slope 1.04; Brier 0.072.</w:t>
            </w:r>
          </w:p>
        </w:tc>
        <w:tc>
          <w:tcPr>
            <w:tcW w:w="105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9BBBCBF" w14:textId="1E27A28D" w:rsidR="005251ED" w:rsidRPr="00756461" w:rsidRDefault="00756461" w:rsidP="00C81EA7">
            <w:pPr>
              <w:spacing w:after="0" w:line="240" w:lineRule="auto"/>
              <w:rPr>
                <w:rFonts w:ascii="Arial" w:hAnsi="Arial" w:cs="Arial"/>
                <w:sz w:val="16"/>
                <w:szCs w:val="16"/>
              </w:rPr>
            </w:pPr>
            <w:r>
              <w:rPr>
                <w:rFonts w:ascii="Arial" w:eastAsia="Arial Narrow" w:hAnsi="Arial" w:cs="Arial"/>
                <w:sz w:val="16"/>
                <w:szCs w:val="16"/>
              </w:rPr>
              <w:lastRenderedPageBreak/>
              <w:t>[46*, 85, 60, 57, 79, 56, 71]</w:t>
            </w:r>
          </w:p>
        </w:tc>
      </w:tr>
      <w:tr w:rsidR="005251ED" w:rsidRPr="00756461" w14:paraId="588035E7" w14:textId="77777777" w:rsidTr="005251ED">
        <w:trPr>
          <w:trHeight w:val="20"/>
        </w:trPr>
        <w:tc>
          <w:tcPr>
            <w:tcW w:w="0" w:type="auto"/>
            <w:vMerge/>
            <w:tcBorders>
              <w:left w:val="single" w:sz="4" w:space="0" w:color="000000"/>
              <w:bottom w:val="single" w:sz="4" w:space="0" w:color="000000"/>
              <w:right w:val="single" w:sz="4" w:space="0" w:color="000000"/>
            </w:tcBorders>
            <w:tcMar>
              <w:top w:w="60" w:type="dxa"/>
              <w:left w:w="100" w:type="dxa"/>
              <w:bottom w:w="60" w:type="dxa"/>
              <w:right w:w="100" w:type="dxa"/>
            </w:tcMar>
          </w:tcPr>
          <w:p w14:paraId="76CD0B85" w14:textId="77777777" w:rsidR="005251ED" w:rsidRPr="00756461" w:rsidRDefault="005251ED" w:rsidP="00C81EA7">
            <w:pPr>
              <w:spacing w:after="0" w:line="240" w:lineRule="auto"/>
              <w:rPr>
                <w:rFonts w:ascii="Arial" w:hAnsi="Arial" w:cs="Arial"/>
                <w:sz w:val="16"/>
                <w:szCs w:val="16"/>
              </w:rPr>
            </w:pPr>
          </w:p>
        </w:tc>
        <w:tc>
          <w:tcPr>
            <w:tcW w:w="0" w:type="auto"/>
            <w:vMerge/>
            <w:tcBorders>
              <w:left w:val="single" w:sz="4" w:space="0" w:color="000000"/>
              <w:bottom w:val="single" w:sz="4" w:space="0" w:color="000000"/>
              <w:right w:val="single" w:sz="4" w:space="0" w:color="000000"/>
            </w:tcBorders>
            <w:tcMar>
              <w:top w:w="60" w:type="dxa"/>
              <w:left w:w="100" w:type="dxa"/>
              <w:bottom w:w="60" w:type="dxa"/>
              <w:right w:w="100" w:type="dxa"/>
            </w:tcMar>
          </w:tcPr>
          <w:p w14:paraId="333FDD69" w14:textId="77777777" w:rsidR="005251ED" w:rsidRPr="00756461" w:rsidRDefault="005251ED" w:rsidP="00C81EA7">
            <w:pPr>
              <w:spacing w:after="0" w:line="240" w:lineRule="auto"/>
              <w:rPr>
                <w:rFonts w:ascii="Arial" w:hAnsi="Arial" w:cs="Arial"/>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41DD4CB"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sz w:val="16"/>
                <w:szCs w:val="16"/>
              </w:rPr>
              <w:t>Both</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7794CCE"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6</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3846B9B"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0.840</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A20DB06"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0.710–0.990</w:t>
            </w:r>
          </w:p>
        </w:tc>
        <w:tc>
          <w:tcPr>
            <w:tcW w:w="0" w:type="auto"/>
            <w:tcBorders>
              <w:top w:val="single" w:sz="4" w:space="0" w:color="000000"/>
              <w:left w:val="single" w:sz="4" w:space="0" w:color="000000"/>
              <w:bottom w:val="single" w:sz="4" w:space="0" w:color="000000"/>
              <w:right w:val="single" w:sz="4" w:space="0" w:color="000000"/>
            </w:tcBorders>
          </w:tcPr>
          <w:p w14:paraId="297F341F"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b/>
                <w:bCs/>
                <w:sz w:val="16"/>
                <w:szCs w:val="16"/>
              </w:rPr>
              <w:t>0.990</w:t>
            </w:r>
          </w:p>
        </w:tc>
        <w:tc>
          <w:tcPr>
            <w:tcW w:w="769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FFF52EB" w14:textId="61A80034" w:rsidR="005251ED" w:rsidRPr="00756461" w:rsidRDefault="005251ED" w:rsidP="00C81EA7">
            <w:pPr>
              <w:spacing w:after="0" w:line="240" w:lineRule="auto"/>
              <w:rPr>
                <w:rFonts w:ascii="Arial" w:hAnsi="Arial" w:cs="Arial"/>
                <w:sz w:val="16"/>
                <w:szCs w:val="16"/>
              </w:rPr>
            </w:pPr>
            <w:r>
              <w:rPr>
                <w:rFonts w:ascii="Arial" w:eastAsia="Arial Narrow" w:hAnsi="Arial" w:cs="Arial"/>
                <w:sz w:val="16"/>
                <w:szCs w:val="16"/>
              </w:rPr>
              <w:t xml:space="preserve">Multivariable logistic regression for adverse maternal and perinatal outcomes after major trauma in pregnancy. Predictors retained in maternal model: Injury Severity Score (ISS) — binary at cut-off ≥8; gestational age (in the perinatal models). Sample: 119 pregnant trauma patients admitted to one of 2 </w:t>
            </w:r>
            <w:proofErr w:type="gramStart"/>
            <w:r>
              <w:rPr>
                <w:rFonts w:ascii="Arial" w:eastAsia="Arial Narrow" w:hAnsi="Arial" w:cs="Arial"/>
                <w:sz w:val="16"/>
                <w:szCs w:val="16"/>
              </w:rPr>
              <w:t>level-1</w:t>
            </w:r>
            <w:proofErr w:type="gramEnd"/>
            <w:r>
              <w:rPr>
                <w:rFonts w:ascii="Arial" w:eastAsia="Arial Narrow" w:hAnsi="Arial" w:cs="Arial"/>
                <w:sz w:val="16"/>
                <w:szCs w:val="16"/>
              </w:rPr>
              <w:t xml:space="preserve"> trauma centres, USA (Dalton et al. 2023). Validation: not externally validated (single-cohort retrospective analysis). Performance: maternal AUC 0.990 (±0.006); ISS ≥8 sensitivity 96.8%, specificity 92.0%. (Short-term perinatal AUC 0.755 with ISS ≥3; long-term perinatal AUC 0.763 with ISS ≥2.)</w:t>
            </w:r>
          </w:p>
        </w:tc>
        <w:tc>
          <w:tcPr>
            <w:tcW w:w="105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11CCA0D" w14:textId="4DEBE94C" w:rsidR="005251ED" w:rsidRPr="00756461" w:rsidRDefault="00756461" w:rsidP="00C81EA7">
            <w:pPr>
              <w:spacing w:after="0" w:line="240" w:lineRule="auto"/>
              <w:rPr>
                <w:rFonts w:ascii="Arial" w:hAnsi="Arial" w:cs="Arial"/>
                <w:sz w:val="16"/>
                <w:szCs w:val="16"/>
              </w:rPr>
            </w:pPr>
            <w:r>
              <w:rPr>
                <w:rFonts w:ascii="Arial" w:eastAsia="Arial Narrow" w:hAnsi="Arial" w:cs="Arial"/>
                <w:sz w:val="16"/>
                <w:szCs w:val="16"/>
              </w:rPr>
              <w:t>[49*, 110, 89, 104, 90, 52]</w:t>
            </w:r>
          </w:p>
        </w:tc>
      </w:tr>
      <w:tr w:rsidR="005251ED" w:rsidRPr="00756461" w14:paraId="6C912680" w14:textId="77777777" w:rsidTr="005251ED">
        <w:trPr>
          <w:trHeight w:val="20"/>
        </w:trPr>
        <w:tc>
          <w:tcPr>
            <w:tcW w:w="0" w:type="auto"/>
            <w:vMerge w:val="restart"/>
            <w:tcBorders>
              <w:top w:val="single" w:sz="4" w:space="0" w:color="000000"/>
              <w:left w:val="single" w:sz="4" w:space="0" w:color="000000"/>
              <w:right w:val="single" w:sz="4" w:space="0" w:color="000000"/>
            </w:tcBorders>
            <w:tcMar>
              <w:top w:w="60" w:type="dxa"/>
              <w:left w:w="100" w:type="dxa"/>
              <w:bottom w:w="60" w:type="dxa"/>
              <w:right w:w="100" w:type="dxa"/>
            </w:tcMar>
          </w:tcPr>
          <w:p w14:paraId="49A0CF4F"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b/>
                <w:bCs/>
                <w:sz w:val="16"/>
                <w:szCs w:val="16"/>
              </w:rPr>
              <w:t>Classical + ML</w:t>
            </w:r>
          </w:p>
        </w:tc>
        <w:tc>
          <w:tcPr>
            <w:tcW w:w="0" w:type="auto"/>
            <w:vMerge w:val="restart"/>
            <w:tcBorders>
              <w:top w:val="single" w:sz="4" w:space="0" w:color="000000"/>
              <w:left w:val="single" w:sz="4" w:space="0" w:color="000000"/>
              <w:right w:val="single" w:sz="4" w:space="0" w:color="000000"/>
            </w:tcBorders>
            <w:tcMar>
              <w:top w:w="60" w:type="dxa"/>
              <w:left w:w="100" w:type="dxa"/>
              <w:bottom w:w="60" w:type="dxa"/>
              <w:right w:w="100" w:type="dxa"/>
            </w:tcMar>
          </w:tcPr>
          <w:p w14:paraId="393DF539"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b/>
                <w:bCs/>
                <w:sz w:val="16"/>
                <w:szCs w:val="16"/>
              </w:rPr>
              <w:t>SSA</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8F55849"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sz w:val="16"/>
                <w:szCs w:val="16"/>
              </w:rPr>
              <w:t>Stillbirth only</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748B46D"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2</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B3E6D26"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0.846</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4EE2373"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0.842–0.850</w:t>
            </w:r>
          </w:p>
        </w:tc>
        <w:tc>
          <w:tcPr>
            <w:tcW w:w="0" w:type="auto"/>
            <w:tcBorders>
              <w:top w:val="single" w:sz="4" w:space="0" w:color="000000"/>
              <w:left w:val="single" w:sz="4" w:space="0" w:color="000000"/>
              <w:bottom w:val="single" w:sz="4" w:space="0" w:color="000000"/>
              <w:right w:val="single" w:sz="4" w:space="0" w:color="000000"/>
            </w:tcBorders>
          </w:tcPr>
          <w:p w14:paraId="3ED2A1AF"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b/>
                <w:bCs/>
                <w:sz w:val="16"/>
                <w:szCs w:val="16"/>
              </w:rPr>
              <w:t>0.850</w:t>
            </w:r>
          </w:p>
        </w:tc>
        <w:tc>
          <w:tcPr>
            <w:tcW w:w="769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91852D" w14:textId="6A3918CD" w:rsidR="005251ED" w:rsidRPr="00756461" w:rsidRDefault="005251ED" w:rsidP="00C81EA7">
            <w:pPr>
              <w:spacing w:after="0" w:line="240" w:lineRule="auto"/>
              <w:rPr>
                <w:rFonts w:ascii="Arial" w:hAnsi="Arial" w:cs="Arial"/>
                <w:sz w:val="16"/>
                <w:szCs w:val="16"/>
              </w:rPr>
            </w:pPr>
            <w:r>
              <w:rPr>
                <w:rFonts w:ascii="Arial" w:eastAsia="Arial Narrow" w:hAnsi="Arial" w:cs="Arial"/>
                <w:sz w:val="16"/>
                <w:szCs w:val="16"/>
              </w:rPr>
              <w:t>Random forest (best of 6 models: LR, DT, SVM, GB, RF, MLP) for composite adverse pregnancy outcome. Predictors: socioeconomic status (occupation, insurance), health status (Hep B, Hep C, HIV), reproductive health (number of pregnancies, live births, abortions, preterm deliveries, gestational age), pregnancy/delivery (vital signs, mode of delivery, laboratory measures); features finalised after MICE imputation for numerical and KNN for categorical missingness. Sample: 32,783 women (after exclusions from 117,069) across 25 hospitals in Rwanda, EMR data 2020–2023; 5,424 (16.5%) had adverse pregnancy outcome — a binary composite of adverse outcomes in mother and/or newborn (Sylvain 2025). Validation: internal only (10-fold cross-validation on training set; 70/30 hold-out split for evaluation). Performance: ROC-AUC 0.850; accuracy 90.6%; recall 46.5%. Note: outcome is a composite of maternal and newborn adverse events, not stillbirth-only; the cell categorisation should be reviewed.</w:t>
            </w:r>
          </w:p>
        </w:tc>
        <w:tc>
          <w:tcPr>
            <w:tcW w:w="105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6AED794" w14:textId="3BF42A8E" w:rsidR="005251ED" w:rsidRPr="00756461" w:rsidRDefault="00756461" w:rsidP="00C81EA7">
            <w:pPr>
              <w:spacing w:after="0" w:line="240" w:lineRule="auto"/>
              <w:rPr>
                <w:rFonts w:ascii="Arial" w:hAnsi="Arial" w:cs="Arial"/>
                <w:sz w:val="16"/>
                <w:szCs w:val="16"/>
              </w:rPr>
            </w:pPr>
            <w:r>
              <w:rPr>
                <w:rFonts w:ascii="Arial" w:eastAsia="Arial Narrow" w:hAnsi="Arial" w:cs="Arial"/>
                <w:sz w:val="16"/>
                <w:szCs w:val="16"/>
              </w:rPr>
              <w:t>[98*, 68]</w:t>
            </w:r>
          </w:p>
        </w:tc>
      </w:tr>
      <w:tr w:rsidR="005251ED" w:rsidRPr="00756461" w14:paraId="1E5D14B7" w14:textId="77777777" w:rsidTr="005251ED">
        <w:trPr>
          <w:trHeight w:val="20"/>
        </w:trPr>
        <w:tc>
          <w:tcPr>
            <w:tcW w:w="0" w:type="auto"/>
            <w:vMerge/>
            <w:tcBorders>
              <w:left w:val="single" w:sz="4" w:space="0" w:color="000000"/>
              <w:right w:val="single" w:sz="4" w:space="0" w:color="000000"/>
            </w:tcBorders>
            <w:tcMar>
              <w:top w:w="60" w:type="dxa"/>
              <w:left w:w="100" w:type="dxa"/>
              <w:bottom w:w="60" w:type="dxa"/>
              <w:right w:w="100" w:type="dxa"/>
            </w:tcMar>
          </w:tcPr>
          <w:p w14:paraId="177EDF42" w14:textId="77777777" w:rsidR="005251ED" w:rsidRPr="00756461" w:rsidRDefault="005251ED" w:rsidP="00C81EA7">
            <w:pPr>
              <w:spacing w:after="0" w:line="240" w:lineRule="auto"/>
              <w:rPr>
                <w:rFonts w:ascii="Arial" w:hAnsi="Arial" w:cs="Arial"/>
                <w:sz w:val="16"/>
                <w:szCs w:val="16"/>
              </w:rPr>
            </w:pPr>
          </w:p>
        </w:tc>
        <w:tc>
          <w:tcPr>
            <w:tcW w:w="0" w:type="auto"/>
            <w:vMerge/>
            <w:tcBorders>
              <w:left w:val="single" w:sz="4" w:space="0" w:color="000000"/>
              <w:bottom w:val="single" w:sz="4" w:space="0" w:color="000000"/>
              <w:right w:val="single" w:sz="4" w:space="0" w:color="000000"/>
            </w:tcBorders>
            <w:tcMar>
              <w:top w:w="60" w:type="dxa"/>
              <w:left w:w="100" w:type="dxa"/>
              <w:bottom w:w="60" w:type="dxa"/>
              <w:right w:w="100" w:type="dxa"/>
            </w:tcMar>
          </w:tcPr>
          <w:p w14:paraId="7947AA09" w14:textId="77777777" w:rsidR="005251ED" w:rsidRPr="00756461" w:rsidRDefault="005251ED" w:rsidP="00C81EA7">
            <w:pPr>
              <w:spacing w:after="0" w:line="240" w:lineRule="auto"/>
              <w:rPr>
                <w:rFonts w:ascii="Arial" w:hAnsi="Arial" w:cs="Arial"/>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D530AEA"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sz w:val="16"/>
                <w:szCs w:val="16"/>
              </w:rPr>
              <w:t>Neonatal death only</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5D67F5D"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1</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0E0C9C9"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0.996</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AA9E3F0"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0.996</w:t>
            </w:r>
          </w:p>
        </w:tc>
        <w:tc>
          <w:tcPr>
            <w:tcW w:w="0" w:type="auto"/>
            <w:tcBorders>
              <w:top w:val="single" w:sz="4" w:space="0" w:color="000000"/>
              <w:left w:val="single" w:sz="4" w:space="0" w:color="000000"/>
              <w:bottom w:val="single" w:sz="4" w:space="0" w:color="000000"/>
              <w:right w:val="single" w:sz="4" w:space="0" w:color="000000"/>
            </w:tcBorders>
          </w:tcPr>
          <w:p w14:paraId="029A1F58"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b/>
                <w:bCs/>
                <w:sz w:val="16"/>
                <w:szCs w:val="16"/>
              </w:rPr>
              <w:t>0.996</w:t>
            </w:r>
          </w:p>
        </w:tc>
        <w:tc>
          <w:tcPr>
            <w:tcW w:w="769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DB12C70" w14:textId="56EF09DA" w:rsidR="005251ED" w:rsidRPr="00756461" w:rsidRDefault="005251ED" w:rsidP="00C81EA7">
            <w:pPr>
              <w:spacing w:after="0" w:line="240" w:lineRule="auto"/>
              <w:rPr>
                <w:rFonts w:ascii="Arial" w:hAnsi="Arial" w:cs="Arial"/>
                <w:sz w:val="16"/>
                <w:szCs w:val="16"/>
              </w:rPr>
            </w:pPr>
            <w:r>
              <w:rPr>
                <w:rFonts w:ascii="Arial" w:eastAsia="Arial Narrow" w:hAnsi="Arial" w:cs="Arial"/>
                <w:sz w:val="16"/>
                <w:szCs w:val="16"/>
              </w:rPr>
              <w:t>CatBoost ensemble (best of 6 models: RF, GB, XGBoost, LightGBM, CatBoost, LR) for neonatal mortality in rural Ethiopia. Predictors retained: 22 features selected by step-backward wrapper from 50 candidates — demographic/socio-economic (b0 twin status, b11 preceding birth interval, bord birth order, v024 region, v113 drinking-water source, v137 number of under-fives in household, v152 household-head age, v190 wealth index, v201 total children ever born, v218 living children); maternal-health (m45 iron tablets in pregnancy, m42e blood samples, m42d urine samples); child-health (h2 BCG, h0 polio, h10 ever vaccinated, h11 recent diarrhoea, h33 Vitamin A, hw57 anaemia, m18 birth size); household (v426 timing of breastfeeding initiation, v717 occupation of household head). Sample: 22,229 EDHS records (rural Ethiopia, 2000–2019) balanced to 29,048 with SMOTE; 14,524 alive vs 7,705 dead before SMOTE (Mengstie &amp; Telake 2025). Validation: internal only — 80/20 train–test split (18,590 train / 4,648 validation / 5,810 test); GridSearchCV (CatBoost depth 10, learning rate 0.03, iterations 700); SHAP for explainability. Performance: AUC 0.9957; accuracy 97.5%; precision 97.52%; recall 97.5%; F1 97.5%.</w:t>
            </w:r>
          </w:p>
        </w:tc>
        <w:tc>
          <w:tcPr>
            <w:tcW w:w="105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102AABE" w14:textId="30A7BAB9" w:rsidR="005251ED" w:rsidRPr="00756461" w:rsidRDefault="00756461" w:rsidP="00C81EA7">
            <w:pPr>
              <w:spacing w:after="0" w:line="240" w:lineRule="auto"/>
              <w:rPr>
                <w:rFonts w:ascii="Arial" w:hAnsi="Arial" w:cs="Arial"/>
                <w:sz w:val="16"/>
                <w:szCs w:val="16"/>
              </w:rPr>
            </w:pPr>
            <w:r>
              <w:rPr>
                <w:rFonts w:ascii="Arial" w:eastAsia="Arial Narrow" w:hAnsi="Arial" w:cs="Arial"/>
                <w:sz w:val="16"/>
                <w:szCs w:val="16"/>
              </w:rPr>
              <w:t>[113*]</w:t>
            </w:r>
          </w:p>
        </w:tc>
      </w:tr>
      <w:tr w:rsidR="005251ED" w:rsidRPr="00756461" w14:paraId="067F9B65" w14:textId="77777777" w:rsidTr="005251ED">
        <w:trPr>
          <w:trHeight w:val="20"/>
        </w:trPr>
        <w:tc>
          <w:tcPr>
            <w:tcW w:w="0" w:type="auto"/>
            <w:vMerge/>
            <w:tcBorders>
              <w:left w:val="single" w:sz="4" w:space="0" w:color="000000"/>
              <w:right w:val="single" w:sz="4" w:space="0" w:color="000000"/>
            </w:tcBorders>
            <w:tcMar>
              <w:top w:w="60" w:type="dxa"/>
              <w:left w:w="100" w:type="dxa"/>
              <w:bottom w:w="60" w:type="dxa"/>
              <w:right w:w="100" w:type="dxa"/>
            </w:tcMar>
          </w:tcPr>
          <w:p w14:paraId="73F07436" w14:textId="77777777" w:rsidR="005251ED" w:rsidRPr="00756461" w:rsidRDefault="005251ED" w:rsidP="00C81EA7">
            <w:pPr>
              <w:spacing w:after="0" w:line="240" w:lineRule="auto"/>
              <w:rPr>
                <w:rFonts w:ascii="Arial" w:hAnsi="Arial" w:cs="Arial"/>
                <w:sz w:val="16"/>
                <w:szCs w:val="16"/>
              </w:rPr>
            </w:pPr>
          </w:p>
        </w:tc>
        <w:tc>
          <w:tcPr>
            <w:tcW w:w="0" w:type="auto"/>
            <w:vMerge w:val="restart"/>
            <w:tcBorders>
              <w:top w:val="single" w:sz="4" w:space="0" w:color="000000"/>
              <w:left w:val="single" w:sz="4" w:space="0" w:color="000000"/>
              <w:right w:val="single" w:sz="4" w:space="0" w:color="000000"/>
            </w:tcBorders>
            <w:tcMar>
              <w:top w:w="60" w:type="dxa"/>
              <w:left w:w="100" w:type="dxa"/>
              <w:bottom w:w="60" w:type="dxa"/>
              <w:right w:w="100" w:type="dxa"/>
            </w:tcMar>
          </w:tcPr>
          <w:p w14:paraId="6AA7439C"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b/>
                <w:bCs/>
                <w:sz w:val="16"/>
                <w:szCs w:val="16"/>
              </w:rPr>
              <w:t>Non-SSA</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DD9AB96"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sz w:val="16"/>
                <w:szCs w:val="16"/>
              </w:rPr>
              <w:t>Stillbirth only</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2987342"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5</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D8A75AD"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0.860</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3D171B9"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0.730–0.916</w:t>
            </w:r>
          </w:p>
        </w:tc>
        <w:tc>
          <w:tcPr>
            <w:tcW w:w="0" w:type="auto"/>
            <w:tcBorders>
              <w:top w:val="single" w:sz="4" w:space="0" w:color="000000"/>
              <w:left w:val="single" w:sz="4" w:space="0" w:color="000000"/>
              <w:bottom w:val="single" w:sz="4" w:space="0" w:color="000000"/>
              <w:right w:val="single" w:sz="4" w:space="0" w:color="000000"/>
            </w:tcBorders>
          </w:tcPr>
          <w:p w14:paraId="5504940E"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b/>
                <w:bCs/>
                <w:sz w:val="16"/>
                <w:szCs w:val="16"/>
              </w:rPr>
              <w:t>0.916</w:t>
            </w:r>
          </w:p>
        </w:tc>
        <w:tc>
          <w:tcPr>
            <w:tcW w:w="769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BB0D2BA" w14:textId="524114B0" w:rsidR="005251ED" w:rsidRPr="00756461" w:rsidRDefault="005251ED" w:rsidP="00C81EA7">
            <w:pPr>
              <w:spacing w:after="0" w:line="240" w:lineRule="auto"/>
              <w:rPr>
                <w:rFonts w:ascii="Arial" w:hAnsi="Arial" w:cs="Arial"/>
                <w:sz w:val="16"/>
                <w:szCs w:val="16"/>
              </w:rPr>
            </w:pPr>
            <w:r>
              <w:rPr>
                <w:rFonts w:ascii="Arial" w:eastAsia="Arial Narrow" w:hAnsi="Arial" w:cs="Arial"/>
                <w:sz w:val="16"/>
                <w:szCs w:val="16"/>
              </w:rPr>
              <w:t>XGBoost (best of LR and XGBoost) for stillbirth or miscarriage in subchorionic-haematoma cohort. Predictors retained: first positive HCG level, hematoma duration, CA125 level, gestational sac diameter, fibrinogen level, spouse age. Sample: 302 pregnant women with subchorionic haematoma (291 retained for final analysis), Guilin People’s Hospital, China (Wang et al. 2024). Validation: internal only (train–test split on single cohort). Performance: AUC 0.916 (XGBoost) vs 0.858 (logistic regression).</w:t>
            </w:r>
          </w:p>
        </w:tc>
        <w:tc>
          <w:tcPr>
            <w:tcW w:w="105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990E3CA" w14:textId="4A73681F" w:rsidR="005251ED" w:rsidRPr="00756461" w:rsidRDefault="00756461" w:rsidP="00C81EA7">
            <w:pPr>
              <w:spacing w:after="0" w:line="240" w:lineRule="auto"/>
              <w:rPr>
                <w:rFonts w:ascii="Arial" w:hAnsi="Arial" w:cs="Arial"/>
                <w:sz w:val="16"/>
                <w:szCs w:val="16"/>
              </w:rPr>
            </w:pPr>
            <w:r>
              <w:rPr>
                <w:rFonts w:ascii="Arial" w:eastAsia="Arial Narrow" w:hAnsi="Arial" w:cs="Arial"/>
                <w:sz w:val="16"/>
                <w:szCs w:val="16"/>
              </w:rPr>
              <w:t>[103*, 64, 67, 70, 41]</w:t>
            </w:r>
          </w:p>
        </w:tc>
      </w:tr>
      <w:tr w:rsidR="005251ED" w:rsidRPr="00756461" w14:paraId="243F00A4" w14:textId="77777777" w:rsidTr="005251ED">
        <w:trPr>
          <w:trHeight w:val="20"/>
        </w:trPr>
        <w:tc>
          <w:tcPr>
            <w:tcW w:w="0" w:type="auto"/>
            <w:vMerge/>
            <w:tcBorders>
              <w:left w:val="single" w:sz="4" w:space="0" w:color="000000"/>
              <w:right w:val="single" w:sz="4" w:space="0" w:color="000000"/>
            </w:tcBorders>
            <w:tcMar>
              <w:top w:w="60" w:type="dxa"/>
              <w:left w:w="100" w:type="dxa"/>
              <w:bottom w:w="60" w:type="dxa"/>
              <w:right w:w="100" w:type="dxa"/>
            </w:tcMar>
          </w:tcPr>
          <w:p w14:paraId="68793174" w14:textId="77777777" w:rsidR="005251ED" w:rsidRPr="00756461" w:rsidRDefault="005251ED" w:rsidP="00C81EA7">
            <w:pPr>
              <w:spacing w:after="0" w:line="240" w:lineRule="auto"/>
              <w:rPr>
                <w:rFonts w:ascii="Arial" w:hAnsi="Arial" w:cs="Arial"/>
                <w:sz w:val="16"/>
                <w:szCs w:val="16"/>
              </w:rPr>
            </w:pPr>
          </w:p>
        </w:tc>
        <w:tc>
          <w:tcPr>
            <w:tcW w:w="0" w:type="auto"/>
            <w:vMerge/>
            <w:tcBorders>
              <w:left w:val="single" w:sz="4" w:space="0" w:color="000000"/>
              <w:right w:val="single" w:sz="4" w:space="0" w:color="000000"/>
            </w:tcBorders>
            <w:tcMar>
              <w:top w:w="60" w:type="dxa"/>
              <w:left w:w="100" w:type="dxa"/>
              <w:bottom w:w="60" w:type="dxa"/>
              <w:right w:w="100" w:type="dxa"/>
            </w:tcMar>
          </w:tcPr>
          <w:p w14:paraId="0C6B1F16" w14:textId="77777777" w:rsidR="005251ED" w:rsidRPr="00756461" w:rsidRDefault="005251ED" w:rsidP="00C81EA7">
            <w:pPr>
              <w:spacing w:after="0" w:line="240" w:lineRule="auto"/>
              <w:rPr>
                <w:rFonts w:ascii="Arial" w:hAnsi="Arial" w:cs="Arial"/>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49450B5"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sz w:val="16"/>
                <w:szCs w:val="16"/>
              </w:rPr>
              <w:t>Neonatal death only</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8E8EEB2"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2</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B19EC52"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0.784</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C8BCE79"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0.678–0.890</w:t>
            </w:r>
          </w:p>
        </w:tc>
        <w:tc>
          <w:tcPr>
            <w:tcW w:w="0" w:type="auto"/>
            <w:tcBorders>
              <w:top w:val="single" w:sz="4" w:space="0" w:color="000000"/>
              <w:left w:val="single" w:sz="4" w:space="0" w:color="000000"/>
              <w:bottom w:val="single" w:sz="4" w:space="0" w:color="000000"/>
              <w:right w:val="single" w:sz="4" w:space="0" w:color="000000"/>
            </w:tcBorders>
          </w:tcPr>
          <w:p w14:paraId="3A7CB2C7"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b/>
                <w:bCs/>
                <w:sz w:val="16"/>
                <w:szCs w:val="16"/>
              </w:rPr>
              <w:t>0.890</w:t>
            </w:r>
          </w:p>
        </w:tc>
        <w:tc>
          <w:tcPr>
            <w:tcW w:w="769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CE34652" w14:textId="38D3FD90" w:rsidR="005251ED" w:rsidRPr="00756461" w:rsidRDefault="005251ED" w:rsidP="00C81EA7">
            <w:pPr>
              <w:spacing w:after="0" w:line="240" w:lineRule="auto"/>
              <w:rPr>
                <w:rFonts w:ascii="Arial" w:hAnsi="Arial" w:cs="Arial"/>
                <w:sz w:val="16"/>
                <w:szCs w:val="16"/>
              </w:rPr>
            </w:pPr>
            <w:r>
              <w:rPr>
                <w:rFonts w:ascii="Arial" w:eastAsia="Arial Narrow" w:hAnsi="Arial" w:cs="Arial"/>
                <w:sz w:val="16"/>
                <w:szCs w:val="16"/>
              </w:rPr>
              <w:t>Superlearner ensemble (14-algorithm library: LASSO/ridge/elastic-net LR, GAM, CART variants, random forest variants) for 30-day postoperative neonatal-surgical mortality. Predictors: 68 candidate variables expanded to 284 binary indicators (CPT-code procedures + ICD-9 congenital anomaly codes); refined to 57 most-predictive variables associated with mortality at p&lt;0.01 in bivariate analysis. Sample: 6,499 development (ACS-NSQIP-Pediatric 2012–2013, 232 [3.57%] deaths) + 3,552 external-validation neonates (ACS-NSQIP-P 2014), USA/Canada (Cooper et al. 2018). Validation: internal (10-fold cross-validated AUROC) + external (independent calendar-year cohort). Performance: development CV-</w:t>
            </w:r>
            <w:r>
              <w:rPr>
                <w:rFonts w:ascii="Arial" w:eastAsia="Arial Narrow" w:hAnsi="Arial" w:cs="Arial"/>
                <w:sz w:val="16"/>
                <w:szCs w:val="16"/>
              </w:rPr>
              <w:lastRenderedPageBreak/>
              <w:t>AUROC 0.91 (95% CI 0.89–0.93); external validation AUROC 0.89; Cox calibration test p=0.63 in validation.</w:t>
            </w:r>
          </w:p>
        </w:tc>
        <w:tc>
          <w:tcPr>
            <w:tcW w:w="105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60DA350" w14:textId="48AD8D7F" w:rsidR="005251ED" w:rsidRPr="00756461" w:rsidRDefault="00756461" w:rsidP="00C81EA7">
            <w:pPr>
              <w:spacing w:after="0" w:line="240" w:lineRule="auto"/>
              <w:rPr>
                <w:rFonts w:ascii="Arial" w:hAnsi="Arial" w:cs="Arial"/>
                <w:sz w:val="16"/>
                <w:szCs w:val="16"/>
              </w:rPr>
            </w:pPr>
            <w:r>
              <w:rPr>
                <w:rFonts w:ascii="Arial" w:eastAsia="Arial Narrow" w:hAnsi="Arial" w:cs="Arial"/>
                <w:sz w:val="16"/>
                <w:szCs w:val="16"/>
              </w:rPr>
              <w:lastRenderedPageBreak/>
              <w:t>[48*, 93]</w:t>
            </w:r>
          </w:p>
        </w:tc>
      </w:tr>
      <w:tr w:rsidR="005251ED" w:rsidRPr="00756461" w14:paraId="576E79A6" w14:textId="77777777" w:rsidTr="005251ED">
        <w:trPr>
          <w:trHeight w:val="20"/>
        </w:trPr>
        <w:tc>
          <w:tcPr>
            <w:tcW w:w="0" w:type="auto"/>
            <w:vMerge/>
            <w:tcBorders>
              <w:left w:val="single" w:sz="4" w:space="0" w:color="000000"/>
              <w:bottom w:val="single" w:sz="4" w:space="0" w:color="000000"/>
              <w:right w:val="single" w:sz="4" w:space="0" w:color="000000"/>
            </w:tcBorders>
            <w:tcMar>
              <w:top w:w="60" w:type="dxa"/>
              <w:left w:w="100" w:type="dxa"/>
              <w:bottom w:w="60" w:type="dxa"/>
              <w:right w:w="100" w:type="dxa"/>
            </w:tcMar>
          </w:tcPr>
          <w:p w14:paraId="20085F7C" w14:textId="77777777" w:rsidR="005251ED" w:rsidRPr="00756461" w:rsidRDefault="005251ED" w:rsidP="00C81EA7">
            <w:pPr>
              <w:spacing w:after="0" w:line="240" w:lineRule="auto"/>
              <w:rPr>
                <w:rFonts w:ascii="Arial" w:hAnsi="Arial" w:cs="Arial"/>
                <w:sz w:val="16"/>
                <w:szCs w:val="16"/>
              </w:rPr>
            </w:pPr>
          </w:p>
        </w:tc>
        <w:tc>
          <w:tcPr>
            <w:tcW w:w="0" w:type="auto"/>
            <w:vMerge/>
            <w:tcBorders>
              <w:left w:val="single" w:sz="4" w:space="0" w:color="000000"/>
              <w:bottom w:val="single" w:sz="4" w:space="0" w:color="000000"/>
              <w:right w:val="single" w:sz="4" w:space="0" w:color="000000"/>
            </w:tcBorders>
            <w:tcMar>
              <w:top w:w="60" w:type="dxa"/>
              <w:left w:w="100" w:type="dxa"/>
              <w:bottom w:w="60" w:type="dxa"/>
              <w:right w:w="100" w:type="dxa"/>
            </w:tcMar>
          </w:tcPr>
          <w:p w14:paraId="7C43CB98" w14:textId="77777777" w:rsidR="005251ED" w:rsidRPr="00756461" w:rsidRDefault="005251ED" w:rsidP="00C81EA7">
            <w:pPr>
              <w:spacing w:after="0" w:line="240" w:lineRule="auto"/>
              <w:rPr>
                <w:rFonts w:ascii="Arial" w:hAnsi="Arial" w:cs="Arial"/>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FE68539"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sz w:val="16"/>
                <w:szCs w:val="16"/>
              </w:rPr>
              <w:t>Both</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991B10D"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3</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542154A"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0.906</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337A25C"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0.780–0.967</w:t>
            </w:r>
          </w:p>
        </w:tc>
        <w:tc>
          <w:tcPr>
            <w:tcW w:w="0" w:type="auto"/>
            <w:tcBorders>
              <w:top w:val="single" w:sz="4" w:space="0" w:color="000000"/>
              <w:left w:val="single" w:sz="4" w:space="0" w:color="000000"/>
              <w:bottom w:val="single" w:sz="4" w:space="0" w:color="000000"/>
              <w:right w:val="single" w:sz="4" w:space="0" w:color="000000"/>
            </w:tcBorders>
          </w:tcPr>
          <w:p w14:paraId="585C5B2B"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b/>
                <w:bCs/>
                <w:sz w:val="16"/>
                <w:szCs w:val="16"/>
              </w:rPr>
              <w:t>0.967</w:t>
            </w:r>
          </w:p>
        </w:tc>
        <w:tc>
          <w:tcPr>
            <w:tcW w:w="769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A225FDA" w14:textId="6298F34D" w:rsidR="005251ED" w:rsidRPr="00756461" w:rsidRDefault="005251ED" w:rsidP="00C81EA7">
            <w:pPr>
              <w:spacing w:after="0" w:line="240" w:lineRule="auto"/>
              <w:rPr>
                <w:rFonts w:ascii="Arial" w:hAnsi="Arial" w:cs="Arial"/>
                <w:sz w:val="16"/>
                <w:szCs w:val="16"/>
              </w:rPr>
            </w:pPr>
            <w:r>
              <w:rPr>
                <w:rFonts w:ascii="Arial" w:eastAsia="Arial Narrow" w:hAnsi="Arial" w:cs="Arial"/>
                <w:sz w:val="16"/>
                <w:szCs w:val="16"/>
              </w:rPr>
              <w:t xml:space="preserve">Logistic regression for adverse neonatal outcome in pre-eclampsia cohort (best discriminator under imputation). Predictors selected for adverse-neonatal-outcome model: top variables identified by feature-selection processes in source paper (e.g. amniotic fluid index among others; full list in source paper). Sample: 733 women with pre-eclampsia, Second Affiliated Hospital of Dalian Medical University and Shengjing Hospital of China Medical University (Zheng et al. 2022). Validation: internal only (split-sample, with and without imputation comparison). Performance for adverse neonatal outcomes: Logistic Regression AUC 0.925, sensitivity 78.2%, specificity 87.3%, PPV 77.2%, NPV 87.9% (with imputation). RF and MLP AUC 0.967” for the LOW-BIRTH-WEIGHT </w:t>
            </w:r>
            <w:r>
              <w:rPr>
                <w:rFonts w:ascii="Arial" w:hAnsi="Arial" w:cs="Arial"/>
                <w:sz w:val="16"/>
                <w:szCs w:val="16"/>
              </w:rPr>
              <w:t xml:space="preserve">related </w:t>
            </w:r>
            <w:r>
              <w:rPr>
                <w:rFonts w:ascii="Arial" w:eastAsia="Arial Narrow" w:hAnsi="Arial" w:cs="Arial"/>
                <w:sz w:val="16"/>
                <w:szCs w:val="16"/>
              </w:rPr>
              <w:t>outcome</w:t>
            </w:r>
            <w:r>
              <w:rPr>
                <w:rFonts w:ascii="Arial" w:hAnsi="Arial" w:cs="Arial"/>
                <w:sz w:val="16"/>
                <w:szCs w:val="16"/>
              </w:rPr>
              <w:t>s</w:t>
            </w:r>
            <w:r>
              <w:rPr>
                <w:rFonts w:ascii="Arial" w:eastAsia="Arial Narrow" w:hAnsi="Arial" w:cs="Arial"/>
                <w:sz w:val="16"/>
                <w:szCs w:val="16"/>
              </w:rPr>
              <w:t xml:space="preserve"> (RF and MLP tied). For adverse neonatal outcomes specifically, LR is the best model at AUC 0.925. SVM AUC 0.976 is for adverse maternal outcomes.</w:t>
            </w:r>
          </w:p>
        </w:tc>
        <w:tc>
          <w:tcPr>
            <w:tcW w:w="105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3C4293A" w14:textId="18135D44" w:rsidR="005251ED" w:rsidRPr="00756461" w:rsidRDefault="00756461" w:rsidP="00C81EA7">
            <w:pPr>
              <w:spacing w:after="0" w:line="240" w:lineRule="auto"/>
              <w:rPr>
                <w:rFonts w:ascii="Arial" w:hAnsi="Arial" w:cs="Arial"/>
                <w:sz w:val="16"/>
                <w:szCs w:val="16"/>
              </w:rPr>
            </w:pPr>
            <w:r>
              <w:rPr>
                <w:rFonts w:ascii="Arial" w:eastAsia="Arial Narrow" w:hAnsi="Arial" w:cs="Arial"/>
                <w:sz w:val="16"/>
                <w:szCs w:val="16"/>
              </w:rPr>
              <w:t>[111*, 78, 51]</w:t>
            </w:r>
          </w:p>
        </w:tc>
      </w:tr>
      <w:tr w:rsidR="005251ED" w:rsidRPr="00756461" w14:paraId="76976F12" w14:textId="77777777" w:rsidTr="005251ED">
        <w:trPr>
          <w:trHeight w:val="20"/>
        </w:trPr>
        <w:tc>
          <w:tcPr>
            <w:tcW w:w="0" w:type="auto"/>
            <w:vMerge w:val="restart"/>
            <w:tcBorders>
              <w:top w:val="single" w:sz="4" w:space="0" w:color="000000"/>
              <w:left w:val="single" w:sz="4" w:space="0" w:color="000000"/>
              <w:right w:val="single" w:sz="4" w:space="0" w:color="000000"/>
            </w:tcBorders>
            <w:tcMar>
              <w:top w:w="60" w:type="dxa"/>
              <w:left w:w="100" w:type="dxa"/>
              <w:bottom w:w="60" w:type="dxa"/>
              <w:right w:w="100" w:type="dxa"/>
            </w:tcMar>
          </w:tcPr>
          <w:p w14:paraId="443DBE81"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b/>
                <w:bCs/>
                <w:sz w:val="16"/>
                <w:szCs w:val="16"/>
              </w:rPr>
              <w:t>Classical + ML + AI</w:t>
            </w:r>
          </w:p>
        </w:tc>
        <w:tc>
          <w:tcPr>
            <w:tcW w:w="0" w:type="auto"/>
            <w:vMerge w:val="restart"/>
            <w:tcBorders>
              <w:top w:val="single" w:sz="4" w:space="0" w:color="000000"/>
              <w:left w:val="single" w:sz="4" w:space="0" w:color="000000"/>
              <w:right w:val="single" w:sz="4" w:space="0" w:color="000000"/>
            </w:tcBorders>
            <w:tcMar>
              <w:top w:w="60" w:type="dxa"/>
              <w:left w:w="100" w:type="dxa"/>
              <w:bottom w:w="60" w:type="dxa"/>
              <w:right w:w="100" w:type="dxa"/>
            </w:tcMar>
          </w:tcPr>
          <w:p w14:paraId="0FC2359B"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b/>
                <w:bCs/>
                <w:sz w:val="16"/>
                <w:szCs w:val="16"/>
              </w:rPr>
              <w:t>SSA</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88F2D83"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sz w:val="16"/>
                <w:szCs w:val="16"/>
              </w:rPr>
              <w:t>Stillbirth only</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7D1C8E5"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2</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614A58C"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0.925</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11FDA14"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0.900–0.950</w:t>
            </w:r>
          </w:p>
        </w:tc>
        <w:tc>
          <w:tcPr>
            <w:tcW w:w="0" w:type="auto"/>
            <w:tcBorders>
              <w:top w:val="single" w:sz="4" w:space="0" w:color="000000"/>
              <w:left w:val="single" w:sz="4" w:space="0" w:color="000000"/>
              <w:bottom w:val="single" w:sz="4" w:space="0" w:color="000000"/>
              <w:right w:val="single" w:sz="4" w:space="0" w:color="000000"/>
            </w:tcBorders>
          </w:tcPr>
          <w:p w14:paraId="7DFE1285"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b/>
                <w:bCs/>
                <w:sz w:val="16"/>
                <w:szCs w:val="16"/>
              </w:rPr>
              <w:t>0.950</w:t>
            </w:r>
          </w:p>
        </w:tc>
        <w:tc>
          <w:tcPr>
            <w:tcW w:w="769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7196FAE" w14:textId="7E7F26B5" w:rsidR="005251ED" w:rsidRPr="00756461" w:rsidRDefault="005251ED" w:rsidP="00C81EA7">
            <w:pPr>
              <w:spacing w:after="0" w:line="240" w:lineRule="auto"/>
              <w:rPr>
                <w:rFonts w:ascii="Arial" w:hAnsi="Arial" w:cs="Arial"/>
                <w:sz w:val="16"/>
                <w:szCs w:val="16"/>
              </w:rPr>
            </w:pPr>
            <w:r>
              <w:rPr>
                <w:rFonts w:ascii="Arial" w:eastAsia="Arial Narrow" w:hAnsi="Arial" w:cs="Arial"/>
                <w:sz w:val="16"/>
                <w:szCs w:val="16"/>
              </w:rPr>
              <w:t>Random forest (best of 10 ML algorithms with grid-search hyperparameter optimisation) for adverse birth outcomes from DHS. Predictors: 28 DHS variables; key risk factors identified by SHAP — home delivery, no antenatal iron supplementation, &lt;4 ANC visits, short or long birth intervals, unwanted pregnancy, primiparity, geographic location in West African region. Sample: 139,659 women of childbearing age (within 5 years of delivery) from 26 sub-Saharan African DHS country surveys; 28.59% (95% CI 28.36–28.83) had adverse birth outcome (Ngusie et al. 2024). Validation: internal only (80/20 train–test split; hyperparameter tuning via grid search, random search and Bayesian optimisation). Performance: RF AUC 0.95; accuracy 88.0%.</w:t>
            </w:r>
          </w:p>
        </w:tc>
        <w:tc>
          <w:tcPr>
            <w:tcW w:w="105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5DE2753" w14:textId="722FE04E" w:rsidR="005251ED" w:rsidRPr="00756461" w:rsidRDefault="00756461" w:rsidP="00C81EA7">
            <w:pPr>
              <w:spacing w:after="0" w:line="240" w:lineRule="auto"/>
              <w:rPr>
                <w:rFonts w:ascii="Arial" w:hAnsi="Arial" w:cs="Arial"/>
                <w:sz w:val="16"/>
                <w:szCs w:val="16"/>
              </w:rPr>
            </w:pPr>
            <w:r>
              <w:rPr>
                <w:rFonts w:ascii="Arial" w:eastAsia="Arial Narrow" w:hAnsi="Arial" w:cs="Arial"/>
                <w:sz w:val="16"/>
                <w:szCs w:val="16"/>
              </w:rPr>
              <w:t>[83*, 31]</w:t>
            </w:r>
          </w:p>
        </w:tc>
      </w:tr>
      <w:tr w:rsidR="005251ED" w:rsidRPr="00756461" w14:paraId="434D4FA3" w14:textId="77777777" w:rsidTr="005251ED">
        <w:trPr>
          <w:trHeight w:val="20"/>
        </w:trPr>
        <w:tc>
          <w:tcPr>
            <w:tcW w:w="0" w:type="auto"/>
            <w:vMerge/>
            <w:tcBorders>
              <w:left w:val="single" w:sz="4" w:space="0" w:color="000000"/>
              <w:right w:val="single" w:sz="4" w:space="0" w:color="000000"/>
            </w:tcBorders>
            <w:tcMar>
              <w:top w:w="60" w:type="dxa"/>
              <w:left w:w="100" w:type="dxa"/>
              <w:bottom w:w="60" w:type="dxa"/>
              <w:right w:w="100" w:type="dxa"/>
            </w:tcMar>
          </w:tcPr>
          <w:p w14:paraId="2A8CF02A" w14:textId="77777777" w:rsidR="005251ED" w:rsidRPr="00756461" w:rsidRDefault="005251ED" w:rsidP="00C81EA7">
            <w:pPr>
              <w:spacing w:after="0" w:line="240" w:lineRule="auto"/>
              <w:rPr>
                <w:rFonts w:ascii="Arial" w:hAnsi="Arial" w:cs="Arial"/>
                <w:sz w:val="16"/>
                <w:szCs w:val="16"/>
              </w:rPr>
            </w:pPr>
          </w:p>
        </w:tc>
        <w:tc>
          <w:tcPr>
            <w:tcW w:w="0" w:type="auto"/>
            <w:vMerge/>
            <w:tcBorders>
              <w:left w:val="single" w:sz="4" w:space="0" w:color="000000"/>
              <w:bottom w:val="single" w:sz="4" w:space="0" w:color="000000"/>
              <w:right w:val="single" w:sz="4" w:space="0" w:color="000000"/>
            </w:tcBorders>
            <w:tcMar>
              <w:top w:w="60" w:type="dxa"/>
              <w:left w:w="100" w:type="dxa"/>
              <w:bottom w:w="60" w:type="dxa"/>
              <w:right w:w="100" w:type="dxa"/>
            </w:tcMar>
          </w:tcPr>
          <w:p w14:paraId="7BE64103" w14:textId="77777777" w:rsidR="005251ED" w:rsidRPr="00756461" w:rsidRDefault="005251ED" w:rsidP="00C81EA7">
            <w:pPr>
              <w:spacing w:after="0" w:line="240" w:lineRule="auto"/>
              <w:rPr>
                <w:rFonts w:ascii="Arial" w:hAnsi="Arial" w:cs="Arial"/>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B59146A"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sz w:val="16"/>
                <w:szCs w:val="16"/>
              </w:rPr>
              <w:t>Neonatal death only</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370F7F5"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1</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FE5367E"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0.816</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76833FF"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0.816</w:t>
            </w:r>
          </w:p>
        </w:tc>
        <w:tc>
          <w:tcPr>
            <w:tcW w:w="0" w:type="auto"/>
            <w:tcBorders>
              <w:top w:val="single" w:sz="4" w:space="0" w:color="000000"/>
              <w:left w:val="single" w:sz="4" w:space="0" w:color="000000"/>
              <w:bottom w:val="single" w:sz="4" w:space="0" w:color="000000"/>
              <w:right w:val="single" w:sz="4" w:space="0" w:color="000000"/>
            </w:tcBorders>
          </w:tcPr>
          <w:p w14:paraId="239FAEA1"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b/>
                <w:bCs/>
                <w:sz w:val="16"/>
                <w:szCs w:val="16"/>
              </w:rPr>
              <w:t>0.816</w:t>
            </w:r>
          </w:p>
        </w:tc>
        <w:tc>
          <w:tcPr>
            <w:tcW w:w="769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FFB2D08" w14:textId="4AB8B5D7" w:rsidR="005251ED" w:rsidRPr="00756461" w:rsidRDefault="005251ED" w:rsidP="00C81EA7">
            <w:pPr>
              <w:spacing w:after="0" w:line="240" w:lineRule="auto"/>
              <w:rPr>
                <w:rFonts w:ascii="Arial" w:hAnsi="Arial" w:cs="Arial"/>
                <w:sz w:val="16"/>
                <w:szCs w:val="16"/>
              </w:rPr>
            </w:pPr>
            <w:r>
              <w:rPr>
                <w:rFonts w:ascii="Arial" w:eastAsia="Arial Narrow" w:hAnsi="Arial" w:cs="Arial"/>
                <w:sz w:val="16"/>
                <w:szCs w:val="16"/>
              </w:rPr>
              <w:t>Generalised LightGBM (best of 6 algorithms: AdaBoost, XGBoost, CatBoost, LightGBM, Random Forest, Logistic Regression) trained jointly across all eight Global Network MNHR countries; outperformed country-specific and largest-single-country approaches. Predictors (5 WHO minimum indicators + country): maternal age, place of delivery (hospital/clinic or health centre/home or other), mode of delivery (vaginal/assisted vaginal/c-section/miscarriage/medical termination), gestational age (weeks), birth weight (grams), country (Argentina, DRC, Zambia, Guatemala, Bangladesh, India–Belagavi, Pakistan, India–Nagpur, Kenya). One-hot encoding of categoricals; mean imputation and Z-score standardisation of continuous variables. Sample: 575,664 pregnancies from the NIH Global Network Maternal &amp; Newborn Health Registry; training 2010–2016 (441,657; 11,281 [2.6%] deaths), test 2017–2019 (134,007; 2,985 [2.2%] deaths) (Silva et al. 2025). Validation: internal only — temporal hold-out (train 2010–2016, test 2017–2019); 10-fold stratified cross-validation repeated 50 iterations; calibration plot reported. Performance: generalised model AUC-ROC 0.816 (95% CI 0.807–0.825); recall 0.220; accuracy 0.980; precision 0.642; specificity 0.997; F1 0.328. SHAP top predictors: birth weight, gestational age, maternal age, country (Pakistan, Guatemala, Kenya), delivery setting.</w:t>
            </w:r>
          </w:p>
        </w:tc>
        <w:tc>
          <w:tcPr>
            <w:tcW w:w="105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1FB5DE1" w14:textId="275C25D0" w:rsidR="005251ED" w:rsidRPr="00756461" w:rsidRDefault="00756461" w:rsidP="00C81EA7">
            <w:pPr>
              <w:spacing w:after="0" w:line="240" w:lineRule="auto"/>
              <w:rPr>
                <w:rFonts w:ascii="Arial" w:hAnsi="Arial" w:cs="Arial"/>
                <w:sz w:val="16"/>
                <w:szCs w:val="16"/>
              </w:rPr>
            </w:pPr>
            <w:r>
              <w:rPr>
                <w:rFonts w:ascii="Arial" w:eastAsia="Arial Narrow" w:hAnsi="Arial" w:cs="Arial"/>
                <w:sz w:val="16"/>
                <w:szCs w:val="16"/>
              </w:rPr>
              <w:t>[97*]</w:t>
            </w:r>
          </w:p>
        </w:tc>
      </w:tr>
      <w:tr w:rsidR="005251ED" w:rsidRPr="00756461" w14:paraId="1CF20A84" w14:textId="77777777" w:rsidTr="005251ED">
        <w:trPr>
          <w:trHeight w:val="20"/>
        </w:trPr>
        <w:tc>
          <w:tcPr>
            <w:tcW w:w="0" w:type="auto"/>
            <w:vMerge/>
            <w:tcBorders>
              <w:left w:val="single" w:sz="4" w:space="0" w:color="000000"/>
              <w:right w:val="single" w:sz="4" w:space="0" w:color="000000"/>
            </w:tcBorders>
            <w:tcMar>
              <w:top w:w="60" w:type="dxa"/>
              <w:left w:w="100" w:type="dxa"/>
              <w:bottom w:w="60" w:type="dxa"/>
              <w:right w:w="100" w:type="dxa"/>
            </w:tcMar>
          </w:tcPr>
          <w:p w14:paraId="07F50453" w14:textId="77777777" w:rsidR="005251ED" w:rsidRPr="00756461" w:rsidRDefault="005251ED" w:rsidP="00C81EA7">
            <w:pPr>
              <w:spacing w:after="0" w:line="240" w:lineRule="auto"/>
              <w:rPr>
                <w:rFonts w:ascii="Arial" w:hAnsi="Arial" w:cs="Arial"/>
                <w:sz w:val="16"/>
                <w:szCs w:val="16"/>
              </w:rPr>
            </w:pPr>
          </w:p>
        </w:tc>
        <w:tc>
          <w:tcPr>
            <w:tcW w:w="0" w:type="auto"/>
            <w:vMerge w:val="restart"/>
            <w:tcBorders>
              <w:top w:val="single" w:sz="4" w:space="0" w:color="000000"/>
              <w:left w:val="single" w:sz="4" w:space="0" w:color="000000"/>
              <w:right w:val="single" w:sz="4" w:space="0" w:color="000000"/>
            </w:tcBorders>
            <w:tcMar>
              <w:top w:w="60" w:type="dxa"/>
              <w:left w:w="100" w:type="dxa"/>
              <w:bottom w:w="60" w:type="dxa"/>
              <w:right w:w="100" w:type="dxa"/>
            </w:tcMar>
          </w:tcPr>
          <w:p w14:paraId="5DB38B0A"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b/>
                <w:bCs/>
                <w:sz w:val="16"/>
                <w:szCs w:val="16"/>
              </w:rPr>
              <w:t>Non-SSA</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BE9E2E3"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sz w:val="16"/>
                <w:szCs w:val="16"/>
              </w:rPr>
              <w:t>Stillbirth only</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6B1F9A7"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5</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4C357AE"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0.940</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5078A25"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0.760–0.990</w:t>
            </w:r>
          </w:p>
        </w:tc>
        <w:tc>
          <w:tcPr>
            <w:tcW w:w="0" w:type="auto"/>
            <w:tcBorders>
              <w:top w:val="single" w:sz="4" w:space="0" w:color="000000"/>
              <w:left w:val="single" w:sz="4" w:space="0" w:color="000000"/>
              <w:bottom w:val="single" w:sz="4" w:space="0" w:color="000000"/>
              <w:right w:val="single" w:sz="4" w:space="0" w:color="000000"/>
            </w:tcBorders>
          </w:tcPr>
          <w:p w14:paraId="6D4BA8C5"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b/>
                <w:bCs/>
                <w:sz w:val="16"/>
                <w:szCs w:val="16"/>
              </w:rPr>
              <w:t>0.990</w:t>
            </w:r>
          </w:p>
        </w:tc>
        <w:tc>
          <w:tcPr>
            <w:tcW w:w="769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A968D06" w14:textId="2B304F7B" w:rsidR="005251ED" w:rsidRPr="00756461" w:rsidRDefault="005251ED" w:rsidP="00C81EA7">
            <w:pPr>
              <w:spacing w:after="0" w:line="240" w:lineRule="auto"/>
              <w:rPr>
                <w:rFonts w:ascii="Arial" w:hAnsi="Arial" w:cs="Arial"/>
                <w:sz w:val="16"/>
                <w:szCs w:val="16"/>
              </w:rPr>
            </w:pPr>
            <w:r>
              <w:rPr>
                <w:rFonts w:ascii="Arial" w:eastAsia="Arial Narrow" w:hAnsi="Arial" w:cs="Arial"/>
                <w:sz w:val="16"/>
                <w:szCs w:val="16"/>
              </w:rPr>
              <w:t xml:space="preserve">Random forest (best of 4 models: LR, SVM, RF, MLP) for stillbirth. Predictors: 32 sociodemographic and clinical characteristics — consanguinity status, gravida, parity, miscarriages, foetal gender, maternal age at birth, BMI, smoking status, chronic disease, history of stillbirth, gestational age at birth, IVF pregnancy, Rh isoimmunisation; ultrasound-detected foetal anomalies, umbilical cord anomalies, placental anomalies, growth and amniotic-fluid anomalies; previous CS count, previous vaginal-delivery count, induction with oxytocin/misoprostol, delivery type. Sample: started with 1,000 patients; final analysis n=951 (499 live + 452 stillbirth) after exclusions, single tertiary hospital in Turkey, January 2015–March </w:t>
            </w:r>
            <w:r>
              <w:rPr>
                <w:rFonts w:ascii="Arial" w:eastAsia="Arial Narrow" w:hAnsi="Arial" w:cs="Arial"/>
                <w:sz w:val="16"/>
                <w:szCs w:val="16"/>
              </w:rPr>
              <w:lastRenderedPageBreak/>
              <w:t>2024 (Gunenc et al. 2025). Validation: internal only (train–test split). Performance: RF AUC 0.99 (95% CI 0.97–1.00); accuracy 96.86%; sensitivity 96.34%; specificity 97.25%; PPV 96.34%; NPV 97.25%.</w:t>
            </w:r>
          </w:p>
        </w:tc>
        <w:tc>
          <w:tcPr>
            <w:tcW w:w="105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CACD19B" w14:textId="09B6764C" w:rsidR="005251ED" w:rsidRPr="00756461" w:rsidRDefault="00756461" w:rsidP="00C81EA7">
            <w:pPr>
              <w:spacing w:after="0" w:line="240" w:lineRule="auto"/>
              <w:rPr>
                <w:rFonts w:ascii="Arial" w:hAnsi="Arial" w:cs="Arial"/>
                <w:sz w:val="16"/>
                <w:szCs w:val="16"/>
              </w:rPr>
            </w:pPr>
            <w:r>
              <w:rPr>
                <w:rFonts w:ascii="Arial" w:eastAsia="Arial Narrow" w:hAnsi="Arial" w:cs="Arial"/>
                <w:sz w:val="16"/>
                <w:szCs w:val="16"/>
              </w:rPr>
              <w:lastRenderedPageBreak/>
              <w:t>[55*, 36, 82, 43, 65]</w:t>
            </w:r>
          </w:p>
        </w:tc>
      </w:tr>
      <w:tr w:rsidR="005251ED" w:rsidRPr="00756461" w14:paraId="6F9F4B30" w14:textId="77777777" w:rsidTr="005251ED">
        <w:trPr>
          <w:trHeight w:val="20"/>
        </w:trPr>
        <w:tc>
          <w:tcPr>
            <w:tcW w:w="0" w:type="auto"/>
            <w:vMerge/>
            <w:tcBorders>
              <w:left w:val="single" w:sz="4" w:space="0" w:color="000000"/>
              <w:bottom w:val="single" w:sz="4" w:space="0" w:color="000000"/>
              <w:right w:val="single" w:sz="4" w:space="0" w:color="000000"/>
            </w:tcBorders>
            <w:tcMar>
              <w:top w:w="60" w:type="dxa"/>
              <w:left w:w="100" w:type="dxa"/>
              <w:bottom w:w="60" w:type="dxa"/>
              <w:right w:w="100" w:type="dxa"/>
            </w:tcMar>
          </w:tcPr>
          <w:p w14:paraId="0C8A3050" w14:textId="77777777" w:rsidR="005251ED" w:rsidRPr="00756461" w:rsidRDefault="005251ED" w:rsidP="00C81EA7">
            <w:pPr>
              <w:spacing w:after="0" w:line="240" w:lineRule="auto"/>
              <w:rPr>
                <w:rFonts w:ascii="Arial" w:hAnsi="Arial" w:cs="Arial"/>
                <w:sz w:val="16"/>
                <w:szCs w:val="16"/>
              </w:rPr>
            </w:pPr>
          </w:p>
        </w:tc>
        <w:tc>
          <w:tcPr>
            <w:tcW w:w="0" w:type="auto"/>
            <w:vMerge/>
            <w:tcBorders>
              <w:left w:val="single" w:sz="4" w:space="0" w:color="000000"/>
              <w:bottom w:val="single" w:sz="4" w:space="0" w:color="000000"/>
              <w:right w:val="single" w:sz="4" w:space="0" w:color="000000"/>
            </w:tcBorders>
            <w:tcMar>
              <w:top w:w="60" w:type="dxa"/>
              <w:left w:w="100" w:type="dxa"/>
              <w:bottom w:w="60" w:type="dxa"/>
              <w:right w:w="100" w:type="dxa"/>
            </w:tcMar>
          </w:tcPr>
          <w:p w14:paraId="2C6C360B" w14:textId="77777777" w:rsidR="005251ED" w:rsidRPr="00756461" w:rsidRDefault="005251ED" w:rsidP="00C81EA7">
            <w:pPr>
              <w:spacing w:after="0" w:line="240" w:lineRule="auto"/>
              <w:rPr>
                <w:rFonts w:ascii="Arial" w:hAnsi="Arial" w:cs="Arial"/>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E621AB0"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sz w:val="16"/>
                <w:szCs w:val="16"/>
              </w:rPr>
              <w:t>Neonatal death only</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4A6B1D9"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3</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A01987E"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0.980</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A43D844"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0.971–0.980</w:t>
            </w:r>
          </w:p>
        </w:tc>
        <w:tc>
          <w:tcPr>
            <w:tcW w:w="0" w:type="auto"/>
            <w:tcBorders>
              <w:top w:val="single" w:sz="4" w:space="0" w:color="000000"/>
              <w:left w:val="single" w:sz="4" w:space="0" w:color="000000"/>
              <w:bottom w:val="single" w:sz="4" w:space="0" w:color="000000"/>
              <w:right w:val="single" w:sz="4" w:space="0" w:color="000000"/>
            </w:tcBorders>
          </w:tcPr>
          <w:p w14:paraId="37CC6EE9"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b/>
                <w:bCs/>
                <w:sz w:val="16"/>
                <w:szCs w:val="16"/>
              </w:rPr>
              <w:t>0.980</w:t>
            </w:r>
          </w:p>
        </w:tc>
        <w:tc>
          <w:tcPr>
            <w:tcW w:w="769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8C7C20D" w14:textId="6F129806" w:rsidR="005251ED" w:rsidRPr="00756461" w:rsidRDefault="005251ED" w:rsidP="00C81EA7">
            <w:pPr>
              <w:spacing w:after="0" w:line="240" w:lineRule="auto"/>
              <w:rPr>
                <w:rFonts w:ascii="Arial" w:hAnsi="Arial" w:cs="Arial"/>
                <w:sz w:val="16"/>
                <w:szCs w:val="16"/>
              </w:rPr>
            </w:pPr>
            <w:r>
              <w:rPr>
                <w:rFonts w:ascii="Arial" w:eastAsia="Arial Narrow" w:hAnsi="Arial" w:cs="Arial"/>
                <w:sz w:val="16"/>
                <w:szCs w:val="16"/>
              </w:rPr>
              <w:t>SVM and ensemble models tied for top AUC in initial development; ANN best in prospective NICU evaluation. Predictors: 17 features selected by neonatologist clinical opinion — birth weight (BW), gestational age (GA), preterm birth, small for gestational age (SGA), parental care, maternal disease, respiratory distress syndrome (RDS), steroid therapy, surfactant administration, pulmonary haemorrhage, necrotising enterocolitis (NEC), congenital malformation, sepsis, asphyxia, intraventricular haemorrhage (IVH), intubation, ventilation. Sample: 1,762 NICU records (138 deaths, 1,624 survivors) for development at single Iranian centre; 92 prospective neonates (18 deaths, 74 survivors) for prospective evaluation (Sheikhtaheri et al. 2021). Validation: internal (10-fold CV on SMOTE-oversampled training data) + external (prospective NICU follow-up cohort). Performance: initial-evaluation SVM and Ensemble AUC 0.98 on SMOTE-oversampled data; SVM accuracy 0.94, sensitivity 0.95, F-score 0.96. Prospective phase: ANN best, AUC 0.92.</w:t>
            </w:r>
          </w:p>
        </w:tc>
        <w:tc>
          <w:tcPr>
            <w:tcW w:w="105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26C4BA8" w14:textId="687AFD8E" w:rsidR="005251ED" w:rsidRPr="00756461" w:rsidRDefault="00756461" w:rsidP="00C81EA7">
            <w:pPr>
              <w:spacing w:after="0" w:line="240" w:lineRule="auto"/>
              <w:rPr>
                <w:rFonts w:ascii="Arial" w:hAnsi="Arial" w:cs="Arial"/>
                <w:sz w:val="16"/>
                <w:szCs w:val="16"/>
              </w:rPr>
            </w:pPr>
            <w:r>
              <w:rPr>
                <w:rFonts w:ascii="Arial" w:eastAsia="Arial Narrow" w:hAnsi="Arial" w:cs="Arial"/>
                <w:sz w:val="16"/>
                <w:szCs w:val="16"/>
              </w:rPr>
              <w:t>[95*, 109, 39]</w:t>
            </w:r>
          </w:p>
        </w:tc>
      </w:tr>
      <w:tr w:rsidR="009B78F9" w:rsidRPr="00756461" w14:paraId="314C3589" w14:textId="77777777" w:rsidTr="005251ED">
        <w:trPr>
          <w:trHeight w:val="20"/>
        </w:trPr>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D146480" w14:textId="77777777" w:rsidR="009B78F9" w:rsidRPr="00756461" w:rsidRDefault="009B78F9" w:rsidP="00C81EA7">
            <w:pPr>
              <w:spacing w:after="0" w:line="240" w:lineRule="auto"/>
              <w:rPr>
                <w:rFonts w:ascii="Arial" w:hAnsi="Arial" w:cs="Arial"/>
                <w:sz w:val="16"/>
                <w:szCs w:val="16"/>
              </w:rPr>
            </w:pPr>
            <w:r>
              <w:rPr>
                <w:rFonts w:ascii="Arial" w:eastAsia="Arial Narrow" w:hAnsi="Arial" w:cs="Arial"/>
                <w:b/>
                <w:bCs/>
                <w:sz w:val="16"/>
                <w:szCs w:val="16"/>
              </w:rPr>
              <w:t>Classical + AI</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2606A47" w14:textId="77777777" w:rsidR="009B78F9" w:rsidRPr="00756461" w:rsidRDefault="009B78F9" w:rsidP="00C81EA7">
            <w:pPr>
              <w:spacing w:after="0" w:line="240" w:lineRule="auto"/>
              <w:rPr>
                <w:rFonts w:ascii="Arial" w:hAnsi="Arial" w:cs="Arial"/>
                <w:sz w:val="16"/>
                <w:szCs w:val="16"/>
              </w:rPr>
            </w:pPr>
            <w:r>
              <w:rPr>
                <w:rFonts w:ascii="Arial" w:eastAsia="Arial Narrow" w:hAnsi="Arial" w:cs="Arial"/>
                <w:b/>
                <w:bCs/>
                <w:sz w:val="16"/>
                <w:szCs w:val="16"/>
              </w:rPr>
              <w:t>Non-SSA</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7D9EF38" w14:textId="77777777" w:rsidR="009B78F9" w:rsidRPr="00756461" w:rsidRDefault="009B78F9" w:rsidP="00C81EA7">
            <w:pPr>
              <w:spacing w:after="0" w:line="240" w:lineRule="auto"/>
              <w:rPr>
                <w:rFonts w:ascii="Arial" w:hAnsi="Arial" w:cs="Arial"/>
                <w:sz w:val="16"/>
                <w:szCs w:val="16"/>
              </w:rPr>
            </w:pPr>
            <w:r>
              <w:rPr>
                <w:rFonts w:ascii="Arial" w:eastAsia="Arial Narrow" w:hAnsi="Arial" w:cs="Arial"/>
                <w:sz w:val="16"/>
                <w:szCs w:val="16"/>
              </w:rPr>
              <w:t>Both</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EBB37D9" w14:textId="77777777" w:rsidR="009B78F9" w:rsidRPr="00756461" w:rsidRDefault="009B78F9" w:rsidP="00C81EA7">
            <w:pPr>
              <w:spacing w:after="0" w:line="240" w:lineRule="auto"/>
              <w:jc w:val="center"/>
              <w:rPr>
                <w:rFonts w:ascii="Arial" w:hAnsi="Arial" w:cs="Arial"/>
                <w:sz w:val="16"/>
                <w:szCs w:val="16"/>
              </w:rPr>
            </w:pPr>
            <w:r>
              <w:rPr>
                <w:rFonts w:ascii="Arial" w:eastAsia="Arial Narrow" w:hAnsi="Arial" w:cs="Arial"/>
                <w:sz w:val="16"/>
                <w:szCs w:val="16"/>
              </w:rPr>
              <w:t>1</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F5A4703" w14:textId="77777777" w:rsidR="009B78F9" w:rsidRPr="00756461" w:rsidRDefault="009B78F9" w:rsidP="00C81EA7">
            <w:pPr>
              <w:spacing w:after="0" w:line="240" w:lineRule="auto"/>
              <w:jc w:val="center"/>
              <w:rPr>
                <w:rFonts w:ascii="Arial" w:hAnsi="Arial" w:cs="Arial"/>
                <w:sz w:val="16"/>
                <w:szCs w:val="16"/>
              </w:rPr>
            </w:pPr>
            <w:r>
              <w:rPr>
                <w:rFonts w:ascii="Arial" w:eastAsia="Arial Narrow" w:hAnsi="Arial" w:cs="Arial"/>
                <w:sz w:val="16"/>
                <w:szCs w:val="16"/>
              </w:rPr>
              <w:t>0.830</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5632D5C" w14:textId="77777777" w:rsidR="009B78F9" w:rsidRPr="00756461" w:rsidRDefault="009B78F9" w:rsidP="00C81EA7">
            <w:pPr>
              <w:spacing w:after="0" w:line="240" w:lineRule="auto"/>
              <w:jc w:val="center"/>
              <w:rPr>
                <w:rFonts w:ascii="Arial" w:hAnsi="Arial" w:cs="Arial"/>
                <w:sz w:val="16"/>
                <w:szCs w:val="16"/>
              </w:rPr>
            </w:pPr>
            <w:r>
              <w:rPr>
                <w:rFonts w:ascii="Arial" w:eastAsia="Arial Narrow" w:hAnsi="Arial" w:cs="Arial"/>
                <w:sz w:val="16"/>
                <w:szCs w:val="16"/>
              </w:rPr>
              <w:t>0.830</w:t>
            </w:r>
          </w:p>
        </w:tc>
        <w:tc>
          <w:tcPr>
            <w:tcW w:w="0" w:type="auto"/>
            <w:tcBorders>
              <w:top w:val="single" w:sz="4" w:space="0" w:color="000000"/>
              <w:left w:val="single" w:sz="4" w:space="0" w:color="000000"/>
              <w:bottom w:val="single" w:sz="4" w:space="0" w:color="000000"/>
              <w:right w:val="single" w:sz="4" w:space="0" w:color="000000"/>
            </w:tcBorders>
          </w:tcPr>
          <w:p w14:paraId="68CFF225" w14:textId="77777777" w:rsidR="009B78F9" w:rsidRPr="00756461" w:rsidRDefault="009B78F9" w:rsidP="00C81EA7">
            <w:pPr>
              <w:spacing w:after="0" w:line="240" w:lineRule="auto"/>
              <w:rPr>
                <w:rFonts w:ascii="Arial" w:hAnsi="Arial" w:cs="Arial"/>
                <w:sz w:val="16"/>
                <w:szCs w:val="16"/>
              </w:rPr>
            </w:pPr>
            <w:r>
              <w:rPr>
                <w:rFonts w:ascii="Arial" w:eastAsia="Arial Narrow" w:hAnsi="Arial" w:cs="Arial"/>
                <w:b/>
                <w:bCs/>
                <w:sz w:val="16"/>
                <w:szCs w:val="16"/>
              </w:rPr>
              <w:t>0.830</w:t>
            </w:r>
          </w:p>
        </w:tc>
        <w:tc>
          <w:tcPr>
            <w:tcW w:w="769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C895979" w14:textId="35FE1170" w:rsidR="009B78F9" w:rsidRPr="00756461" w:rsidRDefault="009B78F9" w:rsidP="00C81EA7">
            <w:pPr>
              <w:spacing w:after="0" w:line="240" w:lineRule="auto"/>
              <w:rPr>
                <w:rFonts w:ascii="Arial" w:hAnsi="Arial" w:cs="Arial"/>
                <w:sz w:val="16"/>
                <w:szCs w:val="16"/>
              </w:rPr>
            </w:pPr>
            <w:r>
              <w:rPr>
                <w:rFonts w:ascii="Arial" w:eastAsia="Arial Narrow" w:hAnsi="Arial" w:cs="Arial"/>
                <w:sz w:val="16"/>
                <w:szCs w:val="16"/>
              </w:rPr>
              <w:t>Probabilistic graphical model (Bayesian network, structure learned with R bnlearn) versus logistic regression baseline for composite perinatal morbidity in foetal growth restriction. Predictors: 16 variables — 12 selected from a top 30 candidate set via best-AUC LR plus 4 clinical variables of interest (HDP status, term birth, visit-3 EFW &lt;3rd percentile, visit-3 EFW 3–9th percentile). Initial 4,000+ candidate features were pruned to 907 then reduced further. Sample: 9,558 nulliparous pregnancies delivered ≥20 weeks with available outcome data, from the NICHD-funded nuMoM2b cohort (8 US centres, recruited Oct 2010–Sept 2013; 10,038 total enrolled); derivation 7,645 (80%) + held-out validation 1,912 (20%) (Zimmerman et al. 2025). Validation: internal only</w:t>
            </w:r>
            <w:r>
              <w:rPr>
                <w:rFonts w:ascii="Arial" w:hAnsi="Arial" w:cs="Arial"/>
                <w:sz w:val="16"/>
                <w:szCs w:val="16"/>
              </w:rPr>
              <w:t>,</w:t>
            </w:r>
            <w:r>
              <w:rPr>
                <w:rFonts w:ascii="Arial" w:eastAsia="Arial Narrow" w:hAnsi="Arial" w:cs="Arial"/>
                <w:sz w:val="16"/>
                <w:szCs w:val="16"/>
              </w:rPr>
              <w:t xml:space="preserve"> single-dataset 80/20 random split with bootstrap CIs (n=1,000); Performance: validation-cohort AUC 0.83 (95% CI 0.79–0.87); comparable to LR benchmark AUC 0.82 (95% CI 0.77–0.87). </w:t>
            </w:r>
          </w:p>
        </w:tc>
        <w:tc>
          <w:tcPr>
            <w:tcW w:w="105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C3A3D3E" w14:textId="229168F1" w:rsidR="009B78F9" w:rsidRPr="00756461" w:rsidRDefault="00756461" w:rsidP="00C81EA7">
            <w:pPr>
              <w:spacing w:after="0" w:line="240" w:lineRule="auto"/>
              <w:rPr>
                <w:rFonts w:ascii="Arial" w:hAnsi="Arial" w:cs="Arial"/>
                <w:sz w:val="16"/>
                <w:szCs w:val="16"/>
              </w:rPr>
            </w:pPr>
            <w:r>
              <w:rPr>
                <w:rFonts w:ascii="Arial" w:eastAsia="Arial Narrow" w:hAnsi="Arial" w:cs="Arial"/>
                <w:sz w:val="16"/>
                <w:szCs w:val="16"/>
              </w:rPr>
              <w:t>[112*]</w:t>
            </w:r>
          </w:p>
        </w:tc>
      </w:tr>
      <w:tr w:rsidR="005251ED" w:rsidRPr="00756461" w14:paraId="795D803D" w14:textId="77777777" w:rsidTr="005251ED">
        <w:trPr>
          <w:trHeight w:val="20"/>
        </w:trPr>
        <w:tc>
          <w:tcPr>
            <w:tcW w:w="0" w:type="auto"/>
            <w:vMerge w:val="restart"/>
            <w:tcBorders>
              <w:top w:val="single" w:sz="4" w:space="0" w:color="000000"/>
              <w:left w:val="single" w:sz="4" w:space="0" w:color="000000"/>
              <w:right w:val="single" w:sz="4" w:space="0" w:color="000000"/>
            </w:tcBorders>
            <w:tcMar>
              <w:top w:w="60" w:type="dxa"/>
              <w:left w:w="100" w:type="dxa"/>
              <w:bottom w:w="60" w:type="dxa"/>
              <w:right w:w="100" w:type="dxa"/>
            </w:tcMar>
          </w:tcPr>
          <w:p w14:paraId="53AEA395"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b/>
                <w:bCs/>
                <w:sz w:val="16"/>
                <w:szCs w:val="16"/>
              </w:rPr>
              <w:t>ML only</w:t>
            </w:r>
          </w:p>
        </w:tc>
        <w:tc>
          <w:tcPr>
            <w:tcW w:w="0" w:type="auto"/>
            <w:vMerge w:val="restart"/>
            <w:tcBorders>
              <w:top w:val="single" w:sz="4" w:space="0" w:color="000000"/>
              <w:left w:val="single" w:sz="4" w:space="0" w:color="000000"/>
              <w:right w:val="single" w:sz="4" w:space="0" w:color="000000"/>
            </w:tcBorders>
            <w:tcMar>
              <w:top w:w="60" w:type="dxa"/>
              <w:left w:w="100" w:type="dxa"/>
              <w:bottom w:w="60" w:type="dxa"/>
              <w:right w:w="100" w:type="dxa"/>
            </w:tcMar>
          </w:tcPr>
          <w:p w14:paraId="6DC66AA9"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b/>
                <w:bCs/>
                <w:sz w:val="16"/>
                <w:szCs w:val="16"/>
              </w:rPr>
              <w:t>SSA</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FF6C5EF"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sz w:val="16"/>
                <w:szCs w:val="16"/>
              </w:rPr>
              <w:t>Stillbirth only</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9145B6E"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3</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D0483AC"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0.950</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13C28DD"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0.940–0.982</w:t>
            </w:r>
          </w:p>
        </w:tc>
        <w:tc>
          <w:tcPr>
            <w:tcW w:w="0" w:type="auto"/>
            <w:tcBorders>
              <w:top w:val="single" w:sz="4" w:space="0" w:color="000000"/>
              <w:left w:val="single" w:sz="4" w:space="0" w:color="000000"/>
              <w:bottom w:val="single" w:sz="4" w:space="0" w:color="000000"/>
              <w:right w:val="single" w:sz="4" w:space="0" w:color="000000"/>
            </w:tcBorders>
          </w:tcPr>
          <w:p w14:paraId="3BF875C9"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b/>
                <w:bCs/>
                <w:sz w:val="16"/>
                <w:szCs w:val="16"/>
              </w:rPr>
              <w:t>0.982</w:t>
            </w:r>
          </w:p>
        </w:tc>
        <w:tc>
          <w:tcPr>
            <w:tcW w:w="769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5CB6F25" w14:textId="294B6C46" w:rsidR="005251ED" w:rsidRPr="00756461" w:rsidRDefault="005251ED" w:rsidP="00C81EA7">
            <w:pPr>
              <w:spacing w:after="0" w:line="240" w:lineRule="auto"/>
              <w:rPr>
                <w:rFonts w:ascii="Arial" w:hAnsi="Arial" w:cs="Arial"/>
                <w:sz w:val="16"/>
                <w:szCs w:val="16"/>
              </w:rPr>
            </w:pPr>
            <w:r>
              <w:rPr>
                <w:rFonts w:ascii="Arial" w:eastAsia="Arial Narrow" w:hAnsi="Arial" w:cs="Arial"/>
                <w:sz w:val="16"/>
                <w:szCs w:val="16"/>
              </w:rPr>
              <w:t>Random forest (best of 5 algorithms: NB, RF, MLP, SVM-SMO, DT-C4.5) for multi-class pregnancy-outcome prediction. Predictors: 42 maternal attributes from antenatal-care records (sociodemographic and clinical), reduced via feature-importance ranking. Sample: 1,632 records (114 [6.9%] stillbirth, 1,255 [76.9%] term, 39.8% preterm, 12.20% miscarriage) from secondary health facilities in Uyo, Nigeria (Inyang et al. 2021). Validation: internal only</w:t>
            </w:r>
            <w:r>
              <w:rPr>
                <w:rFonts w:ascii="Arial" w:hAnsi="Arial" w:cs="Arial"/>
                <w:sz w:val="16"/>
                <w:szCs w:val="16"/>
              </w:rPr>
              <w:t>,</w:t>
            </w:r>
            <w:r>
              <w:rPr>
                <w:rFonts w:ascii="Arial" w:eastAsia="Arial Narrow" w:hAnsi="Arial" w:cs="Arial"/>
                <w:sz w:val="16"/>
                <w:szCs w:val="16"/>
              </w:rPr>
              <w:t xml:space="preserve"> 100/100 dataset split and 10-fold cross-validation. Performance: weighted-average AUC 0.967 across 4 outcome classes; stillbirth-class AUC 0.956 (sensitivity for stillbirth class = 27.2%, indicating poor minority-class detection despite high overall AUC).</w:t>
            </w:r>
          </w:p>
        </w:tc>
        <w:tc>
          <w:tcPr>
            <w:tcW w:w="105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873B117" w14:textId="5185EA6B" w:rsidR="005251ED" w:rsidRPr="00756461" w:rsidRDefault="00756461" w:rsidP="00C81EA7">
            <w:pPr>
              <w:spacing w:after="0" w:line="240" w:lineRule="auto"/>
              <w:rPr>
                <w:rFonts w:ascii="Arial" w:hAnsi="Arial" w:cs="Arial"/>
                <w:sz w:val="16"/>
                <w:szCs w:val="16"/>
              </w:rPr>
            </w:pPr>
            <w:r>
              <w:rPr>
                <w:rFonts w:ascii="Arial" w:eastAsia="Arial Narrow" w:hAnsi="Arial" w:cs="Arial"/>
                <w:sz w:val="16"/>
                <w:szCs w:val="16"/>
              </w:rPr>
              <w:t>[62*, 32, 105]</w:t>
            </w:r>
          </w:p>
        </w:tc>
      </w:tr>
      <w:tr w:rsidR="005251ED" w:rsidRPr="00756461" w14:paraId="4AB694F8" w14:textId="77777777" w:rsidTr="005251ED">
        <w:trPr>
          <w:trHeight w:val="20"/>
        </w:trPr>
        <w:tc>
          <w:tcPr>
            <w:tcW w:w="0" w:type="auto"/>
            <w:vMerge/>
            <w:tcBorders>
              <w:left w:val="single" w:sz="4" w:space="0" w:color="000000"/>
              <w:right w:val="single" w:sz="4" w:space="0" w:color="000000"/>
            </w:tcBorders>
            <w:tcMar>
              <w:top w:w="60" w:type="dxa"/>
              <w:left w:w="100" w:type="dxa"/>
              <w:bottom w:w="60" w:type="dxa"/>
              <w:right w:w="100" w:type="dxa"/>
            </w:tcMar>
          </w:tcPr>
          <w:p w14:paraId="130DAFE8" w14:textId="77777777" w:rsidR="005251ED" w:rsidRPr="00756461" w:rsidRDefault="005251ED" w:rsidP="00C81EA7">
            <w:pPr>
              <w:spacing w:after="0" w:line="240" w:lineRule="auto"/>
              <w:rPr>
                <w:rFonts w:ascii="Arial" w:hAnsi="Arial" w:cs="Arial"/>
                <w:sz w:val="16"/>
                <w:szCs w:val="16"/>
              </w:rPr>
            </w:pPr>
          </w:p>
        </w:tc>
        <w:tc>
          <w:tcPr>
            <w:tcW w:w="0" w:type="auto"/>
            <w:vMerge/>
            <w:tcBorders>
              <w:left w:val="single" w:sz="4" w:space="0" w:color="000000"/>
              <w:bottom w:val="single" w:sz="4" w:space="0" w:color="000000"/>
              <w:right w:val="single" w:sz="4" w:space="0" w:color="000000"/>
            </w:tcBorders>
            <w:tcMar>
              <w:top w:w="60" w:type="dxa"/>
              <w:left w:w="100" w:type="dxa"/>
              <w:bottom w:w="60" w:type="dxa"/>
              <w:right w:w="100" w:type="dxa"/>
            </w:tcMar>
          </w:tcPr>
          <w:p w14:paraId="0F22019E" w14:textId="77777777" w:rsidR="005251ED" w:rsidRPr="00756461" w:rsidRDefault="005251ED" w:rsidP="00C81EA7">
            <w:pPr>
              <w:spacing w:after="0" w:line="240" w:lineRule="auto"/>
              <w:rPr>
                <w:rFonts w:ascii="Arial" w:hAnsi="Arial" w:cs="Arial"/>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6A4D5EE"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sz w:val="16"/>
                <w:szCs w:val="16"/>
              </w:rPr>
              <w:t>Both</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CAFC289"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2</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DC6C8A7"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0.885</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E0C8210"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0.800–0.970</w:t>
            </w:r>
          </w:p>
        </w:tc>
        <w:tc>
          <w:tcPr>
            <w:tcW w:w="0" w:type="auto"/>
            <w:tcBorders>
              <w:top w:val="single" w:sz="4" w:space="0" w:color="000000"/>
              <w:left w:val="single" w:sz="4" w:space="0" w:color="000000"/>
              <w:bottom w:val="single" w:sz="4" w:space="0" w:color="000000"/>
              <w:right w:val="single" w:sz="4" w:space="0" w:color="000000"/>
            </w:tcBorders>
          </w:tcPr>
          <w:p w14:paraId="70E68005"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b/>
                <w:bCs/>
                <w:sz w:val="16"/>
                <w:szCs w:val="16"/>
              </w:rPr>
              <w:t>0.970</w:t>
            </w:r>
          </w:p>
        </w:tc>
        <w:tc>
          <w:tcPr>
            <w:tcW w:w="769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5CA2259" w14:textId="374EF95D" w:rsidR="005251ED" w:rsidRPr="00756461" w:rsidRDefault="005251ED" w:rsidP="00C81EA7">
            <w:pPr>
              <w:spacing w:after="0" w:line="240" w:lineRule="auto"/>
              <w:rPr>
                <w:rFonts w:ascii="Arial" w:hAnsi="Arial" w:cs="Arial"/>
                <w:sz w:val="16"/>
                <w:szCs w:val="16"/>
              </w:rPr>
            </w:pPr>
            <w:r>
              <w:rPr>
                <w:rFonts w:ascii="Arial" w:eastAsia="Arial Narrow" w:hAnsi="Arial" w:cs="Arial"/>
                <w:sz w:val="16"/>
                <w:szCs w:val="16"/>
              </w:rPr>
              <w:t>Gradient boosting (best of RF, CatBoost, GB; with grid-search hyperparameter tuning) on SMOTE-balanced DHS data. Predictors: 17 features selected by sequential-backward feature selection (13 features) plus 4 domain-expert additions — community-based health insurance, smoking, region, type of cooking fuel, wealth index, current contraceptive method, haemoglobin level, occupation, maternal age, marital status, anaemia level, chewing tobacco, place of residence (SBFS); preterm, highest educational level, visited health facility in last 12 weeks, birth interval (domain-expert). Sample: 109,531 raw EDHS instances (74,770 alive, 34,761 died) balanced to 148,659 with SMOTE oversampling (74,329 alive, 74,330 died), Ethiopia (Bogale D.S. et al. 2022). Validation: internal only (train–test split on SMOTE-balanced data). Performance: Gradient Boosting overall accuracy 90.24%; ROC 0.9696; precision 87.24%; recall 99.72%; F1 92.80%.</w:t>
            </w:r>
          </w:p>
        </w:tc>
        <w:tc>
          <w:tcPr>
            <w:tcW w:w="105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69484C7" w14:textId="3806FE87" w:rsidR="005251ED" w:rsidRPr="00756461" w:rsidRDefault="00756461" w:rsidP="00C81EA7">
            <w:pPr>
              <w:spacing w:after="0" w:line="240" w:lineRule="auto"/>
              <w:rPr>
                <w:rFonts w:ascii="Arial" w:hAnsi="Arial" w:cs="Arial"/>
                <w:sz w:val="16"/>
                <w:szCs w:val="16"/>
              </w:rPr>
            </w:pPr>
            <w:r>
              <w:rPr>
                <w:rFonts w:ascii="Arial" w:eastAsia="Arial Narrow" w:hAnsi="Arial" w:cs="Arial"/>
                <w:sz w:val="16"/>
                <w:szCs w:val="16"/>
              </w:rPr>
              <w:t>[40*, 96]</w:t>
            </w:r>
          </w:p>
        </w:tc>
      </w:tr>
      <w:tr w:rsidR="005251ED" w:rsidRPr="00756461" w14:paraId="6F005809" w14:textId="77777777" w:rsidTr="005251ED">
        <w:trPr>
          <w:trHeight w:val="20"/>
        </w:trPr>
        <w:tc>
          <w:tcPr>
            <w:tcW w:w="0" w:type="auto"/>
            <w:vMerge/>
            <w:tcBorders>
              <w:left w:val="single" w:sz="4" w:space="0" w:color="000000"/>
              <w:right w:val="single" w:sz="4" w:space="0" w:color="000000"/>
            </w:tcBorders>
            <w:tcMar>
              <w:top w:w="60" w:type="dxa"/>
              <w:left w:w="100" w:type="dxa"/>
              <w:bottom w:w="60" w:type="dxa"/>
              <w:right w:w="100" w:type="dxa"/>
            </w:tcMar>
          </w:tcPr>
          <w:p w14:paraId="597DBD4B" w14:textId="77777777" w:rsidR="005251ED" w:rsidRPr="00756461" w:rsidRDefault="005251ED" w:rsidP="00C81EA7">
            <w:pPr>
              <w:spacing w:after="0" w:line="240" w:lineRule="auto"/>
              <w:rPr>
                <w:rFonts w:ascii="Arial" w:hAnsi="Arial" w:cs="Arial"/>
                <w:sz w:val="16"/>
                <w:szCs w:val="16"/>
              </w:rPr>
            </w:pPr>
          </w:p>
        </w:tc>
        <w:tc>
          <w:tcPr>
            <w:tcW w:w="0" w:type="auto"/>
            <w:vMerge w:val="restart"/>
            <w:tcBorders>
              <w:top w:val="single" w:sz="4" w:space="0" w:color="000000"/>
              <w:left w:val="single" w:sz="4" w:space="0" w:color="000000"/>
              <w:right w:val="single" w:sz="4" w:space="0" w:color="000000"/>
            </w:tcBorders>
            <w:tcMar>
              <w:top w:w="60" w:type="dxa"/>
              <w:left w:w="100" w:type="dxa"/>
              <w:bottom w:w="60" w:type="dxa"/>
              <w:right w:w="100" w:type="dxa"/>
            </w:tcMar>
          </w:tcPr>
          <w:p w14:paraId="47D3BFDC"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b/>
                <w:bCs/>
                <w:sz w:val="16"/>
                <w:szCs w:val="16"/>
              </w:rPr>
              <w:t>Non-SSA</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1743E0E"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sz w:val="16"/>
                <w:szCs w:val="16"/>
              </w:rPr>
              <w:t>Stillbirth only</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37D5E7B"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1</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B9E3B6B"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0.900</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05A748E"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0.900</w:t>
            </w:r>
          </w:p>
        </w:tc>
        <w:tc>
          <w:tcPr>
            <w:tcW w:w="0" w:type="auto"/>
            <w:tcBorders>
              <w:top w:val="single" w:sz="4" w:space="0" w:color="000000"/>
              <w:left w:val="single" w:sz="4" w:space="0" w:color="000000"/>
              <w:bottom w:val="single" w:sz="4" w:space="0" w:color="000000"/>
              <w:right w:val="single" w:sz="4" w:space="0" w:color="000000"/>
            </w:tcBorders>
          </w:tcPr>
          <w:p w14:paraId="293628A7"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b/>
                <w:bCs/>
                <w:sz w:val="16"/>
                <w:szCs w:val="16"/>
              </w:rPr>
              <w:t>0.900</w:t>
            </w:r>
          </w:p>
        </w:tc>
        <w:tc>
          <w:tcPr>
            <w:tcW w:w="769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DC269EF" w14:textId="364B4CA3" w:rsidR="005251ED" w:rsidRPr="00756461" w:rsidRDefault="005251ED" w:rsidP="00C81EA7">
            <w:pPr>
              <w:spacing w:after="0" w:line="240" w:lineRule="auto"/>
              <w:rPr>
                <w:rFonts w:ascii="Arial" w:hAnsi="Arial" w:cs="Arial"/>
                <w:sz w:val="16"/>
                <w:szCs w:val="16"/>
              </w:rPr>
            </w:pPr>
            <w:r>
              <w:rPr>
                <w:rFonts w:ascii="Arial" w:eastAsia="Arial Narrow" w:hAnsi="Arial" w:cs="Arial"/>
                <w:sz w:val="16"/>
                <w:szCs w:val="16"/>
              </w:rPr>
              <w:t xml:space="preserve">Random forest (best of 8 models: LR, SVM, KNN, DT, RF, XGBoost, AdaBoost, plus extras) for adverse outcome in pregnant women with COVID-19. Predictors: 25-feature subset selected by recursive feature </w:t>
            </w:r>
            <w:r>
              <w:rPr>
                <w:rFonts w:ascii="Arial" w:eastAsia="Arial Narrow" w:hAnsi="Arial" w:cs="Arial"/>
                <w:sz w:val="16"/>
                <w:szCs w:val="16"/>
              </w:rPr>
              <w:lastRenderedPageBreak/>
              <w:t>elimination, including maternal BMI, gravidity, parity, pre-existing maternal illness, smoking exposure, duration of maternal COVID-19 symptoms, PlGF ratio, platelet count, LDH (full list in source paper). Sample: 1,501 SARS-CoV-2-positive pregnant patients pooled from CRONOS dataset (Germany + Austria, German Society of Perinatal Medicine; n=1,402) plus a Canadian dataset (n=99) (Young et al. 2023). Validation: internal only (80/20 train–test split with 60 high-risk + 52 low-risk in test set). Performance: AUC 0.90 (95% CI 0.83–0.95); accuracy 89.0%; recall 0.85; precision 0.94; F1 0.89. Identified 83.3% of high-risk and 92.5% of low-risk patients.</w:t>
            </w:r>
          </w:p>
        </w:tc>
        <w:tc>
          <w:tcPr>
            <w:tcW w:w="105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666C0D4" w14:textId="04AD8A21" w:rsidR="005251ED" w:rsidRPr="00756461" w:rsidRDefault="00756461" w:rsidP="00C81EA7">
            <w:pPr>
              <w:spacing w:after="0" w:line="240" w:lineRule="auto"/>
              <w:rPr>
                <w:rFonts w:ascii="Arial" w:hAnsi="Arial" w:cs="Arial"/>
                <w:sz w:val="16"/>
                <w:szCs w:val="16"/>
              </w:rPr>
            </w:pPr>
            <w:r>
              <w:rPr>
                <w:rFonts w:ascii="Arial" w:eastAsia="Arial Narrow" w:hAnsi="Arial" w:cs="Arial"/>
                <w:sz w:val="16"/>
                <w:szCs w:val="16"/>
              </w:rPr>
              <w:lastRenderedPageBreak/>
              <w:t>[108*]</w:t>
            </w:r>
          </w:p>
        </w:tc>
      </w:tr>
      <w:tr w:rsidR="005251ED" w:rsidRPr="00756461" w14:paraId="110802D3" w14:textId="77777777" w:rsidTr="005251ED">
        <w:trPr>
          <w:trHeight w:val="20"/>
        </w:trPr>
        <w:tc>
          <w:tcPr>
            <w:tcW w:w="0" w:type="auto"/>
            <w:vMerge/>
            <w:tcBorders>
              <w:left w:val="single" w:sz="4" w:space="0" w:color="000000"/>
              <w:bottom w:val="single" w:sz="4" w:space="0" w:color="000000"/>
              <w:right w:val="single" w:sz="4" w:space="0" w:color="000000"/>
            </w:tcBorders>
            <w:tcMar>
              <w:top w:w="60" w:type="dxa"/>
              <w:left w:w="100" w:type="dxa"/>
              <w:bottom w:w="60" w:type="dxa"/>
              <w:right w:w="100" w:type="dxa"/>
            </w:tcMar>
          </w:tcPr>
          <w:p w14:paraId="7B3E34FF" w14:textId="77777777" w:rsidR="005251ED" w:rsidRPr="00756461" w:rsidRDefault="005251ED" w:rsidP="00C81EA7">
            <w:pPr>
              <w:spacing w:after="0" w:line="240" w:lineRule="auto"/>
              <w:rPr>
                <w:rFonts w:ascii="Arial" w:hAnsi="Arial" w:cs="Arial"/>
                <w:sz w:val="16"/>
                <w:szCs w:val="16"/>
              </w:rPr>
            </w:pPr>
          </w:p>
        </w:tc>
        <w:tc>
          <w:tcPr>
            <w:tcW w:w="0" w:type="auto"/>
            <w:vMerge/>
            <w:tcBorders>
              <w:left w:val="single" w:sz="4" w:space="0" w:color="000000"/>
              <w:bottom w:val="single" w:sz="4" w:space="0" w:color="000000"/>
              <w:right w:val="single" w:sz="4" w:space="0" w:color="000000"/>
            </w:tcBorders>
            <w:tcMar>
              <w:top w:w="60" w:type="dxa"/>
              <w:left w:w="100" w:type="dxa"/>
              <w:bottom w:w="60" w:type="dxa"/>
              <w:right w:w="100" w:type="dxa"/>
            </w:tcMar>
          </w:tcPr>
          <w:p w14:paraId="1C8411DA" w14:textId="77777777" w:rsidR="005251ED" w:rsidRPr="00756461" w:rsidRDefault="005251ED" w:rsidP="00C81EA7">
            <w:pPr>
              <w:spacing w:after="0" w:line="240" w:lineRule="auto"/>
              <w:rPr>
                <w:rFonts w:ascii="Arial" w:hAnsi="Arial" w:cs="Arial"/>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1AD8B60"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sz w:val="16"/>
                <w:szCs w:val="16"/>
              </w:rPr>
              <w:t>Neonatal death only</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9C897AC"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5</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F6F8B5C"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0.930</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5421526" w14:textId="77777777" w:rsidR="005251ED" w:rsidRPr="00756461" w:rsidRDefault="005251ED" w:rsidP="00C81EA7">
            <w:pPr>
              <w:spacing w:after="0" w:line="240" w:lineRule="auto"/>
              <w:jc w:val="center"/>
              <w:rPr>
                <w:rFonts w:ascii="Arial" w:hAnsi="Arial" w:cs="Arial"/>
                <w:sz w:val="16"/>
                <w:szCs w:val="16"/>
              </w:rPr>
            </w:pPr>
            <w:r>
              <w:rPr>
                <w:rFonts w:ascii="Arial" w:eastAsia="Arial Narrow" w:hAnsi="Arial" w:cs="Arial"/>
                <w:sz w:val="16"/>
                <w:szCs w:val="16"/>
              </w:rPr>
              <w:t>0.811–0.984</w:t>
            </w:r>
          </w:p>
        </w:tc>
        <w:tc>
          <w:tcPr>
            <w:tcW w:w="0" w:type="auto"/>
            <w:tcBorders>
              <w:top w:val="single" w:sz="4" w:space="0" w:color="000000"/>
              <w:left w:val="single" w:sz="4" w:space="0" w:color="000000"/>
              <w:bottom w:val="single" w:sz="4" w:space="0" w:color="000000"/>
              <w:right w:val="single" w:sz="4" w:space="0" w:color="000000"/>
            </w:tcBorders>
          </w:tcPr>
          <w:p w14:paraId="33322CA5" w14:textId="77777777" w:rsidR="005251ED" w:rsidRPr="00756461" w:rsidRDefault="005251ED" w:rsidP="00C81EA7">
            <w:pPr>
              <w:spacing w:after="0" w:line="240" w:lineRule="auto"/>
              <w:rPr>
                <w:rFonts w:ascii="Arial" w:hAnsi="Arial" w:cs="Arial"/>
                <w:sz w:val="16"/>
                <w:szCs w:val="16"/>
              </w:rPr>
            </w:pPr>
            <w:r>
              <w:rPr>
                <w:rFonts w:ascii="Arial" w:eastAsia="Arial Narrow" w:hAnsi="Arial" w:cs="Arial"/>
                <w:b/>
                <w:bCs/>
                <w:sz w:val="16"/>
                <w:szCs w:val="16"/>
              </w:rPr>
              <w:t>0.984</w:t>
            </w:r>
          </w:p>
        </w:tc>
        <w:tc>
          <w:tcPr>
            <w:tcW w:w="769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6E7879D" w14:textId="0ED59185" w:rsidR="005251ED" w:rsidRPr="00756461" w:rsidRDefault="005251ED" w:rsidP="00C81EA7">
            <w:pPr>
              <w:spacing w:after="0" w:line="240" w:lineRule="auto"/>
              <w:rPr>
                <w:rFonts w:ascii="Arial" w:hAnsi="Arial" w:cs="Arial"/>
                <w:sz w:val="16"/>
                <w:szCs w:val="16"/>
              </w:rPr>
            </w:pPr>
            <w:r>
              <w:rPr>
                <w:rFonts w:ascii="Arial" w:eastAsia="Arial Narrow" w:hAnsi="Arial" w:cs="Arial"/>
                <w:sz w:val="16"/>
                <w:szCs w:val="16"/>
              </w:rPr>
              <w:t>Random forest (best of multiple ML algorithms via 10-fold repeated cross-validation)</w:t>
            </w:r>
            <w:r>
              <w:rPr>
                <w:rFonts w:ascii="Arial" w:hAnsi="Arial" w:cs="Arial"/>
                <w:sz w:val="16"/>
                <w:szCs w:val="16"/>
              </w:rPr>
              <w:t>.</w:t>
            </w:r>
            <w:r>
              <w:rPr>
                <w:rFonts w:ascii="Arial" w:eastAsia="Arial Narrow" w:hAnsi="Arial" w:cs="Arial"/>
                <w:sz w:val="16"/>
                <w:szCs w:val="16"/>
              </w:rPr>
              <w:t xml:space="preserve"> </w:t>
            </w:r>
            <w:r>
              <w:rPr>
                <w:rFonts w:ascii="Arial" w:hAnsi="Arial" w:cs="Arial"/>
                <w:sz w:val="16"/>
                <w:szCs w:val="16"/>
              </w:rPr>
              <w:t>M</w:t>
            </w:r>
            <w:r>
              <w:rPr>
                <w:rFonts w:ascii="Arial" w:eastAsia="Arial Narrow" w:hAnsi="Arial" w:cs="Arial"/>
                <w:sz w:val="16"/>
                <w:szCs w:val="16"/>
              </w:rPr>
              <w:t xml:space="preserve">aternal-complication model in de-novo HDP cohort. Predictors (RF maternal model, top variables by importance): platelet count, foetal head/abdominal circumference ratio, gestational age at de-novo HDP diagnosis (variables considered also included demographics, prenatal-checkup count, past medical history, cardiorespiratory tests, haematological/renal/hepatic tests, foetal ultrasound measurements, diagnosis records and operative records). Sample: 1,829 women with de-novo HDP (Tongzhou Maternal &amp; Child Health Care Hospital, Beijing, China; 2012–2019); 102 (5.58%) had adverse maternal outcomes, 306 (16.73%) had adverse neonatal outcomes (Chen et al. 2022). Validation: internal only (10-fold cross-validation repeated 10 times). Performance: maternal RF AUC 0.984 (95% CI 0.978–0.991); parallel neonatal boosted-tree model AUC 0.925 (95% CI 0.907–0.945). </w:t>
            </w:r>
          </w:p>
        </w:tc>
        <w:tc>
          <w:tcPr>
            <w:tcW w:w="105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B4A6B6D" w14:textId="4D54927E" w:rsidR="005251ED" w:rsidRPr="00756461" w:rsidRDefault="00756461" w:rsidP="00C81EA7">
            <w:pPr>
              <w:spacing w:after="0" w:line="240" w:lineRule="auto"/>
              <w:rPr>
                <w:rFonts w:ascii="Arial" w:hAnsi="Arial" w:cs="Arial"/>
                <w:sz w:val="16"/>
                <w:szCs w:val="16"/>
              </w:rPr>
            </w:pPr>
            <w:r>
              <w:rPr>
                <w:rFonts w:ascii="Arial" w:eastAsia="Arial Narrow" w:hAnsi="Arial" w:cs="Arial"/>
                <w:sz w:val="16"/>
                <w:szCs w:val="16"/>
              </w:rPr>
              <w:t>[44*, 50, 69, 47, 86]</w:t>
            </w:r>
          </w:p>
        </w:tc>
      </w:tr>
      <w:tr w:rsidR="009B78F9" w:rsidRPr="00756461" w14:paraId="7B33BC68" w14:textId="77777777" w:rsidTr="005251ED">
        <w:trPr>
          <w:trHeight w:val="20"/>
        </w:trPr>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B612467" w14:textId="77777777" w:rsidR="009B78F9" w:rsidRPr="00756461" w:rsidRDefault="009B78F9" w:rsidP="00C81EA7">
            <w:pPr>
              <w:spacing w:after="0" w:line="240" w:lineRule="auto"/>
              <w:rPr>
                <w:rFonts w:ascii="Arial" w:hAnsi="Arial" w:cs="Arial"/>
                <w:sz w:val="16"/>
                <w:szCs w:val="16"/>
              </w:rPr>
            </w:pPr>
            <w:r>
              <w:rPr>
                <w:rFonts w:ascii="Arial" w:eastAsia="Arial Narrow" w:hAnsi="Arial" w:cs="Arial"/>
                <w:b/>
                <w:bCs/>
                <w:sz w:val="16"/>
                <w:szCs w:val="16"/>
              </w:rPr>
              <w:t>AI only</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8BE75C2" w14:textId="77777777" w:rsidR="009B78F9" w:rsidRPr="00756461" w:rsidRDefault="009B78F9" w:rsidP="00C81EA7">
            <w:pPr>
              <w:spacing w:after="0" w:line="240" w:lineRule="auto"/>
              <w:rPr>
                <w:rFonts w:ascii="Arial" w:hAnsi="Arial" w:cs="Arial"/>
                <w:sz w:val="16"/>
                <w:szCs w:val="16"/>
              </w:rPr>
            </w:pPr>
            <w:r>
              <w:rPr>
                <w:rFonts w:ascii="Arial" w:eastAsia="Arial Narrow" w:hAnsi="Arial" w:cs="Arial"/>
                <w:b/>
                <w:bCs/>
                <w:sz w:val="16"/>
                <w:szCs w:val="16"/>
              </w:rPr>
              <w:t>Non-SSA</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DB87483" w14:textId="77777777" w:rsidR="009B78F9" w:rsidRPr="00756461" w:rsidRDefault="009B78F9" w:rsidP="00C81EA7">
            <w:pPr>
              <w:spacing w:after="0" w:line="240" w:lineRule="auto"/>
              <w:rPr>
                <w:rFonts w:ascii="Arial" w:hAnsi="Arial" w:cs="Arial"/>
                <w:sz w:val="16"/>
                <w:szCs w:val="16"/>
              </w:rPr>
            </w:pPr>
            <w:r>
              <w:rPr>
                <w:rFonts w:ascii="Arial" w:eastAsia="Arial Narrow" w:hAnsi="Arial" w:cs="Arial"/>
                <w:sz w:val="16"/>
                <w:szCs w:val="16"/>
              </w:rPr>
              <w:t>Neonatal death only</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85A81AF" w14:textId="77777777" w:rsidR="009B78F9" w:rsidRPr="00756461" w:rsidRDefault="009B78F9" w:rsidP="00C81EA7">
            <w:pPr>
              <w:spacing w:after="0" w:line="240" w:lineRule="auto"/>
              <w:jc w:val="center"/>
              <w:rPr>
                <w:rFonts w:ascii="Arial" w:hAnsi="Arial" w:cs="Arial"/>
                <w:sz w:val="16"/>
                <w:szCs w:val="16"/>
              </w:rPr>
            </w:pPr>
            <w:r>
              <w:rPr>
                <w:rFonts w:ascii="Arial" w:eastAsia="Arial Narrow" w:hAnsi="Arial" w:cs="Arial"/>
                <w:sz w:val="16"/>
                <w:szCs w:val="16"/>
              </w:rPr>
              <w:t>1</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32DE3F9" w14:textId="77777777" w:rsidR="009B78F9" w:rsidRPr="00756461" w:rsidRDefault="009B78F9" w:rsidP="00C81EA7">
            <w:pPr>
              <w:spacing w:after="0" w:line="240" w:lineRule="auto"/>
              <w:jc w:val="center"/>
              <w:rPr>
                <w:rFonts w:ascii="Arial" w:hAnsi="Arial" w:cs="Arial"/>
                <w:sz w:val="16"/>
                <w:szCs w:val="16"/>
              </w:rPr>
            </w:pPr>
            <w:r>
              <w:rPr>
                <w:rFonts w:ascii="Arial" w:eastAsia="Arial Narrow" w:hAnsi="Arial" w:cs="Arial"/>
                <w:sz w:val="16"/>
                <w:szCs w:val="16"/>
              </w:rPr>
              <w:t>0.934</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28FB9A6" w14:textId="77777777" w:rsidR="009B78F9" w:rsidRPr="00756461" w:rsidRDefault="009B78F9" w:rsidP="00C81EA7">
            <w:pPr>
              <w:spacing w:after="0" w:line="240" w:lineRule="auto"/>
              <w:jc w:val="center"/>
              <w:rPr>
                <w:rFonts w:ascii="Arial" w:hAnsi="Arial" w:cs="Arial"/>
                <w:sz w:val="16"/>
                <w:szCs w:val="16"/>
              </w:rPr>
            </w:pPr>
            <w:r>
              <w:rPr>
                <w:rFonts w:ascii="Arial" w:eastAsia="Arial Narrow" w:hAnsi="Arial" w:cs="Arial"/>
                <w:sz w:val="16"/>
                <w:szCs w:val="16"/>
              </w:rPr>
              <w:t>0.934</w:t>
            </w:r>
          </w:p>
        </w:tc>
        <w:tc>
          <w:tcPr>
            <w:tcW w:w="0" w:type="auto"/>
            <w:tcBorders>
              <w:top w:val="single" w:sz="4" w:space="0" w:color="000000"/>
              <w:left w:val="single" w:sz="4" w:space="0" w:color="000000"/>
              <w:bottom w:val="single" w:sz="4" w:space="0" w:color="000000"/>
              <w:right w:val="single" w:sz="4" w:space="0" w:color="000000"/>
            </w:tcBorders>
          </w:tcPr>
          <w:p w14:paraId="7ED1E83F" w14:textId="77777777" w:rsidR="009B78F9" w:rsidRPr="00756461" w:rsidRDefault="009B78F9" w:rsidP="00C81EA7">
            <w:pPr>
              <w:spacing w:after="0" w:line="240" w:lineRule="auto"/>
              <w:rPr>
                <w:rFonts w:ascii="Arial" w:hAnsi="Arial" w:cs="Arial"/>
                <w:sz w:val="16"/>
                <w:szCs w:val="16"/>
              </w:rPr>
            </w:pPr>
            <w:r>
              <w:rPr>
                <w:rFonts w:ascii="Arial" w:eastAsia="Arial Narrow" w:hAnsi="Arial" w:cs="Arial"/>
                <w:b/>
                <w:bCs/>
                <w:sz w:val="16"/>
                <w:szCs w:val="16"/>
              </w:rPr>
              <w:t>0.934</w:t>
            </w:r>
          </w:p>
        </w:tc>
        <w:tc>
          <w:tcPr>
            <w:tcW w:w="769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5C7BC03" w14:textId="1C84424B" w:rsidR="009B78F9" w:rsidRPr="00756461" w:rsidRDefault="009B78F9" w:rsidP="00C81EA7">
            <w:pPr>
              <w:spacing w:after="0" w:line="240" w:lineRule="auto"/>
              <w:rPr>
                <w:rFonts w:ascii="Arial" w:hAnsi="Arial" w:cs="Arial"/>
                <w:sz w:val="16"/>
                <w:szCs w:val="16"/>
              </w:rPr>
            </w:pPr>
            <w:r>
              <w:rPr>
                <w:rFonts w:ascii="Arial" w:eastAsia="Arial Narrow" w:hAnsi="Arial" w:cs="Arial"/>
                <w:sz w:val="16"/>
                <w:szCs w:val="16"/>
              </w:rPr>
              <w:t>Hybrid CNN-LSTM neural network (NAIMS-3, 3-day prediction window). Predictors: 5 features — birthweight, gestational age, sex, plus heart rate (HR) and respiratory rate (RR) statistics over a 12-hour window. Sample: 179 NICU infants (151 survived, 28 died = 15.64%) from MIMIC-III database (Beth Israel Deaconess Medical Center, Boston, USA; 7,870 neonates available 2001–2008, undersampled to 179 by retaining first 150 non-mortality records); analysis by James Cook University, Australia (Baker et al. 2021). Validation: internal only — 5-fold cross-validation. Performance: AUROC 0.9336 (±0.0337 across 5 folds); AUPRC 0.8397.</w:t>
            </w:r>
          </w:p>
        </w:tc>
        <w:tc>
          <w:tcPr>
            <w:tcW w:w="105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A849422" w14:textId="40F425D4" w:rsidR="009B78F9" w:rsidRPr="00756461" w:rsidRDefault="00756461" w:rsidP="00C81EA7">
            <w:pPr>
              <w:spacing w:after="0" w:line="240" w:lineRule="auto"/>
              <w:rPr>
                <w:rFonts w:ascii="Arial" w:hAnsi="Arial" w:cs="Arial"/>
                <w:sz w:val="16"/>
                <w:szCs w:val="16"/>
              </w:rPr>
            </w:pPr>
            <w:r>
              <w:rPr>
                <w:rFonts w:ascii="Arial" w:eastAsia="Arial Narrow" w:hAnsi="Arial" w:cs="Arial"/>
                <w:sz w:val="16"/>
                <w:szCs w:val="16"/>
              </w:rPr>
              <w:t>[38*]</w:t>
            </w:r>
          </w:p>
        </w:tc>
      </w:tr>
      <w:tr w:rsidR="009B78F9" w:rsidRPr="00756461" w14:paraId="7CE7291C" w14:textId="77777777" w:rsidTr="005251ED">
        <w:trPr>
          <w:trHeight w:val="1152"/>
        </w:trPr>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ACFDCBE" w14:textId="77777777" w:rsidR="009B78F9" w:rsidRPr="00756461" w:rsidRDefault="009B78F9" w:rsidP="00C81EA7">
            <w:pPr>
              <w:spacing w:after="0" w:line="240" w:lineRule="auto"/>
              <w:rPr>
                <w:rFonts w:ascii="Arial" w:hAnsi="Arial" w:cs="Arial"/>
                <w:sz w:val="16"/>
                <w:szCs w:val="16"/>
              </w:rPr>
            </w:pPr>
            <w:r>
              <w:rPr>
                <w:rFonts w:ascii="Arial" w:eastAsia="Arial Narrow" w:hAnsi="Arial" w:cs="Arial"/>
                <w:b/>
                <w:bCs/>
                <w:sz w:val="16"/>
                <w:szCs w:val="16"/>
              </w:rPr>
              <w:t>ML + AI</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3541B58" w14:textId="77777777" w:rsidR="009B78F9" w:rsidRPr="00756461" w:rsidRDefault="009B78F9" w:rsidP="00C81EA7">
            <w:pPr>
              <w:spacing w:after="0" w:line="240" w:lineRule="auto"/>
              <w:rPr>
                <w:rFonts w:ascii="Arial" w:hAnsi="Arial" w:cs="Arial"/>
                <w:sz w:val="16"/>
                <w:szCs w:val="16"/>
              </w:rPr>
            </w:pPr>
            <w:r>
              <w:rPr>
                <w:rFonts w:ascii="Arial" w:eastAsia="Arial Narrow" w:hAnsi="Arial" w:cs="Arial"/>
                <w:b/>
                <w:bCs/>
                <w:sz w:val="16"/>
                <w:szCs w:val="16"/>
              </w:rPr>
              <w:t>SSA</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CA9F342" w14:textId="77777777" w:rsidR="009B78F9" w:rsidRPr="00756461" w:rsidRDefault="009B78F9" w:rsidP="00C81EA7">
            <w:pPr>
              <w:spacing w:after="0" w:line="240" w:lineRule="auto"/>
              <w:rPr>
                <w:rFonts w:ascii="Arial" w:hAnsi="Arial" w:cs="Arial"/>
                <w:sz w:val="16"/>
                <w:szCs w:val="16"/>
              </w:rPr>
            </w:pPr>
            <w:r>
              <w:rPr>
                <w:rFonts w:ascii="Arial" w:eastAsia="Arial Narrow" w:hAnsi="Arial" w:cs="Arial"/>
                <w:sz w:val="16"/>
                <w:szCs w:val="16"/>
              </w:rPr>
              <w:t>Neonatal death only</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EE60139" w14:textId="77777777" w:rsidR="009B78F9" w:rsidRPr="00756461" w:rsidRDefault="009B78F9" w:rsidP="00C81EA7">
            <w:pPr>
              <w:spacing w:after="0" w:line="240" w:lineRule="auto"/>
              <w:jc w:val="center"/>
              <w:rPr>
                <w:rFonts w:ascii="Arial" w:hAnsi="Arial" w:cs="Arial"/>
                <w:sz w:val="16"/>
                <w:szCs w:val="16"/>
              </w:rPr>
            </w:pPr>
            <w:r>
              <w:rPr>
                <w:rFonts w:ascii="Arial" w:eastAsia="Arial Narrow" w:hAnsi="Arial" w:cs="Arial"/>
                <w:sz w:val="16"/>
                <w:szCs w:val="16"/>
              </w:rPr>
              <w:t>1</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8C99DCF" w14:textId="77777777" w:rsidR="009B78F9" w:rsidRPr="00756461" w:rsidRDefault="009B78F9" w:rsidP="00C81EA7">
            <w:pPr>
              <w:spacing w:after="0" w:line="240" w:lineRule="auto"/>
              <w:jc w:val="center"/>
              <w:rPr>
                <w:rFonts w:ascii="Arial" w:hAnsi="Arial" w:cs="Arial"/>
                <w:sz w:val="16"/>
                <w:szCs w:val="16"/>
              </w:rPr>
            </w:pPr>
            <w:r>
              <w:rPr>
                <w:rFonts w:ascii="Arial" w:eastAsia="Arial Narrow" w:hAnsi="Arial" w:cs="Arial"/>
                <w:sz w:val="16"/>
                <w:szCs w:val="16"/>
              </w:rPr>
              <w:t>0.990</w:t>
            </w:r>
          </w:p>
        </w:tc>
        <w:tc>
          <w:tcPr>
            <w:tcW w:w="0" w:type="auto"/>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9B7C738" w14:textId="77777777" w:rsidR="009B78F9" w:rsidRPr="00756461" w:rsidRDefault="009B78F9" w:rsidP="00C81EA7">
            <w:pPr>
              <w:spacing w:after="0" w:line="240" w:lineRule="auto"/>
              <w:jc w:val="center"/>
              <w:rPr>
                <w:rFonts w:ascii="Arial" w:hAnsi="Arial" w:cs="Arial"/>
                <w:sz w:val="16"/>
                <w:szCs w:val="16"/>
              </w:rPr>
            </w:pPr>
            <w:r>
              <w:rPr>
                <w:rFonts w:ascii="Arial" w:eastAsia="Arial Narrow" w:hAnsi="Arial" w:cs="Arial"/>
                <w:sz w:val="16"/>
                <w:szCs w:val="16"/>
              </w:rPr>
              <w:t>0.990</w:t>
            </w:r>
          </w:p>
        </w:tc>
        <w:tc>
          <w:tcPr>
            <w:tcW w:w="0" w:type="auto"/>
            <w:tcBorders>
              <w:top w:val="single" w:sz="4" w:space="0" w:color="000000"/>
              <w:left w:val="single" w:sz="4" w:space="0" w:color="000000"/>
              <w:bottom w:val="single" w:sz="4" w:space="0" w:color="000000"/>
              <w:right w:val="single" w:sz="4" w:space="0" w:color="000000"/>
            </w:tcBorders>
          </w:tcPr>
          <w:p w14:paraId="7A6291F2" w14:textId="77777777" w:rsidR="009B78F9" w:rsidRPr="00756461" w:rsidRDefault="009B78F9" w:rsidP="00C81EA7">
            <w:pPr>
              <w:spacing w:after="0" w:line="240" w:lineRule="auto"/>
              <w:rPr>
                <w:rFonts w:ascii="Arial" w:hAnsi="Arial" w:cs="Arial"/>
                <w:sz w:val="16"/>
                <w:szCs w:val="16"/>
              </w:rPr>
            </w:pPr>
            <w:r>
              <w:rPr>
                <w:rFonts w:ascii="Arial" w:eastAsia="Arial Narrow" w:hAnsi="Arial" w:cs="Arial"/>
                <w:b/>
                <w:bCs/>
                <w:sz w:val="16"/>
                <w:szCs w:val="16"/>
              </w:rPr>
              <w:t>0.990</w:t>
            </w:r>
          </w:p>
        </w:tc>
        <w:tc>
          <w:tcPr>
            <w:tcW w:w="769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285F29E" w14:textId="01E648A9" w:rsidR="009B78F9" w:rsidRPr="00756461" w:rsidRDefault="009B78F9" w:rsidP="00C81EA7">
            <w:pPr>
              <w:spacing w:after="0" w:line="240" w:lineRule="auto"/>
              <w:rPr>
                <w:rFonts w:ascii="Arial" w:hAnsi="Arial" w:cs="Arial"/>
                <w:sz w:val="16"/>
                <w:szCs w:val="16"/>
              </w:rPr>
            </w:pPr>
            <w:r>
              <w:rPr>
                <w:rFonts w:ascii="Arial" w:eastAsia="Arial Narrow" w:hAnsi="Arial" w:cs="Arial"/>
                <w:sz w:val="16"/>
                <w:szCs w:val="16"/>
              </w:rPr>
              <w:t>XGBoost (best of XGBoost, Hist-Gradient Boost, SVM, Neural Network, Random Forest) for 60-day post-discharge mortality. Predictors: 6 features for the neonate model — discharge against medical advice, caregiver age, receipt of oxygen therapy, low birth weight, birth defects, admission weight (Hist-Gradient-Boost and Random Forest selected the same 6 features). Sample: 2,310 neonates (54.4% of 4,243-strong cohort, with 1,933 young children making up the rest); 71 (3.1%) post-discharge deaths in neonates. Prospective observational cohort at Muhimbili National Hospital (Dar es Salaam, Tanzania) and John F. Kennedy Medical Center (Monrovia, Liberia) (Rees et al. 2025). Validation: internal only (derivation–validation split with multiple imputation). External validation flagged as future work in the source paper. Performance: validation-set AUROC 0.99 (95% CI 0.97–0.99); validation AUPRC 0.82 (95% CI 0.73–0.87). Hist-Gradient-Boost and Random Forest models with the same 6 features achieved AUROC 0.99 in validation.</w:t>
            </w:r>
          </w:p>
        </w:tc>
        <w:tc>
          <w:tcPr>
            <w:tcW w:w="105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7B95B0F" w14:textId="728025BF" w:rsidR="009B78F9" w:rsidRPr="00756461" w:rsidRDefault="00756461" w:rsidP="00C81EA7">
            <w:pPr>
              <w:spacing w:after="0" w:line="240" w:lineRule="auto"/>
              <w:rPr>
                <w:rFonts w:ascii="Arial" w:hAnsi="Arial" w:cs="Arial"/>
                <w:sz w:val="16"/>
                <w:szCs w:val="16"/>
              </w:rPr>
            </w:pPr>
            <w:r>
              <w:rPr>
                <w:rFonts w:ascii="Arial" w:eastAsia="Arial Narrow" w:hAnsi="Arial" w:cs="Arial"/>
                <w:sz w:val="16"/>
                <w:szCs w:val="16"/>
              </w:rPr>
              <w:t>[92*]</w:t>
            </w:r>
          </w:p>
        </w:tc>
      </w:tr>
    </w:tbl>
    <w:p w14:paraId="4B210F22" w14:textId="5829180B" w:rsidR="009B78F9" w:rsidRPr="00756461" w:rsidRDefault="009B78F9" w:rsidP="009B78F9">
      <w:pPr>
        <w:spacing w:after="0" w:line="240" w:lineRule="auto"/>
        <w:rPr>
          <w:rFonts w:ascii="Arial" w:hAnsi="Arial" w:cs="Arial"/>
        </w:rPr>
      </w:pPr>
      <w:r>
        <w:rPr>
          <w:rFonts w:ascii="Arial" w:eastAsia="Arial Narrow" w:hAnsi="Arial" w:cs="Arial"/>
          <w:i/>
          <w:iCs/>
          <w:sz w:val="14"/>
          <w:szCs w:val="14"/>
        </w:rPr>
        <w:t>AUC, area under the receiver operating characteristic curve; ANC, antenatal care; ANN, artificial neural network; CV, cross-validation; DHS, Demographic and Health Survey; EDHS, Ethiopian Demographic and Health Survey; FGR, foetal growth restriction; HDP, hypertensive disorders of pregnancy; ISS, Injury Severity Score; LR, logistic regression; MICE, multiple imputation by chained equations; MNHR, Maternal &amp; Newborn Health Registry; NICU, neonatal intensive-care unit; nuMoM2b, Nulliparous Pregnancy Outcomes Study: monitoring mothers-to-be; NSQIP-P, National Surgical Quality Improvement Program – Pediatric; PGM, probabilistic graphical model; RF, random forest; SHAP, SHapley Additive exPlanations; SMOTE, synthetic minority oversampling technique. Model families follow the seven-category scheme used in Tables 1 and 3. Reference numbers correspond to the Table 2 manuscript reference list. Each row represents a single combination of model family, region (sub-Saharan Africa or non-SSA) and outcome (stillbirth-only, neonatal-death-only or both); combinations with no studies reporting an AUC are omitted. Median and Range are computed across all studies in each cell that reported a discrimination metric; cells with a single study show the reported value. References are ordered by AUC (descending); the asterisk (*) marks the Best-AUC contributor. Sixteen of the 93 included studies did not report a discrimination metric and are not represented here.</w:t>
      </w:r>
    </w:p>
    <w:p w14:paraId="5DC82AE6" w14:textId="77777777" w:rsidR="005251ED" w:rsidRPr="00756461" w:rsidRDefault="005251ED" w:rsidP="00164EC5">
      <w:pPr>
        <w:spacing w:after="0" w:line="240" w:lineRule="auto"/>
        <w:rPr>
          <w:rFonts w:ascii="Arial" w:hAnsi="Arial" w:cs="Arial"/>
          <w:b/>
          <w:sz w:val="26"/>
        </w:rPr>
      </w:pPr>
    </w:p>
    <w:p w14:paraId="6DDCAFB7" w14:textId="77777777" w:rsidR="005251ED" w:rsidRPr="00756461" w:rsidRDefault="005251ED" w:rsidP="00164EC5">
      <w:pPr>
        <w:spacing w:after="0" w:line="240" w:lineRule="auto"/>
        <w:rPr>
          <w:rFonts w:ascii="Arial" w:hAnsi="Arial" w:cs="Arial"/>
          <w:b/>
          <w:sz w:val="20"/>
          <w:szCs w:val="20"/>
        </w:rPr>
        <w:sectPr w:rsidR="005251ED" w:rsidRPr="00756461" w:rsidSect="00164EC5">
          <w:pgSz w:w="16838" w:h="11906" w:orient="landscape"/>
          <w:pgMar w:top="1440" w:right="1440" w:bottom="1440" w:left="1440" w:header="708" w:footer="708" w:gutter="0"/>
          <w:cols w:space="708"/>
          <w:docGrid w:linePitch="360"/>
        </w:sectPr>
      </w:pPr>
    </w:p>
    <w:p w14:paraId="3A1FF07A" w14:textId="435A5A63" w:rsidR="00164EC5" w:rsidRPr="00756461" w:rsidRDefault="00164EC5" w:rsidP="00164EC5">
      <w:pPr>
        <w:spacing w:after="0" w:line="240" w:lineRule="auto"/>
        <w:rPr>
          <w:rFonts w:ascii="Arial" w:hAnsi="Arial" w:cs="Arial"/>
          <w:b/>
          <w:sz w:val="20"/>
          <w:szCs w:val="20"/>
        </w:rPr>
      </w:pPr>
      <w:r>
        <w:rPr>
          <w:rFonts w:ascii="Arial" w:hAnsi="Arial" w:cs="Arial"/>
          <w:b/>
          <w:sz w:val="20"/>
          <w:szCs w:val="20"/>
        </w:rPr>
        <w:lastRenderedPageBreak/>
        <w:t>Table S7. External validation and transportability studies involving SSA countries (n=6) and non-SSA countries (n=13)</w:t>
      </w:r>
    </w:p>
    <w:tbl>
      <w:tblPr>
        <w:tblStyle w:val="TableGrid"/>
        <w:tblW w:w="0" w:type="auto"/>
        <w:jc w:val="center"/>
        <w:tblLook w:val="04A0" w:firstRow="1" w:lastRow="0" w:firstColumn="1" w:lastColumn="0" w:noHBand="0" w:noVBand="1"/>
      </w:tblPr>
      <w:tblGrid>
        <w:gridCol w:w="427"/>
        <w:gridCol w:w="993"/>
        <w:gridCol w:w="818"/>
        <w:gridCol w:w="1988"/>
        <w:gridCol w:w="1480"/>
        <w:gridCol w:w="1115"/>
        <w:gridCol w:w="1377"/>
        <w:gridCol w:w="1286"/>
        <w:gridCol w:w="1320"/>
        <w:gridCol w:w="1588"/>
        <w:gridCol w:w="1556"/>
      </w:tblGrid>
      <w:tr w:rsidR="00B6082C" w:rsidRPr="00756461" w14:paraId="412B1C86" w14:textId="77777777" w:rsidTr="00BC1F31">
        <w:trPr>
          <w:tblHeader/>
          <w:jc w:val="center"/>
        </w:trPr>
        <w:tc>
          <w:tcPr>
            <w:tcW w:w="0" w:type="auto"/>
            <w:shd w:val="clear" w:color="auto" w:fill="DDEAF6"/>
            <w:tcMar>
              <w:top w:w="35" w:type="dxa"/>
              <w:left w:w="35" w:type="dxa"/>
              <w:bottom w:w="35" w:type="dxa"/>
              <w:right w:w="35" w:type="dxa"/>
            </w:tcMar>
            <w:hideMark/>
          </w:tcPr>
          <w:p w14:paraId="6CF8DFC1"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b/>
                <w:i/>
                <w:sz w:val="16"/>
                <w:szCs w:val="16"/>
                <w:lang w:val="en-GB"/>
              </w:rPr>
              <w:t>Ref</w:t>
            </w:r>
          </w:p>
        </w:tc>
        <w:tc>
          <w:tcPr>
            <w:tcW w:w="0" w:type="auto"/>
            <w:shd w:val="clear" w:color="auto" w:fill="DDEAF6"/>
            <w:tcMar>
              <w:top w:w="35" w:type="dxa"/>
              <w:left w:w="35" w:type="dxa"/>
              <w:bottom w:w="35" w:type="dxa"/>
              <w:right w:w="35" w:type="dxa"/>
            </w:tcMar>
            <w:hideMark/>
          </w:tcPr>
          <w:p w14:paraId="22ACF084"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b/>
                <w:i/>
                <w:sz w:val="16"/>
                <w:szCs w:val="16"/>
                <w:lang w:val="en-GB"/>
              </w:rPr>
              <w:t>Study</w:t>
            </w:r>
          </w:p>
        </w:tc>
        <w:tc>
          <w:tcPr>
            <w:tcW w:w="0" w:type="auto"/>
            <w:shd w:val="clear" w:color="auto" w:fill="DDEAF6"/>
            <w:tcMar>
              <w:top w:w="35" w:type="dxa"/>
              <w:left w:w="35" w:type="dxa"/>
              <w:bottom w:w="35" w:type="dxa"/>
              <w:right w:w="35" w:type="dxa"/>
            </w:tcMar>
            <w:hideMark/>
          </w:tcPr>
          <w:p w14:paraId="5F93C61A"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b/>
                <w:i/>
                <w:sz w:val="16"/>
                <w:szCs w:val="16"/>
                <w:lang w:val="en-GB"/>
              </w:rPr>
              <w:t>Outcome</w:t>
            </w:r>
          </w:p>
        </w:tc>
        <w:tc>
          <w:tcPr>
            <w:tcW w:w="0" w:type="auto"/>
            <w:shd w:val="clear" w:color="auto" w:fill="DDEAF6"/>
            <w:tcMar>
              <w:top w:w="35" w:type="dxa"/>
              <w:left w:w="35" w:type="dxa"/>
              <w:bottom w:w="35" w:type="dxa"/>
              <w:right w:w="35" w:type="dxa"/>
            </w:tcMar>
            <w:hideMark/>
          </w:tcPr>
          <w:p w14:paraId="4323BE98"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b/>
                <w:i/>
                <w:sz w:val="16"/>
                <w:szCs w:val="16"/>
                <w:lang w:val="en-GB"/>
              </w:rPr>
              <w:t>Origin (development countries and locations)</w:t>
            </w:r>
          </w:p>
        </w:tc>
        <w:tc>
          <w:tcPr>
            <w:tcW w:w="0" w:type="auto"/>
            <w:shd w:val="clear" w:color="auto" w:fill="DDEAF6"/>
            <w:tcMar>
              <w:top w:w="35" w:type="dxa"/>
              <w:left w:w="35" w:type="dxa"/>
              <w:bottom w:w="35" w:type="dxa"/>
              <w:right w:w="35" w:type="dxa"/>
            </w:tcMar>
            <w:hideMark/>
          </w:tcPr>
          <w:p w14:paraId="4D539D51"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b/>
                <w:i/>
                <w:sz w:val="16"/>
                <w:szCs w:val="16"/>
                <w:lang w:val="en-GB"/>
              </w:rPr>
              <w:t>Destination (validation countries and locations)</w:t>
            </w:r>
          </w:p>
        </w:tc>
        <w:tc>
          <w:tcPr>
            <w:tcW w:w="0" w:type="auto"/>
            <w:shd w:val="clear" w:color="auto" w:fill="DDEAF6"/>
            <w:tcMar>
              <w:top w:w="35" w:type="dxa"/>
              <w:left w:w="35" w:type="dxa"/>
              <w:bottom w:w="35" w:type="dxa"/>
              <w:right w:w="35" w:type="dxa"/>
            </w:tcMar>
            <w:hideMark/>
          </w:tcPr>
          <w:p w14:paraId="1BC70CF0"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b/>
                <w:i/>
                <w:sz w:val="16"/>
                <w:szCs w:val="16"/>
                <w:lang w:val="en-GB"/>
              </w:rPr>
              <w:t>Transport category</w:t>
            </w:r>
          </w:p>
        </w:tc>
        <w:tc>
          <w:tcPr>
            <w:tcW w:w="0" w:type="auto"/>
            <w:shd w:val="clear" w:color="auto" w:fill="DDEAF6"/>
            <w:tcMar>
              <w:top w:w="35" w:type="dxa"/>
              <w:left w:w="35" w:type="dxa"/>
              <w:bottom w:w="35" w:type="dxa"/>
              <w:right w:w="35" w:type="dxa"/>
            </w:tcMar>
            <w:hideMark/>
          </w:tcPr>
          <w:p w14:paraId="3E4804DE"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b/>
                <w:i/>
                <w:sz w:val="16"/>
                <w:szCs w:val="16"/>
                <w:lang w:val="en-GB"/>
              </w:rPr>
              <w:t>Model(s) validated</w:t>
            </w:r>
          </w:p>
        </w:tc>
        <w:tc>
          <w:tcPr>
            <w:tcW w:w="0" w:type="auto"/>
            <w:shd w:val="clear" w:color="auto" w:fill="DDEAF6"/>
            <w:tcMar>
              <w:top w:w="35" w:type="dxa"/>
              <w:left w:w="35" w:type="dxa"/>
              <w:bottom w:w="35" w:type="dxa"/>
              <w:right w:w="35" w:type="dxa"/>
            </w:tcMar>
            <w:hideMark/>
          </w:tcPr>
          <w:p w14:paraId="6BEF7C88"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b/>
                <w:i/>
                <w:sz w:val="16"/>
                <w:szCs w:val="16"/>
                <w:lang w:val="en-GB"/>
              </w:rPr>
              <w:t>Validation approach</w:t>
            </w:r>
          </w:p>
        </w:tc>
        <w:tc>
          <w:tcPr>
            <w:tcW w:w="0" w:type="auto"/>
            <w:shd w:val="clear" w:color="auto" w:fill="DDEAF6"/>
            <w:tcMar>
              <w:top w:w="35" w:type="dxa"/>
              <w:left w:w="35" w:type="dxa"/>
              <w:bottom w:w="35" w:type="dxa"/>
              <w:right w:w="35" w:type="dxa"/>
            </w:tcMar>
            <w:hideMark/>
          </w:tcPr>
          <w:p w14:paraId="5D895CF9"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b/>
                <w:i/>
                <w:sz w:val="16"/>
                <w:szCs w:val="16"/>
                <w:lang w:val="en-GB"/>
              </w:rPr>
              <w:t>Sample size</w:t>
            </w:r>
          </w:p>
        </w:tc>
        <w:tc>
          <w:tcPr>
            <w:tcW w:w="0" w:type="auto"/>
            <w:shd w:val="clear" w:color="auto" w:fill="DDEAF6"/>
            <w:tcMar>
              <w:top w:w="35" w:type="dxa"/>
              <w:left w:w="35" w:type="dxa"/>
              <w:bottom w:w="35" w:type="dxa"/>
              <w:right w:w="35" w:type="dxa"/>
            </w:tcMar>
            <w:hideMark/>
          </w:tcPr>
          <w:p w14:paraId="79C0A820"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b/>
                <w:i/>
                <w:sz w:val="16"/>
                <w:szCs w:val="16"/>
                <w:lang w:val="en-GB"/>
              </w:rPr>
              <w:t>Key result</w:t>
            </w:r>
          </w:p>
        </w:tc>
        <w:tc>
          <w:tcPr>
            <w:tcW w:w="0" w:type="auto"/>
            <w:shd w:val="clear" w:color="auto" w:fill="DDEAF6"/>
            <w:tcMar>
              <w:top w:w="35" w:type="dxa"/>
              <w:left w:w="35" w:type="dxa"/>
              <w:bottom w:w="35" w:type="dxa"/>
              <w:right w:w="35" w:type="dxa"/>
            </w:tcMar>
            <w:hideMark/>
          </w:tcPr>
          <w:p w14:paraId="6EFED480"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b/>
                <w:i/>
                <w:sz w:val="16"/>
                <w:szCs w:val="16"/>
                <w:lang w:val="en-GB"/>
              </w:rPr>
              <w:t>Mapping route note</w:t>
            </w:r>
          </w:p>
        </w:tc>
      </w:tr>
      <w:tr w:rsidR="00B6082C" w:rsidRPr="00756461" w14:paraId="42A50761" w14:textId="77777777" w:rsidTr="00BC1F31">
        <w:trPr>
          <w:jc w:val="center"/>
        </w:trPr>
        <w:tc>
          <w:tcPr>
            <w:tcW w:w="0" w:type="auto"/>
            <w:tcMar>
              <w:top w:w="35" w:type="dxa"/>
              <w:left w:w="35" w:type="dxa"/>
              <w:bottom w:w="35" w:type="dxa"/>
              <w:right w:w="35" w:type="dxa"/>
            </w:tcMar>
            <w:hideMark/>
          </w:tcPr>
          <w:p w14:paraId="2DF21B6B" w14:textId="77777777" w:rsidR="00B6082C" w:rsidRPr="00756461" w:rsidRDefault="00B6082C" w:rsidP="00BC1F31">
            <w:pPr>
              <w:spacing w:after="0" w:line="240" w:lineRule="auto"/>
              <w:rPr>
                <w:rFonts w:ascii="Arial" w:hAnsi="Arial" w:cs="Arial"/>
                <w:i/>
                <w:sz w:val="16"/>
                <w:szCs w:val="16"/>
                <w:lang w:val="en-GB"/>
              </w:rPr>
            </w:pPr>
            <w:r>
              <w:rPr>
                <w:rFonts w:ascii="Arial" w:eastAsia="Times New Roman" w:hAnsi="Arial" w:cs="Arial"/>
                <w:color w:val="000000"/>
                <w:sz w:val="16"/>
                <w:szCs w:val="16"/>
                <w:lang w:eastAsia="en-GB" w:bidi="th-TH"/>
              </w:rPr>
              <w:fldChar w:fldCharType="begin"/>
            </w:r>
            <w:r>
              <w:rPr>
                <w:rFonts w:ascii="Arial" w:eastAsia="Times New Roman" w:hAnsi="Arial" w:cs="Arial"/>
                <w:color w:val="000000"/>
                <w:sz w:val="16"/>
                <w:szCs w:val="16"/>
                <w:lang w:eastAsia="en-GB" w:bidi="th-TH"/>
              </w:rPr>
              <w:instrText xml:space="preserve"> ADDIN ZOTERO_ITEM CSL_CITATION {"citationID":"7lxRc1mU","properties":{"formattedCitation":"[35]","plainCitation":"[35]","noteIndex":0},"citationItems":[{"id":"b2OWig5M/cHvcmgV1","uris":["http://zotero.org/users/18230940/items/IU43YRC6"],"itemData":{"id":649,"type":"article-journal","abstract":"OBJECTIVE: Stillbirth is a potentially preventable complication of pregnancy. Identifying women at high risk of stillbirth can guide decisions on the need for closer surveillance and timing of delivery in order to prevent fetal death. Prognostic models have been developed to predict the risk of stillbirth, but none has yet been validated externally. In this study, we externally validated published prediction models for stillbirth using individual participant data (IPD) meta-analysis to assess their predictive performance.\nMETHODS: MEDLINE, EMBASE, DH-DATA and AMED databases were searched from inception to December 2020 to identify studies reporting stillbirth prediction models. Studies that developed or updated prediction models for stillbirth for use at any time during pregnancy were included. IPD from cohorts within the International Prediction of Pregnancy Complications (IPPIC) Network were used to validate externally the identified prediction models whose individual variables were available in the IPD. The risk of bias of the models and cohorts was assessed using the Prediction study Risk Of Bias ASsessment Tool (PROBAST). The discriminative performance of the models was evaluated using the C-statistic, and calibration was assessed using calibration plots, calibration slope and calibration-in-the-large. Performance measures were estimated separately in each cohort, as well as summarized across cohorts using random-effects meta-analysis. Clinical utility was assessed using net benefit.\nRESULTS: Seventeen studies reporting the development of 40 prognostic models for stillbirth were identified. None of the models had been previously validated externally, and the full model equation was reported for only one-fifth (20%, 8/40) of the models. External validation was possible for three of these models, using IPD from 19 cohorts (491201 pregnant women) within the IPPIC Network database. Based on evaluation of the model development studies, all three models had an overall high risk of bias, according to PROBAST. In the IPD meta-analysis, the models had summary C-statistics ranging from 0.53 to 0.65 and summary calibration slopes ranging from 0.40 to 0.88, with risk predictions that were generally too extreme compared with the observed risks. The models had little to no clinical utility, as assessed by net benefit. However, there remained uncertainty in the performance of some models due to small available sample sizes.\nCONCLUSIONS: The three validated stillbirth prediction models showed generally poor and uncertain predictive performance in new data, with limited evidence to support their clinical application. The findings suggest methodological shortcomings in their development, including overfitting. Further research is needed to further validate these and other models, identify stronger prognostic factors and develop more robust prediction models. © 2021 The Authors. Ultrasound in Obstetrics &amp; Gynecology published by John Wiley &amp; Sons Ltd on behalf of International Society of Ultrasound in Obstetrics and Gynecology.","container-title":"Ultrasound in Obstetrics &amp; Gynecology: The Official Journal of the International Society of Ultrasound in Obstetrics and Gynecology","DOI":"10.1002/uog.23757","ISSN":"1469-0705","issue":"2","journalAbbreviation":"Ultrasound Obstet Gynecol","language":"eng","page":"209-219","PMID":"34405928","source":"PubMed","title":"External validation of prognostic models to predict stillbirth using International Prediction of Pregnancy Complications (IPPIC) Network database: individual participant data meta-analysis","title-short":"External validation of prognostic models to predict stillbirth using International Prediction of Pregnancy Complications (IPPIC) Network database","volume":"59","author":[{"family":"Allotey","given":"J."},{"family":"Whittle","given":"R."},{"family":"Snell","given":"K. I. E."},{"family":"Smuk","given":"M."},{"family":"Townsend","given":"R."},{"family":"Dadelszen","given":"P.","non-dropping-particle":"von"},{"family":"Heazell","given":"A. E. P."},{"family":"Magee","given":"L."},{"family":"Smith","given":"G. C. S."},{"family":"Sandall","given":"J."},{"family":"Thilaganathan","given":"B."},{"family":"Zamora","given":"J."},{"family":"Riley","given":"R. D."},{"family":"Khalil","given":"A."},{"family":"Thangaratinam","given":"S."},{"literal":"IPPIC Collaborative Network"}],"issued":{"date-parts":[["2022",2]]}}}],"schema":"https://github.com/citation-style-language/schema/raw/master/csl-citation.json"} </w:instrText>
            </w:r>
            <w:r>
              <w:rPr>
                <w:rFonts w:ascii="Arial" w:eastAsia="Times New Roman" w:hAnsi="Arial" w:cs="Arial"/>
                <w:color w:val="000000"/>
                <w:sz w:val="16"/>
                <w:szCs w:val="16"/>
                <w:lang w:eastAsia="en-GB" w:bidi="th-TH"/>
              </w:rPr>
              <w:fldChar w:fldCharType="separate"/>
            </w:r>
            <w:r>
              <w:rPr>
                <w:rFonts w:ascii="Arial" w:hAnsi="Arial" w:cs="Arial"/>
                <w:sz w:val="16"/>
                <w:lang w:val="en-GB"/>
              </w:rPr>
              <w:t>[35]</w:t>
            </w:r>
            <w:r>
              <w:rPr>
                <w:rFonts w:ascii="Arial" w:eastAsia="Times New Roman" w:hAnsi="Arial" w:cs="Arial"/>
                <w:color w:val="000000"/>
                <w:sz w:val="16"/>
                <w:szCs w:val="16"/>
                <w:lang w:eastAsia="en-GB" w:bidi="th-TH"/>
              </w:rPr>
              <w:fldChar w:fldCharType="end"/>
            </w:r>
          </w:p>
        </w:tc>
        <w:tc>
          <w:tcPr>
            <w:tcW w:w="0" w:type="auto"/>
            <w:tcMar>
              <w:top w:w="35" w:type="dxa"/>
              <w:left w:w="35" w:type="dxa"/>
              <w:bottom w:w="35" w:type="dxa"/>
              <w:right w:w="35" w:type="dxa"/>
            </w:tcMar>
            <w:hideMark/>
          </w:tcPr>
          <w:p w14:paraId="3C12B070"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Allotey et al. 2022</w:t>
            </w:r>
          </w:p>
        </w:tc>
        <w:tc>
          <w:tcPr>
            <w:tcW w:w="0" w:type="auto"/>
            <w:tcMar>
              <w:top w:w="35" w:type="dxa"/>
              <w:left w:w="35" w:type="dxa"/>
              <w:bottom w:w="35" w:type="dxa"/>
              <w:right w:w="35" w:type="dxa"/>
            </w:tcMar>
            <w:hideMark/>
          </w:tcPr>
          <w:p w14:paraId="340786FD"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Stillbirths</w:t>
            </w:r>
          </w:p>
        </w:tc>
        <w:tc>
          <w:tcPr>
            <w:tcW w:w="0" w:type="auto"/>
            <w:tcMar>
              <w:top w:w="35" w:type="dxa"/>
              <w:left w:w="35" w:type="dxa"/>
              <w:bottom w:w="35" w:type="dxa"/>
              <w:right w:w="35" w:type="dxa"/>
            </w:tcMar>
            <w:hideMark/>
          </w:tcPr>
          <w:p w14:paraId="1FD26AA2"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Published stillbirth models validated in IPPIC: Smith, Yerlikaya and Trudell models. Main article does not itemise a single development country for each route in the map dataset.</w:t>
            </w:r>
          </w:p>
        </w:tc>
        <w:tc>
          <w:tcPr>
            <w:tcW w:w="0" w:type="auto"/>
            <w:tcMar>
              <w:top w:w="35" w:type="dxa"/>
              <w:left w:w="35" w:type="dxa"/>
              <w:bottom w:w="35" w:type="dxa"/>
              <w:right w:w="35" w:type="dxa"/>
            </w:tcMar>
            <w:hideMark/>
          </w:tcPr>
          <w:p w14:paraId="665190B5"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IPPIC individual participant data meta-analysis, 19 cohorts, no sub-Saharan African cohort itemised in the main article.</w:t>
            </w:r>
          </w:p>
        </w:tc>
        <w:tc>
          <w:tcPr>
            <w:tcW w:w="0" w:type="auto"/>
            <w:tcMar>
              <w:top w:w="35" w:type="dxa"/>
              <w:left w:w="35" w:type="dxa"/>
              <w:bottom w:w="35" w:type="dxa"/>
              <w:right w:w="35" w:type="dxa"/>
            </w:tcMar>
            <w:hideMark/>
          </w:tcPr>
          <w:p w14:paraId="62295102"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External validation bypassing SSA</w:t>
            </w:r>
          </w:p>
        </w:tc>
        <w:tc>
          <w:tcPr>
            <w:tcW w:w="0" w:type="auto"/>
            <w:tcMar>
              <w:top w:w="35" w:type="dxa"/>
              <w:left w:w="35" w:type="dxa"/>
              <w:bottom w:w="35" w:type="dxa"/>
              <w:right w:w="35" w:type="dxa"/>
            </w:tcMar>
            <w:hideMark/>
          </w:tcPr>
          <w:p w14:paraId="6615B116"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Smith, Yerlikaya and Trudell stillbirth prediction models.</w:t>
            </w:r>
          </w:p>
        </w:tc>
        <w:tc>
          <w:tcPr>
            <w:tcW w:w="0" w:type="auto"/>
            <w:tcMar>
              <w:top w:w="35" w:type="dxa"/>
              <w:left w:w="35" w:type="dxa"/>
              <w:bottom w:w="35" w:type="dxa"/>
              <w:right w:w="35" w:type="dxa"/>
            </w:tcMar>
            <w:hideMark/>
          </w:tcPr>
          <w:p w14:paraId="69378064"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Independent external validation using IPPIC individual participant data meta-analysis.</w:t>
            </w:r>
          </w:p>
        </w:tc>
        <w:tc>
          <w:tcPr>
            <w:tcW w:w="0" w:type="auto"/>
            <w:tcMar>
              <w:top w:w="35" w:type="dxa"/>
              <w:left w:w="35" w:type="dxa"/>
              <w:bottom w:w="35" w:type="dxa"/>
              <w:right w:w="35" w:type="dxa"/>
            </w:tcMar>
            <w:hideMark/>
          </w:tcPr>
          <w:p w14:paraId="11456FA5"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491,201 pregnant women from 19 cohorts.</w:t>
            </w:r>
          </w:p>
        </w:tc>
        <w:tc>
          <w:tcPr>
            <w:tcW w:w="0" w:type="auto"/>
            <w:tcMar>
              <w:top w:w="35" w:type="dxa"/>
              <w:left w:w="35" w:type="dxa"/>
              <w:bottom w:w="35" w:type="dxa"/>
              <w:right w:w="35" w:type="dxa"/>
            </w:tcMar>
            <w:hideMark/>
          </w:tcPr>
          <w:p w14:paraId="2FD8D553"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Summary C-statistics 0.53 to 0.65 and calibration slopes 0.40 to 0.88. The models showed little-to-no clinical utility.</w:t>
            </w:r>
          </w:p>
        </w:tc>
        <w:tc>
          <w:tcPr>
            <w:tcW w:w="0" w:type="auto"/>
            <w:tcMar>
              <w:top w:w="35" w:type="dxa"/>
              <w:left w:w="35" w:type="dxa"/>
              <w:bottom w:w="35" w:type="dxa"/>
              <w:right w:w="35" w:type="dxa"/>
            </w:tcMar>
            <w:hideMark/>
          </w:tcPr>
          <w:p w14:paraId="2C7C9676"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Mapped as an IPPIC/UK evidence-hub loop only. The uploaded main article reports IPPIC as a 26-country living repository but does not list the 19 validation cohort countries in the main text, so no invented country routes are drawn.</w:t>
            </w:r>
          </w:p>
        </w:tc>
      </w:tr>
      <w:tr w:rsidR="00B6082C" w:rsidRPr="00756461" w14:paraId="3ABA14C6" w14:textId="77777777" w:rsidTr="00BC1F31">
        <w:trPr>
          <w:jc w:val="center"/>
        </w:trPr>
        <w:tc>
          <w:tcPr>
            <w:tcW w:w="0" w:type="auto"/>
            <w:tcMar>
              <w:top w:w="35" w:type="dxa"/>
              <w:left w:w="35" w:type="dxa"/>
              <w:bottom w:w="35" w:type="dxa"/>
              <w:right w:w="35" w:type="dxa"/>
            </w:tcMar>
            <w:hideMark/>
          </w:tcPr>
          <w:p w14:paraId="5018FE43" w14:textId="77777777" w:rsidR="00B6082C" w:rsidRPr="00756461" w:rsidRDefault="00B6082C" w:rsidP="00BC1F31">
            <w:pPr>
              <w:spacing w:after="0" w:line="240" w:lineRule="auto"/>
              <w:rPr>
                <w:rFonts w:ascii="Arial" w:hAnsi="Arial" w:cs="Arial"/>
                <w:i/>
                <w:sz w:val="16"/>
                <w:szCs w:val="16"/>
                <w:lang w:val="en-GB"/>
              </w:rPr>
            </w:pPr>
            <w:r>
              <w:rPr>
                <w:rFonts w:ascii="Arial" w:eastAsia="Times New Roman" w:hAnsi="Arial" w:cs="Arial"/>
                <w:color w:val="000000"/>
                <w:sz w:val="16"/>
                <w:szCs w:val="16"/>
                <w:lang w:eastAsia="en-GB" w:bidi="th-TH"/>
              </w:rPr>
              <w:fldChar w:fldCharType="begin"/>
            </w:r>
            <w:r>
              <w:rPr>
                <w:rFonts w:ascii="Arial" w:eastAsia="Times New Roman" w:hAnsi="Arial" w:cs="Arial"/>
                <w:color w:val="000000"/>
                <w:sz w:val="16"/>
                <w:szCs w:val="16"/>
                <w:lang w:eastAsia="en-GB" w:bidi="th-TH"/>
              </w:rPr>
              <w:instrText xml:space="preserve"> ADDIN ZOTERO_ITEM CSL_CITATION {"citationID":"Yki1YW8m","properties":{"formattedCitation":"[39]","plainCitation":"[39]","noteIndex":0},"citationItems":[{"id":"b2OWig5M/FT0B64wZ","uris":["http://zotero.org/users/18230940/items/IXXAU8H9"],"itemData":{"id":662,"type":"article-journal","abstract":"Recent decreases in neonatal mortality have been slower than expected for most countries. This study aims to predict the risk of neonatal mortality using only data routinely available from birth records in the largest city of the Americas.","container-title":"BMC Pediatrics","DOI":"10.1186/s12887-021-02788-9","ISSN":"1471-2431","issue":"1","journalAbbreviation":"BMC Pediatr","language":"en","page":"322","source":"Springer Link","title":"Neonatal mortality prediction with routinely collected data: a machine learning approach","title-short":"Neonatal mortality prediction with routinely collected data","volume":"21","author":[{"family":"Batista","given":"André F. M."},{"family":"Diniz","given":"Carmen S. G."},{"family":"Bonilha","given":"Eliana A."},{"family":"Kawachi","given":"Ichiro"},{"family":"Chiavegatto Filho","given":"Alexandre D. P."}],"issued":{"date-parts":[["2021",7,21]]}}}],"schema":"https://github.com/citation-style-language/schema/raw/master/csl-citation.json"} </w:instrText>
            </w:r>
            <w:r>
              <w:rPr>
                <w:rFonts w:ascii="Arial" w:eastAsia="Times New Roman" w:hAnsi="Arial" w:cs="Arial"/>
                <w:color w:val="000000"/>
                <w:sz w:val="16"/>
                <w:szCs w:val="16"/>
                <w:lang w:eastAsia="en-GB" w:bidi="th-TH"/>
              </w:rPr>
              <w:fldChar w:fldCharType="separate"/>
            </w:r>
            <w:r>
              <w:rPr>
                <w:rFonts w:ascii="Arial" w:hAnsi="Arial" w:cs="Arial"/>
                <w:sz w:val="16"/>
                <w:lang w:val="en-GB"/>
              </w:rPr>
              <w:t>[39]</w:t>
            </w:r>
            <w:r>
              <w:rPr>
                <w:rFonts w:ascii="Arial" w:eastAsia="Times New Roman" w:hAnsi="Arial" w:cs="Arial"/>
                <w:color w:val="000000"/>
                <w:sz w:val="16"/>
                <w:szCs w:val="16"/>
                <w:lang w:eastAsia="en-GB" w:bidi="th-TH"/>
              </w:rPr>
              <w:fldChar w:fldCharType="end"/>
            </w:r>
          </w:p>
        </w:tc>
        <w:tc>
          <w:tcPr>
            <w:tcW w:w="0" w:type="auto"/>
            <w:tcMar>
              <w:top w:w="35" w:type="dxa"/>
              <w:left w:w="35" w:type="dxa"/>
              <w:bottom w:w="35" w:type="dxa"/>
              <w:right w:w="35" w:type="dxa"/>
            </w:tcMar>
            <w:hideMark/>
          </w:tcPr>
          <w:p w14:paraId="69DF2B00"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Batista et al. 2021</w:t>
            </w:r>
          </w:p>
        </w:tc>
        <w:tc>
          <w:tcPr>
            <w:tcW w:w="0" w:type="auto"/>
            <w:tcMar>
              <w:top w:w="35" w:type="dxa"/>
              <w:left w:w="35" w:type="dxa"/>
              <w:bottom w:w="35" w:type="dxa"/>
              <w:right w:w="35" w:type="dxa"/>
            </w:tcMar>
            <w:hideMark/>
          </w:tcPr>
          <w:p w14:paraId="318196F6"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Neonatal deaths</w:t>
            </w:r>
          </w:p>
        </w:tc>
        <w:tc>
          <w:tcPr>
            <w:tcW w:w="0" w:type="auto"/>
            <w:tcMar>
              <w:top w:w="35" w:type="dxa"/>
              <w:left w:w="35" w:type="dxa"/>
              <w:bottom w:w="35" w:type="dxa"/>
              <w:right w:w="35" w:type="dxa"/>
            </w:tcMar>
            <w:hideMark/>
          </w:tcPr>
          <w:p w14:paraId="53892DCA"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Brazil: Sao Paulo municipality live-birth records, 2012 to 2016.</w:t>
            </w:r>
          </w:p>
        </w:tc>
        <w:tc>
          <w:tcPr>
            <w:tcW w:w="0" w:type="auto"/>
            <w:tcMar>
              <w:top w:w="35" w:type="dxa"/>
              <w:left w:w="35" w:type="dxa"/>
              <w:bottom w:w="35" w:type="dxa"/>
              <w:right w:w="35" w:type="dxa"/>
            </w:tcMar>
            <w:hideMark/>
          </w:tcPr>
          <w:p w14:paraId="50AE70BA"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Brazil: Sao Paulo municipality live-birth records, 2017.</w:t>
            </w:r>
          </w:p>
        </w:tc>
        <w:tc>
          <w:tcPr>
            <w:tcW w:w="0" w:type="auto"/>
            <w:tcMar>
              <w:top w:w="35" w:type="dxa"/>
              <w:left w:w="35" w:type="dxa"/>
              <w:bottom w:w="35" w:type="dxa"/>
              <w:right w:w="35" w:type="dxa"/>
            </w:tcMar>
            <w:hideMark/>
          </w:tcPr>
          <w:p w14:paraId="4F278150"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Temporal external validation within country</w:t>
            </w:r>
          </w:p>
        </w:tc>
        <w:tc>
          <w:tcPr>
            <w:tcW w:w="0" w:type="auto"/>
            <w:tcMar>
              <w:top w:w="35" w:type="dxa"/>
              <w:left w:w="35" w:type="dxa"/>
              <w:bottom w:w="35" w:type="dxa"/>
              <w:right w:w="35" w:type="dxa"/>
            </w:tcMar>
            <w:hideMark/>
          </w:tcPr>
          <w:p w14:paraId="3998A990"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Five machine-learning algorithms for neonatal mortality; best model was XGBoost.</w:t>
            </w:r>
          </w:p>
        </w:tc>
        <w:tc>
          <w:tcPr>
            <w:tcW w:w="0" w:type="auto"/>
            <w:tcMar>
              <w:top w:w="35" w:type="dxa"/>
              <w:left w:w="35" w:type="dxa"/>
              <w:bottom w:w="35" w:type="dxa"/>
              <w:right w:w="35" w:type="dxa"/>
            </w:tcMar>
            <w:hideMark/>
          </w:tcPr>
          <w:p w14:paraId="30ADC870"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 xml:space="preserve">Training </w:t>
            </w:r>
            <w:proofErr w:type="gramStart"/>
            <w:r>
              <w:rPr>
                <w:rFonts w:ascii="Arial" w:hAnsi="Arial" w:cs="Arial"/>
                <w:i/>
                <w:sz w:val="16"/>
                <w:szCs w:val="16"/>
                <w:lang w:val="en-GB"/>
              </w:rPr>
              <w:t>on</w:t>
            </w:r>
            <w:proofErr w:type="gramEnd"/>
            <w:r>
              <w:rPr>
                <w:rFonts w:ascii="Arial" w:hAnsi="Arial" w:cs="Arial"/>
                <w:i/>
                <w:sz w:val="16"/>
                <w:szCs w:val="16"/>
                <w:lang w:val="en-GB"/>
              </w:rPr>
              <w:t xml:space="preserve"> 2012 to 2016 births and testing on unseen 2017 births.</w:t>
            </w:r>
          </w:p>
        </w:tc>
        <w:tc>
          <w:tcPr>
            <w:tcW w:w="0" w:type="auto"/>
            <w:tcMar>
              <w:top w:w="35" w:type="dxa"/>
              <w:left w:w="35" w:type="dxa"/>
              <w:bottom w:w="35" w:type="dxa"/>
              <w:right w:w="35" w:type="dxa"/>
            </w:tcMar>
            <w:hideMark/>
          </w:tcPr>
          <w:p w14:paraId="15EF4356"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1,128,162 live births: 941,308 training births and 186,854 test births.</w:t>
            </w:r>
          </w:p>
        </w:tc>
        <w:tc>
          <w:tcPr>
            <w:tcW w:w="0" w:type="auto"/>
            <w:tcMar>
              <w:top w:w="35" w:type="dxa"/>
              <w:left w:w="35" w:type="dxa"/>
              <w:bottom w:w="35" w:type="dxa"/>
              <w:right w:w="35" w:type="dxa"/>
            </w:tcMar>
            <w:hideMark/>
          </w:tcPr>
          <w:p w14:paraId="16F6FB22"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XGBoost achieved AUC 0.971, F1-score 0.548 and precision 0.729. The 5 percent highest-risk births contained more than 90 percent of neonatal deaths.</w:t>
            </w:r>
          </w:p>
        </w:tc>
        <w:tc>
          <w:tcPr>
            <w:tcW w:w="0" w:type="auto"/>
            <w:tcMar>
              <w:top w:w="35" w:type="dxa"/>
              <w:left w:w="35" w:type="dxa"/>
              <w:bottom w:w="35" w:type="dxa"/>
              <w:right w:w="35" w:type="dxa"/>
            </w:tcMar>
            <w:hideMark/>
          </w:tcPr>
          <w:p w14:paraId="1C0D065E"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Temporal Sao Paulo-to-Sao Paulo loop.</w:t>
            </w:r>
          </w:p>
        </w:tc>
      </w:tr>
      <w:tr w:rsidR="00B6082C" w:rsidRPr="00756461" w14:paraId="3C2915CB" w14:textId="77777777" w:rsidTr="00BC1F31">
        <w:trPr>
          <w:jc w:val="center"/>
        </w:trPr>
        <w:tc>
          <w:tcPr>
            <w:tcW w:w="0" w:type="auto"/>
            <w:tcMar>
              <w:top w:w="35" w:type="dxa"/>
              <w:left w:w="35" w:type="dxa"/>
              <w:bottom w:w="35" w:type="dxa"/>
              <w:right w:w="35" w:type="dxa"/>
            </w:tcMar>
            <w:hideMark/>
          </w:tcPr>
          <w:p w14:paraId="0FBBB47E" w14:textId="77777777" w:rsidR="00B6082C" w:rsidRPr="00756461" w:rsidRDefault="00B6082C" w:rsidP="00BC1F31">
            <w:pPr>
              <w:spacing w:after="0" w:line="240" w:lineRule="auto"/>
              <w:rPr>
                <w:rFonts w:ascii="Arial" w:hAnsi="Arial" w:cs="Arial"/>
                <w:i/>
                <w:sz w:val="16"/>
                <w:szCs w:val="16"/>
                <w:lang w:val="en-GB"/>
              </w:rPr>
            </w:pPr>
            <w:r>
              <w:rPr>
                <w:rFonts w:ascii="Arial" w:eastAsia="Times New Roman" w:hAnsi="Arial" w:cs="Arial"/>
                <w:color w:val="000000"/>
                <w:sz w:val="16"/>
                <w:szCs w:val="16"/>
                <w:lang w:eastAsia="en-GB" w:bidi="th-TH"/>
              </w:rPr>
              <w:fldChar w:fldCharType="begin"/>
            </w:r>
            <w:r>
              <w:rPr>
                <w:rFonts w:ascii="Arial" w:eastAsia="Times New Roman" w:hAnsi="Arial" w:cs="Arial"/>
                <w:color w:val="000000"/>
                <w:sz w:val="16"/>
                <w:szCs w:val="16"/>
                <w:lang w:eastAsia="en-GB" w:bidi="th-TH"/>
              </w:rPr>
              <w:instrText xml:space="preserve"> ADDIN ZOTERO_ITEM CSL_CITATION {"citationID":"3ARP8Fu6","properties":{"formattedCitation":"[41]","plainCitation":"[41]","noteIndex":0},"citationItems":[{"id":"b2OWig5M/6bYeeUJm","uris":["http://zotero.org/users/18230940/items/QCKUIG3L"],"itemData":{"id":666,"type":"article-journal","abstract":"Although most pregnancies result in a good outcome, complications are not uncommon and can be associated with serious implications for mothers and babies. Predictive modeling has the potential to improve outcomes through a better understanding of risk factors, heightened surveillance for high-risk patients, and more timely and appropriate interventions, thereby helping obstetricians deliver better care. We identify and study the most important risk factors for four types of pregnancy complications: (i) severe maternal morbidity, (ii) shoulder dystocia, (iii) preterm preeclampsia, and (iv) antepartum stillbirth. We use an Explainable Boosting Machine (EBM), a high-accuracy glass-box learning method, for the prediction and identification of important risk factors. We undertake external validation and perform an extensive robustness analysis of the EBM models. EBMs match the accuracy of other black-box ML methods, such as deep neural networks and random forests, and outperform logistic regression, while being more interpretable. EBMs prove to be robust. The interpretability of the EBM models reveal surprising insights into the features contributing to risk (e.g., maternal height is the second most important feature for shoulder dystocia) and may have potential for clinical application in the prediction and prevention of serious complications in pregnancy.","container-title":"Journal of Healthcare Informatics Research","DOI":"10.1007/s41666-023-00151-4","ISSN":"2509-498X","issue":"1","journalAbbreviation":"J Healthc Inform Res","language":"en","page":"65-87","source":"Springer Link","title":"Interpretable Predictive Models to Understand Risk Factors for Maternal and Fetal Outcomes","volume":"8","author":[{"family":"Bosschieter","given":"Tomas M."},{"family":"Xu","given":"Zifei"},{"family":"Lan","given":"Hui"},{"family":"Lengerich","given":"Benjamin J."},{"family":"Nori","given":"Harsha"},{"family":"Painter","given":"Ian"},{"family":"Souter","given":"Vivienne"},{"family":"Caruana","given":"Rich"}],"issued":{"date-parts":[["2024",3,1]]}}}],"schema":"https://github.com/citation-style-language/schema/raw/master/csl-citation.json"} </w:instrText>
            </w:r>
            <w:r>
              <w:rPr>
                <w:rFonts w:ascii="Arial" w:eastAsia="Times New Roman" w:hAnsi="Arial" w:cs="Arial"/>
                <w:color w:val="000000"/>
                <w:sz w:val="16"/>
                <w:szCs w:val="16"/>
                <w:lang w:eastAsia="en-GB" w:bidi="th-TH"/>
              </w:rPr>
              <w:fldChar w:fldCharType="separate"/>
            </w:r>
            <w:r>
              <w:rPr>
                <w:rFonts w:ascii="Arial" w:hAnsi="Arial" w:cs="Arial"/>
                <w:sz w:val="16"/>
                <w:lang w:val="en-GB"/>
              </w:rPr>
              <w:t>[41]</w:t>
            </w:r>
            <w:r>
              <w:rPr>
                <w:rFonts w:ascii="Arial" w:eastAsia="Times New Roman" w:hAnsi="Arial" w:cs="Arial"/>
                <w:color w:val="000000"/>
                <w:sz w:val="16"/>
                <w:szCs w:val="16"/>
                <w:lang w:eastAsia="en-GB" w:bidi="th-TH"/>
              </w:rPr>
              <w:fldChar w:fldCharType="end"/>
            </w:r>
          </w:p>
        </w:tc>
        <w:tc>
          <w:tcPr>
            <w:tcW w:w="0" w:type="auto"/>
            <w:tcMar>
              <w:top w:w="35" w:type="dxa"/>
              <w:left w:w="35" w:type="dxa"/>
              <w:bottom w:w="35" w:type="dxa"/>
              <w:right w:w="35" w:type="dxa"/>
            </w:tcMar>
            <w:hideMark/>
          </w:tcPr>
          <w:p w14:paraId="2F0800F8"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Bosschieter et al. 2023</w:t>
            </w:r>
          </w:p>
        </w:tc>
        <w:tc>
          <w:tcPr>
            <w:tcW w:w="0" w:type="auto"/>
            <w:tcMar>
              <w:top w:w="35" w:type="dxa"/>
              <w:left w:w="35" w:type="dxa"/>
              <w:bottom w:w="35" w:type="dxa"/>
              <w:right w:w="35" w:type="dxa"/>
            </w:tcMar>
            <w:hideMark/>
          </w:tcPr>
          <w:p w14:paraId="6119F099"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Stillbirths</w:t>
            </w:r>
          </w:p>
        </w:tc>
        <w:tc>
          <w:tcPr>
            <w:tcW w:w="0" w:type="auto"/>
            <w:tcMar>
              <w:top w:w="35" w:type="dxa"/>
              <w:left w:w="35" w:type="dxa"/>
              <w:bottom w:w="35" w:type="dxa"/>
              <w:right w:w="35" w:type="dxa"/>
            </w:tcMar>
            <w:hideMark/>
          </w:tcPr>
          <w:p w14:paraId="3B301ADD"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United States: births from one hospital partition.</w:t>
            </w:r>
          </w:p>
        </w:tc>
        <w:tc>
          <w:tcPr>
            <w:tcW w:w="0" w:type="auto"/>
            <w:tcMar>
              <w:top w:w="35" w:type="dxa"/>
              <w:left w:w="35" w:type="dxa"/>
              <w:bottom w:w="35" w:type="dxa"/>
              <w:right w:w="35" w:type="dxa"/>
            </w:tcMar>
            <w:hideMark/>
          </w:tcPr>
          <w:p w14:paraId="3F835EBC"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United States: births from disjoint hospitals in the validation partition.</w:t>
            </w:r>
          </w:p>
        </w:tc>
        <w:tc>
          <w:tcPr>
            <w:tcW w:w="0" w:type="auto"/>
            <w:tcMar>
              <w:top w:w="35" w:type="dxa"/>
              <w:left w:w="35" w:type="dxa"/>
              <w:bottom w:w="35" w:type="dxa"/>
              <w:right w:w="35" w:type="dxa"/>
            </w:tcMar>
            <w:hideMark/>
          </w:tcPr>
          <w:p w14:paraId="2DD632F5"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Within-country hold-out validation</w:t>
            </w:r>
          </w:p>
        </w:tc>
        <w:tc>
          <w:tcPr>
            <w:tcW w:w="0" w:type="auto"/>
            <w:tcMar>
              <w:top w:w="35" w:type="dxa"/>
              <w:left w:w="35" w:type="dxa"/>
              <w:bottom w:w="35" w:type="dxa"/>
              <w:right w:w="35" w:type="dxa"/>
            </w:tcMar>
            <w:hideMark/>
          </w:tcPr>
          <w:p w14:paraId="0D6DA09F"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Explainable Boosting Machine models for severe maternal morbidity, shoulder dystocia, preterm pre-eclampsia and antepartum stillbirth.</w:t>
            </w:r>
          </w:p>
        </w:tc>
        <w:tc>
          <w:tcPr>
            <w:tcW w:w="0" w:type="auto"/>
            <w:tcMar>
              <w:top w:w="35" w:type="dxa"/>
              <w:left w:w="35" w:type="dxa"/>
              <w:bottom w:w="35" w:type="dxa"/>
              <w:right w:w="35" w:type="dxa"/>
            </w:tcMar>
            <w:hideMark/>
          </w:tcPr>
          <w:p w14:paraId="41B7AF68"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External validation by partitioning hospitals into disjoint training and validation sets.</w:t>
            </w:r>
          </w:p>
        </w:tc>
        <w:tc>
          <w:tcPr>
            <w:tcW w:w="0" w:type="auto"/>
            <w:tcMar>
              <w:top w:w="35" w:type="dxa"/>
              <w:left w:w="35" w:type="dxa"/>
              <w:bottom w:w="35" w:type="dxa"/>
              <w:right w:w="35" w:type="dxa"/>
            </w:tcMar>
            <w:hideMark/>
          </w:tcPr>
          <w:p w14:paraId="3ED0F2BC"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158,629 births before outcome-specific filtering; 153,432 for antepartum stillbirth.</w:t>
            </w:r>
          </w:p>
        </w:tc>
        <w:tc>
          <w:tcPr>
            <w:tcW w:w="0" w:type="auto"/>
            <w:tcMar>
              <w:top w:w="35" w:type="dxa"/>
              <w:left w:w="35" w:type="dxa"/>
              <w:bottom w:w="35" w:type="dxa"/>
              <w:right w:w="35" w:type="dxa"/>
            </w:tcMar>
            <w:hideMark/>
          </w:tcPr>
          <w:p w14:paraId="70FCFAD9"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EBMs matched black-box machine-learning accuracy, outperformed logistic regression on average and had mean AUROC 0.730 across outcomes.</w:t>
            </w:r>
          </w:p>
        </w:tc>
        <w:tc>
          <w:tcPr>
            <w:tcW w:w="0" w:type="auto"/>
            <w:tcMar>
              <w:top w:w="35" w:type="dxa"/>
              <w:left w:w="35" w:type="dxa"/>
              <w:bottom w:w="35" w:type="dxa"/>
              <w:right w:w="35" w:type="dxa"/>
            </w:tcMar>
            <w:hideMark/>
          </w:tcPr>
          <w:p w14:paraId="34304DE5"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United States hospital-set-to-hospital-set loop.</w:t>
            </w:r>
          </w:p>
        </w:tc>
      </w:tr>
      <w:tr w:rsidR="00B6082C" w:rsidRPr="00756461" w14:paraId="124DF2C5" w14:textId="77777777" w:rsidTr="00BC1F31">
        <w:trPr>
          <w:jc w:val="center"/>
        </w:trPr>
        <w:tc>
          <w:tcPr>
            <w:tcW w:w="0" w:type="auto"/>
            <w:tcMar>
              <w:top w:w="35" w:type="dxa"/>
              <w:left w:w="35" w:type="dxa"/>
              <w:bottom w:w="35" w:type="dxa"/>
              <w:right w:w="35" w:type="dxa"/>
            </w:tcMar>
            <w:hideMark/>
          </w:tcPr>
          <w:p w14:paraId="0F35F127" w14:textId="77777777" w:rsidR="00B6082C" w:rsidRPr="00756461" w:rsidRDefault="00B6082C" w:rsidP="00BC1F31">
            <w:pPr>
              <w:spacing w:after="0" w:line="240" w:lineRule="auto"/>
              <w:rPr>
                <w:rFonts w:ascii="Arial" w:hAnsi="Arial" w:cs="Arial"/>
                <w:i/>
                <w:sz w:val="16"/>
                <w:szCs w:val="16"/>
                <w:lang w:val="en-GB"/>
              </w:rPr>
            </w:pPr>
            <w:r>
              <w:rPr>
                <w:rFonts w:ascii="Arial" w:eastAsia="Times New Roman" w:hAnsi="Arial" w:cs="Arial"/>
                <w:color w:val="000000"/>
                <w:sz w:val="16"/>
                <w:szCs w:val="16"/>
                <w:lang w:eastAsia="en-GB" w:bidi="th-TH"/>
              </w:rPr>
              <w:fldChar w:fldCharType="begin"/>
            </w:r>
            <w:r>
              <w:rPr>
                <w:rFonts w:ascii="Arial" w:eastAsia="Times New Roman" w:hAnsi="Arial" w:cs="Arial"/>
                <w:color w:val="000000"/>
                <w:sz w:val="16"/>
                <w:szCs w:val="16"/>
                <w:lang w:eastAsia="en-GB" w:bidi="th-TH"/>
              </w:rPr>
              <w:instrText xml:space="preserve"> ADDIN ZOTERO_ITEM CSL_CITATION {"citationID":"fIosaxV7","properties":{"formattedCitation":"[65]","plainCitation":"[65]","noteIndex":0},"citationItems":[{"id":"b2OWig5M/VvP47WIA","uris":["http://zotero.org/users/18230940/items/QHDZ6HAU"],"itemData":{"id":736,"type":"article-journal","abstract":"Modelling the risk of abnormal pregnancy-related outcomes such as stillbirth and preterm birth have been proposed in the past. Commonly they utilize maternal demographic and medical history information as predictors, and they are based on conventional statistical modelling techniques. In this study, we utilize state-of-the-art machine learning methods in the task of predicting early stillbirth, late stillbirth and preterm birth pregnancies. The aim of this experimentation is to discover novel risk models that could be utilized in a clinical setting. A CDC data set of almost sixteen million observations was used conduct feature selection, parameter optimization and verification of proposed models. An additional NYC data set was used for external validation. Algorithms such as logistic regression, artificial neural network and gradient boosting decision tree were used to construct individual classifiers. Ensemble learning strategies of these classifiers were also experimented with. The best performing machine learning models achieved 0.76 AUC for early stillbirth, 0.63 for late stillbirth and 0.64 for preterm birth while using a external NYC test data. The repeatable performance of our models demonstrates robustness that is required in this context. Our proposed novel models provide a solid foundation for risk prediction and could be further improved with the addition of biochemical and/or biophysical markers.","container-title":"Health Information Science and Systems","DOI":"10.1007/s13755-020-00105-9","ISSN":"2047-2501","issue":"1","journalAbbreviation":"Health Inf Sci Syst","language":"en","page":"14","source":"Springer Link","title":"Predicting risk of stillbirth and preterm pregnancies with machine learning","volume":"8","author":[{"family":"Koivu","given":"Aki"},{"family":"Sairanen","given":"Mikko"}],"issued":{"date-parts":[["2020",3,25]]}}}],"schema":"https://github.com/citation-style-language/schema/raw/master/csl-citation.json"} </w:instrText>
            </w:r>
            <w:r>
              <w:rPr>
                <w:rFonts w:ascii="Arial" w:eastAsia="Times New Roman" w:hAnsi="Arial" w:cs="Arial"/>
                <w:color w:val="000000"/>
                <w:sz w:val="16"/>
                <w:szCs w:val="16"/>
                <w:lang w:eastAsia="en-GB" w:bidi="th-TH"/>
              </w:rPr>
              <w:fldChar w:fldCharType="separate"/>
            </w:r>
            <w:r>
              <w:rPr>
                <w:rFonts w:ascii="Arial" w:hAnsi="Arial" w:cs="Arial"/>
                <w:sz w:val="16"/>
                <w:lang w:val="en-GB"/>
              </w:rPr>
              <w:t>[65]</w:t>
            </w:r>
            <w:r>
              <w:rPr>
                <w:rFonts w:ascii="Arial" w:eastAsia="Times New Roman" w:hAnsi="Arial" w:cs="Arial"/>
                <w:color w:val="000000"/>
                <w:sz w:val="16"/>
                <w:szCs w:val="16"/>
                <w:lang w:eastAsia="en-GB" w:bidi="th-TH"/>
              </w:rPr>
              <w:fldChar w:fldCharType="end"/>
            </w:r>
          </w:p>
        </w:tc>
        <w:tc>
          <w:tcPr>
            <w:tcW w:w="0" w:type="auto"/>
            <w:tcMar>
              <w:top w:w="35" w:type="dxa"/>
              <w:left w:w="35" w:type="dxa"/>
              <w:bottom w:w="35" w:type="dxa"/>
              <w:right w:w="35" w:type="dxa"/>
            </w:tcMar>
            <w:hideMark/>
          </w:tcPr>
          <w:p w14:paraId="237127EE"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Koivu and Sairanen 2020</w:t>
            </w:r>
          </w:p>
        </w:tc>
        <w:tc>
          <w:tcPr>
            <w:tcW w:w="0" w:type="auto"/>
            <w:tcMar>
              <w:top w:w="35" w:type="dxa"/>
              <w:left w:w="35" w:type="dxa"/>
              <w:bottom w:w="35" w:type="dxa"/>
              <w:right w:w="35" w:type="dxa"/>
            </w:tcMar>
            <w:hideMark/>
          </w:tcPr>
          <w:p w14:paraId="4715A93B"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 xml:space="preserve">Stillbirths </w:t>
            </w:r>
          </w:p>
        </w:tc>
        <w:tc>
          <w:tcPr>
            <w:tcW w:w="0" w:type="auto"/>
            <w:tcMar>
              <w:top w:w="35" w:type="dxa"/>
              <w:left w:w="35" w:type="dxa"/>
              <w:bottom w:w="35" w:type="dxa"/>
              <w:right w:w="35" w:type="dxa"/>
            </w:tcMar>
            <w:hideMark/>
          </w:tcPr>
          <w:p w14:paraId="250A191F"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United States: CDC National Vital Statistics data, 2013 to 2016.</w:t>
            </w:r>
          </w:p>
        </w:tc>
        <w:tc>
          <w:tcPr>
            <w:tcW w:w="0" w:type="auto"/>
            <w:tcMar>
              <w:top w:w="35" w:type="dxa"/>
              <w:left w:w="35" w:type="dxa"/>
              <w:bottom w:w="35" w:type="dxa"/>
              <w:right w:w="35" w:type="dxa"/>
            </w:tcMar>
            <w:hideMark/>
          </w:tcPr>
          <w:p w14:paraId="0F728831"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United States: New York City Department of Health and Mental Hygiene data, 2014 to 2016.</w:t>
            </w:r>
          </w:p>
        </w:tc>
        <w:tc>
          <w:tcPr>
            <w:tcW w:w="0" w:type="auto"/>
            <w:tcMar>
              <w:top w:w="35" w:type="dxa"/>
              <w:left w:w="35" w:type="dxa"/>
              <w:bottom w:w="35" w:type="dxa"/>
              <w:right w:w="35" w:type="dxa"/>
            </w:tcMar>
            <w:hideMark/>
          </w:tcPr>
          <w:p w14:paraId="37DF6FAE"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Within-country hold-out validation</w:t>
            </w:r>
          </w:p>
        </w:tc>
        <w:tc>
          <w:tcPr>
            <w:tcW w:w="0" w:type="auto"/>
            <w:tcMar>
              <w:top w:w="35" w:type="dxa"/>
              <w:left w:w="35" w:type="dxa"/>
              <w:bottom w:w="35" w:type="dxa"/>
              <w:right w:w="35" w:type="dxa"/>
            </w:tcMar>
            <w:hideMark/>
          </w:tcPr>
          <w:p w14:paraId="11CC42AD"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Machine-learning models for early stillbirth, late stillbirth and preterm birth.</w:t>
            </w:r>
          </w:p>
        </w:tc>
        <w:tc>
          <w:tcPr>
            <w:tcW w:w="0" w:type="auto"/>
            <w:tcMar>
              <w:top w:w="35" w:type="dxa"/>
              <w:left w:w="35" w:type="dxa"/>
              <w:bottom w:w="35" w:type="dxa"/>
              <w:right w:w="35" w:type="dxa"/>
            </w:tcMar>
            <w:hideMark/>
          </w:tcPr>
          <w:p w14:paraId="64269FDE"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External validation on New York City data after training and verification on national CDC data.</w:t>
            </w:r>
          </w:p>
        </w:tc>
        <w:tc>
          <w:tcPr>
            <w:tcW w:w="0" w:type="auto"/>
            <w:tcMar>
              <w:top w:w="35" w:type="dxa"/>
              <w:left w:w="35" w:type="dxa"/>
              <w:bottom w:w="35" w:type="dxa"/>
              <w:right w:w="35" w:type="dxa"/>
            </w:tcMar>
            <w:hideMark/>
          </w:tcPr>
          <w:p w14:paraId="38CFEA41"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CDC data: almost 16 million observations; NYC data: 364,124 pregnancies.</w:t>
            </w:r>
          </w:p>
        </w:tc>
        <w:tc>
          <w:tcPr>
            <w:tcW w:w="0" w:type="auto"/>
            <w:tcMar>
              <w:top w:w="35" w:type="dxa"/>
              <w:left w:w="35" w:type="dxa"/>
              <w:bottom w:w="35" w:type="dxa"/>
              <w:right w:w="35" w:type="dxa"/>
            </w:tcMar>
            <w:hideMark/>
          </w:tcPr>
          <w:p w14:paraId="1B5A9AF4"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 xml:space="preserve">External NYC AUCs </w:t>
            </w:r>
            <w:proofErr w:type="gramStart"/>
            <w:r>
              <w:rPr>
                <w:rFonts w:ascii="Arial" w:hAnsi="Arial" w:cs="Arial"/>
                <w:i/>
                <w:sz w:val="16"/>
                <w:szCs w:val="16"/>
                <w:lang w:val="en-GB"/>
              </w:rPr>
              <w:t>were</w:t>
            </w:r>
            <w:proofErr w:type="gramEnd"/>
            <w:r>
              <w:rPr>
                <w:rFonts w:ascii="Arial" w:hAnsi="Arial" w:cs="Arial"/>
                <w:i/>
                <w:sz w:val="16"/>
                <w:szCs w:val="16"/>
                <w:lang w:val="en-GB"/>
              </w:rPr>
              <w:t xml:space="preserve"> 0.76 for early stillbirth, 0.63 for late stillbirth and 0.64 for preterm birth.</w:t>
            </w:r>
          </w:p>
        </w:tc>
        <w:tc>
          <w:tcPr>
            <w:tcW w:w="0" w:type="auto"/>
            <w:tcMar>
              <w:top w:w="35" w:type="dxa"/>
              <w:left w:w="35" w:type="dxa"/>
              <w:bottom w:w="35" w:type="dxa"/>
              <w:right w:w="35" w:type="dxa"/>
            </w:tcMar>
            <w:hideMark/>
          </w:tcPr>
          <w:p w14:paraId="7DF74639"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United States CDC-to-New York City route.</w:t>
            </w:r>
          </w:p>
        </w:tc>
      </w:tr>
      <w:tr w:rsidR="00B6082C" w:rsidRPr="00756461" w14:paraId="59FBC7B3" w14:textId="77777777" w:rsidTr="00BC1F31">
        <w:trPr>
          <w:jc w:val="center"/>
        </w:trPr>
        <w:tc>
          <w:tcPr>
            <w:tcW w:w="0" w:type="auto"/>
            <w:tcMar>
              <w:top w:w="35" w:type="dxa"/>
              <w:left w:w="35" w:type="dxa"/>
              <w:bottom w:w="35" w:type="dxa"/>
              <w:right w:w="35" w:type="dxa"/>
            </w:tcMar>
            <w:hideMark/>
          </w:tcPr>
          <w:p w14:paraId="53671EFF" w14:textId="77777777" w:rsidR="00B6082C" w:rsidRPr="00756461" w:rsidRDefault="00B6082C" w:rsidP="00BC1F31">
            <w:pPr>
              <w:spacing w:after="0" w:line="240" w:lineRule="auto"/>
              <w:rPr>
                <w:rFonts w:ascii="Arial" w:hAnsi="Arial" w:cs="Arial"/>
                <w:i/>
                <w:sz w:val="16"/>
                <w:szCs w:val="16"/>
                <w:lang w:val="en-GB"/>
              </w:rPr>
            </w:pPr>
            <w:r>
              <w:rPr>
                <w:rFonts w:ascii="Arial" w:eastAsia="Times New Roman" w:hAnsi="Arial" w:cs="Arial"/>
                <w:color w:val="000000"/>
                <w:sz w:val="16"/>
                <w:szCs w:val="16"/>
                <w:lang w:eastAsia="en-GB" w:bidi="th-TH"/>
              </w:rPr>
              <w:lastRenderedPageBreak/>
              <w:fldChar w:fldCharType="begin"/>
            </w:r>
            <w:r>
              <w:rPr>
                <w:rFonts w:ascii="Arial" w:eastAsia="Times New Roman" w:hAnsi="Arial" w:cs="Arial"/>
                <w:color w:val="000000"/>
                <w:sz w:val="16"/>
                <w:szCs w:val="16"/>
                <w:lang w:eastAsia="en-GB" w:bidi="th-TH"/>
              </w:rPr>
              <w:instrText xml:space="preserve"> ADDIN ZOTERO_ITEM CSL_CITATION {"citationID":"8wWxKxkd","properties":{"formattedCitation":"[70]","plainCitation":"[70]","noteIndex":0},"citationItems":[{"id":"b2OWig5M/tUFL2KHE","uris":["http://zotero.org/users/18230940/items/VD3XEW6F"],"itemData":{"id":747,"type":"article-journal","abstract":"BACKGROUND: Gestational diabetes mellitus (GDM) affects over 5% of pregnancies worldwide, elevating risks of type 2 diabetes post partum and complications such as fetal death, miscarriage, and congenital abnormalities. Effective GDM management is essential to balance glycemic control and pregnancy outcomes.\nOBJECTIVE: We aim to develop interpretable machine learning models using GDM datasets for predicting adverse pregnancy outcomes and identifying key factors through the Shapley additive explanations (SHAP) algorithm, thus supporting improved maternal and infant health.\nMETHODS: Data preprocessing and feature selection were performed, with adaptive synthetic sampling used to address class imbalance. Classification models, including logistic regression, random forest, support vector machine, and extreme gradient boosting, were built and enhanced through the stacking method. Model interpretability was assessed with SHAP to quantify feature contributions.\nRESULTS: Among 1670 patients, 200 experienced adverse outcomes. The stacking model outperformed individual models, achieving an accuracy of 85.6%, a sensitivity of 57.8%, a specificity of 95.9%, and an area under the receiver operating characteristic curve of 0.82 on the test set. External validation on 159 patients showed a decline in performance (accuracy 83.6%, area under the receiver operating characteristic curve 0.67). SHAP analysis identified gestational age, glucose control, and diagnosis time among the most influential predictors, providing clinically meaningful insights into risk factors. Additionally, detailed SHAP-based visualization revealed the distribution of different feature values and their nonlinear impact on outcomes, as well as interaction effects between features. These interpretable analyses enabled a deeper understanding of individual and combined feature contributions, thereby enhancing clinical assessment capabilities.\nCONCLUSIONS: This study underscores the potential of machine learning in predicting adverse outcomes in GDM, with interpretable features offering valuable clinical insights to enhance pregnancy management and maternal-infant health.","container-title":"JMIR medical informatics","DOI":"10.2196/71539","ISSN":"2291-9694","journalAbbreviation":"JMIR Med Inform","language":"eng","page":"e71539","PMID":"40958678","PMCID":"PMC12441465","source":"PubMed","title":"Interpretable Machine Learning for Predicting Adverse Pregnancy Outcomes in Gestational Diabetes: Retrospective Cohort Study","title-short":"Interpretable Machine Learning for Predicting Adverse Pregnancy Outcomes in Gestational Diabetes","volume":"13","author":[{"family":"Li","given":"Jiaxi"},{"family":"Liu","given":"Xiali"},{"family":"He","given":"Shenyang"},{"family":"Ren","given":"Yan"}],"issued":{"date-parts":[["2025",9,16]]}}}],"schema":"https://github.com/citation-style-language/schema/raw/master/csl-citation.json"} </w:instrText>
            </w:r>
            <w:r>
              <w:rPr>
                <w:rFonts w:ascii="Arial" w:eastAsia="Times New Roman" w:hAnsi="Arial" w:cs="Arial"/>
                <w:color w:val="000000"/>
                <w:sz w:val="16"/>
                <w:szCs w:val="16"/>
                <w:lang w:eastAsia="en-GB" w:bidi="th-TH"/>
              </w:rPr>
              <w:fldChar w:fldCharType="separate"/>
            </w:r>
            <w:r>
              <w:rPr>
                <w:rFonts w:ascii="Arial" w:hAnsi="Arial" w:cs="Arial"/>
                <w:sz w:val="16"/>
                <w:lang w:val="en-GB"/>
              </w:rPr>
              <w:t>[70]</w:t>
            </w:r>
            <w:r>
              <w:rPr>
                <w:rFonts w:ascii="Arial" w:eastAsia="Times New Roman" w:hAnsi="Arial" w:cs="Arial"/>
                <w:color w:val="000000"/>
                <w:sz w:val="16"/>
                <w:szCs w:val="16"/>
                <w:lang w:eastAsia="en-GB" w:bidi="th-TH"/>
              </w:rPr>
              <w:fldChar w:fldCharType="end"/>
            </w:r>
          </w:p>
        </w:tc>
        <w:tc>
          <w:tcPr>
            <w:tcW w:w="0" w:type="auto"/>
            <w:tcMar>
              <w:top w:w="35" w:type="dxa"/>
              <w:left w:w="35" w:type="dxa"/>
              <w:bottom w:w="35" w:type="dxa"/>
              <w:right w:w="35" w:type="dxa"/>
            </w:tcMar>
            <w:hideMark/>
          </w:tcPr>
          <w:p w14:paraId="361CF5A7"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Li et al. 2025</w:t>
            </w:r>
          </w:p>
        </w:tc>
        <w:tc>
          <w:tcPr>
            <w:tcW w:w="0" w:type="auto"/>
            <w:tcMar>
              <w:top w:w="35" w:type="dxa"/>
              <w:left w:w="35" w:type="dxa"/>
              <w:bottom w:w="35" w:type="dxa"/>
              <w:right w:w="35" w:type="dxa"/>
            </w:tcMar>
            <w:hideMark/>
          </w:tcPr>
          <w:p w14:paraId="1008D96B"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Stillbirths</w:t>
            </w:r>
          </w:p>
        </w:tc>
        <w:tc>
          <w:tcPr>
            <w:tcW w:w="0" w:type="auto"/>
            <w:tcMar>
              <w:top w:w="35" w:type="dxa"/>
              <w:left w:w="35" w:type="dxa"/>
              <w:bottom w:w="35" w:type="dxa"/>
              <w:right w:w="35" w:type="dxa"/>
            </w:tcMar>
            <w:hideMark/>
          </w:tcPr>
          <w:p w14:paraId="3E8997DE"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United Kingdom: St Mary's Hospital, London GDM records, April 2016 to November 2019.</w:t>
            </w:r>
          </w:p>
        </w:tc>
        <w:tc>
          <w:tcPr>
            <w:tcW w:w="0" w:type="auto"/>
            <w:tcMar>
              <w:top w:w="35" w:type="dxa"/>
              <w:left w:w="35" w:type="dxa"/>
              <w:bottom w:w="35" w:type="dxa"/>
              <w:right w:w="35" w:type="dxa"/>
            </w:tcMar>
            <w:hideMark/>
          </w:tcPr>
          <w:p w14:paraId="3F93E9C1"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China: external gestational-diabetes validation dataset reported by the study.</w:t>
            </w:r>
          </w:p>
        </w:tc>
        <w:tc>
          <w:tcPr>
            <w:tcW w:w="0" w:type="auto"/>
            <w:tcMar>
              <w:top w:w="35" w:type="dxa"/>
              <w:left w:w="35" w:type="dxa"/>
              <w:bottom w:w="35" w:type="dxa"/>
              <w:right w:w="35" w:type="dxa"/>
            </w:tcMar>
            <w:hideMark/>
          </w:tcPr>
          <w:p w14:paraId="287B5D3E"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Cross-country external validation</w:t>
            </w:r>
          </w:p>
        </w:tc>
        <w:tc>
          <w:tcPr>
            <w:tcW w:w="0" w:type="auto"/>
            <w:tcMar>
              <w:top w:w="35" w:type="dxa"/>
              <w:left w:w="35" w:type="dxa"/>
              <w:bottom w:w="35" w:type="dxa"/>
              <w:right w:w="35" w:type="dxa"/>
            </w:tcMar>
            <w:hideMark/>
          </w:tcPr>
          <w:p w14:paraId="1FB4DBFB"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Stacking model using logistic regression, random forest, support vector machine and XGBoost base models.</w:t>
            </w:r>
          </w:p>
        </w:tc>
        <w:tc>
          <w:tcPr>
            <w:tcW w:w="0" w:type="auto"/>
            <w:tcMar>
              <w:top w:w="35" w:type="dxa"/>
              <w:left w:w="35" w:type="dxa"/>
              <w:bottom w:w="35" w:type="dxa"/>
              <w:right w:w="35" w:type="dxa"/>
            </w:tcMar>
            <w:hideMark/>
          </w:tcPr>
          <w:p w14:paraId="7867F875"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Internal test set plus external validation dataset.</w:t>
            </w:r>
          </w:p>
        </w:tc>
        <w:tc>
          <w:tcPr>
            <w:tcW w:w="0" w:type="auto"/>
            <w:tcMar>
              <w:top w:w="35" w:type="dxa"/>
              <w:left w:w="35" w:type="dxa"/>
              <w:bottom w:w="35" w:type="dxa"/>
              <w:right w:w="35" w:type="dxa"/>
            </w:tcMar>
            <w:hideMark/>
          </w:tcPr>
          <w:p w14:paraId="47B39D42"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1,670 model-development patients and 159 external-validation patients.</w:t>
            </w:r>
          </w:p>
        </w:tc>
        <w:tc>
          <w:tcPr>
            <w:tcW w:w="0" w:type="auto"/>
            <w:tcMar>
              <w:top w:w="35" w:type="dxa"/>
              <w:left w:w="35" w:type="dxa"/>
              <w:bottom w:w="35" w:type="dxa"/>
              <w:right w:w="35" w:type="dxa"/>
            </w:tcMar>
            <w:hideMark/>
          </w:tcPr>
          <w:p w14:paraId="50A4D773"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Stacking model AUC was 0.82 on the test set and 0.67 on external validation.</w:t>
            </w:r>
          </w:p>
        </w:tc>
        <w:tc>
          <w:tcPr>
            <w:tcW w:w="0" w:type="auto"/>
            <w:tcMar>
              <w:top w:w="35" w:type="dxa"/>
              <w:left w:w="35" w:type="dxa"/>
              <w:bottom w:w="35" w:type="dxa"/>
              <w:right w:w="35" w:type="dxa"/>
            </w:tcMar>
            <w:hideMark/>
          </w:tcPr>
          <w:p w14:paraId="5EEA34E3"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London-to-China route. Destination is mapped to Chengdu because the author dataset is Chinese and the lead clinical affiliation is Chengdu.</w:t>
            </w:r>
          </w:p>
        </w:tc>
      </w:tr>
      <w:tr w:rsidR="00B6082C" w:rsidRPr="00756461" w14:paraId="74A5A684" w14:textId="77777777" w:rsidTr="00BC1F31">
        <w:trPr>
          <w:jc w:val="center"/>
        </w:trPr>
        <w:tc>
          <w:tcPr>
            <w:tcW w:w="0" w:type="auto"/>
            <w:shd w:val="clear" w:color="auto" w:fill="ADADAD" w:themeFill="background2" w:themeFillShade="BF"/>
            <w:tcMar>
              <w:top w:w="35" w:type="dxa"/>
              <w:left w:w="35" w:type="dxa"/>
              <w:bottom w:w="35" w:type="dxa"/>
              <w:right w:w="35" w:type="dxa"/>
            </w:tcMar>
            <w:hideMark/>
          </w:tcPr>
          <w:p w14:paraId="2B28F2B3" w14:textId="77777777" w:rsidR="00B6082C" w:rsidRPr="00756461" w:rsidRDefault="00B6082C" w:rsidP="00BC1F31">
            <w:pPr>
              <w:spacing w:after="0" w:line="240" w:lineRule="auto"/>
              <w:rPr>
                <w:rFonts w:ascii="Arial" w:hAnsi="Arial" w:cs="Arial"/>
                <w:i/>
                <w:sz w:val="16"/>
                <w:szCs w:val="16"/>
                <w:lang w:val="en-GB"/>
              </w:rPr>
            </w:pPr>
            <w:r>
              <w:rPr>
                <w:rFonts w:ascii="Arial" w:eastAsia="Times New Roman" w:hAnsi="Arial" w:cs="Arial"/>
                <w:color w:val="000000"/>
                <w:sz w:val="16"/>
                <w:szCs w:val="16"/>
                <w:lang w:eastAsia="en-GB" w:bidi="th-TH"/>
              </w:rPr>
              <w:fldChar w:fldCharType="begin"/>
            </w:r>
            <w:r>
              <w:rPr>
                <w:rFonts w:ascii="Arial" w:eastAsia="Times New Roman" w:hAnsi="Arial" w:cs="Arial"/>
                <w:color w:val="000000"/>
                <w:sz w:val="16"/>
                <w:szCs w:val="16"/>
                <w:lang w:eastAsia="en-GB" w:bidi="th-TH"/>
              </w:rPr>
              <w:instrText xml:space="preserve"> ADDIN ZOTERO_ITEM CSL_CITATION {"citationID":"BCifqvbz","properties":{"formattedCitation":"[72]","plainCitation":"[72]","noteIndex":0},"citationItems":[{"id":"b2OWig5M/T9Tg9RBt","uris":["http://zotero.org/users/18230940/items/RGI7TX63"],"itemData":{"id":751,"type":"article-journal","abstract":"BACKGROUND\nPrediction models can be used as simple evidence-based tools to identify fetuses at risk of perinatal death. Payne et al developed a prognostic model for perinatal death in women with hypertensive disorders of pregnancy, a leading cause of maternal/fetal morbidity and mortality.\nOBJECTIVE\nThis study aimed to externally validate the predictive performance of this model in pregnant women with hypertensive disorders of pregnancy admitted between 26 and 34 weeks of gestation in Ghana.\nSTUDY DESIGN\nThe perinatal model was applied in the SPOT (Severe Pre-eclampsia adverse Outcome Triage) study, a cohort of women with hypertensive disorders of pregnancy admitted between 26 and 34 weeks of gestation to referral facilities in Ghana. Predictive performance was assessed by calibration (calibration-in-the-large coefficient and calibration slope) and discrimination (based on the c-statistic).\nRESULTS\nOf the 543 women included in the validation analysis, 87 (16%) experienced perinatal death from delivery until hospital discharge. Predictive performance of the model was poor. The calibration-in-the-large coefficient was 1.12 (95% confidence interval, 0.87–1.36, 0 for good calibration), calibration slope was 0.08 (95% confidence interval, −0.21 to 0.36, 1 for good calibration), and c-statistic was 0.52 (95% confidence interval, 0.44–0.59).\nCONCLUSION\nThis perinatal prediction model performed poorly in this cohort in Ghana. Possible reasons include differences in case mix, clinical management strategies, or data collection procedures between development and validation settings; suboptimal modeling strategies at development; or omission of important predictors. Given the burden of perinatal mortality and importance of risk stratification, new prediction model development and validation is recommended.","container-title":"AJOG Global Reports","DOI":"10.1016/j.xagr.2025.100455","ISSN":"2666-5778","issue":"2","journalAbbreviation":"AJOG Global Reports","page":"100455","source":"ScienceDirect","title":"Predicting complications in hypertensive disorders of pregnancy: external validation of a prognostic model for adverse perinatal outcomes","title-short":"Predicting complications in hypertensive disorders of pregnancy","volume":"5","author":[{"family":"Olde Loohuis","given":"Klaartje M."},{"family":"Luijken","given":"Kim"},{"family":"Brown Amoakoh","given":"Hannah"},{"family":"Adu-Bonsaffoh","given":"Kwame"},{"family":"Grobbee","given":"Diederick E."},{"family":"Klipstein-Grobusch","given":"Kerstin"},{"family":"Srofenyoh","given":"Emmanuel"},{"family":"Amoakoh-Coleman","given":"Mary"},{"family":"Browne","given":"Joyce L."}],"issued":{"date-parts":[["2025",5,1]]}}}],"schema":"https://github.com/citation-style-language/schema/raw/master/csl-citation.json"} </w:instrText>
            </w:r>
            <w:r>
              <w:rPr>
                <w:rFonts w:ascii="Arial" w:eastAsia="Times New Roman" w:hAnsi="Arial" w:cs="Arial"/>
                <w:color w:val="000000"/>
                <w:sz w:val="16"/>
                <w:szCs w:val="16"/>
                <w:lang w:eastAsia="en-GB" w:bidi="th-TH"/>
              </w:rPr>
              <w:fldChar w:fldCharType="separate"/>
            </w:r>
            <w:r>
              <w:rPr>
                <w:rFonts w:ascii="Arial" w:hAnsi="Arial" w:cs="Arial"/>
                <w:sz w:val="16"/>
                <w:lang w:val="en-GB"/>
              </w:rPr>
              <w:t>[72]</w:t>
            </w:r>
            <w:r>
              <w:rPr>
                <w:rFonts w:ascii="Arial" w:eastAsia="Times New Roman" w:hAnsi="Arial" w:cs="Arial"/>
                <w:color w:val="000000"/>
                <w:sz w:val="16"/>
                <w:szCs w:val="16"/>
                <w:lang w:eastAsia="en-GB" w:bidi="th-TH"/>
              </w:rPr>
              <w:fldChar w:fldCharType="end"/>
            </w:r>
          </w:p>
        </w:tc>
        <w:tc>
          <w:tcPr>
            <w:tcW w:w="0" w:type="auto"/>
            <w:shd w:val="clear" w:color="auto" w:fill="ADADAD" w:themeFill="background2" w:themeFillShade="BF"/>
            <w:tcMar>
              <w:top w:w="35" w:type="dxa"/>
              <w:left w:w="35" w:type="dxa"/>
              <w:bottom w:w="35" w:type="dxa"/>
              <w:right w:w="35" w:type="dxa"/>
            </w:tcMar>
            <w:hideMark/>
          </w:tcPr>
          <w:p w14:paraId="5CF37A3E"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Olde Loohuis et al. 2025</w:t>
            </w:r>
          </w:p>
        </w:tc>
        <w:tc>
          <w:tcPr>
            <w:tcW w:w="0" w:type="auto"/>
            <w:shd w:val="clear" w:color="auto" w:fill="ADADAD" w:themeFill="background2" w:themeFillShade="BF"/>
            <w:tcMar>
              <w:top w:w="35" w:type="dxa"/>
              <w:left w:w="35" w:type="dxa"/>
              <w:bottom w:w="35" w:type="dxa"/>
              <w:right w:w="35" w:type="dxa"/>
            </w:tcMar>
            <w:hideMark/>
          </w:tcPr>
          <w:p w14:paraId="03A585BA"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Stillbirths and neonatal deaths</w:t>
            </w:r>
          </w:p>
        </w:tc>
        <w:tc>
          <w:tcPr>
            <w:tcW w:w="0" w:type="auto"/>
            <w:shd w:val="clear" w:color="auto" w:fill="ADADAD" w:themeFill="background2" w:themeFillShade="BF"/>
            <w:tcMar>
              <w:top w:w="35" w:type="dxa"/>
              <w:left w:w="35" w:type="dxa"/>
              <w:bottom w:w="35" w:type="dxa"/>
              <w:right w:w="35" w:type="dxa"/>
            </w:tcMar>
            <w:hideMark/>
          </w:tcPr>
          <w:p w14:paraId="0007E4F3"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Payne et al. model development countries: Fiji, Uganda, South Africa, Brazil and Pakistan.</w:t>
            </w:r>
          </w:p>
        </w:tc>
        <w:tc>
          <w:tcPr>
            <w:tcW w:w="0" w:type="auto"/>
            <w:shd w:val="clear" w:color="auto" w:fill="ADADAD" w:themeFill="background2" w:themeFillShade="BF"/>
            <w:tcMar>
              <w:top w:w="35" w:type="dxa"/>
              <w:left w:w="35" w:type="dxa"/>
              <w:bottom w:w="35" w:type="dxa"/>
              <w:right w:w="35" w:type="dxa"/>
            </w:tcMar>
            <w:hideMark/>
          </w:tcPr>
          <w:p w14:paraId="49E6F07B"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Ghana: SPOT cohort in referral hospitals in Greater Accra and Eastern Region.</w:t>
            </w:r>
          </w:p>
        </w:tc>
        <w:tc>
          <w:tcPr>
            <w:tcW w:w="0" w:type="auto"/>
            <w:shd w:val="clear" w:color="auto" w:fill="ADADAD" w:themeFill="background2" w:themeFillShade="BF"/>
            <w:tcMar>
              <w:top w:w="35" w:type="dxa"/>
              <w:left w:w="35" w:type="dxa"/>
              <w:bottom w:w="35" w:type="dxa"/>
              <w:right w:w="35" w:type="dxa"/>
            </w:tcMar>
            <w:hideMark/>
          </w:tcPr>
          <w:p w14:paraId="3BA46CFC"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External to SSA</w:t>
            </w:r>
          </w:p>
        </w:tc>
        <w:tc>
          <w:tcPr>
            <w:tcW w:w="0" w:type="auto"/>
            <w:shd w:val="clear" w:color="auto" w:fill="ADADAD" w:themeFill="background2" w:themeFillShade="BF"/>
            <w:tcMar>
              <w:top w:w="35" w:type="dxa"/>
              <w:left w:w="35" w:type="dxa"/>
              <w:bottom w:w="35" w:type="dxa"/>
              <w:right w:w="35" w:type="dxa"/>
            </w:tcMar>
            <w:hideMark/>
          </w:tcPr>
          <w:p w14:paraId="2DF5DFE8"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Payne et al. prognostic model for perinatal death among women with hypertensive disorders of pregnancy.</w:t>
            </w:r>
          </w:p>
        </w:tc>
        <w:tc>
          <w:tcPr>
            <w:tcW w:w="0" w:type="auto"/>
            <w:shd w:val="clear" w:color="auto" w:fill="ADADAD" w:themeFill="background2" w:themeFillShade="BF"/>
            <w:tcMar>
              <w:top w:w="35" w:type="dxa"/>
              <w:left w:w="35" w:type="dxa"/>
              <w:bottom w:w="35" w:type="dxa"/>
              <w:right w:w="35" w:type="dxa"/>
            </w:tcMar>
            <w:hideMark/>
          </w:tcPr>
          <w:p w14:paraId="4C9B9163"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External validation in the Ghana SPOT cohort.</w:t>
            </w:r>
          </w:p>
        </w:tc>
        <w:tc>
          <w:tcPr>
            <w:tcW w:w="0" w:type="auto"/>
            <w:shd w:val="clear" w:color="auto" w:fill="ADADAD" w:themeFill="background2" w:themeFillShade="BF"/>
            <w:tcMar>
              <w:top w:w="35" w:type="dxa"/>
              <w:left w:w="35" w:type="dxa"/>
              <w:bottom w:w="35" w:type="dxa"/>
              <w:right w:w="35" w:type="dxa"/>
            </w:tcMar>
            <w:hideMark/>
          </w:tcPr>
          <w:p w14:paraId="07254F19"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543 women; 87 perinatal deaths, 16 percent.</w:t>
            </w:r>
          </w:p>
        </w:tc>
        <w:tc>
          <w:tcPr>
            <w:tcW w:w="0" w:type="auto"/>
            <w:shd w:val="clear" w:color="auto" w:fill="ADADAD" w:themeFill="background2" w:themeFillShade="BF"/>
            <w:tcMar>
              <w:top w:w="35" w:type="dxa"/>
              <w:left w:w="35" w:type="dxa"/>
              <w:bottom w:w="35" w:type="dxa"/>
              <w:right w:w="35" w:type="dxa"/>
            </w:tcMar>
            <w:hideMark/>
          </w:tcPr>
          <w:p w14:paraId="3D58142D"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Poor performance in Ghana: calibration-in-the-large 1.12, calibration slope 0.08 and c-statistic 0.52.</w:t>
            </w:r>
          </w:p>
        </w:tc>
        <w:tc>
          <w:tcPr>
            <w:tcW w:w="0" w:type="auto"/>
            <w:shd w:val="clear" w:color="auto" w:fill="ADADAD" w:themeFill="background2" w:themeFillShade="BF"/>
            <w:tcMar>
              <w:top w:w="35" w:type="dxa"/>
              <w:left w:w="35" w:type="dxa"/>
              <w:bottom w:w="35" w:type="dxa"/>
              <w:right w:w="35" w:type="dxa"/>
            </w:tcMar>
            <w:hideMark/>
          </w:tcPr>
          <w:p w14:paraId="770ACE9F"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Five country-specific arrows are drawn from Fiji, Uganda, South Africa, Brazil and Pakistan to Ghana. No ocean centroid is used.</w:t>
            </w:r>
          </w:p>
        </w:tc>
      </w:tr>
      <w:tr w:rsidR="00B6082C" w:rsidRPr="00756461" w14:paraId="164C0DEA" w14:textId="77777777" w:rsidTr="00BC1F31">
        <w:trPr>
          <w:jc w:val="center"/>
        </w:trPr>
        <w:tc>
          <w:tcPr>
            <w:tcW w:w="0" w:type="auto"/>
            <w:tcMar>
              <w:top w:w="35" w:type="dxa"/>
              <w:left w:w="35" w:type="dxa"/>
              <w:bottom w:w="35" w:type="dxa"/>
              <w:right w:w="35" w:type="dxa"/>
            </w:tcMar>
            <w:hideMark/>
          </w:tcPr>
          <w:p w14:paraId="11F2006E" w14:textId="77777777" w:rsidR="00B6082C" w:rsidRPr="00756461" w:rsidRDefault="00B6082C" w:rsidP="00BC1F31">
            <w:pPr>
              <w:spacing w:after="0" w:line="240" w:lineRule="auto"/>
              <w:rPr>
                <w:rFonts w:ascii="Arial" w:hAnsi="Arial" w:cs="Arial"/>
                <w:i/>
                <w:sz w:val="16"/>
                <w:szCs w:val="16"/>
                <w:lang w:val="en-GB"/>
              </w:rPr>
            </w:pPr>
            <w:r>
              <w:rPr>
                <w:rFonts w:ascii="Arial" w:eastAsia="Times New Roman" w:hAnsi="Arial" w:cs="Arial"/>
                <w:color w:val="000000"/>
                <w:sz w:val="16"/>
                <w:szCs w:val="16"/>
                <w:lang w:eastAsia="en-GB" w:bidi="th-TH"/>
              </w:rPr>
              <w:fldChar w:fldCharType="begin"/>
            </w:r>
            <w:r>
              <w:rPr>
                <w:rFonts w:ascii="Arial" w:eastAsia="Times New Roman" w:hAnsi="Arial" w:cs="Arial"/>
                <w:color w:val="000000"/>
                <w:sz w:val="16"/>
                <w:szCs w:val="16"/>
                <w:lang w:eastAsia="en-GB" w:bidi="th-TH"/>
              </w:rPr>
              <w:instrText xml:space="preserve"> ADDIN ZOTERO_ITEM CSL_CITATION {"citationID":"ALEhP1Rd","properties":{"formattedCitation":"[78]","plainCitation":"[78]","noteIndex":0},"citationItems":[{"id":"b2OWig5M/ARFFI20a","uris":["http://zotero.org/users/18230940/items/VD4SNK3G"],"itemData":{"id":130,"type":"article-journal","abstract":"Objective: To create and validate a machine learning (ML)-based model for predicting the adverse perinatal outcome (APO) in foetal growth restriction (FGR) at diagnosis. Design: A retrospective study. Setting: Multi-centre in China. Population: Pregnancies affected by FGR. Methods: We enrolled singleton foetuses with a perinatal diagnosis of FGR who were admitted between January 2021 and November 2023. A total of 361 pregnancies from Beijing Obstetrics and Gynecology Hospital were used as the training set and the internal test set. In comparison, data from 50 pregnancies from Haidian Maternal and Child Health Hospital were used as the external test set. Feature screening was performed using the random forest (RF), the Least Absolute Shrinkage and Selection Operator (LASSO) and logistic regression (LR). Subsequently, six ML methods, including Stacking, were used to construct models to predict the APO of FGR. Main Outcome Measures: Model's performance was evaluated through indicators such as the area under the receiver operating characteristic curve (AUROC). The Shapley Additive Explanation analysis was used to rank each model feature and explain the final model. Results: Mean ± SD gestational age at diagnosis was 32.3 ± 4.8 weeks in the absent APO group and 27.3 ± 3.7 in the present APO group. Women enrolled in the present APO group had a higher rate of hypertension related to pregnancy (74.8% vs. 18.8%, p &lt; 0.001). Among 17 candidate predictors (including maternal characteristics, maternal comorbidities, obstetric characteristics and ultrasound parameters), the integration of RF, LASSO and LR methodologies identified maternal body mass index, hypertension, gestational age at diagnosis of FGR, estimated foetal weight (EFW) z score, EFW growth velocity and abnormal umbilical artery Doppler (defined as a pulsatility index above the 95th percentile or instances of absent/reversed diastolic flow) as significant predictors. The Stacking model demonstrated a good performance in both the internal test set [AUROC: 0.861, 95% confidence interval (CI), 0.838–0.896] and the external test set [AUROC: 0.906, 95% CI, 0.875–0.947]. The calibration curve showed high agreement between the predicted and observed risks. The Hosmer–Lemeshow test for the internal and external test sets was p = 0.387 and p = 0.825, respectively. Conclusions: The ML algorithm for APO, which integrates maternal clinical factors and ultrasound parameters, demonstrates good predictive value for APO in FGR at diagnosis. This suggested that ML techniques may be a valid approach for the early detection of high-risk APO in FGR pregnancies. © 2025 Elsevier B.V., All rights reserved.","archive":"Scopus","container-title":"BJOG: An International Journal of Obstetrics and Gynaecology","DOI":"10.1111/1471-0528.18226","ISSN":"14700328 (ISSN); 14710528 (ISSN)","issue":"10","language":"English","page":"1514-1523","publisher":"John Wiley and Sons Inc","title":"Construction of a Prediction Model for Adverse Perinatal Outcomes in Foetal Growth Restriction Based on a Machine Learning Algorithm: A Retrospective Study","volume":"132","author":[{"family":"Meng","given":"X."},{"family":"Wang","given":"L."},{"family":"Wu","given":"M."},{"family":"Zhang","given":"N."},{"family":"Li","given":"X."},{"family":"Wu","given":"Q."}],"issued":{"date-parts":[["2025"]]}}}],"schema":"https://github.com/citation-style-language/schema/raw/master/csl-citation.json"} </w:instrText>
            </w:r>
            <w:r>
              <w:rPr>
                <w:rFonts w:ascii="Arial" w:eastAsia="Times New Roman" w:hAnsi="Arial" w:cs="Arial"/>
                <w:color w:val="000000"/>
                <w:sz w:val="16"/>
                <w:szCs w:val="16"/>
                <w:lang w:eastAsia="en-GB" w:bidi="th-TH"/>
              </w:rPr>
              <w:fldChar w:fldCharType="separate"/>
            </w:r>
            <w:r>
              <w:rPr>
                <w:rFonts w:ascii="Arial" w:hAnsi="Arial" w:cs="Arial"/>
                <w:sz w:val="16"/>
                <w:lang w:val="en-GB"/>
              </w:rPr>
              <w:t>[78]</w:t>
            </w:r>
            <w:r>
              <w:rPr>
                <w:rFonts w:ascii="Arial" w:eastAsia="Times New Roman" w:hAnsi="Arial" w:cs="Arial"/>
                <w:color w:val="000000"/>
                <w:sz w:val="16"/>
                <w:szCs w:val="16"/>
                <w:lang w:eastAsia="en-GB" w:bidi="th-TH"/>
              </w:rPr>
              <w:fldChar w:fldCharType="end"/>
            </w:r>
          </w:p>
        </w:tc>
        <w:tc>
          <w:tcPr>
            <w:tcW w:w="0" w:type="auto"/>
            <w:tcMar>
              <w:top w:w="35" w:type="dxa"/>
              <w:left w:w="35" w:type="dxa"/>
              <w:bottom w:w="35" w:type="dxa"/>
              <w:right w:w="35" w:type="dxa"/>
            </w:tcMar>
            <w:hideMark/>
          </w:tcPr>
          <w:p w14:paraId="0C0733C9"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Meng et al. 2025</w:t>
            </w:r>
          </w:p>
        </w:tc>
        <w:tc>
          <w:tcPr>
            <w:tcW w:w="0" w:type="auto"/>
            <w:tcMar>
              <w:top w:w="35" w:type="dxa"/>
              <w:left w:w="35" w:type="dxa"/>
              <w:bottom w:w="35" w:type="dxa"/>
              <w:right w:w="35" w:type="dxa"/>
            </w:tcMar>
            <w:hideMark/>
          </w:tcPr>
          <w:p w14:paraId="0B5A65DD"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Stillbirths and neonatal deaths</w:t>
            </w:r>
          </w:p>
        </w:tc>
        <w:tc>
          <w:tcPr>
            <w:tcW w:w="0" w:type="auto"/>
            <w:tcMar>
              <w:top w:w="35" w:type="dxa"/>
              <w:left w:w="35" w:type="dxa"/>
              <w:bottom w:w="35" w:type="dxa"/>
              <w:right w:w="35" w:type="dxa"/>
            </w:tcMar>
            <w:hideMark/>
          </w:tcPr>
          <w:p w14:paraId="26027979"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China: Beijing Obstetrics and Gynecology Hospital, January 2021 to November 2023.</w:t>
            </w:r>
          </w:p>
        </w:tc>
        <w:tc>
          <w:tcPr>
            <w:tcW w:w="0" w:type="auto"/>
            <w:tcMar>
              <w:top w:w="35" w:type="dxa"/>
              <w:left w:w="35" w:type="dxa"/>
              <w:bottom w:w="35" w:type="dxa"/>
              <w:right w:w="35" w:type="dxa"/>
            </w:tcMar>
            <w:hideMark/>
          </w:tcPr>
          <w:p w14:paraId="47FAD48C"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China: Haidian Maternal and Child Health Hospital external test set.</w:t>
            </w:r>
          </w:p>
        </w:tc>
        <w:tc>
          <w:tcPr>
            <w:tcW w:w="0" w:type="auto"/>
            <w:tcMar>
              <w:top w:w="35" w:type="dxa"/>
              <w:left w:w="35" w:type="dxa"/>
              <w:bottom w:w="35" w:type="dxa"/>
              <w:right w:w="35" w:type="dxa"/>
            </w:tcMar>
            <w:hideMark/>
          </w:tcPr>
          <w:p w14:paraId="7CB8E489"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Within-country hold-out validation</w:t>
            </w:r>
          </w:p>
        </w:tc>
        <w:tc>
          <w:tcPr>
            <w:tcW w:w="0" w:type="auto"/>
            <w:tcMar>
              <w:top w:w="35" w:type="dxa"/>
              <w:left w:w="35" w:type="dxa"/>
              <w:bottom w:w="35" w:type="dxa"/>
              <w:right w:w="35" w:type="dxa"/>
            </w:tcMar>
            <w:hideMark/>
          </w:tcPr>
          <w:p w14:paraId="5C244844"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Six machine-learning methods, including stacking, to predict adverse perinatal outcome in FGR.</w:t>
            </w:r>
          </w:p>
        </w:tc>
        <w:tc>
          <w:tcPr>
            <w:tcW w:w="0" w:type="auto"/>
            <w:tcMar>
              <w:top w:w="35" w:type="dxa"/>
              <w:left w:w="35" w:type="dxa"/>
              <w:bottom w:w="35" w:type="dxa"/>
              <w:right w:w="35" w:type="dxa"/>
            </w:tcMar>
            <w:hideMark/>
          </w:tcPr>
          <w:p w14:paraId="76F53323"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Training and internal test set from one Beijing centre; external test set from Haidian hospital.</w:t>
            </w:r>
          </w:p>
        </w:tc>
        <w:tc>
          <w:tcPr>
            <w:tcW w:w="0" w:type="auto"/>
            <w:tcMar>
              <w:top w:w="35" w:type="dxa"/>
              <w:left w:w="35" w:type="dxa"/>
              <w:bottom w:w="35" w:type="dxa"/>
              <w:right w:w="35" w:type="dxa"/>
            </w:tcMar>
            <w:hideMark/>
          </w:tcPr>
          <w:p w14:paraId="37B7CF22"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411 pregnancies: 361 from Beijing Obstetrics and Gynecology Hospital and 50 from Haidian hospital.</w:t>
            </w:r>
          </w:p>
        </w:tc>
        <w:tc>
          <w:tcPr>
            <w:tcW w:w="0" w:type="auto"/>
            <w:tcMar>
              <w:top w:w="35" w:type="dxa"/>
              <w:left w:w="35" w:type="dxa"/>
              <w:bottom w:w="35" w:type="dxa"/>
              <w:right w:w="35" w:type="dxa"/>
            </w:tcMar>
            <w:hideMark/>
          </w:tcPr>
          <w:p w14:paraId="21922A4A"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Stacking model AUROC 0.861 in the internal test set and 0.906 in the external test set.</w:t>
            </w:r>
          </w:p>
        </w:tc>
        <w:tc>
          <w:tcPr>
            <w:tcW w:w="0" w:type="auto"/>
            <w:tcMar>
              <w:top w:w="35" w:type="dxa"/>
              <w:left w:w="35" w:type="dxa"/>
              <w:bottom w:w="35" w:type="dxa"/>
              <w:right w:w="35" w:type="dxa"/>
            </w:tcMar>
            <w:hideMark/>
          </w:tcPr>
          <w:p w14:paraId="7F6D11AD"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Beijing-to-Haidian route with short offset points inside Beijing.</w:t>
            </w:r>
          </w:p>
        </w:tc>
      </w:tr>
      <w:tr w:rsidR="00B6082C" w:rsidRPr="00756461" w14:paraId="460EC4F4" w14:textId="77777777" w:rsidTr="00BC1F31">
        <w:trPr>
          <w:jc w:val="center"/>
        </w:trPr>
        <w:tc>
          <w:tcPr>
            <w:tcW w:w="0" w:type="auto"/>
            <w:shd w:val="clear" w:color="auto" w:fill="ADADAD" w:themeFill="background2" w:themeFillShade="BF"/>
            <w:tcMar>
              <w:top w:w="35" w:type="dxa"/>
              <w:left w:w="35" w:type="dxa"/>
              <w:bottom w:w="35" w:type="dxa"/>
              <w:right w:w="35" w:type="dxa"/>
            </w:tcMar>
            <w:hideMark/>
          </w:tcPr>
          <w:p w14:paraId="7EBE8B6B" w14:textId="77777777" w:rsidR="00B6082C" w:rsidRPr="00756461" w:rsidRDefault="00B6082C" w:rsidP="00BC1F31">
            <w:pPr>
              <w:spacing w:after="0" w:line="240" w:lineRule="auto"/>
              <w:rPr>
                <w:rFonts w:ascii="Arial" w:hAnsi="Arial" w:cs="Arial"/>
                <w:i/>
                <w:sz w:val="16"/>
                <w:szCs w:val="16"/>
                <w:lang w:val="en-GB"/>
              </w:rPr>
            </w:pPr>
            <w:r>
              <w:rPr>
                <w:rFonts w:ascii="Arial" w:eastAsia="Times New Roman" w:hAnsi="Arial" w:cs="Arial"/>
                <w:color w:val="000000"/>
                <w:sz w:val="16"/>
                <w:szCs w:val="16"/>
                <w:lang w:eastAsia="en-GB" w:bidi="th-TH"/>
              </w:rPr>
              <w:fldChar w:fldCharType="begin"/>
            </w:r>
            <w:r>
              <w:rPr>
                <w:rFonts w:ascii="Arial" w:eastAsia="Times New Roman" w:hAnsi="Arial" w:cs="Arial"/>
                <w:color w:val="000000"/>
                <w:sz w:val="16"/>
                <w:szCs w:val="16"/>
                <w:lang w:eastAsia="en-GB" w:bidi="th-TH"/>
              </w:rPr>
              <w:instrText xml:space="preserve"> ADDIN ZOTERO_ITEM CSL_CITATION {"citationID":"5xpMXJgc","properties":{"formattedCitation":"[84]","plainCitation":"[84]","noteIndex":0},"citationItems":[{"id":"b2OWig5M/CTfJCyha","uris":["http://zotero.org/users/18230940/items/FL3XW4KF"],"itemData":{"id":779,"type":"article-journal","abstract":"Objectives\nHypertensive disorders of pregnancy are major causes of global maternal and neonatal morbidity and mortality. This study aimed to develop and validate models to predict composite adverse maternal and neonatal outcome in severe preeclampsia in low-resource settings. Study design. A retrospective cross-sectional study of women with severe preeclampsia giving birth in a tertiary referral centre in Zimbabwe between 01/01/2014–31/12/2018. Candidate variables identified from univariable logistic regression (p &lt; 0.2) were entered into stepwise backward elimination logistic regression models to predict composite adverse maternal and neonatal outcomes. Models’ performance was assessed by the area under the curve of the receiver operator characteristic (AUC ROC). The models were validated internally using bootstrap-based methods and externally using the Preeclampsia Integrated Estimate of RiSk dataset.\nMain outcome measures\nThe co-primary outcomes were composite adverse maternal outcome and composite adverse neonatal outcome.\nResults\n549 women had severe preeclampsia from whom 567 neonates were born. The predictive model for composite adverse maternal outcome included maternal age, gestational age on admission, epigastric pain, vaginal bleeding with abdominal pain, haemoglobin concentration and platelets; the AUC ROC was 0.796 (95% CI 0.758–0.833). External validation showed poor discrimination (AUC ROC 0.494, 95% CI 0.458–0.552). The model for composite adverse neonatal outcome included: gestational age, platelets, alanine transaminase and birth weight; the AUC ROC was 0.902 (95% CI 0.876–0.927).\nConclusions\nWhile the models accurately predicted composite adverse maternal and neonatal outcomes in the study population, they did not in another cohort. Understanding factors which affect model performance will help optimize prediction of adverse outcomes in severe preeclampsia.","container-title":"Pregnancy Hypertension","DOI":"10.1016/j.preghy.2020.10.011","ISSN":"2210-7789","journalAbbreviation":"Pregnancy Hypertension","page":"18-26","source":"ScienceDirect","title":"Development and validation of risk prediction models for adverse maternal and neonatal outcomes in severe preeclampsia in a low-resource setting, Mpilo Central Hospital, Bulawayo, Zimbabwe","volume":"23","author":[{"family":"Ngwenya","given":"Solwayo"},{"family":"Jones","given":"Brian"},{"family":"Mwembe","given":"Desmond"},{"family":"Nare","given":"Hausitoe"},{"family":"Heazell","given":"Alexander E. P."}],"issued":{"date-parts":[["2021",3,1]]}}}],"schema":"https://github.com/citation-style-language/schema/raw/master/csl-citation.json"} </w:instrText>
            </w:r>
            <w:r>
              <w:rPr>
                <w:rFonts w:ascii="Arial" w:eastAsia="Times New Roman" w:hAnsi="Arial" w:cs="Arial"/>
                <w:color w:val="000000"/>
                <w:sz w:val="16"/>
                <w:szCs w:val="16"/>
                <w:lang w:eastAsia="en-GB" w:bidi="th-TH"/>
              </w:rPr>
              <w:fldChar w:fldCharType="separate"/>
            </w:r>
            <w:r>
              <w:rPr>
                <w:rFonts w:ascii="Arial" w:hAnsi="Arial" w:cs="Arial"/>
                <w:sz w:val="16"/>
                <w:lang w:val="en-GB"/>
              </w:rPr>
              <w:t>[84]</w:t>
            </w:r>
            <w:r>
              <w:rPr>
                <w:rFonts w:ascii="Arial" w:eastAsia="Times New Roman" w:hAnsi="Arial" w:cs="Arial"/>
                <w:color w:val="000000"/>
                <w:sz w:val="16"/>
                <w:szCs w:val="16"/>
                <w:lang w:eastAsia="en-GB" w:bidi="th-TH"/>
              </w:rPr>
              <w:fldChar w:fldCharType="end"/>
            </w:r>
          </w:p>
        </w:tc>
        <w:tc>
          <w:tcPr>
            <w:tcW w:w="0" w:type="auto"/>
            <w:shd w:val="clear" w:color="auto" w:fill="ADADAD" w:themeFill="background2" w:themeFillShade="BF"/>
            <w:tcMar>
              <w:top w:w="35" w:type="dxa"/>
              <w:left w:w="35" w:type="dxa"/>
              <w:bottom w:w="35" w:type="dxa"/>
              <w:right w:w="35" w:type="dxa"/>
            </w:tcMar>
            <w:hideMark/>
          </w:tcPr>
          <w:p w14:paraId="6EF777A9"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Ngwenya et al. 2021</w:t>
            </w:r>
          </w:p>
        </w:tc>
        <w:tc>
          <w:tcPr>
            <w:tcW w:w="0" w:type="auto"/>
            <w:shd w:val="clear" w:color="auto" w:fill="ADADAD" w:themeFill="background2" w:themeFillShade="BF"/>
            <w:tcMar>
              <w:top w:w="35" w:type="dxa"/>
              <w:left w:w="35" w:type="dxa"/>
              <w:bottom w:w="35" w:type="dxa"/>
              <w:right w:w="35" w:type="dxa"/>
            </w:tcMar>
            <w:hideMark/>
          </w:tcPr>
          <w:p w14:paraId="26B68EE6"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Stillbirths and neonatal deaths</w:t>
            </w:r>
          </w:p>
        </w:tc>
        <w:tc>
          <w:tcPr>
            <w:tcW w:w="0" w:type="auto"/>
            <w:shd w:val="clear" w:color="auto" w:fill="ADADAD" w:themeFill="background2" w:themeFillShade="BF"/>
            <w:tcMar>
              <w:top w:w="35" w:type="dxa"/>
              <w:left w:w="35" w:type="dxa"/>
              <w:bottom w:w="35" w:type="dxa"/>
              <w:right w:w="35" w:type="dxa"/>
            </w:tcMar>
            <w:hideMark/>
          </w:tcPr>
          <w:p w14:paraId="4494D4D0"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Zimbabwe: Mpilo Central Hospital, Bulawayo.</w:t>
            </w:r>
          </w:p>
        </w:tc>
        <w:tc>
          <w:tcPr>
            <w:tcW w:w="0" w:type="auto"/>
            <w:shd w:val="clear" w:color="auto" w:fill="ADADAD" w:themeFill="background2" w:themeFillShade="BF"/>
            <w:tcMar>
              <w:top w:w="35" w:type="dxa"/>
              <w:left w:w="35" w:type="dxa"/>
              <w:bottom w:w="35" w:type="dxa"/>
              <w:right w:w="35" w:type="dxa"/>
            </w:tcMar>
            <w:hideMark/>
          </w:tcPr>
          <w:p w14:paraId="1CB4FF70"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PIERS international dataset. Mapped to the high-income fullPIERS countries reported for the PIERS model: Australia, Canada, New Zealand and United Kingdom.</w:t>
            </w:r>
          </w:p>
        </w:tc>
        <w:tc>
          <w:tcPr>
            <w:tcW w:w="0" w:type="auto"/>
            <w:shd w:val="clear" w:color="auto" w:fill="ADADAD" w:themeFill="background2" w:themeFillShade="BF"/>
            <w:tcMar>
              <w:top w:w="35" w:type="dxa"/>
              <w:left w:w="35" w:type="dxa"/>
              <w:bottom w:w="35" w:type="dxa"/>
              <w:right w:w="35" w:type="dxa"/>
            </w:tcMar>
            <w:hideMark/>
          </w:tcPr>
          <w:p w14:paraId="66B8374A"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SSA to international</w:t>
            </w:r>
          </w:p>
        </w:tc>
        <w:tc>
          <w:tcPr>
            <w:tcW w:w="0" w:type="auto"/>
            <w:shd w:val="clear" w:color="auto" w:fill="ADADAD" w:themeFill="background2" w:themeFillShade="BF"/>
            <w:tcMar>
              <w:top w:w="35" w:type="dxa"/>
              <w:left w:w="35" w:type="dxa"/>
              <w:bottom w:w="35" w:type="dxa"/>
              <w:right w:w="35" w:type="dxa"/>
            </w:tcMar>
            <w:hideMark/>
          </w:tcPr>
          <w:p w14:paraId="442DF649"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Parsimonious multivariable logistic regression for adverse maternal and neonatal outcomes in severe pre-eclampsia.</w:t>
            </w:r>
          </w:p>
        </w:tc>
        <w:tc>
          <w:tcPr>
            <w:tcW w:w="0" w:type="auto"/>
            <w:shd w:val="clear" w:color="auto" w:fill="ADADAD" w:themeFill="background2" w:themeFillShade="BF"/>
            <w:tcMar>
              <w:top w:w="35" w:type="dxa"/>
              <w:left w:w="35" w:type="dxa"/>
              <w:bottom w:w="35" w:type="dxa"/>
              <w:right w:w="35" w:type="dxa"/>
            </w:tcMar>
            <w:hideMark/>
          </w:tcPr>
          <w:p w14:paraId="324E37A5"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External validation against the PIERS dataset.</w:t>
            </w:r>
          </w:p>
        </w:tc>
        <w:tc>
          <w:tcPr>
            <w:tcW w:w="0" w:type="auto"/>
            <w:shd w:val="clear" w:color="auto" w:fill="ADADAD" w:themeFill="background2" w:themeFillShade="BF"/>
            <w:tcMar>
              <w:top w:w="35" w:type="dxa"/>
              <w:left w:w="35" w:type="dxa"/>
              <w:bottom w:w="35" w:type="dxa"/>
              <w:right w:w="35" w:type="dxa"/>
            </w:tcMar>
            <w:hideMark/>
          </w:tcPr>
          <w:p w14:paraId="7DB988B5"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549 development participants.</w:t>
            </w:r>
          </w:p>
        </w:tc>
        <w:tc>
          <w:tcPr>
            <w:tcW w:w="0" w:type="auto"/>
            <w:shd w:val="clear" w:color="auto" w:fill="ADADAD" w:themeFill="background2" w:themeFillShade="BF"/>
            <w:tcMar>
              <w:top w:w="35" w:type="dxa"/>
              <w:left w:w="35" w:type="dxa"/>
              <w:bottom w:w="35" w:type="dxa"/>
              <w:right w:w="35" w:type="dxa"/>
            </w:tcMar>
            <w:hideMark/>
          </w:tcPr>
          <w:p w14:paraId="51BE8ACE"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Adverse neonatal outcome model AUC 0.90, sensitivity 87.7 percent and specificity 79.2 percent at cut-off 0.4257.</w:t>
            </w:r>
          </w:p>
        </w:tc>
        <w:tc>
          <w:tcPr>
            <w:tcW w:w="0" w:type="auto"/>
            <w:shd w:val="clear" w:color="auto" w:fill="ADADAD" w:themeFill="background2" w:themeFillShade="BF"/>
            <w:tcMar>
              <w:top w:w="35" w:type="dxa"/>
              <w:left w:w="35" w:type="dxa"/>
              <w:bottom w:w="35" w:type="dxa"/>
              <w:right w:w="35" w:type="dxa"/>
            </w:tcMar>
            <w:hideMark/>
          </w:tcPr>
          <w:p w14:paraId="15DFCED7"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Zimbabwe-to-Australia, Canada, New Zealand and United Kingdom arrows.</w:t>
            </w:r>
          </w:p>
        </w:tc>
      </w:tr>
      <w:tr w:rsidR="00B6082C" w:rsidRPr="00756461" w14:paraId="30FEB7BB" w14:textId="77777777" w:rsidTr="00BC1F31">
        <w:trPr>
          <w:jc w:val="center"/>
        </w:trPr>
        <w:tc>
          <w:tcPr>
            <w:tcW w:w="0" w:type="auto"/>
            <w:shd w:val="clear" w:color="auto" w:fill="ADADAD" w:themeFill="background2" w:themeFillShade="BF"/>
            <w:tcMar>
              <w:top w:w="35" w:type="dxa"/>
              <w:left w:w="35" w:type="dxa"/>
              <w:bottom w:w="35" w:type="dxa"/>
              <w:right w:w="35" w:type="dxa"/>
            </w:tcMar>
            <w:hideMark/>
          </w:tcPr>
          <w:p w14:paraId="3FA69CFB" w14:textId="77777777" w:rsidR="00B6082C" w:rsidRPr="00756461" w:rsidRDefault="00B6082C" w:rsidP="00BC1F31">
            <w:pPr>
              <w:spacing w:after="0" w:line="240" w:lineRule="auto"/>
              <w:rPr>
                <w:rFonts w:ascii="Arial" w:hAnsi="Arial" w:cs="Arial"/>
                <w:i/>
                <w:sz w:val="16"/>
                <w:szCs w:val="16"/>
                <w:lang w:val="en-GB"/>
              </w:rPr>
            </w:pPr>
            <w:r>
              <w:rPr>
                <w:rFonts w:ascii="Arial" w:eastAsia="Times New Roman" w:hAnsi="Arial" w:cs="Arial"/>
                <w:color w:val="000000"/>
                <w:sz w:val="16"/>
                <w:szCs w:val="16"/>
                <w:lang w:eastAsia="en-GB" w:bidi="th-TH"/>
              </w:rPr>
              <w:fldChar w:fldCharType="begin"/>
            </w:r>
            <w:r>
              <w:rPr>
                <w:rFonts w:ascii="Arial" w:eastAsia="Times New Roman" w:hAnsi="Arial" w:cs="Arial"/>
                <w:color w:val="000000"/>
                <w:sz w:val="16"/>
                <w:szCs w:val="16"/>
                <w:lang w:eastAsia="en-GB" w:bidi="th-TH"/>
              </w:rPr>
              <w:instrText xml:space="preserve"> ADDIN ZOTERO_ITEM CSL_CITATION {"citationID":"EXyrthY6","properties":{"formattedCitation":"[88]","plainCitation":"[88]","noteIndex":0},"citationItems":[{"id":"b2OWig5M/cw42vkUO","uris":["http://zotero.org/users/18230940/items/DIF28822"],"itemData":{"id":789,"type":"article-journal","abstract":"Objectives: To predict neonatal mortality and length of stay (LOS) from readily available perinatal data for neonatal intensive care unit (NICU) admissions in Southern African private hospitals.Methods: Retrospective observational study using perinatal data from a large multicentre sample. Fifteen participating NICU centres in the Medi-Clinic private hospital group in Southern Africa. We used 2376 infants born between 1 January &amp;#8211; 31 December 2008 to build the regression models, and a further 1 578 infants born between 1 January &amp;#8211; 31 December 2007 to test the models. Outcome measures were mortality and length of hospital stay for NICU admissions. Results: Of the infants included in the 2008 dataset, ninety-one (3.8%) died after being admitted to NICU centres. The median LOS for non-transferred survivors was 11 days. An analysis of the structural peculiarities of the data showed high correlations between groups of the perinatal variables pertaining to the size and Apgar scores of the newborn infants, respectively. The logistic regression model to predict neonatal mortality had a good fit (AUC: 0.8507, misclassification rate: 13.6%), but the low positive predictive value of this model reduces its usefulness. The poisson log-linear model to predict LOS had a good fit (predicted R2: 0.7027).Conclusions: Apgar score at one minute, birth weight, and delivery mode significantly influence the odds of neonatal death and are associated with significant effects on LOS.Key words: length of stay, neonatal mortality, neonatal intensive care units, principal component analysis, logistic regression, log-linear models.","container-title":"African Health Sciences","DOI":"10.4314/ahs.v12i2.14","ISSN":"1729-0503","issue":"2","language":"en","license":"Copyright (c)","page":"166-173","source":"www.ajol.info","title":"Predicting mortality and length-of-stay for neonatal admissions to private hospital neonatal intensive care units: a Southern African retrospective study","title-short":"Predicting mortality and length-of-stay for neonatal admissions to private hospital neonatal intensive care units","volume":"12","author":[{"family":"Pepler","given":"F. T."},{"family":"Uys","given":"D. W."},{"family":"Nel","given":"D. G."}],"issued":{"date-parts":[["2012"]]}}}],"schema":"https://github.com/citation-style-language/schema/raw/master/csl-citation.json"} </w:instrText>
            </w:r>
            <w:r>
              <w:rPr>
                <w:rFonts w:ascii="Arial" w:eastAsia="Times New Roman" w:hAnsi="Arial" w:cs="Arial"/>
                <w:color w:val="000000"/>
                <w:sz w:val="16"/>
                <w:szCs w:val="16"/>
                <w:lang w:eastAsia="en-GB" w:bidi="th-TH"/>
              </w:rPr>
              <w:fldChar w:fldCharType="separate"/>
            </w:r>
            <w:r>
              <w:rPr>
                <w:rFonts w:ascii="Arial" w:hAnsi="Arial" w:cs="Arial"/>
                <w:sz w:val="16"/>
                <w:lang w:val="en-GB"/>
              </w:rPr>
              <w:t>[88]</w:t>
            </w:r>
            <w:r>
              <w:rPr>
                <w:rFonts w:ascii="Arial" w:eastAsia="Times New Roman" w:hAnsi="Arial" w:cs="Arial"/>
                <w:color w:val="000000"/>
                <w:sz w:val="16"/>
                <w:szCs w:val="16"/>
                <w:lang w:eastAsia="en-GB" w:bidi="th-TH"/>
              </w:rPr>
              <w:fldChar w:fldCharType="end"/>
            </w:r>
          </w:p>
        </w:tc>
        <w:tc>
          <w:tcPr>
            <w:tcW w:w="0" w:type="auto"/>
            <w:shd w:val="clear" w:color="auto" w:fill="ADADAD" w:themeFill="background2" w:themeFillShade="BF"/>
            <w:tcMar>
              <w:top w:w="35" w:type="dxa"/>
              <w:left w:w="35" w:type="dxa"/>
              <w:bottom w:w="35" w:type="dxa"/>
              <w:right w:w="35" w:type="dxa"/>
            </w:tcMar>
            <w:hideMark/>
          </w:tcPr>
          <w:p w14:paraId="75E128F0"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Pepler et al. 2012</w:t>
            </w:r>
          </w:p>
        </w:tc>
        <w:tc>
          <w:tcPr>
            <w:tcW w:w="0" w:type="auto"/>
            <w:shd w:val="clear" w:color="auto" w:fill="ADADAD" w:themeFill="background2" w:themeFillShade="BF"/>
            <w:tcMar>
              <w:top w:w="35" w:type="dxa"/>
              <w:left w:w="35" w:type="dxa"/>
              <w:bottom w:w="35" w:type="dxa"/>
              <w:right w:w="35" w:type="dxa"/>
            </w:tcMar>
            <w:hideMark/>
          </w:tcPr>
          <w:p w14:paraId="59EC84A2"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Neonatal deaths</w:t>
            </w:r>
          </w:p>
        </w:tc>
        <w:tc>
          <w:tcPr>
            <w:tcW w:w="0" w:type="auto"/>
            <w:shd w:val="clear" w:color="auto" w:fill="ADADAD" w:themeFill="background2" w:themeFillShade="BF"/>
            <w:tcMar>
              <w:top w:w="35" w:type="dxa"/>
              <w:left w:w="35" w:type="dxa"/>
              <w:bottom w:w="35" w:type="dxa"/>
              <w:right w:w="35" w:type="dxa"/>
            </w:tcMar>
            <w:hideMark/>
          </w:tcPr>
          <w:p w14:paraId="61A92805"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South Africa and Namibia: 15 VON-linked Medi-Clinic private hospital NICUs, 2008.</w:t>
            </w:r>
          </w:p>
        </w:tc>
        <w:tc>
          <w:tcPr>
            <w:tcW w:w="0" w:type="auto"/>
            <w:shd w:val="clear" w:color="auto" w:fill="ADADAD" w:themeFill="background2" w:themeFillShade="BF"/>
            <w:tcMar>
              <w:top w:w="35" w:type="dxa"/>
              <w:left w:w="35" w:type="dxa"/>
              <w:bottom w:w="35" w:type="dxa"/>
              <w:right w:w="35" w:type="dxa"/>
            </w:tcMar>
            <w:hideMark/>
          </w:tcPr>
          <w:p w14:paraId="31713A9C"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South Africa and Namibia: same VON-linked NICU network, 2007.</w:t>
            </w:r>
          </w:p>
        </w:tc>
        <w:tc>
          <w:tcPr>
            <w:tcW w:w="0" w:type="auto"/>
            <w:shd w:val="clear" w:color="auto" w:fill="ADADAD" w:themeFill="background2" w:themeFillShade="BF"/>
            <w:tcMar>
              <w:top w:w="35" w:type="dxa"/>
              <w:left w:w="35" w:type="dxa"/>
              <w:bottom w:w="35" w:type="dxa"/>
              <w:right w:w="35" w:type="dxa"/>
            </w:tcMar>
            <w:hideMark/>
          </w:tcPr>
          <w:p w14:paraId="5FE230A3"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SSA temporal validation within country group</w:t>
            </w:r>
          </w:p>
        </w:tc>
        <w:tc>
          <w:tcPr>
            <w:tcW w:w="0" w:type="auto"/>
            <w:shd w:val="clear" w:color="auto" w:fill="ADADAD" w:themeFill="background2" w:themeFillShade="BF"/>
            <w:tcMar>
              <w:top w:w="35" w:type="dxa"/>
              <w:left w:w="35" w:type="dxa"/>
              <w:bottom w:w="35" w:type="dxa"/>
              <w:right w:w="35" w:type="dxa"/>
            </w:tcMar>
            <w:hideMark/>
          </w:tcPr>
          <w:p w14:paraId="0370BF60"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Logistic regression for mortality and Poisson log-linear regression for length of stay.</w:t>
            </w:r>
          </w:p>
        </w:tc>
        <w:tc>
          <w:tcPr>
            <w:tcW w:w="0" w:type="auto"/>
            <w:shd w:val="clear" w:color="auto" w:fill="ADADAD" w:themeFill="background2" w:themeFillShade="BF"/>
            <w:tcMar>
              <w:top w:w="35" w:type="dxa"/>
              <w:left w:w="35" w:type="dxa"/>
              <w:bottom w:w="35" w:type="dxa"/>
              <w:right w:w="35" w:type="dxa"/>
            </w:tcMar>
            <w:hideMark/>
          </w:tcPr>
          <w:p w14:paraId="176A7768"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Temporal validation using 2008 development data and 2007 test data.</w:t>
            </w:r>
          </w:p>
        </w:tc>
        <w:tc>
          <w:tcPr>
            <w:tcW w:w="0" w:type="auto"/>
            <w:shd w:val="clear" w:color="auto" w:fill="ADADAD" w:themeFill="background2" w:themeFillShade="BF"/>
            <w:tcMar>
              <w:top w:w="35" w:type="dxa"/>
              <w:left w:w="35" w:type="dxa"/>
              <w:bottom w:w="35" w:type="dxa"/>
              <w:right w:w="35" w:type="dxa"/>
            </w:tcMar>
            <w:hideMark/>
          </w:tcPr>
          <w:p w14:paraId="6A7386BA"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2,376 development infants and 1,578 test infants; 91 deaths in development data.</w:t>
            </w:r>
          </w:p>
        </w:tc>
        <w:tc>
          <w:tcPr>
            <w:tcW w:w="0" w:type="auto"/>
            <w:shd w:val="clear" w:color="auto" w:fill="ADADAD" w:themeFill="background2" w:themeFillShade="BF"/>
            <w:tcMar>
              <w:top w:w="35" w:type="dxa"/>
              <w:left w:w="35" w:type="dxa"/>
              <w:bottom w:w="35" w:type="dxa"/>
              <w:right w:w="35" w:type="dxa"/>
            </w:tcMar>
            <w:hideMark/>
          </w:tcPr>
          <w:p w14:paraId="6D048561"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Mortality model AUC 0.8507 and length-of-stay predicted R2 0.7027. Positive predictive value for mortality was low.</w:t>
            </w:r>
          </w:p>
        </w:tc>
        <w:tc>
          <w:tcPr>
            <w:tcW w:w="0" w:type="auto"/>
            <w:shd w:val="clear" w:color="auto" w:fill="ADADAD" w:themeFill="background2" w:themeFillShade="BF"/>
            <w:tcMar>
              <w:top w:w="35" w:type="dxa"/>
              <w:left w:w="35" w:type="dxa"/>
              <w:bottom w:w="35" w:type="dxa"/>
              <w:right w:w="35" w:type="dxa"/>
            </w:tcMar>
            <w:hideMark/>
          </w:tcPr>
          <w:p w14:paraId="617DC516"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Within-country temporal loops for South Africa and Namibia.</w:t>
            </w:r>
          </w:p>
        </w:tc>
      </w:tr>
      <w:tr w:rsidR="00B6082C" w:rsidRPr="00756461" w14:paraId="56377D72" w14:textId="77777777" w:rsidTr="00BC1F31">
        <w:trPr>
          <w:jc w:val="center"/>
        </w:trPr>
        <w:tc>
          <w:tcPr>
            <w:tcW w:w="0" w:type="auto"/>
            <w:tcMar>
              <w:top w:w="35" w:type="dxa"/>
              <w:left w:w="35" w:type="dxa"/>
              <w:bottom w:w="35" w:type="dxa"/>
              <w:right w:w="35" w:type="dxa"/>
            </w:tcMar>
            <w:hideMark/>
          </w:tcPr>
          <w:p w14:paraId="36DB5980" w14:textId="77777777" w:rsidR="00B6082C" w:rsidRPr="00756461" w:rsidRDefault="00B6082C" w:rsidP="00BC1F31">
            <w:pPr>
              <w:spacing w:after="0" w:line="240" w:lineRule="auto"/>
              <w:rPr>
                <w:rFonts w:ascii="Arial" w:hAnsi="Arial" w:cs="Arial"/>
                <w:i/>
                <w:sz w:val="16"/>
                <w:szCs w:val="16"/>
                <w:lang w:val="en-GB"/>
              </w:rPr>
            </w:pPr>
            <w:r>
              <w:rPr>
                <w:rFonts w:ascii="Arial" w:eastAsia="Times New Roman" w:hAnsi="Arial" w:cs="Arial"/>
                <w:color w:val="000000"/>
                <w:sz w:val="16"/>
                <w:szCs w:val="16"/>
                <w:lang w:eastAsia="en-GB" w:bidi="th-TH"/>
              </w:rPr>
              <w:fldChar w:fldCharType="begin"/>
            </w:r>
            <w:r>
              <w:rPr>
                <w:rFonts w:ascii="Arial" w:eastAsia="Times New Roman" w:hAnsi="Arial" w:cs="Arial"/>
                <w:color w:val="000000"/>
                <w:sz w:val="16"/>
                <w:szCs w:val="16"/>
                <w:lang w:eastAsia="en-GB" w:bidi="th-TH"/>
              </w:rPr>
              <w:instrText xml:space="preserve"> ADDIN ZOTERO_ITEM CSL_CITATION {"citationID":"agLP7D5t","properties":{"formattedCitation":"[91]","plainCitation":"[91]","noteIndex":0},"citationItems":[{"id":"b2OWig5M/Pp5pe25C","uris":["http://zotero.org/users/18230940/items/TB7PJ9CH"],"itemData":{"id":798,"type":"article-journal","abstract":"Despite contemporaneous declines in neonatal mortality, recent studies show the existence of left-behind populations that continue to have higher mortality rates than the national averages. Additionally, many of these deaths are from preventable causes. This reality creates the need for more precise methods to identify high-risk births, allowing policymakers to target them more effectively. This study fills this gap by developing unbiased machine-learning approaches to more accurately identify births with a high risk of neonatal deaths from preventable causes.","container-title":"Population Health Metrics","DOI":"10.1186/s12963-025-00420-x","ISSN":"1478-7954","issue":"1","journalAbbreviation":"Popul Health Metrics","language":"en","page":"59","source":"Springer Link","title":"Reducing inequalities using an unbiased machine learning approach to identify births with the highest risk of preventable neonatal deaths","volume":"23","author":[{"family":"Ramos","given":"Antonio P."},{"family":"Caldieraro","given":"Fabio"},{"family":"Nascimento","given":"Marcus L."},{"family":"Saldanha","given":"Raphael"}],"issued":{"date-parts":[["2025",10,27]]}}}],"schema":"https://github.com/citation-style-language/schema/raw/master/csl-citation.json"} </w:instrText>
            </w:r>
            <w:r>
              <w:rPr>
                <w:rFonts w:ascii="Arial" w:eastAsia="Times New Roman" w:hAnsi="Arial" w:cs="Arial"/>
                <w:color w:val="000000"/>
                <w:sz w:val="16"/>
                <w:szCs w:val="16"/>
                <w:lang w:eastAsia="en-GB" w:bidi="th-TH"/>
              </w:rPr>
              <w:fldChar w:fldCharType="separate"/>
            </w:r>
            <w:r>
              <w:rPr>
                <w:rFonts w:ascii="Arial" w:hAnsi="Arial" w:cs="Arial"/>
                <w:sz w:val="16"/>
                <w:lang w:val="en-GB"/>
              </w:rPr>
              <w:t>[91]</w:t>
            </w:r>
            <w:r>
              <w:rPr>
                <w:rFonts w:ascii="Arial" w:eastAsia="Times New Roman" w:hAnsi="Arial" w:cs="Arial"/>
                <w:color w:val="000000"/>
                <w:sz w:val="16"/>
                <w:szCs w:val="16"/>
                <w:lang w:eastAsia="en-GB" w:bidi="th-TH"/>
              </w:rPr>
              <w:fldChar w:fldCharType="end"/>
            </w:r>
          </w:p>
        </w:tc>
        <w:tc>
          <w:tcPr>
            <w:tcW w:w="0" w:type="auto"/>
            <w:tcMar>
              <w:top w:w="35" w:type="dxa"/>
              <w:left w:w="35" w:type="dxa"/>
              <w:bottom w:w="35" w:type="dxa"/>
              <w:right w:w="35" w:type="dxa"/>
            </w:tcMar>
            <w:hideMark/>
          </w:tcPr>
          <w:p w14:paraId="180551CE"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Ramos et al. 2025</w:t>
            </w:r>
          </w:p>
        </w:tc>
        <w:tc>
          <w:tcPr>
            <w:tcW w:w="0" w:type="auto"/>
            <w:tcMar>
              <w:top w:w="35" w:type="dxa"/>
              <w:left w:w="35" w:type="dxa"/>
              <w:bottom w:w="35" w:type="dxa"/>
              <w:right w:w="35" w:type="dxa"/>
            </w:tcMar>
            <w:hideMark/>
          </w:tcPr>
          <w:p w14:paraId="1F1FF832"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Neonatal deaths</w:t>
            </w:r>
          </w:p>
        </w:tc>
        <w:tc>
          <w:tcPr>
            <w:tcW w:w="0" w:type="auto"/>
            <w:tcMar>
              <w:top w:w="35" w:type="dxa"/>
              <w:left w:w="35" w:type="dxa"/>
              <w:bottom w:w="35" w:type="dxa"/>
              <w:right w:w="35" w:type="dxa"/>
            </w:tcMar>
            <w:hideMark/>
          </w:tcPr>
          <w:p w14:paraId="28815E06"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 xml:space="preserve">Brazil: national administrative data from SINASC, SIM and CNES, </w:t>
            </w:r>
            <w:r>
              <w:rPr>
                <w:rFonts w:ascii="Arial" w:hAnsi="Arial" w:cs="Arial"/>
                <w:i/>
                <w:sz w:val="16"/>
                <w:szCs w:val="16"/>
                <w:lang w:val="en-GB"/>
              </w:rPr>
              <w:lastRenderedPageBreak/>
              <w:t>January 2015 to May 2017.</w:t>
            </w:r>
          </w:p>
        </w:tc>
        <w:tc>
          <w:tcPr>
            <w:tcW w:w="0" w:type="auto"/>
            <w:tcMar>
              <w:top w:w="35" w:type="dxa"/>
              <w:left w:w="35" w:type="dxa"/>
              <w:bottom w:w="35" w:type="dxa"/>
              <w:right w:w="35" w:type="dxa"/>
            </w:tcMar>
            <w:hideMark/>
          </w:tcPr>
          <w:p w14:paraId="0600C714"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lastRenderedPageBreak/>
              <w:t xml:space="preserve">Brazil: later national administrative data, </w:t>
            </w:r>
            <w:r>
              <w:rPr>
                <w:rFonts w:ascii="Arial" w:hAnsi="Arial" w:cs="Arial"/>
                <w:i/>
                <w:sz w:val="16"/>
                <w:szCs w:val="16"/>
                <w:lang w:val="en-GB"/>
              </w:rPr>
              <w:lastRenderedPageBreak/>
              <w:t>June 2017 to December 2017.</w:t>
            </w:r>
          </w:p>
        </w:tc>
        <w:tc>
          <w:tcPr>
            <w:tcW w:w="0" w:type="auto"/>
            <w:tcMar>
              <w:top w:w="35" w:type="dxa"/>
              <w:left w:w="35" w:type="dxa"/>
              <w:bottom w:w="35" w:type="dxa"/>
              <w:right w:w="35" w:type="dxa"/>
            </w:tcMar>
            <w:hideMark/>
          </w:tcPr>
          <w:p w14:paraId="66E1F4E6"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lastRenderedPageBreak/>
              <w:t xml:space="preserve">Temporal external </w:t>
            </w:r>
            <w:r>
              <w:rPr>
                <w:rFonts w:ascii="Arial" w:hAnsi="Arial" w:cs="Arial"/>
                <w:i/>
                <w:sz w:val="16"/>
                <w:szCs w:val="16"/>
                <w:lang w:val="en-GB"/>
              </w:rPr>
              <w:lastRenderedPageBreak/>
              <w:t>validation within country</w:t>
            </w:r>
          </w:p>
        </w:tc>
        <w:tc>
          <w:tcPr>
            <w:tcW w:w="0" w:type="auto"/>
            <w:tcMar>
              <w:top w:w="35" w:type="dxa"/>
              <w:left w:w="35" w:type="dxa"/>
              <w:bottom w:w="35" w:type="dxa"/>
              <w:right w:w="35" w:type="dxa"/>
            </w:tcMar>
            <w:hideMark/>
          </w:tcPr>
          <w:p w14:paraId="057D02F6"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lastRenderedPageBreak/>
              <w:t xml:space="preserve">Six machine-learning algorithms for </w:t>
            </w:r>
            <w:r>
              <w:rPr>
                <w:rFonts w:ascii="Arial" w:hAnsi="Arial" w:cs="Arial"/>
                <w:i/>
                <w:sz w:val="16"/>
                <w:szCs w:val="16"/>
                <w:lang w:val="en-GB"/>
              </w:rPr>
              <w:lastRenderedPageBreak/>
              <w:t>preventable neonatal death.</w:t>
            </w:r>
          </w:p>
        </w:tc>
        <w:tc>
          <w:tcPr>
            <w:tcW w:w="0" w:type="auto"/>
            <w:tcMar>
              <w:top w:w="35" w:type="dxa"/>
              <w:left w:w="35" w:type="dxa"/>
              <w:bottom w:w="35" w:type="dxa"/>
              <w:right w:w="35" w:type="dxa"/>
            </w:tcMar>
            <w:hideMark/>
          </w:tcPr>
          <w:p w14:paraId="27E73DF5"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lastRenderedPageBreak/>
              <w:t xml:space="preserve">Training on the first 80 percent of births and </w:t>
            </w:r>
            <w:r>
              <w:rPr>
                <w:rFonts w:ascii="Arial" w:hAnsi="Arial" w:cs="Arial"/>
                <w:i/>
                <w:sz w:val="16"/>
                <w:szCs w:val="16"/>
                <w:lang w:val="en-GB"/>
              </w:rPr>
              <w:lastRenderedPageBreak/>
              <w:t>testing on the later 20 percent.</w:t>
            </w:r>
          </w:p>
        </w:tc>
        <w:tc>
          <w:tcPr>
            <w:tcW w:w="0" w:type="auto"/>
            <w:tcMar>
              <w:top w:w="35" w:type="dxa"/>
              <w:left w:w="35" w:type="dxa"/>
              <w:bottom w:w="35" w:type="dxa"/>
              <w:right w:w="35" w:type="dxa"/>
            </w:tcMar>
            <w:hideMark/>
          </w:tcPr>
          <w:p w14:paraId="6D40A862"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lastRenderedPageBreak/>
              <w:t xml:space="preserve">8,797,968 births; 42,290 preventable </w:t>
            </w:r>
            <w:r>
              <w:rPr>
                <w:rFonts w:ascii="Arial" w:hAnsi="Arial" w:cs="Arial"/>
                <w:i/>
                <w:sz w:val="16"/>
                <w:szCs w:val="16"/>
                <w:lang w:val="en-GB"/>
              </w:rPr>
              <w:lastRenderedPageBreak/>
              <w:t>neonatal deaths and 17,325 non-preventable neonatal deaths.</w:t>
            </w:r>
          </w:p>
        </w:tc>
        <w:tc>
          <w:tcPr>
            <w:tcW w:w="0" w:type="auto"/>
            <w:tcMar>
              <w:top w:w="35" w:type="dxa"/>
              <w:left w:w="35" w:type="dxa"/>
              <w:bottom w:w="35" w:type="dxa"/>
              <w:right w:w="35" w:type="dxa"/>
            </w:tcMar>
            <w:hideMark/>
          </w:tcPr>
          <w:p w14:paraId="6488A346"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lastRenderedPageBreak/>
              <w:t xml:space="preserve">XGBoost identified more than 85 percent of observed </w:t>
            </w:r>
            <w:r>
              <w:rPr>
                <w:rFonts w:ascii="Arial" w:hAnsi="Arial" w:cs="Arial"/>
                <w:i/>
                <w:sz w:val="16"/>
                <w:szCs w:val="16"/>
                <w:lang w:val="en-GB"/>
              </w:rPr>
              <w:lastRenderedPageBreak/>
              <w:t>preventable deaths within the 5 percent highest-risk births.</w:t>
            </w:r>
          </w:p>
        </w:tc>
        <w:tc>
          <w:tcPr>
            <w:tcW w:w="0" w:type="auto"/>
            <w:tcMar>
              <w:top w:w="35" w:type="dxa"/>
              <w:left w:w="35" w:type="dxa"/>
              <w:bottom w:w="35" w:type="dxa"/>
              <w:right w:w="35" w:type="dxa"/>
            </w:tcMar>
            <w:hideMark/>
          </w:tcPr>
          <w:p w14:paraId="68EC8F04"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lastRenderedPageBreak/>
              <w:t>Brazil national temporal loop.</w:t>
            </w:r>
          </w:p>
        </w:tc>
      </w:tr>
      <w:tr w:rsidR="00B6082C" w:rsidRPr="00756461" w14:paraId="4397C7D3" w14:textId="77777777" w:rsidTr="00BC1F31">
        <w:trPr>
          <w:jc w:val="center"/>
        </w:trPr>
        <w:tc>
          <w:tcPr>
            <w:tcW w:w="0" w:type="auto"/>
            <w:tcMar>
              <w:top w:w="35" w:type="dxa"/>
              <w:left w:w="35" w:type="dxa"/>
              <w:bottom w:w="35" w:type="dxa"/>
              <w:right w:w="35" w:type="dxa"/>
            </w:tcMar>
            <w:hideMark/>
          </w:tcPr>
          <w:p w14:paraId="29D454F5" w14:textId="77777777" w:rsidR="00B6082C" w:rsidRPr="00756461" w:rsidRDefault="00B6082C" w:rsidP="00BC1F31">
            <w:pPr>
              <w:spacing w:after="0" w:line="240" w:lineRule="auto"/>
              <w:rPr>
                <w:rFonts w:ascii="Arial" w:hAnsi="Arial" w:cs="Arial"/>
                <w:i/>
                <w:sz w:val="16"/>
                <w:szCs w:val="16"/>
                <w:lang w:val="en-GB"/>
              </w:rPr>
            </w:pPr>
            <w:r>
              <w:rPr>
                <w:rFonts w:ascii="Arial" w:eastAsia="Times New Roman" w:hAnsi="Arial" w:cs="Arial"/>
                <w:color w:val="000000"/>
                <w:sz w:val="16"/>
                <w:szCs w:val="16"/>
                <w:lang w:eastAsia="en-GB" w:bidi="th-TH"/>
              </w:rPr>
              <w:fldChar w:fldCharType="begin"/>
            </w:r>
            <w:r>
              <w:rPr>
                <w:rFonts w:ascii="Arial" w:eastAsia="Times New Roman" w:hAnsi="Arial" w:cs="Arial"/>
                <w:color w:val="000000"/>
                <w:sz w:val="16"/>
                <w:szCs w:val="16"/>
                <w:lang w:eastAsia="en-GB" w:bidi="th-TH"/>
              </w:rPr>
              <w:instrText xml:space="preserve"> ADDIN ZOTERO_ITEM CSL_CITATION {"citationID":"hi2zP69n","properties":{"formattedCitation":"[95]","plainCitation":"[95]","noteIndex":0},"citationItems":[{"id":"b2OWig5M/JHkUeu1A","uris":["http://zotero.org/users/18230940/items/IVYW2MW3"],"itemData":{"id":804,"type":"article-journal","abstract":"Prediction of neonatal deaths in NICUs is important for benchmarking and evaluating healthcare services in NICUs. Application of machine learning techniques can improve physicians’ ability to predict the neonatal deaths. The aim of this study was to present a neonatal death risk prediction model using machine learning techniques.","container-title":"BMC Medical Informatics and Decision Making","DOI":"10.1186/s12911-021-01497-8","ISSN":"1472-6947","issue":"1","journalAbbreviation":"BMC Med Inform Decis Mak","language":"en","page":"131","source":"Springer Link","title":"Prediction of neonatal deaths in NICUs: development and validation of machine learning models","title-short":"Prediction of neonatal deaths in NICUs","volume":"21","author":[{"family":"Sheikhtaheri","given":"Abbas"},{"family":"Zarkesh","given":"Mohammad Reza"},{"family":"Moradi","given":"Raheleh"},{"family":"Kermani","given":"Farzaneh"}],"issued":{"date-parts":[["2021",4,19]]}}}],"schema":"https://github.com/citation-style-language/schema/raw/master/csl-citation.json"} </w:instrText>
            </w:r>
            <w:r>
              <w:rPr>
                <w:rFonts w:ascii="Arial" w:eastAsia="Times New Roman" w:hAnsi="Arial" w:cs="Arial"/>
                <w:color w:val="000000"/>
                <w:sz w:val="16"/>
                <w:szCs w:val="16"/>
                <w:lang w:eastAsia="en-GB" w:bidi="th-TH"/>
              </w:rPr>
              <w:fldChar w:fldCharType="separate"/>
            </w:r>
            <w:r>
              <w:rPr>
                <w:rFonts w:ascii="Arial" w:hAnsi="Arial" w:cs="Arial"/>
                <w:sz w:val="16"/>
                <w:lang w:val="en-GB"/>
              </w:rPr>
              <w:t>[95]</w:t>
            </w:r>
            <w:r>
              <w:rPr>
                <w:rFonts w:ascii="Arial" w:eastAsia="Times New Roman" w:hAnsi="Arial" w:cs="Arial"/>
                <w:color w:val="000000"/>
                <w:sz w:val="16"/>
                <w:szCs w:val="16"/>
                <w:lang w:eastAsia="en-GB" w:bidi="th-TH"/>
              </w:rPr>
              <w:fldChar w:fldCharType="end"/>
            </w:r>
          </w:p>
        </w:tc>
        <w:tc>
          <w:tcPr>
            <w:tcW w:w="0" w:type="auto"/>
            <w:tcMar>
              <w:top w:w="35" w:type="dxa"/>
              <w:left w:w="35" w:type="dxa"/>
              <w:bottom w:w="35" w:type="dxa"/>
              <w:right w:w="35" w:type="dxa"/>
            </w:tcMar>
            <w:hideMark/>
          </w:tcPr>
          <w:p w14:paraId="51CC0CFA"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Sheikhtaheri et al. 2021</w:t>
            </w:r>
          </w:p>
        </w:tc>
        <w:tc>
          <w:tcPr>
            <w:tcW w:w="0" w:type="auto"/>
            <w:tcMar>
              <w:top w:w="35" w:type="dxa"/>
              <w:left w:w="35" w:type="dxa"/>
              <w:bottom w:w="35" w:type="dxa"/>
              <w:right w:w="35" w:type="dxa"/>
            </w:tcMar>
            <w:hideMark/>
          </w:tcPr>
          <w:p w14:paraId="1C1AA1B9"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Neonatal deaths</w:t>
            </w:r>
          </w:p>
        </w:tc>
        <w:tc>
          <w:tcPr>
            <w:tcW w:w="0" w:type="auto"/>
            <w:tcMar>
              <w:top w:w="35" w:type="dxa"/>
              <w:left w:w="35" w:type="dxa"/>
              <w:bottom w:w="35" w:type="dxa"/>
              <w:right w:w="35" w:type="dxa"/>
            </w:tcMar>
            <w:hideMark/>
          </w:tcPr>
          <w:p w14:paraId="44BAF3F3"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Iran: Tehran University hospital neonatal records.</w:t>
            </w:r>
          </w:p>
        </w:tc>
        <w:tc>
          <w:tcPr>
            <w:tcW w:w="0" w:type="auto"/>
            <w:tcMar>
              <w:top w:w="35" w:type="dxa"/>
              <w:left w:w="35" w:type="dxa"/>
              <w:bottom w:w="35" w:type="dxa"/>
              <w:right w:w="35" w:type="dxa"/>
            </w:tcMar>
            <w:hideMark/>
          </w:tcPr>
          <w:p w14:paraId="532D7E87"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Iran: Yas Hospital NICU, Tehran prospective validation.</w:t>
            </w:r>
          </w:p>
        </w:tc>
        <w:tc>
          <w:tcPr>
            <w:tcW w:w="0" w:type="auto"/>
            <w:tcMar>
              <w:top w:w="35" w:type="dxa"/>
              <w:left w:w="35" w:type="dxa"/>
              <w:bottom w:w="35" w:type="dxa"/>
              <w:right w:w="35" w:type="dxa"/>
            </w:tcMar>
            <w:hideMark/>
          </w:tcPr>
          <w:p w14:paraId="135BE54D"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Prospective external validation within country</w:t>
            </w:r>
          </w:p>
        </w:tc>
        <w:tc>
          <w:tcPr>
            <w:tcW w:w="0" w:type="auto"/>
            <w:tcMar>
              <w:top w:w="35" w:type="dxa"/>
              <w:left w:w="35" w:type="dxa"/>
              <w:bottom w:w="35" w:type="dxa"/>
              <w:right w:w="35" w:type="dxa"/>
            </w:tcMar>
            <w:hideMark/>
          </w:tcPr>
          <w:p w14:paraId="47786FCC"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ANN, random forest, C5.0, CHAID, SVM, Bayesian network and ensemble models.</w:t>
            </w:r>
          </w:p>
        </w:tc>
        <w:tc>
          <w:tcPr>
            <w:tcW w:w="0" w:type="auto"/>
            <w:tcMar>
              <w:top w:w="35" w:type="dxa"/>
              <w:left w:w="35" w:type="dxa"/>
              <w:bottom w:w="35" w:type="dxa"/>
              <w:right w:w="35" w:type="dxa"/>
            </w:tcMar>
            <w:hideMark/>
          </w:tcPr>
          <w:p w14:paraId="7265C11E"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Retrospective model development and one-month prospective validation in Yas Hospital NICU.</w:t>
            </w:r>
          </w:p>
        </w:tc>
        <w:tc>
          <w:tcPr>
            <w:tcW w:w="0" w:type="auto"/>
            <w:tcMar>
              <w:top w:w="35" w:type="dxa"/>
              <w:left w:w="35" w:type="dxa"/>
              <w:bottom w:w="35" w:type="dxa"/>
              <w:right w:w="35" w:type="dxa"/>
            </w:tcMar>
            <w:hideMark/>
          </w:tcPr>
          <w:p w14:paraId="44AE9E33"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1,762 development neonates and 92 prospective validation neonates.</w:t>
            </w:r>
          </w:p>
        </w:tc>
        <w:tc>
          <w:tcPr>
            <w:tcW w:w="0" w:type="auto"/>
            <w:tcMar>
              <w:top w:w="35" w:type="dxa"/>
              <w:left w:w="35" w:type="dxa"/>
              <w:bottom w:w="35" w:type="dxa"/>
              <w:right w:w="35" w:type="dxa"/>
            </w:tcMar>
            <w:hideMark/>
          </w:tcPr>
          <w:p w14:paraId="79F7DF91"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Initial SVM and ensemble AUC 0.98. In prospective evaluation, ANN, C5.0 and CHAID performed best.</w:t>
            </w:r>
          </w:p>
        </w:tc>
        <w:tc>
          <w:tcPr>
            <w:tcW w:w="0" w:type="auto"/>
            <w:tcMar>
              <w:top w:w="35" w:type="dxa"/>
              <w:left w:w="35" w:type="dxa"/>
              <w:bottom w:w="35" w:type="dxa"/>
              <w:right w:w="35" w:type="dxa"/>
            </w:tcMar>
            <w:hideMark/>
          </w:tcPr>
          <w:p w14:paraId="3548C419"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Tehran hospital-to-Yas Hospital route with short offset points inside Tehran.</w:t>
            </w:r>
          </w:p>
        </w:tc>
      </w:tr>
      <w:tr w:rsidR="00B6082C" w:rsidRPr="00756461" w14:paraId="22DC2451" w14:textId="77777777" w:rsidTr="00BC1F31">
        <w:trPr>
          <w:jc w:val="center"/>
        </w:trPr>
        <w:tc>
          <w:tcPr>
            <w:tcW w:w="0" w:type="auto"/>
            <w:shd w:val="clear" w:color="auto" w:fill="ADADAD" w:themeFill="background2" w:themeFillShade="BF"/>
            <w:tcMar>
              <w:top w:w="35" w:type="dxa"/>
              <w:left w:w="35" w:type="dxa"/>
              <w:bottom w:w="35" w:type="dxa"/>
              <w:right w:w="35" w:type="dxa"/>
            </w:tcMar>
            <w:hideMark/>
          </w:tcPr>
          <w:p w14:paraId="30D9D434" w14:textId="77777777" w:rsidR="00B6082C" w:rsidRPr="00756461" w:rsidRDefault="00B6082C" w:rsidP="00BC1F31">
            <w:pPr>
              <w:spacing w:after="0" w:line="240" w:lineRule="auto"/>
              <w:rPr>
                <w:rFonts w:ascii="Arial" w:hAnsi="Arial" w:cs="Arial"/>
                <w:i/>
                <w:sz w:val="16"/>
                <w:szCs w:val="16"/>
                <w:lang w:val="en-GB"/>
              </w:rPr>
            </w:pPr>
            <w:r>
              <w:rPr>
                <w:rFonts w:ascii="Arial" w:eastAsia="Times New Roman" w:hAnsi="Arial" w:cs="Arial"/>
                <w:color w:val="000000"/>
                <w:sz w:val="16"/>
                <w:szCs w:val="16"/>
                <w:lang w:eastAsia="en-GB" w:bidi="th-TH"/>
              </w:rPr>
              <w:fldChar w:fldCharType="begin"/>
            </w:r>
            <w:r>
              <w:rPr>
                <w:rFonts w:ascii="Arial" w:eastAsia="Times New Roman" w:hAnsi="Arial" w:cs="Arial"/>
                <w:color w:val="000000"/>
                <w:sz w:val="16"/>
                <w:szCs w:val="16"/>
                <w:lang w:eastAsia="en-GB" w:bidi="th-TH"/>
              </w:rPr>
              <w:instrText xml:space="preserve"> ADDIN ZOTERO_ITEM CSL_CITATION {"citationID":"C1Z9Yv6V","properties":{"formattedCitation":"[96]","plainCitation":"[96]","noteIndex":0},"citationItems":[{"id":"b2OWig5M/7BqR1dXf","uris":["http://zotero.org/users/18230940/items/NHCEJA85"],"itemData":{"id":807,"type":"article-journal","abstract":"IMPORTANCE: The overwhelming majority of fetal and neonatal deaths occur in low- and middle-income countries. Fetal and neonatal risk assessment tools may be useful to predict the risk of death.\nOBJECTIVE: To develop risk prediction models for intrapartum stillbirth and neonatal death.\nDESIGN, SETTING, AND PARTICIPANTS: This cohort study used data from the Eunice Kennedy Shriver National Institute of Child Health and Human Development Global Network for Women's and Children's Health Research population-based vital registry, including clinical sites in South Asia (India and Pakistan), Africa (Democratic Republic of Congo, Zambia, and Kenya), and Latin America (Guatemala). A total of 502648 pregnancies were prospectively enrolled in the registry.\nEXPOSURES: Risk factors were added sequentially into the data set in 4 scenarios: (1) prenatal, (2) predelivery, (3) delivery and day 1, and (4) postdelivery through day 2.\nMAIN OUTCOMES AND MEASURES: Data sets were randomly divided into 10 groups of 3 analysis data sets including training (60%), test (20%), and validation (20%). Conventional and advanced machine learning modeling techniques were applied to assess predictive abilities using area under the curve (AUC) for intrapartum stillbirth and neonatal mortality.\nRESULTS: All prenatal and predelivery models had predictive accuracy for both intrapartum stillbirth and neonatal mortality with AUC values 0.71 or less. Five of 6 models for neonatal mortality based on delivery/day 1 and postdelivery/day 2 had increased predictive accuracy with AUC values greater than 0.80. Birth weight was the most important predictor for neonatal death in both postdelivery scenarios with independent predictive ability with AUC values of 0.78 and 0.76, respectively. The addition of 4 other top predictors increased AUC to 0.83 and 0.87 for the postdelivery scenarios, respectively.\nCONCLUSIONS AND RELEVANCE: Models based on prenatal or predelivery data had predictive accuracy for intrapartum stillbirths and neonatal mortality of AUC values 0.71 or less. Models that incorporated delivery data had good predictive accuracy for risk of neonatal mortality. Birth weight was the most important predictor for neonatal mortality.","container-title":"JAMA network open","DOI":"10.1001/jamanetworkopen.2020.26750","ISSN":"2574-3805","issue":"11","journalAbbreviation":"JAMA Netw Open","language":"eng","page":"e2026750","PMID":"33206194","PMCID":"PMC7675108","source":"PubMed","title":"Predictive Modeling for Perinatal Mortality in Resource-Limited Settings","volume":"3","author":[{"family":"Shukla","given":"Vivek V."},{"family":"Eggleston","given":"Barry"},{"family":"Ambalavanan","given":"Namasivayam"},{"family":"McClure","given":"Elizabeth M."},{"family":"Mwenechanya","given":"Musaku"},{"family":"Chomba","given":"Elwyn"},{"family":"Bose","given":"Carl"},{"family":"Bauserman","given":"Melissa"},{"family":"Tshefu","given":"Antoinette"},{"family":"Goudar","given":"Shivaprasad S."},{"family":"Derman","given":"Richard J."},{"family":"Garcés","given":"Ana"},{"family":"Krebs","given":"Nancy F."},{"family":"Saleem","given":"Sarah"},{"family":"Goldenberg","given":"Robert L."},{"family":"Patel","given":"Archana"},{"family":"Hibberd","given":"Patricia L."},{"family":"Esamai","given":"Fabian"},{"family":"Bucher","given":"Sherri"},{"family":"Liechty","given":"Edward A."},{"family":"Koso-Thomas","given":"Marion"},{"family":"Carlo","given":"Waldemar A."}],"issued":{"date-parts":[["2020",11,2]]}}}],"schema":"https://github.com/citation-style-language/schema/raw/master/csl-citation.json"} </w:instrText>
            </w:r>
            <w:r>
              <w:rPr>
                <w:rFonts w:ascii="Arial" w:eastAsia="Times New Roman" w:hAnsi="Arial" w:cs="Arial"/>
                <w:color w:val="000000"/>
                <w:sz w:val="16"/>
                <w:szCs w:val="16"/>
                <w:lang w:eastAsia="en-GB" w:bidi="th-TH"/>
              </w:rPr>
              <w:fldChar w:fldCharType="separate"/>
            </w:r>
            <w:r>
              <w:rPr>
                <w:rFonts w:ascii="Arial" w:hAnsi="Arial" w:cs="Arial"/>
                <w:sz w:val="16"/>
                <w:lang w:val="en-GB"/>
              </w:rPr>
              <w:t>[96]</w:t>
            </w:r>
            <w:r>
              <w:rPr>
                <w:rFonts w:ascii="Arial" w:eastAsia="Times New Roman" w:hAnsi="Arial" w:cs="Arial"/>
                <w:color w:val="000000"/>
                <w:sz w:val="16"/>
                <w:szCs w:val="16"/>
                <w:lang w:eastAsia="en-GB" w:bidi="th-TH"/>
              </w:rPr>
              <w:fldChar w:fldCharType="end"/>
            </w:r>
          </w:p>
        </w:tc>
        <w:tc>
          <w:tcPr>
            <w:tcW w:w="0" w:type="auto"/>
            <w:shd w:val="clear" w:color="auto" w:fill="ADADAD" w:themeFill="background2" w:themeFillShade="BF"/>
            <w:tcMar>
              <w:top w:w="35" w:type="dxa"/>
              <w:left w:w="35" w:type="dxa"/>
              <w:bottom w:w="35" w:type="dxa"/>
              <w:right w:w="35" w:type="dxa"/>
            </w:tcMar>
            <w:hideMark/>
          </w:tcPr>
          <w:p w14:paraId="2FAE8D9B"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Shukla et al. 2020</w:t>
            </w:r>
          </w:p>
        </w:tc>
        <w:tc>
          <w:tcPr>
            <w:tcW w:w="0" w:type="auto"/>
            <w:shd w:val="clear" w:color="auto" w:fill="ADADAD" w:themeFill="background2" w:themeFillShade="BF"/>
            <w:tcMar>
              <w:top w:w="35" w:type="dxa"/>
              <w:left w:w="35" w:type="dxa"/>
              <w:bottom w:w="35" w:type="dxa"/>
              <w:right w:w="35" w:type="dxa"/>
            </w:tcMar>
            <w:hideMark/>
          </w:tcPr>
          <w:p w14:paraId="567B4E6C"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Stillbirths and Neonatal deaths</w:t>
            </w:r>
          </w:p>
        </w:tc>
        <w:tc>
          <w:tcPr>
            <w:tcW w:w="0" w:type="auto"/>
            <w:shd w:val="clear" w:color="auto" w:fill="ADADAD" w:themeFill="background2" w:themeFillShade="BF"/>
            <w:tcMar>
              <w:top w:w="35" w:type="dxa"/>
              <w:left w:w="35" w:type="dxa"/>
              <w:bottom w:w="35" w:type="dxa"/>
              <w:right w:w="35" w:type="dxa"/>
            </w:tcMar>
            <w:hideMark/>
          </w:tcPr>
          <w:p w14:paraId="537C5A47"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Global Network MNHR countries: India, Pakistan, Democratic Republic of Congo, Zambia, Kenya and Guatemala.</w:t>
            </w:r>
          </w:p>
        </w:tc>
        <w:tc>
          <w:tcPr>
            <w:tcW w:w="0" w:type="auto"/>
            <w:shd w:val="clear" w:color="auto" w:fill="ADADAD" w:themeFill="background2" w:themeFillShade="BF"/>
            <w:tcMar>
              <w:top w:w="35" w:type="dxa"/>
              <w:left w:w="35" w:type="dxa"/>
              <w:bottom w:w="35" w:type="dxa"/>
              <w:right w:w="35" w:type="dxa"/>
            </w:tcMar>
            <w:hideMark/>
          </w:tcPr>
          <w:p w14:paraId="64A035D9"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Internal 60/20/20 split validation in the same country set: India, Pakistan, Democratic Republic of Congo, Zambia, Kenya and Guatemala.</w:t>
            </w:r>
          </w:p>
        </w:tc>
        <w:tc>
          <w:tcPr>
            <w:tcW w:w="0" w:type="auto"/>
            <w:shd w:val="clear" w:color="auto" w:fill="ADADAD" w:themeFill="background2" w:themeFillShade="BF"/>
            <w:tcMar>
              <w:top w:w="35" w:type="dxa"/>
              <w:left w:w="35" w:type="dxa"/>
              <w:bottom w:w="35" w:type="dxa"/>
              <w:right w:w="35" w:type="dxa"/>
            </w:tcMar>
            <w:hideMark/>
          </w:tcPr>
          <w:p w14:paraId="713EC0C9"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Multi-region pooled with SSA</w:t>
            </w:r>
          </w:p>
        </w:tc>
        <w:tc>
          <w:tcPr>
            <w:tcW w:w="0" w:type="auto"/>
            <w:shd w:val="clear" w:color="auto" w:fill="ADADAD" w:themeFill="background2" w:themeFillShade="BF"/>
            <w:tcMar>
              <w:top w:w="35" w:type="dxa"/>
              <w:left w:w="35" w:type="dxa"/>
              <w:bottom w:w="35" w:type="dxa"/>
              <w:right w:w="35" w:type="dxa"/>
            </w:tcMar>
            <w:hideMark/>
          </w:tcPr>
          <w:p w14:paraId="0F76E1FF"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Logistic regression, support vector machine, elastic net, neural network, gradient-boosted ensemble and random forest.</w:t>
            </w:r>
          </w:p>
        </w:tc>
        <w:tc>
          <w:tcPr>
            <w:tcW w:w="0" w:type="auto"/>
            <w:shd w:val="clear" w:color="auto" w:fill="ADADAD" w:themeFill="background2" w:themeFillShade="BF"/>
            <w:tcMar>
              <w:top w:w="35" w:type="dxa"/>
              <w:left w:w="35" w:type="dxa"/>
              <w:bottom w:w="35" w:type="dxa"/>
              <w:right w:w="35" w:type="dxa"/>
            </w:tcMar>
            <w:hideMark/>
          </w:tcPr>
          <w:p w14:paraId="5EC8BA98"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Internal 60/20/20 split of pooled multi-country Global Network MNHR data.</w:t>
            </w:r>
          </w:p>
        </w:tc>
        <w:tc>
          <w:tcPr>
            <w:tcW w:w="0" w:type="auto"/>
            <w:shd w:val="clear" w:color="auto" w:fill="ADADAD" w:themeFill="background2" w:themeFillShade="BF"/>
            <w:tcMar>
              <w:top w:w="35" w:type="dxa"/>
              <w:left w:w="35" w:type="dxa"/>
              <w:bottom w:w="35" w:type="dxa"/>
              <w:right w:w="35" w:type="dxa"/>
            </w:tcMar>
            <w:hideMark/>
          </w:tcPr>
          <w:p w14:paraId="55AB3395"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502,648 pregnancies.</w:t>
            </w:r>
          </w:p>
        </w:tc>
        <w:tc>
          <w:tcPr>
            <w:tcW w:w="0" w:type="auto"/>
            <w:shd w:val="clear" w:color="auto" w:fill="ADADAD" w:themeFill="background2" w:themeFillShade="BF"/>
            <w:tcMar>
              <w:top w:w="35" w:type="dxa"/>
              <w:left w:w="35" w:type="dxa"/>
              <w:bottom w:w="35" w:type="dxa"/>
              <w:right w:w="35" w:type="dxa"/>
            </w:tcMar>
            <w:hideMark/>
          </w:tcPr>
          <w:p w14:paraId="23E6B738"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Prenatal and predelivery AUCs were &lt;= 0.71. Delivery and postdelivery neonatal-mortality AUCs were greater than 0.80, with birth weight the strongest predictor.</w:t>
            </w:r>
          </w:p>
        </w:tc>
        <w:tc>
          <w:tcPr>
            <w:tcW w:w="0" w:type="auto"/>
            <w:shd w:val="clear" w:color="auto" w:fill="ADADAD" w:themeFill="background2" w:themeFillShade="BF"/>
            <w:tcMar>
              <w:top w:w="35" w:type="dxa"/>
              <w:left w:w="35" w:type="dxa"/>
              <w:bottom w:w="35" w:type="dxa"/>
              <w:right w:w="35" w:type="dxa"/>
            </w:tcMar>
            <w:hideMark/>
          </w:tcPr>
          <w:p w14:paraId="650F9BE2"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One loop in each participating country because development and validation used split samples from the same country set.</w:t>
            </w:r>
          </w:p>
        </w:tc>
      </w:tr>
      <w:tr w:rsidR="00B6082C" w:rsidRPr="00756461" w14:paraId="101DCED0" w14:textId="77777777" w:rsidTr="00BC1F31">
        <w:trPr>
          <w:jc w:val="center"/>
        </w:trPr>
        <w:tc>
          <w:tcPr>
            <w:tcW w:w="0" w:type="auto"/>
            <w:shd w:val="clear" w:color="auto" w:fill="ADADAD" w:themeFill="background2" w:themeFillShade="BF"/>
            <w:tcMar>
              <w:top w:w="35" w:type="dxa"/>
              <w:left w:w="35" w:type="dxa"/>
              <w:bottom w:w="35" w:type="dxa"/>
              <w:right w:w="35" w:type="dxa"/>
            </w:tcMar>
            <w:hideMark/>
          </w:tcPr>
          <w:p w14:paraId="7269EA86" w14:textId="77777777" w:rsidR="00B6082C" w:rsidRPr="00756461" w:rsidRDefault="00B6082C" w:rsidP="00BC1F31">
            <w:pPr>
              <w:spacing w:after="0" w:line="240" w:lineRule="auto"/>
              <w:rPr>
                <w:rFonts w:ascii="Arial" w:hAnsi="Arial" w:cs="Arial"/>
                <w:i/>
                <w:sz w:val="16"/>
                <w:szCs w:val="16"/>
                <w:lang w:val="en-GB"/>
              </w:rPr>
            </w:pPr>
            <w:r>
              <w:rPr>
                <w:rFonts w:ascii="Arial" w:eastAsia="Times New Roman" w:hAnsi="Arial" w:cs="Arial"/>
                <w:color w:val="000000"/>
                <w:sz w:val="16"/>
                <w:szCs w:val="16"/>
                <w:lang w:eastAsia="en-GB" w:bidi="th-TH"/>
              </w:rPr>
              <w:fldChar w:fldCharType="begin"/>
            </w:r>
            <w:r>
              <w:rPr>
                <w:rFonts w:ascii="Arial" w:eastAsia="Times New Roman" w:hAnsi="Arial" w:cs="Arial"/>
                <w:color w:val="000000"/>
                <w:sz w:val="16"/>
                <w:szCs w:val="16"/>
                <w:lang w:eastAsia="en-GB" w:bidi="th-TH"/>
              </w:rPr>
              <w:instrText xml:space="preserve"> ADDIN ZOTERO_ITEM CSL_CITATION {"citationID":"m0JTdpIx","properties":{"formattedCitation":"[97]","plainCitation":"[97]","noteIndex":0},"citationItems":[{"id":"b2OWig5M/AYa0rVzF","uris":["http://zotero.org/users/18230940/items/7FEP6GZ9"],"itemData":{"id":817,"type":"webpage","title":"Development and evaluation of machine learning training strategies for neonatal mortality prediction using multicountry data | Scientific Reports","URL":"https://www.nature.com/articles/s41598-025-04066-5","accessed":{"date-parts":[["2026",2,20]]}}}],"schema":"https://github.com/citation-style-language/schema/raw/master/csl-citation.json"} </w:instrText>
            </w:r>
            <w:r>
              <w:rPr>
                <w:rFonts w:ascii="Arial" w:eastAsia="Times New Roman" w:hAnsi="Arial" w:cs="Arial"/>
                <w:color w:val="000000"/>
                <w:sz w:val="16"/>
                <w:szCs w:val="16"/>
                <w:lang w:eastAsia="en-GB" w:bidi="th-TH"/>
              </w:rPr>
              <w:fldChar w:fldCharType="separate"/>
            </w:r>
            <w:r>
              <w:rPr>
                <w:rFonts w:ascii="Arial" w:hAnsi="Arial" w:cs="Arial"/>
                <w:sz w:val="16"/>
                <w:lang w:val="en-GB"/>
              </w:rPr>
              <w:t>[97]</w:t>
            </w:r>
            <w:r>
              <w:rPr>
                <w:rFonts w:ascii="Arial" w:eastAsia="Times New Roman" w:hAnsi="Arial" w:cs="Arial"/>
                <w:color w:val="000000"/>
                <w:sz w:val="16"/>
                <w:szCs w:val="16"/>
                <w:lang w:eastAsia="en-GB" w:bidi="th-TH"/>
              </w:rPr>
              <w:fldChar w:fldCharType="end"/>
            </w:r>
          </w:p>
        </w:tc>
        <w:tc>
          <w:tcPr>
            <w:tcW w:w="0" w:type="auto"/>
            <w:shd w:val="clear" w:color="auto" w:fill="ADADAD" w:themeFill="background2" w:themeFillShade="BF"/>
            <w:tcMar>
              <w:top w:w="35" w:type="dxa"/>
              <w:left w:w="35" w:type="dxa"/>
              <w:bottom w:w="35" w:type="dxa"/>
              <w:right w:w="35" w:type="dxa"/>
            </w:tcMar>
            <w:hideMark/>
          </w:tcPr>
          <w:p w14:paraId="6457123C"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Silva et al. 2025</w:t>
            </w:r>
          </w:p>
        </w:tc>
        <w:tc>
          <w:tcPr>
            <w:tcW w:w="0" w:type="auto"/>
            <w:shd w:val="clear" w:color="auto" w:fill="ADADAD" w:themeFill="background2" w:themeFillShade="BF"/>
            <w:tcMar>
              <w:top w:w="35" w:type="dxa"/>
              <w:left w:w="35" w:type="dxa"/>
              <w:bottom w:w="35" w:type="dxa"/>
              <w:right w:w="35" w:type="dxa"/>
            </w:tcMar>
            <w:hideMark/>
          </w:tcPr>
          <w:p w14:paraId="7B6375DD"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Neonatal deaths</w:t>
            </w:r>
          </w:p>
        </w:tc>
        <w:tc>
          <w:tcPr>
            <w:tcW w:w="0" w:type="auto"/>
            <w:shd w:val="clear" w:color="auto" w:fill="ADADAD" w:themeFill="background2" w:themeFillShade="BF"/>
            <w:tcMar>
              <w:top w:w="35" w:type="dxa"/>
              <w:left w:w="35" w:type="dxa"/>
              <w:bottom w:w="35" w:type="dxa"/>
              <w:right w:w="35" w:type="dxa"/>
            </w:tcMar>
            <w:hideMark/>
          </w:tcPr>
          <w:p w14:paraId="31AD98F8"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Global Network MNHR training countries, 2010 to 2016: Democratic Republic of Congo, Guatemala, Zambia, India-Belagavi, India-Nagpur, Pakistan, Kenya and Argentina.</w:t>
            </w:r>
          </w:p>
        </w:tc>
        <w:tc>
          <w:tcPr>
            <w:tcW w:w="0" w:type="auto"/>
            <w:shd w:val="clear" w:color="auto" w:fill="ADADAD" w:themeFill="background2" w:themeFillShade="BF"/>
            <w:tcMar>
              <w:top w:w="35" w:type="dxa"/>
              <w:left w:w="35" w:type="dxa"/>
              <w:bottom w:w="35" w:type="dxa"/>
              <w:right w:w="35" w:type="dxa"/>
            </w:tcMar>
            <w:hideMark/>
          </w:tcPr>
          <w:p w14:paraId="6BD23B55"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Global Network MNHR validation countries, 2017 to 2019: Democratic Republic of Congo, Guatemala, Zambia, India-Belagavi, India-Nagpur, Pakistan, Kenya and Bangladesh.</w:t>
            </w:r>
          </w:p>
        </w:tc>
        <w:tc>
          <w:tcPr>
            <w:tcW w:w="0" w:type="auto"/>
            <w:shd w:val="clear" w:color="auto" w:fill="ADADAD" w:themeFill="background2" w:themeFillShade="BF"/>
            <w:tcMar>
              <w:top w:w="35" w:type="dxa"/>
              <w:left w:w="35" w:type="dxa"/>
              <w:bottom w:w="35" w:type="dxa"/>
              <w:right w:w="35" w:type="dxa"/>
            </w:tcMar>
            <w:hideMark/>
          </w:tcPr>
          <w:p w14:paraId="7B3B1287"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Multi-country temporal with SSA</w:t>
            </w:r>
          </w:p>
        </w:tc>
        <w:tc>
          <w:tcPr>
            <w:tcW w:w="0" w:type="auto"/>
            <w:shd w:val="clear" w:color="auto" w:fill="ADADAD" w:themeFill="background2" w:themeFillShade="BF"/>
            <w:tcMar>
              <w:top w:w="35" w:type="dxa"/>
              <w:left w:w="35" w:type="dxa"/>
              <w:bottom w:w="35" w:type="dxa"/>
              <w:right w:w="35" w:type="dxa"/>
            </w:tcMar>
            <w:hideMark/>
          </w:tcPr>
          <w:p w14:paraId="2442BF8E"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AdaBoost, XGBoost, CatBoost, LightGBM, random forest and logistic regression under general, country-specific and largest-country strategies.</w:t>
            </w:r>
          </w:p>
        </w:tc>
        <w:tc>
          <w:tcPr>
            <w:tcW w:w="0" w:type="auto"/>
            <w:shd w:val="clear" w:color="auto" w:fill="ADADAD" w:themeFill="background2" w:themeFillShade="BF"/>
            <w:tcMar>
              <w:top w:w="35" w:type="dxa"/>
              <w:left w:w="35" w:type="dxa"/>
              <w:bottom w:w="35" w:type="dxa"/>
              <w:right w:w="35" w:type="dxa"/>
            </w:tcMar>
            <w:hideMark/>
          </w:tcPr>
          <w:p w14:paraId="2FBB5D77"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Time hold-out validation, 10-fold cross-validation and comparison of pooled with country-specific models.</w:t>
            </w:r>
          </w:p>
        </w:tc>
        <w:tc>
          <w:tcPr>
            <w:tcW w:w="0" w:type="auto"/>
            <w:shd w:val="clear" w:color="auto" w:fill="ADADAD" w:themeFill="background2" w:themeFillShade="BF"/>
            <w:tcMar>
              <w:top w:w="35" w:type="dxa"/>
              <w:left w:w="35" w:type="dxa"/>
              <w:bottom w:w="35" w:type="dxa"/>
              <w:right w:w="35" w:type="dxa"/>
            </w:tcMar>
            <w:hideMark/>
          </w:tcPr>
          <w:p w14:paraId="41FD5E85"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575,664 pregnancies.</w:t>
            </w:r>
          </w:p>
        </w:tc>
        <w:tc>
          <w:tcPr>
            <w:tcW w:w="0" w:type="auto"/>
            <w:shd w:val="clear" w:color="auto" w:fill="ADADAD" w:themeFill="background2" w:themeFillShade="BF"/>
            <w:tcMar>
              <w:top w:w="35" w:type="dxa"/>
              <w:left w:w="35" w:type="dxa"/>
              <w:bottom w:w="35" w:type="dxa"/>
              <w:right w:w="35" w:type="dxa"/>
            </w:tcMar>
            <w:hideMark/>
          </w:tcPr>
          <w:p w14:paraId="301FE850"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Generalised pooled LightGBM had the best overall AUC-ROC, 0.816. Country-specific models outperformed pooled models only for Zambia and Guatemala.</w:t>
            </w:r>
          </w:p>
        </w:tc>
        <w:tc>
          <w:tcPr>
            <w:tcW w:w="0" w:type="auto"/>
            <w:shd w:val="clear" w:color="auto" w:fill="ADADAD" w:themeFill="background2" w:themeFillShade="BF"/>
            <w:tcMar>
              <w:top w:w="35" w:type="dxa"/>
              <w:left w:w="35" w:type="dxa"/>
              <w:bottom w:w="35" w:type="dxa"/>
              <w:right w:w="35" w:type="dxa"/>
            </w:tcMar>
            <w:hideMark/>
          </w:tcPr>
          <w:p w14:paraId="5320104A"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Within-country loops for countries present in both training and validation. Argentina-to-Bangladesh route marks the train-only to validation-only country change.</w:t>
            </w:r>
          </w:p>
        </w:tc>
      </w:tr>
      <w:tr w:rsidR="00B6082C" w:rsidRPr="00756461" w14:paraId="57CD30D6" w14:textId="77777777" w:rsidTr="00BC1F31">
        <w:trPr>
          <w:jc w:val="center"/>
        </w:trPr>
        <w:tc>
          <w:tcPr>
            <w:tcW w:w="0" w:type="auto"/>
            <w:tcMar>
              <w:top w:w="35" w:type="dxa"/>
              <w:left w:w="35" w:type="dxa"/>
              <w:bottom w:w="35" w:type="dxa"/>
              <w:right w:w="35" w:type="dxa"/>
            </w:tcMar>
            <w:hideMark/>
          </w:tcPr>
          <w:p w14:paraId="6293B290" w14:textId="77777777" w:rsidR="00B6082C" w:rsidRPr="00756461" w:rsidRDefault="00B6082C" w:rsidP="00BC1F31">
            <w:pPr>
              <w:spacing w:after="0" w:line="240" w:lineRule="auto"/>
              <w:rPr>
                <w:rFonts w:ascii="Arial" w:hAnsi="Arial" w:cs="Arial"/>
                <w:i/>
                <w:sz w:val="16"/>
                <w:szCs w:val="16"/>
                <w:lang w:val="en-GB"/>
              </w:rPr>
            </w:pPr>
            <w:r>
              <w:rPr>
                <w:rFonts w:ascii="Arial" w:eastAsia="Times New Roman" w:hAnsi="Arial" w:cs="Arial"/>
                <w:color w:val="000000"/>
                <w:sz w:val="16"/>
                <w:szCs w:val="16"/>
                <w:lang w:eastAsia="en-GB" w:bidi="th-TH"/>
              </w:rPr>
              <w:fldChar w:fldCharType="begin"/>
            </w:r>
            <w:r>
              <w:rPr>
                <w:rFonts w:ascii="Arial" w:eastAsia="Times New Roman" w:hAnsi="Arial" w:cs="Arial"/>
                <w:color w:val="000000"/>
                <w:sz w:val="16"/>
                <w:szCs w:val="16"/>
                <w:lang w:eastAsia="en-GB" w:bidi="th-TH"/>
              </w:rPr>
              <w:instrText xml:space="preserve"> ADDIN ZOTERO_ITEM CSL_CITATION {"citationID":"OFqcpuGg","properties":{"formattedCitation":"[107]","plainCitation":"[107]","noteIndex":0},"citationItems":[{"id":"b2OWig5M/3YHBFxeT","uris":["http://zotero.org/users/18230940/items/BVRJKIZA"],"itemData":{"id":832,"type":"article-journal","abstract":"Objective This study aimed at developing an available predictive model of singleton pregnancies with fetal growth restriction (FGR) for accurate and individualised prognosis assessment.Methods The prediction nomogram was developed by using multivariable Cox regression with data for 301 singleton FGR pregnancies at Peking University People’s Hospital. External validation was performed in 321 eligible singleton FGR pregnancies at the Affiliated Hospital of Qingdao University.Results Absent umbilical arterial flow, fetal anomaly, history of abnormal pregnancy, non-cephalic presentation and history of caesarean section were independent prognostic factors for adverse perinatal outcomes in singleton FGR pregnancies in the training set. In the training cohort of the internal validation set, the nomogram estimated pregnancy prognosis of FGR singleton pregnancies based on these five variables, with a concordance index (C-index) of 0.859 (95% CI: 0.81 to 0.90) for predicting termination of pregnancy (TOP), which included intrauterine fetal death and therapeutic lethal induction, with a C-index of 0.92 (95% CI: 0.86 to 0.98) for predicting stillbirth, and a C-index of 0.87 (95% CI: 0.83 to 0.92) for predicting therapeutic lethal induction with indications. Encouragingly, consistent results were observed in the external validation set, with a C-index of 0.776 (95% CI: 0.71 to 0.84) for predicting TOP, which included intrauterine fetal death and therapeutic lethal induction, with a C-index of 0.773 (95% CI: 0.70 to 0.84) for predicting stillbirth, and a C-index of 0.776 (95% CI: 0.70 to 0.85) for predicting therapeutic lethal induction with indications. Furthermore, the calibrations of the nomograms predicting the 28th and 34th TOP-free gestation week strongly corresponded to the actual survival outcome.Conclusion This prediction model may help clinicians in decision-making for singleton pregnancies with FGR, especially for patients with a single abnormal umbilical arterial flow or fetal anomaly, without induced labour indications for these abnormalities.","container-title":"Gynecology and Obstetrics Clinical Medicine","DOI":"10.1136/gocm-2024-000009","ISSN":"2667-1646","issue":"1","journalAbbreviation":"gocm","language":"en","license":"This is an open access article distributed in accordance with the Creative Commons Attribution Non Commercial (CC BY-NC 4.0) license","PMID":"10.1136/gocm-2024-000009","publisher":"BMJ Publishing Group Ltd","source":"gocm.bmj.com","title":"Externally validated nomogram for predicting short-term pregnancy outcome of singleton pregnancies with fetal growth restriction (FGR)","URL":"https://gocm.bmj.com/content/4/1/e000009","volume":"4","author":[{"family":"Yin","given":"Fufen"},{"family":"Jin","given":"Mingrui"},{"family":"Li","given":"Yujing"},{"family":"Li","given":"Yang"},{"family":"Yin","given":"Xiuju"},{"family":"Xie","given":"Junshu"},{"family":"Zhang","given":"Xiaohong"}],"accessed":{"date-parts":[["2026",2,20]]},"issued":{"date-parts":[["2024",4,1]]}}}],"schema":"https://github.com/citation-style-language/schema/raw/master/csl-citation.json"} </w:instrText>
            </w:r>
            <w:r>
              <w:rPr>
                <w:rFonts w:ascii="Arial" w:eastAsia="Times New Roman" w:hAnsi="Arial" w:cs="Arial"/>
                <w:color w:val="000000"/>
                <w:sz w:val="16"/>
                <w:szCs w:val="16"/>
                <w:lang w:eastAsia="en-GB" w:bidi="th-TH"/>
              </w:rPr>
              <w:fldChar w:fldCharType="separate"/>
            </w:r>
            <w:r>
              <w:rPr>
                <w:rFonts w:ascii="Arial" w:hAnsi="Arial" w:cs="Arial"/>
                <w:sz w:val="16"/>
                <w:lang w:val="en-GB"/>
              </w:rPr>
              <w:t>[107]</w:t>
            </w:r>
            <w:r>
              <w:rPr>
                <w:rFonts w:ascii="Arial" w:eastAsia="Times New Roman" w:hAnsi="Arial" w:cs="Arial"/>
                <w:color w:val="000000"/>
                <w:sz w:val="16"/>
                <w:szCs w:val="16"/>
                <w:lang w:eastAsia="en-GB" w:bidi="th-TH"/>
              </w:rPr>
              <w:fldChar w:fldCharType="end"/>
            </w:r>
          </w:p>
        </w:tc>
        <w:tc>
          <w:tcPr>
            <w:tcW w:w="0" w:type="auto"/>
            <w:tcMar>
              <w:top w:w="35" w:type="dxa"/>
              <w:left w:w="35" w:type="dxa"/>
              <w:bottom w:w="35" w:type="dxa"/>
              <w:right w:w="35" w:type="dxa"/>
            </w:tcMar>
            <w:hideMark/>
          </w:tcPr>
          <w:p w14:paraId="57363692"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Yin et al. 2024</w:t>
            </w:r>
          </w:p>
        </w:tc>
        <w:tc>
          <w:tcPr>
            <w:tcW w:w="0" w:type="auto"/>
            <w:tcMar>
              <w:top w:w="35" w:type="dxa"/>
              <w:left w:w="35" w:type="dxa"/>
              <w:bottom w:w="35" w:type="dxa"/>
              <w:right w:w="35" w:type="dxa"/>
            </w:tcMar>
            <w:hideMark/>
          </w:tcPr>
          <w:p w14:paraId="55D86D55"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Stillbirths</w:t>
            </w:r>
          </w:p>
        </w:tc>
        <w:tc>
          <w:tcPr>
            <w:tcW w:w="0" w:type="auto"/>
            <w:tcMar>
              <w:top w:w="35" w:type="dxa"/>
              <w:left w:w="35" w:type="dxa"/>
              <w:bottom w:w="35" w:type="dxa"/>
              <w:right w:w="35" w:type="dxa"/>
            </w:tcMar>
            <w:hideMark/>
          </w:tcPr>
          <w:p w14:paraId="6AE73E1A"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China: Peking University People's Hospital, Beijing.</w:t>
            </w:r>
          </w:p>
        </w:tc>
        <w:tc>
          <w:tcPr>
            <w:tcW w:w="0" w:type="auto"/>
            <w:tcMar>
              <w:top w:w="35" w:type="dxa"/>
              <w:left w:w="35" w:type="dxa"/>
              <w:bottom w:w="35" w:type="dxa"/>
              <w:right w:w="35" w:type="dxa"/>
            </w:tcMar>
            <w:hideMark/>
          </w:tcPr>
          <w:p w14:paraId="44465EAF"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China: Affiliated Hospital of Qingdao University.</w:t>
            </w:r>
          </w:p>
        </w:tc>
        <w:tc>
          <w:tcPr>
            <w:tcW w:w="0" w:type="auto"/>
            <w:tcMar>
              <w:top w:w="35" w:type="dxa"/>
              <w:left w:w="35" w:type="dxa"/>
              <w:bottom w:w="35" w:type="dxa"/>
              <w:right w:w="35" w:type="dxa"/>
            </w:tcMar>
            <w:hideMark/>
          </w:tcPr>
          <w:p w14:paraId="5AAB4780"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Within-country hold-out validation</w:t>
            </w:r>
          </w:p>
        </w:tc>
        <w:tc>
          <w:tcPr>
            <w:tcW w:w="0" w:type="auto"/>
            <w:tcMar>
              <w:top w:w="35" w:type="dxa"/>
              <w:left w:w="35" w:type="dxa"/>
              <w:bottom w:w="35" w:type="dxa"/>
              <w:right w:w="35" w:type="dxa"/>
            </w:tcMar>
            <w:hideMark/>
          </w:tcPr>
          <w:p w14:paraId="77E2D0DD"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Nomogram for short-term adverse perinatal outcomes in singleton FGR pregnancies.</w:t>
            </w:r>
          </w:p>
        </w:tc>
        <w:tc>
          <w:tcPr>
            <w:tcW w:w="0" w:type="auto"/>
            <w:tcMar>
              <w:top w:w="35" w:type="dxa"/>
              <w:left w:w="35" w:type="dxa"/>
              <w:bottom w:w="35" w:type="dxa"/>
              <w:right w:w="35" w:type="dxa"/>
            </w:tcMar>
            <w:hideMark/>
          </w:tcPr>
          <w:p w14:paraId="5373A68B"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External validation in a separate Qingdao hospital cohort.</w:t>
            </w:r>
          </w:p>
        </w:tc>
        <w:tc>
          <w:tcPr>
            <w:tcW w:w="0" w:type="auto"/>
            <w:tcMar>
              <w:top w:w="35" w:type="dxa"/>
              <w:left w:w="35" w:type="dxa"/>
              <w:bottom w:w="35" w:type="dxa"/>
              <w:right w:w="35" w:type="dxa"/>
            </w:tcMar>
            <w:hideMark/>
          </w:tcPr>
          <w:p w14:paraId="16C910DE"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301 training pregnancies and 321 external-validation pregnancies.</w:t>
            </w:r>
          </w:p>
        </w:tc>
        <w:tc>
          <w:tcPr>
            <w:tcW w:w="0" w:type="auto"/>
            <w:tcMar>
              <w:top w:w="35" w:type="dxa"/>
              <w:left w:w="35" w:type="dxa"/>
              <w:bottom w:w="35" w:type="dxa"/>
              <w:right w:w="35" w:type="dxa"/>
            </w:tcMar>
            <w:hideMark/>
          </w:tcPr>
          <w:p w14:paraId="3A98DD7B"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External C-index 0.776 for termination of pregnancy, 0.773 for stillbirth and 0.776 for therapeutic lethal induction.</w:t>
            </w:r>
          </w:p>
        </w:tc>
        <w:tc>
          <w:tcPr>
            <w:tcW w:w="0" w:type="auto"/>
            <w:tcMar>
              <w:top w:w="35" w:type="dxa"/>
              <w:left w:w="35" w:type="dxa"/>
              <w:bottom w:w="35" w:type="dxa"/>
              <w:right w:w="35" w:type="dxa"/>
            </w:tcMar>
            <w:hideMark/>
          </w:tcPr>
          <w:p w14:paraId="15758071"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Beijing-to-Qingdao route.</w:t>
            </w:r>
          </w:p>
        </w:tc>
      </w:tr>
      <w:tr w:rsidR="00B6082C" w:rsidRPr="00756461" w14:paraId="563172EF" w14:textId="77777777" w:rsidTr="00BC1F31">
        <w:trPr>
          <w:jc w:val="center"/>
        </w:trPr>
        <w:tc>
          <w:tcPr>
            <w:tcW w:w="0" w:type="auto"/>
            <w:tcBorders>
              <w:bottom w:val="single" w:sz="4" w:space="0" w:color="auto"/>
            </w:tcBorders>
            <w:tcMar>
              <w:top w:w="35" w:type="dxa"/>
              <w:left w:w="35" w:type="dxa"/>
              <w:bottom w:w="35" w:type="dxa"/>
              <w:right w:w="35" w:type="dxa"/>
            </w:tcMar>
            <w:hideMark/>
          </w:tcPr>
          <w:p w14:paraId="75D76E03" w14:textId="77777777" w:rsidR="00B6082C" w:rsidRPr="00756461" w:rsidRDefault="00B6082C" w:rsidP="00BC1F31">
            <w:pPr>
              <w:spacing w:after="0" w:line="240" w:lineRule="auto"/>
              <w:rPr>
                <w:rFonts w:ascii="Arial" w:hAnsi="Arial" w:cs="Arial"/>
                <w:i/>
                <w:sz w:val="16"/>
                <w:szCs w:val="16"/>
                <w:lang w:val="en-GB"/>
              </w:rPr>
            </w:pPr>
            <w:r>
              <w:rPr>
                <w:rFonts w:ascii="Arial" w:eastAsia="Times New Roman" w:hAnsi="Arial" w:cs="Arial"/>
                <w:color w:val="000000"/>
                <w:sz w:val="16"/>
                <w:szCs w:val="16"/>
                <w:lang w:eastAsia="en-GB" w:bidi="th-TH"/>
              </w:rPr>
              <w:fldChar w:fldCharType="begin"/>
            </w:r>
            <w:r>
              <w:rPr>
                <w:rFonts w:ascii="Arial" w:eastAsia="Times New Roman" w:hAnsi="Arial" w:cs="Arial"/>
                <w:color w:val="000000"/>
                <w:sz w:val="16"/>
                <w:szCs w:val="16"/>
                <w:lang w:eastAsia="en-GB" w:bidi="th-TH"/>
              </w:rPr>
              <w:instrText xml:space="preserve"> ADDIN ZOTERO_ITEM CSL_CITATION {"citationID":"umMlZnML","properties":{"formattedCitation":"[109]","plainCitation":"[109]","noteIndex":0},"citationItems":[{"id":"b2OWig5M/rYEQCUzE","uris":["http://zotero.org/users/18230940/items/GUIXXVL8"],"itemData":{"id":837,"type":"article-journal","abstract":"BACKGROUND: Despite declines in infant death rates in recent decades in the United States, the national goal of reducing infant death has not been reached. This study aims to predict infant death using machine-learning approaches.\nMETHODS: A population-based retrospective study of live births in the United States between 2016 and 2021 was conducted. Thirty-three factors related to birth facility, prenatal care and pregnancy history, labor and delivery, and newborn characteristics were used to predict infant death.\nRESULTS: XGBoost demonstrated superior performance compared to the other four compared machine learning models. The original imbalanced dataset yielded better results than the balanced datasets created through oversampling procedures. The cross-validation of the XGBoost-based model consistently achieved high performance during both the pre-pandemic (2016-2019) and pandemic (2020-2021) periods. Specifically, the XGBoost-based model performed exceptionally well in predicting neonatal death (AUC: 0.98). The key predictors of infant death were identified as gestational age, birth weight, 5-min APGAR score, and prenatal visits. A simplified model based on these four predictors resulted in slightly inferior yet comparable performance to the all-predictor model (AUC: 0.91 vs. 0.93). Furthermore, the four-factor risk classification system effectively identified infant deaths in 2020 and 2021 for high-risk (88.7%-89.0%), medium-risk (4.6%-5.4%), and low-risk groups (0.1), outperforming the risk screening tool based on accumulated risk factors.\nCONCLUSIONS: XGBoost-based models excel in predicting infant death, providing valuable prognostic information for perinatal care education and counselling. The simplified four-predictor classification system could serve as a practical alternative for infant death risk prediction.","container-title":"Computers in Biology and Medicine","DOI":"10.1016/j.compbiomed.2023.107423","ISSN":"1879-0534","journalAbbreviation":"Comput Biol Med","language":"eng","page":"107423","PMID":"37672926","source":"PubMed","title":"Infant death prediction using machine learning: A population-based retrospective study","title-short":"Infant death prediction using machine learning","volume":"165","author":[{"family":"Zhang","given":"Zhihong"},{"family":"Xiao","given":"Qinqin"},{"family":"Luo","given":"Jiebo"}],"issued":{"date-parts":[["2023",10]]}}}],"schema":"https://github.com/citation-style-language/schema/raw/master/csl-citation.json"} </w:instrText>
            </w:r>
            <w:r>
              <w:rPr>
                <w:rFonts w:ascii="Arial" w:eastAsia="Times New Roman" w:hAnsi="Arial" w:cs="Arial"/>
                <w:color w:val="000000"/>
                <w:sz w:val="16"/>
                <w:szCs w:val="16"/>
                <w:lang w:eastAsia="en-GB" w:bidi="th-TH"/>
              </w:rPr>
              <w:fldChar w:fldCharType="separate"/>
            </w:r>
            <w:r>
              <w:rPr>
                <w:rFonts w:ascii="Arial" w:hAnsi="Arial" w:cs="Arial"/>
                <w:sz w:val="16"/>
                <w:lang w:val="en-GB"/>
              </w:rPr>
              <w:t>[109]</w:t>
            </w:r>
            <w:r>
              <w:rPr>
                <w:rFonts w:ascii="Arial" w:eastAsia="Times New Roman" w:hAnsi="Arial" w:cs="Arial"/>
                <w:color w:val="000000"/>
                <w:sz w:val="16"/>
                <w:szCs w:val="16"/>
                <w:lang w:eastAsia="en-GB" w:bidi="th-TH"/>
              </w:rPr>
              <w:fldChar w:fldCharType="end"/>
            </w:r>
          </w:p>
        </w:tc>
        <w:tc>
          <w:tcPr>
            <w:tcW w:w="0" w:type="auto"/>
            <w:tcBorders>
              <w:bottom w:val="single" w:sz="4" w:space="0" w:color="auto"/>
            </w:tcBorders>
            <w:tcMar>
              <w:top w:w="35" w:type="dxa"/>
              <w:left w:w="35" w:type="dxa"/>
              <w:bottom w:w="35" w:type="dxa"/>
              <w:right w:w="35" w:type="dxa"/>
            </w:tcMar>
            <w:hideMark/>
          </w:tcPr>
          <w:p w14:paraId="64A454FC"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Zhang et al. 2023</w:t>
            </w:r>
          </w:p>
        </w:tc>
        <w:tc>
          <w:tcPr>
            <w:tcW w:w="0" w:type="auto"/>
            <w:tcBorders>
              <w:bottom w:val="single" w:sz="4" w:space="0" w:color="auto"/>
            </w:tcBorders>
            <w:tcMar>
              <w:top w:w="35" w:type="dxa"/>
              <w:left w:w="35" w:type="dxa"/>
              <w:bottom w:w="35" w:type="dxa"/>
              <w:right w:w="35" w:type="dxa"/>
            </w:tcMar>
            <w:hideMark/>
          </w:tcPr>
          <w:p w14:paraId="0F5D36F8"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Neonatal deaths</w:t>
            </w:r>
          </w:p>
        </w:tc>
        <w:tc>
          <w:tcPr>
            <w:tcW w:w="0" w:type="auto"/>
            <w:tcBorders>
              <w:bottom w:val="single" w:sz="4" w:space="0" w:color="auto"/>
            </w:tcBorders>
            <w:tcMar>
              <w:top w:w="35" w:type="dxa"/>
              <w:left w:w="35" w:type="dxa"/>
              <w:bottom w:w="35" w:type="dxa"/>
              <w:right w:w="35" w:type="dxa"/>
            </w:tcMar>
            <w:hideMark/>
          </w:tcPr>
          <w:p w14:paraId="06127F65"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 xml:space="preserve">United States, Puerto Rico, United States Virgin Islands and Guam: linked </w:t>
            </w:r>
            <w:r>
              <w:rPr>
                <w:rFonts w:ascii="Arial" w:hAnsi="Arial" w:cs="Arial"/>
                <w:i/>
                <w:sz w:val="16"/>
                <w:szCs w:val="16"/>
                <w:lang w:val="en-GB"/>
              </w:rPr>
              <w:lastRenderedPageBreak/>
              <w:t>infant birth and death data, 2016 to 2019.</w:t>
            </w:r>
          </w:p>
        </w:tc>
        <w:tc>
          <w:tcPr>
            <w:tcW w:w="0" w:type="auto"/>
            <w:tcBorders>
              <w:bottom w:val="single" w:sz="4" w:space="0" w:color="auto"/>
            </w:tcBorders>
            <w:tcMar>
              <w:top w:w="35" w:type="dxa"/>
              <w:left w:w="35" w:type="dxa"/>
              <w:bottom w:w="35" w:type="dxa"/>
              <w:right w:w="35" w:type="dxa"/>
            </w:tcMar>
            <w:hideMark/>
          </w:tcPr>
          <w:p w14:paraId="0EADFB1E"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lastRenderedPageBreak/>
              <w:t xml:space="preserve">United States, Puerto Rico, United States Virgin </w:t>
            </w:r>
            <w:r>
              <w:rPr>
                <w:rFonts w:ascii="Arial" w:hAnsi="Arial" w:cs="Arial"/>
                <w:i/>
                <w:sz w:val="16"/>
                <w:szCs w:val="16"/>
                <w:lang w:val="en-GB"/>
              </w:rPr>
              <w:lastRenderedPageBreak/>
              <w:t>Islands and Guam: linked infant birth and death data, 2020 to 2021.</w:t>
            </w:r>
          </w:p>
        </w:tc>
        <w:tc>
          <w:tcPr>
            <w:tcW w:w="0" w:type="auto"/>
            <w:tcBorders>
              <w:bottom w:val="single" w:sz="4" w:space="0" w:color="auto"/>
            </w:tcBorders>
            <w:tcMar>
              <w:top w:w="35" w:type="dxa"/>
              <w:left w:w="35" w:type="dxa"/>
              <w:bottom w:w="35" w:type="dxa"/>
              <w:right w:w="35" w:type="dxa"/>
            </w:tcMar>
            <w:hideMark/>
          </w:tcPr>
          <w:p w14:paraId="438774EE"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lastRenderedPageBreak/>
              <w:t xml:space="preserve">Temporal external validation </w:t>
            </w:r>
            <w:r>
              <w:rPr>
                <w:rFonts w:ascii="Arial" w:hAnsi="Arial" w:cs="Arial"/>
                <w:i/>
                <w:sz w:val="16"/>
                <w:szCs w:val="16"/>
                <w:lang w:val="en-GB"/>
              </w:rPr>
              <w:lastRenderedPageBreak/>
              <w:t>within country and territories</w:t>
            </w:r>
          </w:p>
        </w:tc>
        <w:tc>
          <w:tcPr>
            <w:tcW w:w="0" w:type="auto"/>
            <w:tcBorders>
              <w:bottom w:val="single" w:sz="4" w:space="0" w:color="auto"/>
            </w:tcBorders>
            <w:tcMar>
              <w:top w:w="35" w:type="dxa"/>
              <w:left w:w="35" w:type="dxa"/>
              <w:bottom w:w="35" w:type="dxa"/>
              <w:right w:w="35" w:type="dxa"/>
            </w:tcMar>
            <w:hideMark/>
          </w:tcPr>
          <w:p w14:paraId="3E9DAFCB"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lastRenderedPageBreak/>
              <w:t xml:space="preserve">XGBoost and other machine-learning models </w:t>
            </w:r>
            <w:r>
              <w:rPr>
                <w:rFonts w:ascii="Arial" w:hAnsi="Arial" w:cs="Arial"/>
                <w:i/>
                <w:sz w:val="16"/>
                <w:szCs w:val="16"/>
                <w:lang w:val="en-GB"/>
              </w:rPr>
              <w:lastRenderedPageBreak/>
              <w:t>for infant and neonatal death.</w:t>
            </w:r>
          </w:p>
        </w:tc>
        <w:tc>
          <w:tcPr>
            <w:tcW w:w="0" w:type="auto"/>
            <w:tcBorders>
              <w:bottom w:val="single" w:sz="4" w:space="0" w:color="auto"/>
            </w:tcBorders>
            <w:tcMar>
              <w:top w:w="35" w:type="dxa"/>
              <w:left w:w="35" w:type="dxa"/>
              <w:bottom w:w="35" w:type="dxa"/>
              <w:right w:w="35" w:type="dxa"/>
            </w:tcMar>
            <w:hideMark/>
          </w:tcPr>
          <w:p w14:paraId="426DD6B6"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lastRenderedPageBreak/>
              <w:t xml:space="preserve">Cross-validation using pre-pandemic </w:t>
            </w:r>
            <w:r>
              <w:rPr>
                <w:rFonts w:ascii="Arial" w:hAnsi="Arial" w:cs="Arial"/>
                <w:i/>
                <w:sz w:val="16"/>
                <w:szCs w:val="16"/>
                <w:lang w:val="en-GB"/>
              </w:rPr>
              <w:lastRenderedPageBreak/>
              <w:t>training years and pandemic-period validation years.</w:t>
            </w:r>
          </w:p>
        </w:tc>
        <w:tc>
          <w:tcPr>
            <w:tcW w:w="0" w:type="auto"/>
            <w:tcBorders>
              <w:bottom w:val="single" w:sz="4" w:space="0" w:color="auto"/>
            </w:tcBorders>
            <w:tcMar>
              <w:top w:w="35" w:type="dxa"/>
              <w:left w:w="35" w:type="dxa"/>
              <w:bottom w:w="35" w:type="dxa"/>
              <w:right w:w="35" w:type="dxa"/>
            </w:tcMar>
            <w:hideMark/>
          </w:tcPr>
          <w:p w14:paraId="0AD2E767"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lastRenderedPageBreak/>
              <w:t xml:space="preserve">22,669,736 live births and </w:t>
            </w:r>
            <w:r>
              <w:rPr>
                <w:rFonts w:ascii="Arial" w:hAnsi="Arial" w:cs="Arial"/>
                <w:i/>
                <w:sz w:val="16"/>
                <w:szCs w:val="16"/>
                <w:lang w:val="en-GB"/>
              </w:rPr>
              <w:lastRenderedPageBreak/>
              <w:t>116,309 infant deaths.</w:t>
            </w:r>
          </w:p>
        </w:tc>
        <w:tc>
          <w:tcPr>
            <w:tcW w:w="0" w:type="auto"/>
            <w:tcBorders>
              <w:bottom w:val="single" w:sz="4" w:space="0" w:color="auto"/>
            </w:tcBorders>
            <w:tcMar>
              <w:top w:w="35" w:type="dxa"/>
              <w:left w:w="35" w:type="dxa"/>
              <w:bottom w:w="35" w:type="dxa"/>
              <w:right w:w="35" w:type="dxa"/>
            </w:tcMar>
            <w:hideMark/>
          </w:tcPr>
          <w:p w14:paraId="58040161"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lastRenderedPageBreak/>
              <w:t xml:space="preserve">XGBoost AUC 0.93 for infant death and 0.98 for neonatal </w:t>
            </w:r>
            <w:r>
              <w:rPr>
                <w:rFonts w:ascii="Arial" w:hAnsi="Arial" w:cs="Arial"/>
                <w:i/>
                <w:sz w:val="16"/>
                <w:szCs w:val="16"/>
                <w:lang w:val="en-GB"/>
              </w:rPr>
              <w:lastRenderedPageBreak/>
              <w:t>death. A four-predictor model had AUC 0.91.</w:t>
            </w:r>
          </w:p>
        </w:tc>
        <w:tc>
          <w:tcPr>
            <w:tcW w:w="0" w:type="auto"/>
            <w:tcBorders>
              <w:bottom w:val="single" w:sz="4" w:space="0" w:color="auto"/>
            </w:tcBorders>
            <w:tcMar>
              <w:top w:w="35" w:type="dxa"/>
              <w:left w:w="35" w:type="dxa"/>
              <w:bottom w:w="35" w:type="dxa"/>
              <w:right w:w="35" w:type="dxa"/>
            </w:tcMar>
            <w:hideMark/>
          </w:tcPr>
          <w:p w14:paraId="2CB5D176"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lastRenderedPageBreak/>
              <w:t xml:space="preserve">Loops for United States, Puerto Rico, </w:t>
            </w:r>
            <w:r>
              <w:rPr>
                <w:rFonts w:ascii="Arial" w:hAnsi="Arial" w:cs="Arial"/>
                <w:i/>
                <w:sz w:val="16"/>
                <w:szCs w:val="16"/>
                <w:lang w:val="en-GB"/>
              </w:rPr>
              <w:lastRenderedPageBreak/>
              <w:t>United States Virgin Islands and Guam.</w:t>
            </w:r>
          </w:p>
        </w:tc>
      </w:tr>
      <w:tr w:rsidR="00B6082C" w:rsidRPr="00756461" w14:paraId="0C08C3BA" w14:textId="77777777" w:rsidTr="00BC1F31">
        <w:trPr>
          <w:jc w:val="center"/>
        </w:trPr>
        <w:tc>
          <w:tcPr>
            <w:tcW w:w="0" w:type="auto"/>
            <w:tcBorders>
              <w:bottom w:val="single" w:sz="4" w:space="0" w:color="auto"/>
            </w:tcBorders>
            <w:tcMar>
              <w:top w:w="35" w:type="dxa"/>
              <w:left w:w="35" w:type="dxa"/>
              <w:bottom w:w="35" w:type="dxa"/>
              <w:right w:w="35" w:type="dxa"/>
            </w:tcMar>
            <w:hideMark/>
          </w:tcPr>
          <w:p w14:paraId="42131736" w14:textId="77777777" w:rsidR="00B6082C" w:rsidRPr="00756461" w:rsidRDefault="00B6082C" w:rsidP="00BC1F31">
            <w:pPr>
              <w:spacing w:after="0" w:line="240" w:lineRule="auto"/>
              <w:rPr>
                <w:rFonts w:ascii="Arial" w:hAnsi="Arial" w:cs="Arial"/>
                <w:i/>
                <w:sz w:val="16"/>
                <w:szCs w:val="16"/>
                <w:lang w:val="en-GB"/>
              </w:rPr>
            </w:pPr>
            <w:r>
              <w:rPr>
                <w:rFonts w:ascii="Arial" w:eastAsia="Times New Roman" w:hAnsi="Arial" w:cs="Arial"/>
                <w:color w:val="000000"/>
                <w:sz w:val="16"/>
                <w:szCs w:val="16"/>
                <w:lang w:eastAsia="en-GB" w:bidi="th-TH"/>
              </w:rPr>
              <w:lastRenderedPageBreak/>
              <w:fldChar w:fldCharType="begin"/>
            </w:r>
            <w:r>
              <w:rPr>
                <w:rFonts w:ascii="Arial" w:eastAsia="Times New Roman" w:hAnsi="Arial" w:cs="Arial"/>
                <w:color w:val="000000"/>
                <w:sz w:val="16"/>
                <w:szCs w:val="16"/>
                <w:lang w:eastAsia="en-GB" w:bidi="th-TH"/>
              </w:rPr>
              <w:instrText xml:space="preserve"> ADDIN ZOTERO_ITEM CSL_CITATION {"citationID":"TwRVqbhC","properties":{"formattedCitation":"[112]","plainCitation":"[112]","noteIndex":0},"citationItems":[{"id":"b2OWig5M/gNB23NZk","uris":["http://zotero.org/users/18230940/items/76FZN7HE"],"itemData":{"id":843,"type":"article-journal","abstract":"Fetal growth restriction (FGR) is a leading risk factor for stillbirth, yet the diagnosis of FGR confers considerable prognostic uncertainty, as most infants with FGR do not experience any morbidity. Our objective was to use data from a large, deeply phenotyped observational obstetric cohort to develop a probabilistic graphical model (PGM), a type of “explainable artificial intelligence (AI)”, as a potential framework to better understand how interrelated variables contribute to perinatal morbidity risk in FGR.","container-title":"BMC Pregnancy and Childbirth","DOI":"10.1186/s12884-024-07095-6","ISSN":"1471-2393","issue":"1","journalAbbreviation":"BMC Pregnancy Childbirth","language":"en","page":"80","source":"Springer Link","title":"AI-based analysis of fetal growth restriction in a prospective obstetric cohort quantifies compound risks for perinatal morbidity and mortality and identifies previously unrecognized high risk clinical scenarios","volume":"25","author":[{"family":"Zimmerman","given":"Raquel M."},{"family":"Hernandez","given":"Edgar J."},{"family":"Yandell","given":"Mark"},{"family":"Tristani-Firouzi","given":"Martin"},{"family":"Silver","given":"Robert M."},{"family":"Grobman","given":"William"},{"family":"Haas","given":"David"},{"family":"Saade","given":"George"},{"family":"Steller","given":"Jonathan"},{"family":"Blue","given":"Nathan R."}],"issued":{"date-parts":[["2025",1,30]]}}}],"schema":"https://github.com/citation-style-language/schema/raw/master/csl-citation.json"} </w:instrText>
            </w:r>
            <w:r>
              <w:rPr>
                <w:rFonts w:ascii="Arial" w:eastAsia="Times New Roman" w:hAnsi="Arial" w:cs="Arial"/>
                <w:color w:val="000000"/>
                <w:sz w:val="16"/>
                <w:szCs w:val="16"/>
                <w:lang w:eastAsia="en-GB" w:bidi="th-TH"/>
              </w:rPr>
              <w:fldChar w:fldCharType="separate"/>
            </w:r>
            <w:r>
              <w:rPr>
                <w:rFonts w:ascii="Arial" w:hAnsi="Arial" w:cs="Arial"/>
                <w:sz w:val="16"/>
                <w:lang w:val="en-GB"/>
              </w:rPr>
              <w:t>[112]</w:t>
            </w:r>
            <w:r>
              <w:rPr>
                <w:rFonts w:ascii="Arial" w:eastAsia="Times New Roman" w:hAnsi="Arial" w:cs="Arial"/>
                <w:color w:val="000000"/>
                <w:sz w:val="16"/>
                <w:szCs w:val="16"/>
                <w:lang w:eastAsia="en-GB" w:bidi="th-TH"/>
              </w:rPr>
              <w:fldChar w:fldCharType="end"/>
            </w:r>
          </w:p>
        </w:tc>
        <w:tc>
          <w:tcPr>
            <w:tcW w:w="0" w:type="auto"/>
            <w:tcBorders>
              <w:bottom w:val="single" w:sz="4" w:space="0" w:color="auto"/>
            </w:tcBorders>
            <w:tcMar>
              <w:top w:w="35" w:type="dxa"/>
              <w:left w:w="35" w:type="dxa"/>
              <w:bottom w:w="35" w:type="dxa"/>
              <w:right w:w="35" w:type="dxa"/>
            </w:tcMar>
            <w:hideMark/>
          </w:tcPr>
          <w:p w14:paraId="716E4B08"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Zimmerman et al. 2025</w:t>
            </w:r>
          </w:p>
        </w:tc>
        <w:tc>
          <w:tcPr>
            <w:tcW w:w="0" w:type="auto"/>
            <w:tcBorders>
              <w:bottom w:val="single" w:sz="4" w:space="0" w:color="auto"/>
            </w:tcBorders>
            <w:tcMar>
              <w:top w:w="35" w:type="dxa"/>
              <w:left w:w="35" w:type="dxa"/>
              <w:bottom w:w="35" w:type="dxa"/>
              <w:right w:w="35" w:type="dxa"/>
            </w:tcMar>
            <w:hideMark/>
          </w:tcPr>
          <w:p w14:paraId="2F4158A2"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Stillbirths and Neonatal deaths</w:t>
            </w:r>
          </w:p>
        </w:tc>
        <w:tc>
          <w:tcPr>
            <w:tcW w:w="0" w:type="auto"/>
            <w:tcBorders>
              <w:bottom w:val="single" w:sz="4" w:space="0" w:color="auto"/>
            </w:tcBorders>
            <w:tcMar>
              <w:top w:w="35" w:type="dxa"/>
              <w:left w:w="35" w:type="dxa"/>
              <w:bottom w:w="35" w:type="dxa"/>
              <w:right w:w="35" w:type="dxa"/>
            </w:tcMar>
            <w:hideMark/>
          </w:tcPr>
          <w:p w14:paraId="78F219E3"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United States: nuMoM2b derivation cohort, 80 percent random subset.</w:t>
            </w:r>
          </w:p>
        </w:tc>
        <w:tc>
          <w:tcPr>
            <w:tcW w:w="0" w:type="auto"/>
            <w:tcBorders>
              <w:bottom w:val="single" w:sz="4" w:space="0" w:color="auto"/>
            </w:tcBorders>
            <w:tcMar>
              <w:top w:w="35" w:type="dxa"/>
              <w:left w:w="35" w:type="dxa"/>
              <w:bottom w:w="35" w:type="dxa"/>
              <w:right w:w="35" w:type="dxa"/>
            </w:tcMar>
            <w:hideMark/>
          </w:tcPr>
          <w:p w14:paraId="7AD80DE6"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United States: nuMoM2b validation cohort, 20 percent hold-out subset.</w:t>
            </w:r>
          </w:p>
        </w:tc>
        <w:tc>
          <w:tcPr>
            <w:tcW w:w="0" w:type="auto"/>
            <w:tcBorders>
              <w:bottom w:val="single" w:sz="4" w:space="0" w:color="auto"/>
            </w:tcBorders>
            <w:tcMar>
              <w:top w:w="35" w:type="dxa"/>
              <w:left w:w="35" w:type="dxa"/>
              <w:bottom w:w="35" w:type="dxa"/>
              <w:right w:w="35" w:type="dxa"/>
            </w:tcMar>
            <w:hideMark/>
          </w:tcPr>
          <w:p w14:paraId="4D9A3B3F"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Within-country hold-out validation</w:t>
            </w:r>
          </w:p>
        </w:tc>
        <w:tc>
          <w:tcPr>
            <w:tcW w:w="0" w:type="auto"/>
            <w:tcBorders>
              <w:bottom w:val="single" w:sz="4" w:space="0" w:color="auto"/>
            </w:tcBorders>
            <w:tcMar>
              <w:top w:w="35" w:type="dxa"/>
              <w:left w:w="35" w:type="dxa"/>
              <w:bottom w:w="35" w:type="dxa"/>
              <w:right w:w="35" w:type="dxa"/>
            </w:tcMar>
            <w:hideMark/>
          </w:tcPr>
          <w:p w14:paraId="30DFC21E"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Probabilistic graphical model for composite perinatal morbidity and mortality in FGR.</w:t>
            </w:r>
          </w:p>
        </w:tc>
        <w:tc>
          <w:tcPr>
            <w:tcW w:w="0" w:type="auto"/>
            <w:tcBorders>
              <w:bottom w:val="single" w:sz="4" w:space="0" w:color="auto"/>
            </w:tcBorders>
            <w:tcMar>
              <w:top w:w="35" w:type="dxa"/>
              <w:left w:w="35" w:type="dxa"/>
              <w:bottom w:w="35" w:type="dxa"/>
              <w:right w:w="35" w:type="dxa"/>
            </w:tcMar>
            <w:hideMark/>
          </w:tcPr>
          <w:p w14:paraId="1326D7C3"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 xml:space="preserve">Random 80: 20 derivation-validation </w:t>
            </w:r>
            <w:proofErr w:type="gramStart"/>
            <w:r>
              <w:rPr>
                <w:rFonts w:ascii="Arial" w:hAnsi="Arial" w:cs="Arial"/>
                <w:i/>
                <w:sz w:val="16"/>
                <w:szCs w:val="16"/>
                <w:lang w:val="en-GB"/>
              </w:rPr>
              <w:t>split</w:t>
            </w:r>
            <w:proofErr w:type="gramEnd"/>
            <w:r>
              <w:rPr>
                <w:rFonts w:ascii="Arial" w:hAnsi="Arial" w:cs="Arial"/>
                <w:i/>
                <w:sz w:val="16"/>
                <w:szCs w:val="16"/>
                <w:lang w:val="en-GB"/>
              </w:rPr>
              <w:t>.</w:t>
            </w:r>
          </w:p>
        </w:tc>
        <w:tc>
          <w:tcPr>
            <w:tcW w:w="0" w:type="auto"/>
            <w:tcBorders>
              <w:bottom w:val="single" w:sz="4" w:space="0" w:color="auto"/>
            </w:tcBorders>
            <w:tcMar>
              <w:top w:w="35" w:type="dxa"/>
              <w:left w:w="35" w:type="dxa"/>
              <w:bottom w:w="35" w:type="dxa"/>
              <w:right w:w="35" w:type="dxa"/>
            </w:tcMar>
            <w:hideMark/>
          </w:tcPr>
          <w:p w14:paraId="543005AB"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9,558 pregnancies: 7,645 derivation and 1,912 validations.</w:t>
            </w:r>
          </w:p>
        </w:tc>
        <w:tc>
          <w:tcPr>
            <w:tcW w:w="0" w:type="auto"/>
            <w:tcBorders>
              <w:bottom w:val="single" w:sz="4" w:space="0" w:color="auto"/>
            </w:tcBorders>
            <w:tcMar>
              <w:top w:w="35" w:type="dxa"/>
              <w:left w:w="35" w:type="dxa"/>
              <w:bottom w:w="35" w:type="dxa"/>
              <w:right w:w="35" w:type="dxa"/>
            </w:tcMar>
            <w:hideMark/>
          </w:tcPr>
          <w:p w14:paraId="515642F1"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Validation AUC 0.83, 95 percent CI 0.79 to 0.87. Context-specific risk scenarios differed by nearly 10-fold.</w:t>
            </w:r>
          </w:p>
        </w:tc>
        <w:tc>
          <w:tcPr>
            <w:tcW w:w="0" w:type="auto"/>
            <w:tcBorders>
              <w:bottom w:val="single" w:sz="4" w:space="0" w:color="auto"/>
            </w:tcBorders>
            <w:tcMar>
              <w:top w:w="35" w:type="dxa"/>
              <w:left w:w="35" w:type="dxa"/>
              <w:bottom w:w="35" w:type="dxa"/>
              <w:right w:w="35" w:type="dxa"/>
            </w:tcMar>
            <w:hideMark/>
          </w:tcPr>
          <w:p w14:paraId="7552FEE0"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United States hold-out validation loop.</w:t>
            </w:r>
          </w:p>
        </w:tc>
      </w:tr>
      <w:tr w:rsidR="00B6082C" w:rsidRPr="00756461" w14:paraId="5559633F" w14:textId="77777777" w:rsidTr="00BC1F31">
        <w:trPr>
          <w:trHeight w:val="622"/>
          <w:jc w:val="center"/>
        </w:trPr>
        <w:tc>
          <w:tcPr>
            <w:tcW w:w="0" w:type="auto"/>
            <w:shd w:val="clear" w:color="auto" w:fill="ADADAD" w:themeFill="background2" w:themeFillShade="BF"/>
            <w:tcMar>
              <w:top w:w="35" w:type="dxa"/>
              <w:left w:w="35" w:type="dxa"/>
              <w:bottom w:w="35" w:type="dxa"/>
              <w:right w:w="35" w:type="dxa"/>
            </w:tcMar>
            <w:hideMark/>
          </w:tcPr>
          <w:p w14:paraId="47495CDC" w14:textId="77777777" w:rsidR="00B6082C" w:rsidRPr="00756461" w:rsidRDefault="00B6082C" w:rsidP="00BC1F31">
            <w:pPr>
              <w:spacing w:after="0" w:line="240" w:lineRule="auto"/>
              <w:rPr>
                <w:rFonts w:ascii="Arial" w:hAnsi="Arial" w:cs="Arial"/>
                <w:sz w:val="16"/>
                <w:szCs w:val="16"/>
                <w:lang w:val="en-GB"/>
              </w:rPr>
            </w:pPr>
            <w:r>
              <w:rPr>
                <w:rFonts w:ascii="Arial Narrow" w:hAnsi="Arial Narrow"/>
                <w:sz w:val="16"/>
                <w:szCs w:val="16"/>
              </w:rPr>
              <w:fldChar w:fldCharType="begin"/>
            </w:r>
            <w:r>
              <w:rPr>
                <w:rFonts w:ascii="Arial Narrow" w:hAnsi="Arial Narrow"/>
                <w:sz w:val="16"/>
                <w:szCs w:val="16"/>
              </w:rPr>
              <w:instrText xml:space="preserve"> ADDIN ZOTERO_ITEM CSL_CITATION {"citationID":"QoEWHUHK","properties":{"unsorted":false,"formattedCitation":"[118]","plainCitation":"[118]","noteIndex":0},"citationItems":[{"id":2906,"uris":["http://zotero.org/users/16018142/items/USUZQYG8"],"itemData":{"id":2906,"type":"article-journal","container-title":"EClinicalMedicine","DOI":"10.1016/j.eclinm.2022.101288","ISSN":"2589-5370","language":"English","title":"Development of a clinical prediction model for perinatal deaths in low resource settings","volume":"44","author":[{"family":"Housseine","given":"Natasha"},{"family":"Rijken","given":"Marcus J."},{"family":"Weller","given":"Katinka"},{"family":"Nassor","given":"Nassra Haroub"},{"family":"Gbenga","given":"Kayode"},{"family":"Dodd","given":"Caitlin"},{"family":"Debray","given":"Thomas"},{"family":"Meguid","given":"Tarek"},{"family":"Franx","given":"Arie"},{"family":"Grobbee","given":"Diederick E."},{"family":"Browne","given":"Joyce L."}],"issued":{"date-parts":[["2022"]]}}}],"schema":"https://github.com/citation-style-language/schema/raw/master/csl-citation.json"} </w:instrText>
            </w:r>
            <w:r>
              <w:rPr>
                <w:rFonts w:ascii="Arial Narrow" w:hAnsi="Arial Narrow"/>
                <w:sz w:val="16"/>
                <w:szCs w:val="16"/>
              </w:rPr>
              <w:fldChar w:fldCharType="separate"/>
            </w:r>
            <w:r>
              <w:rPr>
                <w:rFonts w:ascii="Arial Narrow" w:hAnsi="Arial Narrow"/>
                <w:sz w:val="16"/>
              </w:rPr>
              <w:t>[118]</w:t>
            </w:r>
            <w:r>
              <w:rPr>
                <w:rFonts w:ascii="Arial Narrow" w:hAnsi="Arial Narrow"/>
                <w:sz w:val="16"/>
                <w:szCs w:val="16"/>
              </w:rPr>
              <w:fldChar w:fldCharType="end"/>
            </w:r>
          </w:p>
        </w:tc>
        <w:tc>
          <w:tcPr>
            <w:tcW w:w="0" w:type="auto"/>
            <w:shd w:val="clear" w:color="auto" w:fill="ADADAD" w:themeFill="background2" w:themeFillShade="BF"/>
            <w:tcMar>
              <w:top w:w="35" w:type="dxa"/>
              <w:left w:w="35" w:type="dxa"/>
              <w:bottom w:w="35" w:type="dxa"/>
              <w:right w:w="35" w:type="dxa"/>
            </w:tcMar>
            <w:hideMark/>
          </w:tcPr>
          <w:p w14:paraId="647C36CA" w14:textId="77777777" w:rsidR="00B6082C" w:rsidRPr="00756461" w:rsidRDefault="00B6082C" w:rsidP="00BC1F31">
            <w:pPr>
              <w:spacing w:after="0" w:line="240" w:lineRule="auto"/>
              <w:rPr>
                <w:rFonts w:ascii="Arial" w:hAnsi="Arial" w:cs="Arial"/>
                <w:sz w:val="16"/>
                <w:szCs w:val="16"/>
                <w:lang w:val="en-GB"/>
              </w:rPr>
            </w:pPr>
            <w:r>
              <w:rPr>
                <w:rFonts w:ascii="Arial" w:hAnsi="Arial" w:cs="Arial"/>
                <w:sz w:val="16"/>
                <w:szCs w:val="16"/>
                <w:lang w:val="en-GB"/>
              </w:rPr>
              <w:t>Housseine et al. 2022</w:t>
            </w:r>
          </w:p>
        </w:tc>
        <w:tc>
          <w:tcPr>
            <w:tcW w:w="0" w:type="auto"/>
            <w:shd w:val="clear" w:color="auto" w:fill="ADADAD" w:themeFill="background2" w:themeFillShade="BF"/>
            <w:tcMar>
              <w:top w:w="35" w:type="dxa"/>
              <w:left w:w="35" w:type="dxa"/>
              <w:bottom w:w="35" w:type="dxa"/>
              <w:right w:w="35" w:type="dxa"/>
            </w:tcMar>
            <w:hideMark/>
          </w:tcPr>
          <w:p w14:paraId="0C4EDF8B" w14:textId="77777777" w:rsidR="00B6082C" w:rsidRPr="00756461" w:rsidRDefault="00B6082C" w:rsidP="00BC1F31">
            <w:pPr>
              <w:spacing w:after="0" w:line="240" w:lineRule="auto"/>
              <w:rPr>
                <w:rFonts w:ascii="Arial" w:hAnsi="Arial" w:cs="Arial"/>
                <w:sz w:val="16"/>
                <w:szCs w:val="16"/>
                <w:lang w:val="en-GB"/>
              </w:rPr>
            </w:pPr>
            <w:r>
              <w:rPr>
                <w:rFonts w:ascii="Arial" w:hAnsi="Arial" w:cs="Arial"/>
                <w:sz w:val="16"/>
                <w:szCs w:val="16"/>
                <w:lang w:val="en-GB"/>
              </w:rPr>
              <w:t>Stillbirths and neonatal deaths</w:t>
            </w:r>
          </w:p>
        </w:tc>
        <w:tc>
          <w:tcPr>
            <w:tcW w:w="0" w:type="auto"/>
            <w:shd w:val="clear" w:color="auto" w:fill="ADADAD" w:themeFill="background2" w:themeFillShade="BF"/>
            <w:tcMar>
              <w:top w:w="35" w:type="dxa"/>
              <w:left w:w="35" w:type="dxa"/>
              <w:bottom w:w="35" w:type="dxa"/>
              <w:right w:w="35" w:type="dxa"/>
            </w:tcMar>
            <w:hideMark/>
          </w:tcPr>
          <w:p w14:paraId="48E28A26" w14:textId="77777777" w:rsidR="00B6082C" w:rsidRPr="00756461" w:rsidRDefault="00B6082C" w:rsidP="00BC1F31">
            <w:pPr>
              <w:spacing w:after="0" w:line="240" w:lineRule="auto"/>
              <w:rPr>
                <w:rFonts w:ascii="Arial" w:hAnsi="Arial" w:cs="Arial"/>
                <w:sz w:val="16"/>
                <w:szCs w:val="16"/>
                <w:lang w:val="en-GB"/>
              </w:rPr>
            </w:pPr>
            <w:r>
              <w:rPr>
                <w:rFonts w:ascii="Arial" w:hAnsi="Arial" w:cs="Arial"/>
                <w:sz w:val="16"/>
                <w:szCs w:val="16"/>
                <w:lang w:val="en-GB"/>
              </w:rPr>
              <w:t>Nigeria: model originally developed by Kayode et al. for the Federal Medical Centre Bida cohort.</w:t>
            </w:r>
          </w:p>
        </w:tc>
        <w:tc>
          <w:tcPr>
            <w:tcW w:w="0" w:type="auto"/>
            <w:shd w:val="clear" w:color="auto" w:fill="ADADAD" w:themeFill="background2" w:themeFillShade="BF"/>
            <w:tcMar>
              <w:top w:w="35" w:type="dxa"/>
              <w:left w:w="35" w:type="dxa"/>
              <w:bottom w:w="35" w:type="dxa"/>
              <w:right w:w="35" w:type="dxa"/>
            </w:tcMar>
            <w:hideMark/>
          </w:tcPr>
          <w:p w14:paraId="35DAA58D" w14:textId="77777777" w:rsidR="00B6082C" w:rsidRPr="00756461" w:rsidRDefault="00B6082C" w:rsidP="00BC1F31">
            <w:pPr>
              <w:spacing w:after="0" w:line="240" w:lineRule="auto"/>
              <w:rPr>
                <w:rFonts w:ascii="Arial" w:hAnsi="Arial" w:cs="Arial"/>
                <w:sz w:val="16"/>
                <w:szCs w:val="16"/>
                <w:lang w:val="en-GB"/>
              </w:rPr>
            </w:pPr>
            <w:r>
              <w:rPr>
                <w:rFonts w:ascii="Arial" w:hAnsi="Arial" w:cs="Arial"/>
                <w:sz w:val="16"/>
                <w:szCs w:val="16"/>
                <w:lang w:val="en-GB"/>
              </w:rPr>
              <w:t>Tanzania: Zanzibar (Mnazi Mmoja Hospital and referral facilities).</w:t>
            </w:r>
          </w:p>
        </w:tc>
        <w:tc>
          <w:tcPr>
            <w:tcW w:w="0" w:type="auto"/>
            <w:shd w:val="clear" w:color="auto" w:fill="ADADAD" w:themeFill="background2" w:themeFillShade="BF"/>
            <w:tcMar>
              <w:top w:w="35" w:type="dxa"/>
              <w:left w:w="35" w:type="dxa"/>
              <w:bottom w:w="35" w:type="dxa"/>
              <w:right w:w="35" w:type="dxa"/>
            </w:tcMar>
            <w:hideMark/>
          </w:tcPr>
          <w:p w14:paraId="200DF295" w14:textId="77777777" w:rsidR="00B6082C" w:rsidRPr="00756461" w:rsidRDefault="00B6082C" w:rsidP="00BC1F31">
            <w:pPr>
              <w:spacing w:after="0" w:line="240" w:lineRule="auto"/>
              <w:rPr>
                <w:rFonts w:ascii="Arial" w:hAnsi="Arial" w:cs="Arial"/>
                <w:sz w:val="16"/>
                <w:szCs w:val="16"/>
                <w:lang w:val="en-GB"/>
              </w:rPr>
            </w:pPr>
            <w:r>
              <w:rPr>
                <w:rFonts w:ascii="Arial" w:hAnsi="Arial" w:cs="Arial"/>
                <w:sz w:val="16"/>
                <w:szCs w:val="16"/>
                <w:lang w:val="en-GB"/>
              </w:rPr>
              <w:t>Within sub-Saharan Africa (model developed in Nigeria, validated in Tanzania)</w:t>
            </w:r>
          </w:p>
        </w:tc>
        <w:tc>
          <w:tcPr>
            <w:tcW w:w="0" w:type="auto"/>
            <w:shd w:val="clear" w:color="auto" w:fill="ADADAD" w:themeFill="background2" w:themeFillShade="BF"/>
            <w:tcMar>
              <w:top w:w="35" w:type="dxa"/>
              <w:left w:w="35" w:type="dxa"/>
              <w:bottom w:w="35" w:type="dxa"/>
              <w:right w:w="35" w:type="dxa"/>
            </w:tcMar>
            <w:hideMark/>
          </w:tcPr>
          <w:p w14:paraId="5220083B" w14:textId="77777777" w:rsidR="00B6082C" w:rsidRPr="00756461" w:rsidRDefault="00B6082C" w:rsidP="00BC1F31">
            <w:pPr>
              <w:spacing w:after="0" w:line="240" w:lineRule="auto"/>
              <w:rPr>
                <w:rFonts w:ascii="Arial" w:hAnsi="Arial" w:cs="Arial"/>
                <w:sz w:val="16"/>
                <w:szCs w:val="16"/>
                <w:lang w:val="en-GB"/>
              </w:rPr>
            </w:pPr>
            <w:r>
              <w:rPr>
                <w:rFonts w:ascii="Arial" w:hAnsi="Arial" w:cs="Arial"/>
                <w:sz w:val="16"/>
                <w:szCs w:val="16"/>
                <w:lang w:val="en-GB"/>
              </w:rPr>
              <w:t>Existing Kayode prediction model for intrapartum-related perinatal death, alongside a newly developed 15-predictor model.</w:t>
            </w:r>
          </w:p>
        </w:tc>
        <w:tc>
          <w:tcPr>
            <w:tcW w:w="0" w:type="auto"/>
            <w:shd w:val="clear" w:color="auto" w:fill="ADADAD" w:themeFill="background2" w:themeFillShade="BF"/>
            <w:tcMar>
              <w:top w:w="35" w:type="dxa"/>
              <w:left w:w="35" w:type="dxa"/>
              <w:bottom w:w="35" w:type="dxa"/>
              <w:right w:w="35" w:type="dxa"/>
            </w:tcMar>
            <w:hideMark/>
          </w:tcPr>
          <w:p w14:paraId="31E8B1ED" w14:textId="77777777" w:rsidR="00B6082C" w:rsidRPr="00756461" w:rsidRDefault="00B6082C" w:rsidP="00BC1F31">
            <w:pPr>
              <w:spacing w:after="0" w:line="240" w:lineRule="auto"/>
              <w:rPr>
                <w:rFonts w:ascii="Arial" w:hAnsi="Arial" w:cs="Arial"/>
                <w:sz w:val="16"/>
                <w:szCs w:val="16"/>
                <w:lang w:val="en-GB"/>
              </w:rPr>
            </w:pPr>
            <w:r>
              <w:rPr>
                <w:rFonts w:ascii="Arial" w:hAnsi="Arial" w:cs="Arial"/>
                <w:sz w:val="16"/>
                <w:szCs w:val="16"/>
                <w:lang w:val="en-GB"/>
              </w:rPr>
              <w:t>External validation of the existing model plus internal bootstrap validation of the new model.</w:t>
            </w:r>
          </w:p>
        </w:tc>
        <w:tc>
          <w:tcPr>
            <w:tcW w:w="0" w:type="auto"/>
            <w:shd w:val="clear" w:color="auto" w:fill="ADADAD" w:themeFill="background2" w:themeFillShade="BF"/>
            <w:tcMar>
              <w:top w:w="35" w:type="dxa"/>
              <w:left w:w="35" w:type="dxa"/>
              <w:bottom w:w="35" w:type="dxa"/>
              <w:right w:w="35" w:type="dxa"/>
            </w:tcMar>
            <w:hideMark/>
          </w:tcPr>
          <w:p w14:paraId="46FE998E" w14:textId="77777777" w:rsidR="00B6082C" w:rsidRPr="00756461" w:rsidRDefault="00B6082C" w:rsidP="00BC1F31">
            <w:pPr>
              <w:spacing w:after="0" w:line="240" w:lineRule="auto"/>
              <w:rPr>
                <w:rFonts w:ascii="Arial" w:hAnsi="Arial" w:cs="Arial"/>
                <w:sz w:val="16"/>
                <w:szCs w:val="16"/>
                <w:lang w:val="en-GB"/>
              </w:rPr>
            </w:pPr>
            <w:r>
              <w:rPr>
                <w:rFonts w:ascii="Arial" w:hAnsi="Arial" w:cs="Arial"/>
                <w:sz w:val="16"/>
                <w:szCs w:val="16"/>
                <w:lang w:val="en-GB"/>
              </w:rPr>
              <w:t>5,747 mother-baby pairs.</w:t>
            </w:r>
          </w:p>
        </w:tc>
        <w:tc>
          <w:tcPr>
            <w:tcW w:w="0" w:type="auto"/>
            <w:shd w:val="clear" w:color="auto" w:fill="ADADAD" w:themeFill="background2" w:themeFillShade="BF"/>
            <w:tcMar>
              <w:top w:w="35" w:type="dxa"/>
              <w:left w:w="35" w:type="dxa"/>
              <w:bottom w:w="35" w:type="dxa"/>
              <w:right w:w="35" w:type="dxa"/>
            </w:tcMar>
            <w:hideMark/>
          </w:tcPr>
          <w:p w14:paraId="3055A8DD" w14:textId="77777777" w:rsidR="00B6082C" w:rsidRPr="00756461" w:rsidRDefault="00B6082C" w:rsidP="00BC1F31">
            <w:pPr>
              <w:spacing w:after="0" w:line="240" w:lineRule="auto"/>
              <w:rPr>
                <w:rFonts w:ascii="Arial" w:hAnsi="Arial" w:cs="Arial"/>
                <w:sz w:val="16"/>
                <w:szCs w:val="16"/>
                <w:lang w:val="en-GB"/>
              </w:rPr>
            </w:pPr>
            <w:r>
              <w:rPr>
                <w:rFonts w:ascii="Arial" w:hAnsi="Arial" w:cs="Arial"/>
                <w:sz w:val="16"/>
                <w:szCs w:val="16"/>
                <w:lang w:val="en-GB"/>
              </w:rPr>
              <w:t>Existing model c-statistic 0.57 (poor transportability); newly developed model optimism-adjusted c-statistic 0.78, calibration slope 0.94.</w:t>
            </w:r>
          </w:p>
        </w:tc>
        <w:tc>
          <w:tcPr>
            <w:tcW w:w="0" w:type="auto"/>
            <w:shd w:val="clear" w:color="auto" w:fill="ADADAD" w:themeFill="background2" w:themeFillShade="BF"/>
            <w:tcMar>
              <w:top w:w="35" w:type="dxa"/>
              <w:left w:w="35" w:type="dxa"/>
              <w:bottom w:w="35" w:type="dxa"/>
              <w:right w:w="35" w:type="dxa"/>
            </w:tcMar>
            <w:hideMark/>
          </w:tcPr>
          <w:p w14:paraId="613BFCAD" w14:textId="77777777" w:rsidR="00B6082C" w:rsidRPr="00756461" w:rsidRDefault="00B6082C" w:rsidP="00BC1F31">
            <w:pPr>
              <w:spacing w:after="0" w:line="240" w:lineRule="auto"/>
              <w:rPr>
                <w:rFonts w:ascii="Arial" w:hAnsi="Arial" w:cs="Arial"/>
                <w:sz w:val="16"/>
                <w:szCs w:val="16"/>
                <w:lang w:val="en-GB"/>
              </w:rPr>
            </w:pPr>
            <w:r>
              <w:rPr>
                <w:rFonts w:ascii="Arial" w:hAnsi="Arial" w:cs="Arial"/>
                <w:sz w:val="16"/>
                <w:szCs w:val="16"/>
                <w:lang w:val="en-GB"/>
              </w:rPr>
              <w:t>Nigeria-to-Tanzania (Zanzibar) arrow for the imported model.</w:t>
            </w:r>
          </w:p>
        </w:tc>
      </w:tr>
      <w:tr w:rsidR="00B6082C" w:rsidRPr="00756461" w14:paraId="11DA11D1" w14:textId="77777777" w:rsidTr="00BC1F31">
        <w:trPr>
          <w:jc w:val="center"/>
        </w:trPr>
        <w:tc>
          <w:tcPr>
            <w:tcW w:w="0" w:type="auto"/>
            <w:tcMar>
              <w:top w:w="35" w:type="dxa"/>
              <w:left w:w="35" w:type="dxa"/>
              <w:bottom w:w="35" w:type="dxa"/>
              <w:right w:w="35" w:type="dxa"/>
            </w:tcMar>
            <w:hideMark/>
          </w:tcPr>
          <w:p w14:paraId="61413F07" w14:textId="77777777" w:rsidR="00B6082C" w:rsidRPr="00756461" w:rsidRDefault="00B6082C" w:rsidP="00BC1F31">
            <w:pPr>
              <w:spacing w:after="0" w:line="240" w:lineRule="auto"/>
              <w:rPr>
                <w:rFonts w:ascii="Arial" w:hAnsi="Arial" w:cs="Arial"/>
                <w:sz w:val="16"/>
                <w:szCs w:val="16"/>
                <w:lang w:val="en-GB"/>
              </w:rPr>
            </w:pPr>
            <w:r>
              <w:rPr>
                <w:rFonts w:ascii="Arial Narrow" w:hAnsi="Arial Narrow"/>
                <w:sz w:val="16"/>
                <w:szCs w:val="16"/>
              </w:rPr>
              <w:fldChar w:fldCharType="begin"/>
            </w:r>
            <w:r>
              <w:rPr>
                <w:rFonts w:ascii="Arial Narrow" w:hAnsi="Arial Narrow"/>
                <w:sz w:val="16"/>
                <w:szCs w:val="16"/>
              </w:rPr>
              <w:instrText xml:space="preserve"> ADDIN ZOTERO_ITEM CSL_CITATION {"citationID":"1iWkrBIC","properties":{"unsorted":false,"formattedCitation":"[120]","plainCitation":"[120]","noteIndex":0},"citationItems":[{"id":7404,"uris":["http://zotero.org/users/16018142/items/T5A6W5K3"],"itemData":{"id":7404,"type":"article-journal","abstract":"Objective\nTo assess the risk of singleton intrauterine fetal death (IUFD) in women by the demographic setting of the online Fetal Medicine Foundation (FMF) Stillbirth Risk Calculator.\n\nMethods\nRetrospective single-centre case-control study involving 144 women having suffered IUFD and 247 women after delivery of a live-born singleton. Nonparametric receiver operating characteristics (ROC) analyses were performed to predict the prognostic power of the FMF Stillbirth risk score and to generate a cut-off value to discriminate best between the event of IUFD versus live birth.\n\nResults\nWomen in the IUFD cohort born a significantly higher overall risk with a median FMF risk score of 0.45% (IQR 0.23–0.99) compared to controls [0.23% (IQR 0.21–0.29); p&lt;0.001]. Demographic factors contributing to an increased risk of IUFD in our cohort were maternal obesity (p = 0.002), smoking (p&lt;0.001), chronic hypertension (p = 0.015), antiphospholipid syndrome (p = 0.017), type 2 diabetes (p&lt;0.001), and insulin requirement (p&lt;0.001). ROC analyses showed an area under the curve (AUC) of 0.72 (95% CI 0.67–0.78; p&lt;0.001) for predicting overall IUFD and an AUC of 0.72 (95% CI 0.64–0.80; p&lt;0.001), respectively, for predicting IUFD excluding congenital malformations. The FMF risk score at a cut-off of 0.34% (OR 6.22; 95% CI 3.91–9.89; p&lt;0.001) yielded an 82% specificity and 58% sensitivity in predicting IUFD with a positive and negative predictive value of 0.94% and 99.84%, respectively.\n\nConclusion\nThe FMF Stillbirth Risk Calculator based upon maternal demographic and obstetric characteristics only may help identify women at low risk of antepartum stillbirth.","container-title":"PLoS ONE","DOI":"10.1371/journal.pone.0260964","ISSN":"1932-6203","issue":"1","journalAbbreviation":"PLoS One","page":"e0260964","PMID":"35051188","PMCID":"PMC8775340","source":"PubMed Central","title":"Predicting singleton antepartum stillbirth by the demographic Fetal Medicine Foundation Risk Calculator—A retrospective case-control study","volume":"17","author":[{"family":"Muin","given":"Dana A."},{"family":"Windsperger","given":"Karin"},{"family":"Attia","given":"Nadia"},{"family":"Kiss","given":"Herbert"}],"issued":{"date-parts":[["2022",1,20]]}}}],"schema":"https://github.com/citation-style-language/schema/raw/master/csl-citation.json"} </w:instrText>
            </w:r>
            <w:r>
              <w:rPr>
                <w:rFonts w:ascii="Arial Narrow" w:hAnsi="Arial Narrow"/>
                <w:sz w:val="16"/>
                <w:szCs w:val="16"/>
              </w:rPr>
              <w:fldChar w:fldCharType="separate"/>
            </w:r>
            <w:r>
              <w:rPr>
                <w:rFonts w:ascii="Arial Narrow" w:hAnsi="Arial Narrow"/>
                <w:sz w:val="16"/>
              </w:rPr>
              <w:t>[120]</w:t>
            </w:r>
            <w:r>
              <w:rPr>
                <w:rFonts w:ascii="Arial Narrow" w:hAnsi="Arial Narrow"/>
                <w:sz w:val="16"/>
                <w:szCs w:val="16"/>
              </w:rPr>
              <w:fldChar w:fldCharType="end"/>
            </w:r>
          </w:p>
        </w:tc>
        <w:tc>
          <w:tcPr>
            <w:tcW w:w="0" w:type="auto"/>
            <w:tcMar>
              <w:top w:w="35" w:type="dxa"/>
              <w:left w:w="35" w:type="dxa"/>
              <w:bottom w:w="35" w:type="dxa"/>
              <w:right w:w="35" w:type="dxa"/>
            </w:tcMar>
            <w:hideMark/>
          </w:tcPr>
          <w:p w14:paraId="1F1BD2E6" w14:textId="77777777" w:rsidR="00B6082C" w:rsidRPr="00756461" w:rsidRDefault="00B6082C" w:rsidP="00BC1F31">
            <w:pPr>
              <w:spacing w:after="0" w:line="240" w:lineRule="auto"/>
              <w:rPr>
                <w:rFonts w:ascii="Arial" w:hAnsi="Arial" w:cs="Arial"/>
                <w:sz w:val="16"/>
                <w:szCs w:val="16"/>
                <w:lang w:val="en-GB"/>
              </w:rPr>
            </w:pPr>
            <w:r>
              <w:rPr>
                <w:rFonts w:ascii="Arial" w:hAnsi="Arial" w:cs="Arial"/>
                <w:sz w:val="16"/>
                <w:szCs w:val="16"/>
                <w:lang w:val="en-GB"/>
              </w:rPr>
              <w:t>Muin et al. 2022</w:t>
            </w:r>
          </w:p>
        </w:tc>
        <w:tc>
          <w:tcPr>
            <w:tcW w:w="0" w:type="auto"/>
            <w:tcMar>
              <w:top w:w="35" w:type="dxa"/>
              <w:left w:w="35" w:type="dxa"/>
              <w:bottom w:w="35" w:type="dxa"/>
              <w:right w:w="35" w:type="dxa"/>
            </w:tcMar>
            <w:hideMark/>
          </w:tcPr>
          <w:p w14:paraId="097695DA" w14:textId="77777777" w:rsidR="00B6082C" w:rsidRPr="00756461" w:rsidRDefault="00B6082C" w:rsidP="00BC1F31">
            <w:pPr>
              <w:spacing w:after="0" w:line="240" w:lineRule="auto"/>
              <w:rPr>
                <w:rFonts w:ascii="Arial" w:hAnsi="Arial" w:cs="Arial"/>
                <w:sz w:val="16"/>
                <w:szCs w:val="16"/>
                <w:lang w:val="en-GB"/>
              </w:rPr>
            </w:pPr>
            <w:r>
              <w:rPr>
                <w:rFonts w:ascii="Arial" w:hAnsi="Arial" w:cs="Arial"/>
                <w:sz w:val="16"/>
                <w:szCs w:val="16"/>
                <w:lang w:val="en-GB"/>
              </w:rPr>
              <w:t>Stillbirths</w:t>
            </w:r>
          </w:p>
        </w:tc>
        <w:tc>
          <w:tcPr>
            <w:tcW w:w="0" w:type="auto"/>
            <w:tcMar>
              <w:top w:w="35" w:type="dxa"/>
              <w:left w:w="35" w:type="dxa"/>
              <w:bottom w:w="35" w:type="dxa"/>
              <w:right w:w="35" w:type="dxa"/>
            </w:tcMar>
            <w:hideMark/>
          </w:tcPr>
          <w:p w14:paraId="255F8CEF" w14:textId="77777777" w:rsidR="00B6082C" w:rsidRPr="00756461" w:rsidRDefault="00B6082C" w:rsidP="00BC1F31">
            <w:pPr>
              <w:spacing w:after="0" w:line="240" w:lineRule="auto"/>
              <w:rPr>
                <w:rFonts w:ascii="Arial" w:hAnsi="Arial" w:cs="Arial"/>
                <w:sz w:val="16"/>
                <w:szCs w:val="16"/>
                <w:lang w:val="en-GB"/>
              </w:rPr>
            </w:pPr>
            <w:r>
              <w:rPr>
                <w:rFonts w:ascii="Arial" w:hAnsi="Arial" w:cs="Arial"/>
                <w:sz w:val="16"/>
                <w:szCs w:val="16"/>
                <w:lang w:val="en-GB"/>
              </w:rPr>
              <w:t>United Kingdom: Fetal Medicine Foundation (FMF) stillbirth risk tool.</w:t>
            </w:r>
          </w:p>
        </w:tc>
        <w:tc>
          <w:tcPr>
            <w:tcW w:w="0" w:type="auto"/>
            <w:tcMar>
              <w:top w:w="35" w:type="dxa"/>
              <w:left w:w="35" w:type="dxa"/>
              <w:bottom w:w="35" w:type="dxa"/>
              <w:right w:w="35" w:type="dxa"/>
            </w:tcMar>
            <w:hideMark/>
          </w:tcPr>
          <w:p w14:paraId="5DAE8444" w14:textId="77777777" w:rsidR="00B6082C" w:rsidRPr="00756461" w:rsidRDefault="00B6082C" w:rsidP="00BC1F31">
            <w:pPr>
              <w:spacing w:after="0" w:line="240" w:lineRule="auto"/>
              <w:rPr>
                <w:rFonts w:ascii="Arial" w:hAnsi="Arial" w:cs="Arial"/>
                <w:sz w:val="16"/>
                <w:szCs w:val="16"/>
                <w:lang w:val="en-GB"/>
              </w:rPr>
            </w:pPr>
            <w:r>
              <w:rPr>
                <w:rFonts w:ascii="Arial" w:hAnsi="Arial" w:cs="Arial"/>
                <w:sz w:val="16"/>
                <w:szCs w:val="16"/>
                <w:lang w:val="en-GB"/>
              </w:rPr>
              <w:t>Austria: Medical University of Vienna cohort.</w:t>
            </w:r>
          </w:p>
        </w:tc>
        <w:tc>
          <w:tcPr>
            <w:tcW w:w="0" w:type="auto"/>
            <w:tcMar>
              <w:top w:w="35" w:type="dxa"/>
              <w:left w:w="35" w:type="dxa"/>
              <w:bottom w:w="35" w:type="dxa"/>
              <w:right w:w="35" w:type="dxa"/>
            </w:tcMar>
            <w:hideMark/>
          </w:tcPr>
          <w:p w14:paraId="0B14FD92" w14:textId="77777777" w:rsidR="00B6082C" w:rsidRPr="00756461" w:rsidRDefault="00B6082C" w:rsidP="00BC1F31">
            <w:pPr>
              <w:spacing w:after="0" w:line="240" w:lineRule="auto"/>
              <w:rPr>
                <w:rFonts w:ascii="Arial" w:hAnsi="Arial" w:cs="Arial"/>
                <w:sz w:val="16"/>
                <w:szCs w:val="16"/>
                <w:lang w:val="en-GB"/>
              </w:rPr>
            </w:pPr>
            <w:r>
              <w:rPr>
                <w:rFonts w:ascii="Arial" w:hAnsi="Arial" w:cs="Arial"/>
                <w:sz w:val="16"/>
                <w:szCs w:val="16"/>
                <w:lang w:val="en-GB"/>
              </w:rPr>
              <w:t>External validation bypassing SSA</w:t>
            </w:r>
          </w:p>
        </w:tc>
        <w:tc>
          <w:tcPr>
            <w:tcW w:w="0" w:type="auto"/>
            <w:tcMar>
              <w:top w:w="35" w:type="dxa"/>
              <w:left w:w="35" w:type="dxa"/>
              <w:bottom w:w="35" w:type="dxa"/>
              <w:right w:w="35" w:type="dxa"/>
            </w:tcMar>
            <w:hideMark/>
          </w:tcPr>
          <w:p w14:paraId="3F508DD9" w14:textId="77777777" w:rsidR="00B6082C" w:rsidRPr="00756461" w:rsidRDefault="00B6082C" w:rsidP="00BC1F31">
            <w:pPr>
              <w:spacing w:after="0" w:line="240" w:lineRule="auto"/>
              <w:rPr>
                <w:rFonts w:ascii="Arial" w:hAnsi="Arial" w:cs="Arial"/>
                <w:sz w:val="16"/>
                <w:szCs w:val="16"/>
                <w:lang w:val="en-GB"/>
              </w:rPr>
            </w:pPr>
            <w:r>
              <w:rPr>
                <w:rFonts w:ascii="Arial" w:hAnsi="Arial" w:cs="Arial"/>
                <w:sz w:val="16"/>
                <w:szCs w:val="16"/>
                <w:lang w:val="en-GB"/>
              </w:rPr>
              <w:t>Fetal Medicine Foundation competing-risks stillbirth model.</w:t>
            </w:r>
          </w:p>
        </w:tc>
        <w:tc>
          <w:tcPr>
            <w:tcW w:w="0" w:type="auto"/>
            <w:tcMar>
              <w:top w:w="35" w:type="dxa"/>
              <w:left w:w="35" w:type="dxa"/>
              <w:bottom w:w="35" w:type="dxa"/>
              <w:right w:w="35" w:type="dxa"/>
            </w:tcMar>
            <w:hideMark/>
          </w:tcPr>
          <w:p w14:paraId="105EA66F" w14:textId="77777777" w:rsidR="00B6082C" w:rsidRPr="00756461" w:rsidRDefault="00B6082C" w:rsidP="00BC1F31">
            <w:pPr>
              <w:spacing w:after="0" w:line="240" w:lineRule="auto"/>
              <w:rPr>
                <w:rFonts w:ascii="Arial" w:hAnsi="Arial" w:cs="Arial"/>
                <w:sz w:val="16"/>
                <w:szCs w:val="16"/>
                <w:lang w:val="en-GB"/>
              </w:rPr>
            </w:pPr>
            <w:r>
              <w:rPr>
                <w:rFonts w:ascii="Arial" w:hAnsi="Arial" w:cs="Arial"/>
                <w:sz w:val="16"/>
                <w:szCs w:val="16"/>
                <w:lang w:val="en-GB"/>
              </w:rPr>
              <w:t>Independent external validation in an Austrian case-control cohort.</w:t>
            </w:r>
          </w:p>
        </w:tc>
        <w:tc>
          <w:tcPr>
            <w:tcW w:w="0" w:type="auto"/>
            <w:tcMar>
              <w:top w:w="35" w:type="dxa"/>
              <w:left w:w="35" w:type="dxa"/>
              <w:bottom w:w="35" w:type="dxa"/>
              <w:right w:w="35" w:type="dxa"/>
            </w:tcMar>
            <w:hideMark/>
          </w:tcPr>
          <w:p w14:paraId="1A23B9AF" w14:textId="77777777" w:rsidR="00B6082C" w:rsidRPr="00756461" w:rsidRDefault="00B6082C" w:rsidP="00BC1F31">
            <w:pPr>
              <w:spacing w:after="0" w:line="240" w:lineRule="auto"/>
              <w:rPr>
                <w:rFonts w:ascii="Arial" w:hAnsi="Arial" w:cs="Arial"/>
                <w:sz w:val="16"/>
                <w:szCs w:val="16"/>
                <w:lang w:val="en-GB"/>
              </w:rPr>
            </w:pPr>
            <w:r>
              <w:rPr>
                <w:rFonts w:ascii="Arial" w:hAnsi="Arial" w:cs="Arial"/>
                <w:sz w:val="16"/>
                <w:szCs w:val="16"/>
                <w:lang w:val="en-GB"/>
              </w:rPr>
              <w:t>391 women (144 intrauterine fetal deaths, 247 controls).</w:t>
            </w:r>
          </w:p>
        </w:tc>
        <w:tc>
          <w:tcPr>
            <w:tcW w:w="0" w:type="auto"/>
            <w:tcMar>
              <w:top w:w="35" w:type="dxa"/>
              <w:left w:w="35" w:type="dxa"/>
              <w:bottom w:w="35" w:type="dxa"/>
              <w:right w:w="35" w:type="dxa"/>
            </w:tcMar>
            <w:hideMark/>
          </w:tcPr>
          <w:p w14:paraId="67971B61" w14:textId="77777777" w:rsidR="00B6082C" w:rsidRPr="00756461" w:rsidRDefault="00B6082C" w:rsidP="00BC1F31">
            <w:pPr>
              <w:spacing w:after="0" w:line="240" w:lineRule="auto"/>
              <w:rPr>
                <w:rFonts w:ascii="Arial" w:hAnsi="Arial" w:cs="Arial"/>
                <w:sz w:val="16"/>
                <w:szCs w:val="16"/>
                <w:lang w:val="en-GB"/>
              </w:rPr>
            </w:pPr>
            <w:r>
              <w:rPr>
                <w:rFonts w:ascii="Arial" w:hAnsi="Arial" w:cs="Arial"/>
                <w:sz w:val="16"/>
                <w:szCs w:val="16"/>
                <w:lang w:val="en-GB"/>
              </w:rPr>
              <w:t>AUC 0.72 in external validation; the tool retained moderate discrimination outside the development population.</w:t>
            </w:r>
          </w:p>
        </w:tc>
        <w:tc>
          <w:tcPr>
            <w:tcW w:w="0" w:type="auto"/>
            <w:tcMar>
              <w:top w:w="35" w:type="dxa"/>
              <w:left w:w="35" w:type="dxa"/>
              <w:bottom w:w="35" w:type="dxa"/>
              <w:right w:w="35" w:type="dxa"/>
            </w:tcMar>
            <w:hideMark/>
          </w:tcPr>
          <w:p w14:paraId="2B0249E8" w14:textId="77777777" w:rsidR="00B6082C" w:rsidRPr="00756461" w:rsidRDefault="00B6082C" w:rsidP="00BC1F31">
            <w:pPr>
              <w:spacing w:after="0" w:line="240" w:lineRule="auto"/>
              <w:rPr>
                <w:rFonts w:ascii="Arial" w:hAnsi="Arial" w:cs="Arial"/>
                <w:sz w:val="16"/>
                <w:szCs w:val="16"/>
                <w:lang w:val="en-GB"/>
              </w:rPr>
            </w:pPr>
            <w:r>
              <w:rPr>
                <w:rFonts w:ascii="Arial" w:hAnsi="Arial" w:cs="Arial"/>
                <w:sz w:val="16"/>
                <w:szCs w:val="16"/>
                <w:lang w:val="en-GB"/>
              </w:rPr>
              <w:t>United Kingdom-to-Austria arrow; no SSA route.</w:t>
            </w:r>
          </w:p>
        </w:tc>
      </w:tr>
      <w:tr w:rsidR="00B6082C" w:rsidRPr="00756461" w14:paraId="40AF96C0" w14:textId="77777777" w:rsidTr="00BC1F31">
        <w:trPr>
          <w:jc w:val="center"/>
        </w:trPr>
        <w:tc>
          <w:tcPr>
            <w:tcW w:w="0" w:type="auto"/>
            <w:tcMar>
              <w:top w:w="35" w:type="dxa"/>
              <w:left w:w="35" w:type="dxa"/>
              <w:bottom w:w="35" w:type="dxa"/>
              <w:right w:w="35" w:type="dxa"/>
            </w:tcMar>
            <w:hideMark/>
          </w:tcPr>
          <w:p w14:paraId="75EA2BCE" w14:textId="77777777" w:rsidR="00B6082C" w:rsidRPr="00756461" w:rsidRDefault="00B6082C" w:rsidP="00BC1F31">
            <w:pPr>
              <w:spacing w:after="0" w:line="240" w:lineRule="auto"/>
              <w:rPr>
                <w:rFonts w:ascii="Arial" w:hAnsi="Arial" w:cs="Arial"/>
                <w:sz w:val="16"/>
                <w:szCs w:val="16"/>
                <w:lang w:val="en-GB"/>
              </w:rPr>
            </w:pPr>
            <w:r>
              <w:rPr>
                <w:rFonts w:ascii="Arial Narrow" w:hAnsi="Arial Narrow"/>
                <w:sz w:val="16"/>
                <w:szCs w:val="16"/>
              </w:rPr>
              <w:fldChar w:fldCharType="begin"/>
            </w:r>
            <w:r>
              <w:rPr>
                <w:rFonts w:ascii="Arial Narrow" w:hAnsi="Arial Narrow"/>
                <w:sz w:val="16"/>
                <w:szCs w:val="16"/>
              </w:rPr>
              <w:instrText xml:space="preserve"> ADDIN ZOTERO_ITEM CSL_CITATION {"citationID":"dmDH4iwR","properties":{"unsorted":false,"formattedCitation":"[122]","plainCitation":"[122]","noteIndex":0},"citationItems":[{"id":7410,"uris":["http://zotero.org/users/16018142/items/NXHGXYRX"],"itemData":{"id":7410,"type":"article-journal","abstract":"To validate externally 2 prognostic models for stillbirth and neonatal death in very preterm infants who are either known to be alive at the onset of labor or admitted for neonatal intensive care.All infants, with gestational age 22 to 32 weeks, of European ethnicity, known to be alive at the onset of labor (n = 17582) and admitted for neonatal intensive care (n = 11578), who were born in the Netherlands between January 1, 2000, and December 31, 2007. The main outcome measures were stillbirth or death within 28 days for infants known to be alive at the onset of labor and death before discharge from the NICU for infants admitted for intensive care. Model performance was studied with calibration plots and c statistic.Of the infants known to be alive at the onset of labor, 16.7% (n = 2939) died during labor or within 28 days of birth, and 7.8% (n = 908) of the infants admitted for neonatal intensive care died before discharge from intensive care. The prognostic model for infants known to be alive at the onset of labor showed good calibration and excellent discrimination (c statistic 0.92). The prognostic model for infants admitted for neonatal intensive care showed good calibration and good discrimination (c statistic 0.82).The 2 prognostic models for stillbirth and neonatal death in very preterm Dutch infants showed good performance, suggesting their use in clinical practice in the Netherlands and possibly other Western countries.","container-title":"Pediatrics","DOI":"10.1542/peds.2011-0803","ISSN":"0031-4005","issue":"1","journalAbbreviation":"Pediatrics","page":"e120-e127","source":"Silverchair","title":"Prognostic Models for Stillbirth and Neonatal Death in Very Preterm Birth: A Validation Study","title-short":"Prognostic Models for Stillbirth and Neonatal Death in Very Preterm Birth","volume":"129","author":[{"family":"Schuit","given":"Ewoud"},{"family":"Hukkelhoven","given":"Chantal W.P.M."},{"family":"Manktelow","given":"Bradley N."},{"family":"Papatsonis","given":"Dimitri N.M."},{"family":"Kleine","given":"Martin J.K.","non-dropping-particle":"de"},{"family":"Draper","given":"Elizabeth S."},{"family":"Steyerberg","given":"Ewout W."},{"family":"Vergouwe","given":"Yvonne"}],"issued":{"date-parts":[["2012",1,1]]}}}],"schema":"https://github.com/citation-style-language/schema/raw/master/csl-citation.json"} </w:instrText>
            </w:r>
            <w:r>
              <w:rPr>
                <w:rFonts w:ascii="Arial Narrow" w:hAnsi="Arial Narrow"/>
                <w:sz w:val="16"/>
                <w:szCs w:val="16"/>
              </w:rPr>
              <w:fldChar w:fldCharType="separate"/>
            </w:r>
            <w:r>
              <w:rPr>
                <w:rFonts w:ascii="Arial Narrow" w:hAnsi="Arial Narrow"/>
                <w:sz w:val="16"/>
              </w:rPr>
              <w:t>[122]</w:t>
            </w:r>
            <w:r>
              <w:rPr>
                <w:rFonts w:ascii="Arial Narrow" w:hAnsi="Arial Narrow"/>
                <w:sz w:val="16"/>
                <w:szCs w:val="16"/>
              </w:rPr>
              <w:fldChar w:fldCharType="end"/>
            </w:r>
          </w:p>
        </w:tc>
        <w:tc>
          <w:tcPr>
            <w:tcW w:w="0" w:type="auto"/>
            <w:tcMar>
              <w:top w:w="35" w:type="dxa"/>
              <w:left w:w="35" w:type="dxa"/>
              <w:bottom w:w="35" w:type="dxa"/>
              <w:right w:w="35" w:type="dxa"/>
            </w:tcMar>
            <w:hideMark/>
          </w:tcPr>
          <w:p w14:paraId="339F7679" w14:textId="77777777" w:rsidR="00B6082C" w:rsidRPr="00756461" w:rsidRDefault="00B6082C" w:rsidP="00BC1F31">
            <w:pPr>
              <w:spacing w:after="0" w:line="240" w:lineRule="auto"/>
              <w:rPr>
                <w:rFonts w:ascii="Arial" w:hAnsi="Arial" w:cs="Arial"/>
                <w:sz w:val="16"/>
                <w:szCs w:val="16"/>
                <w:lang w:val="en-GB"/>
              </w:rPr>
            </w:pPr>
            <w:r>
              <w:rPr>
                <w:rFonts w:ascii="Arial" w:hAnsi="Arial" w:cs="Arial"/>
                <w:sz w:val="16"/>
                <w:szCs w:val="16"/>
                <w:lang w:val="en-GB"/>
              </w:rPr>
              <w:t>Schuit et al. 2012</w:t>
            </w:r>
          </w:p>
        </w:tc>
        <w:tc>
          <w:tcPr>
            <w:tcW w:w="0" w:type="auto"/>
            <w:tcMar>
              <w:top w:w="35" w:type="dxa"/>
              <w:left w:w="35" w:type="dxa"/>
              <w:bottom w:w="35" w:type="dxa"/>
              <w:right w:w="35" w:type="dxa"/>
            </w:tcMar>
            <w:hideMark/>
          </w:tcPr>
          <w:p w14:paraId="0790C485" w14:textId="77777777" w:rsidR="00B6082C" w:rsidRPr="00756461" w:rsidRDefault="00B6082C" w:rsidP="00BC1F31">
            <w:pPr>
              <w:spacing w:after="0" w:line="240" w:lineRule="auto"/>
              <w:rPr>
                <w:rFonts w:ascii="Arial" w:hAnsi="Arial" w:cs="Arial"/>
                <w:sz w:val="16"/>
                <w:szCs w:val="16"/>
                <w:lang w:val="en-GB"/>
              </w:rPr>
            </w:pPr>
            <w:r>
              <w:rPr>
                <w:rFonts w:ascii="Arial" w:hAnsi="Arial" w:cs="Arial"/>
                <w:sz w:val="16"/>
                <w:szCs w:val="16"/>
                <w:lang w:val="en-GB"/>
              </w:rPr>
              <w:t>Stillbirths and neonatal deaths</w:t>
            </w:r>
          </w:p>
        </w:tc>
        <w:tc>
          <w:tcPr>
            <w:tcW w:w="0" w:type="auto"/>
            <w:tcMar>
              <w:top w:w="35" w:type="dxa"/>
              <w:left w:w="35" w:type="dxa"/>
              <w:bottom w:w="35" w:type="dxa"/>
              <w:right w:w="35" w:type="dxa"/>
            </w:tcMar>
            <w:hideMark/>
          </w:tcPr>
          <w:p w14:paraId="57CFDD82" w14:textId="77777777" w:rsidR="00B6082C" w:rsidRPr="00756461" w:rsidRDefault="00B6082C" w:rsidP="00BC1F31">
            <w:pPr>
              <w:spacing w:after="0" w:line="240" w:lineRule="auto"/>
              <w:rPr>
                <w:rFonts w:ascii="Arial" w:hAnsi="Arial" w:cs="Arial"/>
                <w:sz w:val="16"/>
                <w:szCs w:val="16"/>
                <w:lang w:val="en-GB"/>
              </w:rPr>
            </w:pPr>
            <w:r>
              <w:rPr>
                <w:rFonts w:ascii="Arial" w:hAnsi="Arial" w:cs="Arial"/>
                <w:sz w:val="16"/>
                <w:szCs w:val="16"/>
                <w:lang w:val="en-GB"/>
              </w:rPr>
              <w:t>United Kingdom: two previously published antenatal/intrapartum prediction models.</w:t>
            </w:r>
          </w:p>
        </w:tc>
        <w:tc>
          <w:tcPr>
            <w:tcW w:w="0" w:type="auto"/>
            <w:tcMar>
              <w:top w:w="35" w:type="dxa"/>
              <w:left w:w="35" w:type="dxa"/>
              <w:bottom w:w="35" w:type="dxa"/>
              <w:right w:w="35" w:type="dxa"/>
            </w:tcMar>
            <w:hideMark/>
          </w:tcPr>
          <w:p w14:paraId="5C71B119" w14:textId="77777777" w:rsidR="00B6082C" w:rsidRPr="00756461" w:rsidRDefault="00B6082C" w:rsidP="00BC1F31">
            <w:pPr>
              <w:spacing w:after="0" w:line="240" w:lineRule="auto"/>
              <w:rPr>
                <w:rFonts w:ascii="Arial" w:hAnsi="Arial" w:cs="Arial"/>
                <w:sz w:val="16"/>
                <w:szCs w:val="16"/>
                <w:lang w:val="en-GB"/>
              </w:rPr>
            </w:pPr>
            <w:r>
              <w:rPr>
                <w:rFonts w:ascii="Arial" w:hAnsi="Arial" w:cs="Arial"/>
                <w:sz w:val="16"/>
                <w:szCs w:val="16"/>
                <w:lang w:val="en-GB"/>
              </w:rPr>
              <w:t>Netherlands: nationwide perinatal registry cohort.</w:t>
            </w:r>
          </w:p>
        </w:tc>
        <w:tc>
          <w:tcPr>
            <w:tcW w:w="0" w:type="auto"/>
            <w:tcMar>
              <w:top w:w="35" w:type="dxa"/>
              <w:left w:w="35" w:type="dxa"/>
              <w:bottom w:w="35" w:type="dxa"/>
              <w:right w:w="35" w:type="dxa"/>
            </w:tcMar>
            <w:hideMark/>
          </w:tcPr>
          <w:p w14:paraId="10A3E301" w14:textId="77777777" w:rsidR="00B6082C" w:rsidRPr="00756461" w:rsidRDefault="00B6082C" w:rsidP="00BC1F31">
            <w:pPr>
              <w:spacing w:after="0" w:line="240" w:lineRule="auto"/>
              <w:rPr>
                <w:rFonts w:ascii="Arial" w:hAnsi="Arial" w:cs="Arial"/>
                <w:sz w:val="16"/>
                <w:szCs w:val="16"/>
                <w:lang w:val="en-GB"/>
              </w:rPr>
            </w:pPr>
            <w:r>
              <w:rPr>
                <w:rFonts w:ascii="Arial" w:hAnsi="Arial" w:cs="Arial"/>
                <w:sz w:val="16"/>
                <w:szCs w:val="16"/>
                <w:lang w:val="en-GB"/>
              </w:rPr>
              <w:t>External validation bypassing SSA</w:t>
            </w:r>
          </w:p>
        </w:tc>
        <w:tc>
          <w:tcPr>
            <w:tcW w:w="0" w:type="auto"/>
            <w:tcMar>
              <w:top w:w="35" w:type="dxa"/>
              <w:left w:w="35" w:type="dxa"/>
              <w:bottom w:w="35" w:type="dxa"/>
              <w:right w:w="35" w:type="dxa"/>
            </w:tcMar>
            <w:hideMark/>
          </w:tcPr>
          <w:p w14:paraId="7A484572" w14:textId="77777777" w:rsidR="00B6082C" w:rsidRPr="00756461" w:rsidRDefault="00B6082C" w:rsidP="00BC1F31">
            <w:pPr>
              <w:spacing w:after="0" w:line="240" w:lineRule="auto"/>
              <w:rPr>
                <w:rFonts w:ascii="Arial" w:hAnsi="Arial" w:cs="Arial"/>
                <w:sz w:val="16"/>
                <w:szCs w:val="16"/>
                <w:lang w:val="en-GB"/>
              </w:rPr>
            </w:pPr>
            <w:r>
              <w:rPr>
                <w:rFonts w:ascii="Arial" w:hAnsi="Arial" w:cs="Arial"/>
                <w:sz w:val="16"/>
                <w:szCs w:val="16"/>
                <w:lang w:val="en-GB"/>
              </w:rPr>
              <w:t>Two existing UK prediction models for perinatal death in very preterm infants.</w:t>
            </w:r>
          </w:p>
        </w:tc>
        <w:tc>
          <w:tcPr>
            <w:tcW w:w="0" w:type="auto"/>
            <w:tcMar>
              <w:top w:w="35" w:type="dxa"/>
              <w:left w:w="35" w:type="dxa"/>
              <w:bottom w:w="35" w:type="dxa"/>
              <w:right w:w="35" w:type="dxa"/>
            </w:tcMar>
            <w:hideMark/>
          </w:tcPr>
          <w:p w14:paraId="419D2D6F" w14:textId="77777777" w:rsidR="00B6082C" w:rsidRPr="00756461" w:rsidRDefault="00B6082C" w:rsidP="00BC1F31">
            <w:pPr>
              <w:spacing w:after="0" w:line="240" w:lineRule="auto"/>
              <w:rPr>
                <w:rFonts w:ascii="Arial" w:hAnsi="Arial" w:cs="Arial"/>
                <w:sz w:val="16"/>
                <w:szCs w:val="16"/>
                <w:lang w:val="en-GB"/>
              </w:rPr>
            </w:pPr>
            <w:r>
              <w:rPr>
                <w:rFonts w:ascii="Arial" w:hAnsi="Arial" w:cs="Arial"/>
                <w:sz w:val="16"/>
                <w:szCs w:val="16"/>
                <w:lang w:val="en-GB"/>
              </w:rPr>
              <w:t>Independent external validation in a Dutch national registry cohort.</w:t>
            </w:r>
          </w:p>
        </w:tc>
        <w:tc>
          <w:tcPr>
            <w:tcW w:w="0" w:type="auto"/>
            <w:tcMar>
              <w:top w:w="35" w:type="dxa"/>
              <w:left w:w="35" w:type="dxa"/>
              <w:bottom w:w="35" w:type="dxa"/>
              <w:right w:w="35" w:type="dxa"/>
            </w:tcMar>
            <w:hideMark/>
          </w:tcPr>
          <w:p w14:paraId="45E4E174" w14:textId="77777777" w:rsidR="00B6082C" w:rsidRPr="00756461" w:rsidRDefault="00B6082C" w:rsidP="00BC1F31">
            <w:pPr>
              <w:spacing w:after="0" w:line="240" w:lineRule="auto"/>
              <w:rPr>
                <w:rFonts w:ascii="Arial" w:hAnsi="Arial" w:cs="Arial"/>
                <w:sz w:val="16"/>
                <w:szCs w:val="16"/>
                <w:lang w:val="en-GB"/>
              </w:rPr>
            </w:pPr>
            <w:r>
              <w:rPr>
                <w:rFonts w:ascii="Arial" w:hAnsi="Arial" w:cs="Arial"/>
                <w:sz w:val="16"/>
                <w:szCs w:val="16"/>
                <w:lang w:val="en-GB"/>
              </w:rPr>
              <w:t>17,582 infants alive at the onset of labour (development) with external validation set of 11,578 infants.</w:t>
            </w:r>
          </w:p>
        </w:tc>
        <w:tc>
          <w:tcPr>
            <w:tcW w:w="0" w:type="auto"/>
            <w:tcMar>
              <w:top w:w="35" w:type="dxa"/>
              <w:left w:w="35" w:type="dxa"/>
              <w:bottom w:w="35" w:type="dxa"/>
              <w:right w:w="35" w:type="dxa"/>
            </w:tcMar>
            <w:hideMark/>
          </w:tcPr>
          <w:p w14:paraId="78A9E8B8" w14:textId="77777777" w:rsidR="00B6082C" w:rsidRPr="00756461" w:rsidRDefault="00B6082C" w:rsidP="00BC1F31">
            <w:pPr>
              <w:spacing w:after="0" w:line="240" w:lineRule="auto"/>
              <w:rPr>
                <w:rFonts w:ascii="Arial" w:hAnsi="Arial" w:cs="Arial"/>
                <w:sz w:val="16"/>
                <w:szCs w:val="16"/>
                <w:lang w:val="en-GB"/>
              </w:rPr>
            </w:pPr>
            <w:r>
              <w:rPr>
                <w:rFonts w:ascii="Arial" w:hAnsi="Arial" w:cs="Arial"/>
                <w:sz w:val="16"/>
                <w:szCs w:val="16"/>
                <w:lang w:val="en-GB"/>
              </w:rPr>
              <w:t>External c-statistics 0.82 and 0.92; discrimination was largely preserved on transport to the Dutch setting.</w:t>
            </w:r>
          </w:p>
        </w:tc>
        <w:tc>
          <w:tcPr>
            <w:tcW w:w="0" w:type="auto"/>
            <w:tcMar>
              <w:top w:w="35" w:type="dxa"/>
              <w:left w:w="35" w:type="dxa"/>
              <w:bottom w:w="35" w:type="dxa"/>
              <w:right w:w="35" w:type="dxa"/>
            </w:tcMar>
            <w:hideMark/>
          </w:tcPr>
          <w:p w14:paraId="2951C2EC" w14:textId="77777777" w:rsidR="00B6082C" w:rsidRPr="00756461" w:rsidRDefault="00B6082C" w:rsidP="00BC1F31">
            <w:pPr>
              <w:spacing w:after="0" w:line="240" w:lineRule="auto"/>
              <w:rPr>
                <w:rFonts w:ascii="Arial" w:hAnsi="Arial" w:cs="Arial"/>
                <w:sz w:val="16"/>
                <w:szCs w:val="16"/>
                <w:lang w:val="en-GB"/>
              </w:rPr>
            </w:pPr>
            <w:r>
              <w:rPr>
                <w:rFonts w:ascii="Arial" w:hAnsi="Arial" w:cs="Arial"/>
                <w:sz w:val="16"/>
                <w:szCs w:val="16"/>
                <w:lang w:val="en-GB"/>
              </w:rPr>
              <w:t>United Kingdom-to-Netherlands arrow; no SSA route.</w:t>
            </w:r>
          </w:p>
        </w:tc>
      </w:tr>
      <w:tr w:rsidR="00B6082C" w:rsidRPr="00756461" w14:paraId="1F293EC3" w14:textId="77777777" w:rsidTr="00BC1F31">
        <w:trPr>
          <w:jc w:val="center"/>
        </w:trPr>
        <w:tc>
          <w:tcPr>
            <w:tcW w:w="0" w:type="auto"/>
            <w:tcBorders>
              <w:top w:val="single" w:sz="4" w:space="0" w:color="auto"/>
              <w:left w:val="nil"/>
              <w:bottom w:val="nil"/>
              <w:right w:val="nil"/>
            </w:tcBorders>
            <w:tcMar>
              <w:top w:w="35" w:type="dxa"/>
              <w:left w:w="35" w:type="dxa"/>
              <w:bottom w:w="35" w:type="dxa"/>
              <w:right w:w="35" w:type="dxa"/>
            </w:tcMar>
          </w:tcPr>
          <w:p w14:paraId="2B371460" w14:textId="77777777" w:rsidR="00B6082C" w:rsidRPr="00756461" w:rsidRDefault="00B6082C" w:rsidP="00BC1F31">
            <w:pPr>
              <w:spacing w:after="0" w:line="240" w:lineRule="auto"/>
              <w:rPr>
                <w:rFonts w:ascii="Arial" w:hAnsi="Arial" w:cs="Arial"/>
                <w:i/>
                <w:sz w:val="16"/>
                <w:szCs w:val="16"/>
                <w:lang w:val="en-GB"/>
              </w:rPr>
            </w:pPr>
          </w:p>
        </w:tc>
        <w:tc>
          <w:tcPr>
            <w:tcW w:w="0" w:type="auto"/>
            <w:tcBorders>
              <w:top w:val="single" w:sz="4" w:space="0" w:color="auto"/>
              <w:left w:val="nil"/>
              <w:bottom w:val="nil"/>
              <w:right w:val="nil"/>
            </w:tcBorders>
            <w:shd w:val="clear" w:color="auto" w:fill="ADADAD" w:themeFill="background2" w:themeFillShade="BF"/>
            <w:tcMar>
              <w:top w:w="35" w:type="dxa"/>
              <w:left w:w="35" w:type="dxa"/>
              <w:bottom w:w="35" w:type="dxa"/>
              <w:right w:w="35" w:type="dxa"/>
            </w:tcMar>
          </w:tcPr>
          <w:p w14:paraId="7B156B6E" w14:textId="77777777" w:rsidR="00B6082C" w:rsidRPr="00756461" w:rsidRDefault="00B6082C" w:rsidP="00BC1F31">
            <w:pPr>
              <w:spacing w:after="0" w:line="240" w:lineRule="auto"/>
              <w:rPr>
                <w:rFonts w:ascii="Arial" w:hAnsi="Arial" w:cs="Arial"/>
                <w:i/>
                <w:sz w:val="16"/>
                <w:szCs w:val="16"/>
                <w:lang w:val="en-GB"/>
              </w:rPr>
            </w:pPr>
          </w:p>
        </w:tc>
        <w:tc>
          <w:tcPr>
            <w:tcW w:w="0" w:type="auto"/>
            <w:gridSpan w:val="9"/>
            <w:tcBorders>
              <w:top w:val="single" w:sz="4" w:space="0" w:color="auto"/>
              <w:left w:val="nil"/>
              <w:bottom w:val="nil"/>
              <w:right w:val="nil"/>
            </w:tcBorders>
            <w:tcMar>
              <w:top w:w="35" w:type="dxa"/>
              <w:left w:w="35" w:type="dxa"/>
              <w:bottom w:w="35" w:type="dxa"/>
              <w:right w:w="35" w:type="dxa"/>
            </w:tcMar>
          </w:tcPr>
          <w:p w14:paraId="7FC762E1" w14:textId="77777777" w:rsidR="00B6082C" w:rsidRPr="00756461" w:rsidRDefault="00B6082C" w:rsidP="00BC1F31">
            <w:pPr>
              <w:spacing w:after="0" w:line="240" w:lineRule="auto"/>
              <w:rPr>
                <w:rFonts w:ascii="Arial" w:hAnsi="Arial" w:cs="Arial"/>
                <w:i/>
                <w:sz w:val="16"/>
                <w:szCs w:val="16"/>
                <w:lang w:val="en-GB"/>
              </w:rPr>
            </w:pPr>
            <w:r>
              <w:rPr>
                <w:rFonts w:ascii="Arial" w:hAnsi="Arial" w:cs="Arial"/>
                <w:i/>
                <w:sz w:val="16"/>
                <w:szCs w:val="16"/>
                <w:lang w:val="en-GB"/>
              </w:rPr>
              <w:t>Studies with external validation and transportability in or with or from SSA</w:t>
            </w:r>
          </w:p>
        </w:tc>
      </w:tr>
    </w:tbl>
    <w:p w14:paraId="3CC17D75" w14:textId="7527785E" w:rsidR="00164EC5" w:rsidRPr="00756461" w:rsidRDefault="006065C0" w:rsidP="00164EC5">
      <w:pPr>
        <w:spacing w:after="0" w:line="240" w:lineRule="auto"/>
        <w:rPr>
          <w:rFonts w:ascii="Arial" w:hAnsi="Arial" w:cs="Arial"/>
          <w:i/>
          <w:sz w:val="18"/>
        </w:rPr>
      </w:pPr>
      <w:r>
        <w:rPr>
          <w:rFonts w:ascii="Arial" w:hAnsi="Arial" w:cs="Arial"/>
          <w:i/>
          <w:sz w:val="18"/>
        </w:rPr>
        <w:t xml:space="preserve">Nineteen studies reporting external validation, of which six engage substantively with transportability to, from or across sub-Saharan Africa (refs 72, 84, 88, 96, 97 and 119) and thirteen do not. Origin: where the model was developed. Destination: where validated. </w:t>
      </w:r>
    </w:p>
    <w:p w14:paraId="10F9D0BC" w14:textId="77777777" w:rsidR="00B253BD" w:rsidRPr="00756461" w:rsidRDefault="00B253BD" w:rsidP="00164EC5">
      <w:pPr>
        <w:spacing w:after="0" w:line="240" w:lineRule="auto"/>
        <w:rPr>
          <w:rFonts w:ascii="Arial" w:hAnsi="Arial" w:cs="Arial"/>
          <w:b/>
          <w:sz w:val="26"/>
        </w:rPr>
      </w:pPr>
    </w:p>
    <w:p w14:paraId="697A3670" w14:textId="77777777" w:rsidR="00164EC5" w:rsidRPr="00756461" w:rsidRDefault="00164EC5" w:rsidP="00164EC5">
      <w:pPr>
        <w:rPr>
          <w:rFonts w:ascii="Arial" w:hAnsi="Arial" w:cs="Arial"/>
        </w:rPr>
      </w:pPr>
    </w:p>
    <w:p w14:paraId="108746F9" w14:textId="77777777" w:rsidR="00164EC5" w:rsidRPr="005251ED" w:rsidRDefault="00164EC5">
      <w:pPr>
        <w:rPr>
          <w:rFonts w:ascii="Arial" w:hAnsi="Arial" w:cs="Arial"/>
        </w:rPr>
      </w:pPr>
    </w:p>
    <w:sectPr w:rsidR="00164EC5" w:rsidRPr="005251ED" w:rsidSect="00164EC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w:panose1 w:val="02070409020205020404"/>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9D9516C"/>
    <w:multiLevelType w:val="hybridMultilevel"/>
    <w:tmpl w:val="E7CC0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AE0D9D"/>
    <w:multiLevelType w:val="hybridMultilevel"/>
    <w:tmpl w:val="FC04AA5C"/>
    <w:lvl w:ilvl="0" w:tplc="9AD6ABB2">
      <w:numFmt w:val="bullet"/>
      <w:lvlText w:val="•"/>
      <w:lvlJc w:val="left"/>
      <w:pPr>
        <w:ind w:left="720" w:hanging="360"/>
      </w:pPr>
      <w:rPr>
        <w:rFonts w:ascii="Aptos" w:eastAsia="Arial"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ED29B4"/>
    <w:multiLevelType w:val="hybridMultilevel"/>
    <w:tmpl w:val="419A04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A83967"/>
    <w:multiLevelType w:val="hybridMultilevel"/>
    <w:tmpl w:val="8CB68B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EF4E61"/>
    <w:multiLevelType w:val="hybridMultilevel"/>
    <w:tmpl w:val="FDA8D2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E96AF4"/>
    <w:multiLevelType w:val="hybridMultilevel"/>
    <w:tmpl w:val="B4629A9E"/>
    <w:lvl w:ilvl="0" w:tplc="35B84874">
      <w:start w:val="1"/>
      <w:numFmt w:val="bullet"/>
      <w:lvlText w:val="•"/>
      <w:lvlJc w:val="left"/>
      <w:pPr>
        <w:ind w:left="720" w:hanging="360"/>
      </w:pPr>
    </w:lvl>
    <w:lvl w:ilvl="1" w:tplc="0AEA0F0C">
      <w:numFmt w:val="decimal"/>
      <w:lvlText w:val=""/>
      <w:lvlJc w:val="left"/>
    </w:lvl>
    <w:lvl w:ilvl="2" w:tplc="A1468C20">
      <w:numFmt w:val="decimal"/>
      <w:lvlText w:val=""/>
      <w:lvlJc w:val="left"/>
    </w:lvl>
    <w:lvl w:ilvl="3" w:tplc="1AC42792">
      <w:numFmt w:val="decimal"/>
      <w:lvlText w:val=""/>
      <w:lvlJc w:val="left"/>
    </w:lvl>
    <w:lvl w:ilvl="4" w:tplc="93801254">
      <w:numFmt w:val="decimal"/>
      <w:lvlText w:val=""/>
      <w:lvlJc w:val="left"/>
    </w:lvl>
    <w:lvl w:ilvl="5" w:tplc="87100D84">
      <w:numFmt w:val="decimal"/>
      <w:lvlText w:val=""/>
      <w:lvlJc w:val="left"/>
    </w:lvl>
    <w:lvl w:ilvl="6" w:tplc="CCBE480C">
      <w:numFmt w:val="decimal"/>
      <w:lvlText w:val=""/>
      <w:lvlJc w:val="left"/>
    </w:lvl>
    <w:lvl w:ilvl="7" w:tplc="7C229C76">
      <w:numFmt w:val="decimal"/>
      <w:lvlText w:val=""/>
      <w:lvlJc w:val="left"/>
    </w:lvl>
    <w:lvl w:ilvl="8" w:tplc="D9AE94A8">
      <w:numFmt w:val="decimal"/>
      <w:lvlText w:val=""/>
      <w:lvlJc w:val="left"/>
    </w:lvl>
  </w:abstractNum>
  <w:abstractNum w:abstractNumId="15" w15:restartNumberingAfterBreak="0">
    <w:nsid w:val="32E664FA"/>
    <w:multiLevelType w:val="hybridMultilevel"/>
    <w:tmpl w:val="4E0230BA"/>
    <w:lvl w:ilvl="0" w:tplc="9AD6ABB2">
      <w:numFmt w:val="bullet"/>
      <w:lvlText w:val="•"/>
      <w:lvlJc w:val="left"/>
      <w:pPr>
        <w:ind w:left="720" w:hanging="360"/>
      </w:pPr>
      <w:rPr>
        <w:rFonts w:ascii="Aptos" w:eastAsia="Arial"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6D02F6"/>
    <w:multiLevelType w:val="hybridMultilevel"/>
    <w:tmpl w:val="69905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B67B7A"/>
    <w:multiLevelType w:val="hybridMultilevel"/>
    <w:tmpl w:val="B2A2A2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534694"/>
    <w:multiLevelType w:val="hybridMultilevel"/>
    <w:tmpl w:val="383019C0"/>
    <w:lvl w:ilvl="0" w:tplc="BE4E3CEA">
      <w:start w:val="5"/>
      <w:numFmt w:val="bullet"/>
      <w:lvlText w:val="-"/>
      <w:lvlJc w:val="left"/>
      <w:pPr>
        <w:ind w:left="720" w:hanging="360"/>
      </w:pPr>
      <w:rPr>
        <w:rFonts w:ascii="Aptos" w:eastAsia="Arial" w:hAnsi="Aptos"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9512E6"/>
    <w:multiLevelType w:val="multilevel"/>
    <w:tmpl w:val="555AA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8633C3"/>
    <w:multiLevelType w:val="hybridMultilevel"/>
    <w:tmpl w:val="A8D20ADA"/>
    <w:lvl w:ilvl="0" w:tplc="85661248">
      <w:numFmt w:val="bullet"/>
      <w:lvlText w:val="-"/>
      <w:lvlJc w:val="left"/>
      <w:pPr>
        <w:ind w:left="720" w:hanging="360"/>
      </w:pPr>
      <w:rPr>
        <w:rFonts w:ascii="Aptos" w:eastAsia="Arial" w:hAnsi="Aptos"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577C91"/>
    <w:multiLevelType w:val="hybridMultilevel"/>
    <w:tmpl w:val="45FC69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28538AC"/>
    <w:multiLevelType w:val="hybridMultilevel"/>
    <w:tmpl w:val="76E256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190FB4"/>
    <w:multiLevelType w:val="hybridMultilevel"/>
    <w:tmpl w:val="4D94B7B8"/>
    <w:lvl w:ilvl="0" w:tplc="2ADA5F88">
      <w:start w:val="1"/>
      <w:numFmt w:val="decimal"/>
      <w:lvlText w:val="%1."/>
      <w:lvlJc w:val="left"/>
      <w:pPr>
        <w:ind w:left="2564" w:hanging="510"/>
      </w:pPr>
      <w:rPr>
        <w:rFonts w:eastAsia="Arial" w:hint="default"/>
      </w:rPr>
    </w:lvl>
    <w:lvl w:ilvl="1" w:tplc="08090019" w:tentative="1">
      <w:start w:val="1"/>
      <w:numFmt w:val="lowerLetter"/>
      <w:lvlText w:val="%2."/>
      <w:lvlJc w:val="left"/>
      <w:pPr>
        <w:ind w:left="2722" w:hanging="360"/>
      </w:pPr>
    </w:lvl>
    <w:lvl w:ilvl="2" w:tplc="0809001B" w:tentative="1">
      <w:start w:val="1"/>
      <w:numFmt w:val="lowerRoman"/>
      <w:lvlText w:val="%3."/>
      <w:lvlJc w:val="right"/>
      <w:pPr>
        <w:ind w:left="3442" w:hanging="180"/>
      </w:pPr>
    </w:lvl>
    <w:lvl w:ilvl="3" w:tplc="0809000F" w:tentative="1">
      <w:start w:val="1"/>
      <w:numFmt w:val="decimal"/>
      <w:lvlText w:val="%4."/>
      <w:lvlJc w:val="left"/>
      <w:pPr>
        <w:ind w:left="4162" w:hanging="360"/>
      </w:pPr>
    </w:lvl>
    <w:lvl w:ilvl="4" w:tplc="08090019" w:tentative="1">
      <w:start w:val="1"/>
      <w:numFmt w:val="lowerLetter"/>
      <w:lvlText w:val="%5."/>
      <w:lvlJc w:val="left"/>
      <w:pPr>
        <w:ind w:left="4882" w:hanging="360"/>
      </w:pPr>
    </w:lvl>
    <w:lvl w:ilvl="5" w:tplc="0809001B" w:tentative="1">
      <w:start w:val="1"/>
      <w:numFmt w:val="lowerRoman"/>
      <w:lvlText w:val="%6."/>
      <w:lvlJc w:val="right"/>
      <w:pPr>
        <w:ind w:left="5602" w:hanging="180"/>
      </w:pPr>
    </w:lvl>
    <w:lvl w:ilvl="6" w:tplc="0809000F" w:tentative="1">
      <w:start w:val="1"/>
      <w:numFmt w:val="decimal"/>
      <w:lvlText w:val="%7."/>
      <w:lvlJc w:val="left"/>
      <w:pPr>
        <w:ind w:left="6322" w:hanging="360"/>
      </w:pPr>
    </w:lvl>
    <w:lvl w:ilvl="7" w:tplc="08090019" w:tentative="1">
      <w:start w:val="1"/>
      <w:numFmt w:val="lowerLetter"/>
      <w:lvlText w:val="%8."/>
      <w:lvlJc w:val="left"/>
      <w:pPr>
        <w:ind w:left="7042" w:hanging="360"/>
      </w:pPr>
    </w:lvl>
    <w:lvl w:ilvl="8" w:tplc="0809001B" w:tentative="1">
      <w:start w:val="1"/>
      <w:numFmt w:val="lowerRoman"/>
      <w:lvlText w:val="%9."/>
      <w:lvlJc w:val="right"/>
      <w:pPr>
        <w:ind w:left="7762" w:hanging="180"/>
      </w:pPr>
    </w:lvl>
  </w:abstractNum>
  <w:abstractNum w:abstractNumId="24" w15:restartNumberingAfterBreak="0">
    <w:nsid w:val="4BE25293"/>
    <w:multiLevelType w:val="hybridMultilevel"/>
    <w:tmpl w:val="A21442DA"/>
    <w:lvl w:ilvl="0" w:tplc="15E0A15A">
      <w:start w:val="2"/>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B658F8"/>
    <w:multiLevelType w:val="hybridMultilevel"/>
    <w:tmpl w:val="96025FA4"/>
    <w:lvl w:ilvl="0" w:tplc="857AF772">
      <w:start w:val="1"/>
      <w:numFmt w:val="bullet"/>
      <w:lvlText w:val="-"/>
      <w:lvlJc w:val="left"/>
      <w:pPr>
        <w:ind w:left="720" w:hanging="360"/>
      </w:pPr>
      <w:rPr>
        <w:rFonts w:ascii="Aptos" w:eastAsia="Arial" w:hAnsi="Aptos"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5E0005"/>
    <w:multiLevelType w:val="hybridMultilevel"/>
    <w:tmpl w:val="85547D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346000"/>
    <w:multiLevelType w:val="hybridMultilevel"/>
    <w:tmpl w:val="66681202"/>
    <w:lvl w:ilvl="0" w:tplc="2ADA5F88">
      <w:start w:val="1"/>
      <w:numFmt w:val="decimal"/>
      <w:lvlText w:val="%1."/>
      <w:lvlJc w:val="left"/>
      <w:pPr>
        <w:ind w:left="1282" w:hanging="510"/>
      </w:pPr>
      <w:rPr>
        <w:rFonts w:eastAsia="Arial" w:hint="default"/>
      </w:rPr>
    </w:lvl>
    <w:lvl w:ilvl="1" w:tplc="08090019" w:tentative="1">
      <w:start w:val="1"/>
      <w:numFmt w:val="lowerLetter"/>
      <w:lvlText w:val="%2."/>
      <w:lvlJc w:val="left"/>
      <w:pPr>
        <w:ind w:left="1852" w:hanging="360"/>
      </w:pPr>
    </w:lvl>
    <w:lvl w:ilvl="2" w:tplc="0809001B" w:tentative="1">
      <w:start w:val="1"/>
      <w:numFmt w:val="lowerRoman"/>
      <w:lvlText w:val="%3."/>
      <w:lvlJc w:val="right"/>
      <w:pPr>
        <w:ind w:left="2572" w:hanging="180"/>
      </w:pPr>
    </w:lvl>
    <w:lvl w:ilvl="3" w:tplc="0809000F" w:tentative="1">
      <w:start w:val="1"/>
      <w:numFmt w:val="decimal"/>
      <w:lvlText w:val="%4."/>
      <w:lvlJc w:val="left"/>
      <w:pPr>
        <w:ind w:left="3292" w:hanging="360"/>
      </w:pPr>
    </w:lvl>
    <w:lvl w:ilvl="4" w:tplc="08090019" w:tentative="1">
      <w:start w:val="1"/>
      <w:numFmt w:val="lowerLetter"/>
      <w:lvlText w:val="%5."/>
      <w:lvlJc w:val="left"/>
      <w:pPr>
        <w:ind w:left="4012" w:hanging="360"/>
      </w:pPr>
    </w:lvl>
    <w:lvl w:ilvl="5" w:tplc="0809001B" w:tentative="1">
      <w:start w:val="1"/>
      <w:numFmt w:val="lowerRoman"/>
      <w:lvlText w:val="%6."/>
      <w:lvlJc w:val="right"/>
      <w:pPr>
        <w:ind w:left="4732" w:hanging="180"/>
      </w:pPr>
    </w:lvl>
    <w:lvl w:ilvl="6" w:tplc="0809000F" w:tentative="1">
      <w:start w:val="1"/>
      <w:numFmt w:val="decimal"/>
      <w:lvlText w:val="%7."/>
      <w:lvlJc w:val="left"/>
      <w:pPr>
        <w:ind w:left="5452" w:hanging="360"/>
      </w:pPr>
    </w:lvl>
    <w:lvl w:ilvl="7" w:tplc="08090019" w:tentative="1">
      <w:start w:val="1"/>
      <w:numFmt w:val="lowerLetter"/>
      <w:lvlText w:val="%8."/>
      <w:lvlJc w:val="left"/>
      <w:pPr>
        <w:ind w:left="6172" w:hanging="360"/>
      </w:pPr>
    </w:lvl>
    <w:lvl w:ilvl="8" w:tplc="0809001B" w:tentative="1">
      <w:start w:val="1"/>
      <w:numFmt w:val="lowerRoman"/>
      <w:lvlText w:val="%9."/>
      <w:lvlJc w:val="right"/>
      <w:pPr>
        <w:ind w:left="6892" w:hanging="180"/>
      </w:pPr>
    </w:lvl>
  </w:abstractNum>
  <w:abstractNum w:abstractNumId="28" w15:restartNumberingAfterBreak="0">
    <w:nsid w:val="6B183F23"/>
    <w:multiLevelType w:val="hybridMultilevel"/>
    <w:tmpl w:val="011255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46E6BFF"/>
    <w:multiLevelType w:val="hybridMultilevel"/>
    <w:tmpl w:val="72CC9328"/>
    <w:lvl w:ilvl="0" w:tplc="9AD6ABB2">
      <w:numFmt w:val="bullet"/>
      <w:lvlText w:val="•"/>
      <w:lvlJc w:val="left"/>
      <w:pPr>
        <w:ind w:left="720" w:hanging="360"/>
      </w:pPr>
      <w:rPr>
        <w:rFonts w:ascii="Aptos" w:eastAsia="Arial"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3823403">
    <w:abstractNumId w:val="8"/>
  </w:num>
  <w:num w:numId="2" w16cid:durableId="1551378859">
    <w:abstractNumId w:val="6"/>
  </w:num>
  <w:num w:numId="3" w16cid:durableId="206456619">
    <w:abstractNumId w:val="5"/>
  </w:num>
  <w:num w:numId="4" w16cid:durableId="516652675">
    <w:abstractNumId w:val="4"/>
  </w:num>
  <w:num w:numId="5" w16cid:durableId="1109356021">
    <w:abstractNumId w:val="7"/>
  </w:num>
  <w:num w:numId="6" w16cid:durableId="1342927532">
    <w:abstractNumId w:val="3"/>
  </w:num>
  <w:num w:numId="7" w16cid:durableId="593052032">
    <w:abstractNumId w:val="2"/>
  </w:num>
  <w:num w:numId="8" w16cid:durableId="1584098469">
    <w:abstractNumId w:val="1"/>
  </w:num>
  <w:num w:numId="9" w16cid:durableId="1802258812">
    <w:abstractNumId w:val="0"/>
  </w:num>
  <w:num w:numId="10" w16cid:durableId="183249385">
    <w:abstractNumId w:val="28"/>
  </w:num>
  <w:num w:numId="11" w16cid:durableId="1959023766">
    <w:abstractNumId w:val="21"/>
  </w:num>
  <w:num w:numId="12" w16cid:durableId="1959294714">
    <w:abstractNumId w:val="16"/>
  </w:num>
  <w:num w:numId="13" w16cid:durableId="41640132">
    <w:abstractNumId w:val="13"/>
  </w:num>
  <w:num w:numId="14" w16cid:durableId="47147761">
    <w:abstractNumId w:val="14"/>
    <w:lvlOverride w:ilvl="0">
      <w:startOverride w:val="1"/>
    </w:lvlOverride>
  </w:num>
  <w:num w:numId="15" w16cid:durableId="601451498">
    <w:abstractNumId w:val="22"/>
  </w:num>
  <w:num w:numId="16" w16cid:durableId="1983149732">
    <w:abstractNumId w:val="20"/>
  </w:num>
  <w:num w:numId="17" w16cid:durableId="75828529">
    <w:abstractNumId w:val="12"/>
  </w:num>
  <w:num w:numId="18" w16cid:durableId="827793147">
    <w:abstractNumId w:val="26"/>
  </w:num>
  <w:num w:numId="19" w16cid:durableId="1382822843">
    <w:abstractNumId w:val="25"/>
  </w:num>
  <w:num w:numId="20" w16cid:durableId="1053042966">
    <w:abstractNumId w:val="18"/>
  </w:num>
  <w:num w:numId="21" w16cid:durableId="2103405131">
    <w:abstractNumId w:val="24"/>
  </w:num>
  <w:num w:numId="22" w16cid:durableId="912859004">
    <w:abstractNumId w:val="9"/>
  </w:num>
  <w:num w:numId="23" w16cid:durableId="1411930828">
    <w:abstractNumId w:val="10"/>
  </w:num>
  <w:num w:numId="24" w16cid:durableId="460152635">
    <w:abstractNumId w:val="15"/>
  </w:num>
  <w:num w:numId="25" w16cid:durableId="723798939">
    <w:abstractNumId w:val="29"/>
  </w:num>
  <w:num w:numId="26" w16cid:durableId="1732729202">
    <w:abstractNumId w:val="11"/>
  </w:num>
  <w:num w:numId="27" w16cid:durableId="597366648">
    <w:abstractNumId w:val="19"/>
  </w:num>
  <w:num w:numId="28" w16cid:durableId="441385190">
    <w:abstractNumId w:val="17"/>
  </w:num>
  <w:num w:numId="29" w16cid:durableId="1078134947">
    <w:abstractNumId w:val="27"/>
  </w:num>
  <w:num w:numId="30" w16cid:durableId="84582497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EC5"/>
    <w:rsid w:val="000746E7"/>
    <w:rsid w:val="00082009"/>
    <w:rsid w:val="00123B04"/>
    <w:rsid w:val="00164EC5"/>
    <w:rsid w:val="001E4F72"/>
    <w:rsid w:val="00263071"/>
    <w:rsid w:val="00274AE5"/>
    <w:rsid w:val="002910AD"/>
    <w:rsid w:val="00306FE2"/>
    <w:rsid w:val="0031231D"/>
    <w:rsid w:val="00440158"/>
    <w:rsid w:val="005251ED"/>
    <w:rsid w:val="0054577E"/>
    <w:rsid w:val="005D278A"/>
    <w:rsid w:val="006065C0"/>
    <w:rsid w:val="00630A76"/>
    <w:rsid w:val="007010A8"/>
    <w:rsid w:val="007025C4"/>
    <w:rsid w:val="00732877"/>
    <w:rsid w:val="00756461"/>
    <w:rsid w:val="00790E28"/>
    <w:rsid w:val="0079597F"/>
    <w:rsid w:val="00826F31"/>
    <w:rsid w:val="00871B31"/>
    <w:rsid w:val="008C5A8D"/>
    <w:rsid w:val="00911967"/>
    <w:rsid w:val="009167E9"/>
    <w:rsid w:val="009B78F9"/>
    <w:rsid w:val="00A34D0E"/>
    <w:rsid w:val="00A43B51"/>
    <w:rsid w:val="00AA2AD8"/>
    <w:rsid w:val="00B253BD"/>
    <w:rsid w:val="00B35CE6"/>
    <w:rsid w:val="00B6082C"/>
    <w:rsid w:val="00BC1139"/>
    <w:rsid w:val="00C5189F"/>
    <w:rsid w:val="00CA5C46"/>
    <w:rsid w:val="00CC351E"/>
    <w:rsid w:val="00D125D2"/>
    <w:rsid w:val="00D72B6B"/>
    <w:rsid w:val="00E3114A"/>
    <w:rsid w:val="00F713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EA7CC"/>
  <w15:chartTrackingRefBased/>
  <w15:docId w15:val="{9F226D52-8DE9-4FFF-AEEC-12CFCA310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EC5"/>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164EC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164EC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164EC5"/>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64EC5"/>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64EC5"/>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64EC5"/>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64EC5"/>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64EC5"/>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64EC5"/>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4E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64E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64E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4E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4E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4E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4E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4E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4EC5"/>
    <w:rPr>
      <w:rFonts w:eastAsiaTheme="majorEastAsia" w:cstheme="majorBidi"/>
      <w:color w:val="272727" w:themeColor="text1" w:themeTint="D8"/>
    </w:rPr>
  </w:style>
  <w:style w:type="paragraph" w:styleId="Title">
    <w:name w:val="Title"/>
    <w:basedOn w:val="Normal"/>
    <w:next w:val="Normal"/>
    <w:link w:val="TitleChar"/>
    <w:uiPriority w:val="10"/>
    <w:qFormat/>
    <w:rsid w:val="00164EC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64E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4EC5"/>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64E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4EC5"/>
    <w:pPr>
      <w:spacing w:before="160" w:after="160" w:line="278" w:lineRule="auto"/>
      <w:jc w:val="center"/>
    </w:pPr>
    <w:rPr>
      <w:rFonts w:eastAsia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64EC5"/>
    <w:rPr>
      <w:i/>
      <w:iCs/>
      <w:color w:val="404040" w:themeColor="text1" w:themeTint="BF"/>
    </w:rPr>
  </w:style>
  <w:style w:type="paragraph" w:styleId="ListParagraph">
    <w:name w:val="List Paragraph"/>
    <w:basedOn w:val="Normal"/>
    <w:uiPriority w:val="34"/>
    <w:qFormat/>
    <w:rsid w:val="00164EC5"/>
    <w:pPr>
      <w:spacing w:after="160" w:line="278" w:lineRule="auto"/>
      <w:ind w:left="720"/>
      <w:contextualSpacing/>
    </w:pPr>
    <w:rPr>
      <w:rFonts w:eastAsiaTheme="minorHAnsi"/>
      <w:kern w:val="2"/>
      <w:sz w:val="24"/>
      <w:szCs w:val="24"/>
      <w14:ligatures w14:val="standardContextual"/>
    </w:rPr>
  </w:style>
  <w:style w:type="character" w:styleId="IntenseEmphasis">
    <w:name w:val="Intense Emphasis"/>
    <w:basedOn w:val="DefaultParagraphFont"/>
    <w:uiPriority w:val="21"/>
    <w:qFormat/>
    <w:rsid w:val="00164EC5"/>
    <w:rPr>
      <w:i/>
      <w:iCs/>
      <w:color w:val="0F4761" w:themeColor="accent1" w:themeShade="BF"/>
    </w:rPr>
  </w:style>
  <w:style w:type="paragraph" w:styleId="IntenseQuote">
    <w:name w:val="Intense Quote"/>
    <w:basedOn w:val="Normal"/>
    <w:next w:val="Normal"/>
    <w:link w:val="IntenseQuoteChar"/>
    <w:uiPriority w:val="30"/>
    <w:qFormat/>
    <w:rsid w:val="00164EC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64EC5"/>
    <w:rPr>
      <w:i/>
      <w:iCs/>
      <w:color w:val="0F4761" w:themeColor="accent1" w:themeShade="BF"/>
    </w:rPr>
  </w:style>
  <w:style w:type="character" w:styleId="IntenseReference">
    <w:name w:val="Intense Reference"/>
    <w:basedOn w:val="DefaultParagraphFont"/>
    <w:uiPriority w:val="32"/>
    <w:qFormat/>
    <w:rsid w:val="00164EC5"/>
    <w:rPr>
      <w:b/>
      <w:bCs/>
      <w:smallCaps/>
      <w:color w:val="0F4761" w:themeColor="accent1" w:themeShade="BF"/>
      <w:spacing w:val="5"/>
    </w:rPr>
  </w:style>
  <w:style w:type="table" w:styleId="TableGrid">
    <w:name w:val="Table Grid"/>
    <w:basedOn w:val="TableNormal"/>
    <w:uiPriority w:val="59"/>
    <w:rsid w:val="00164EC5"/>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35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351E"/>
    <w:rPr>
      <w:rFonts w:eastAsiaTheme="minorEastAsia"/>
      <w:kern w:val="0"/>
      <w:sz w:val="22"/>
      <w:szCs w:val="22"/>
      <w:lang w:val="en-US"/>
      <w14:ligatures w14:val="none"/>
    </w:rPr>
  </w:style>
  <w:style w:type="paragraph" w:styleId="Footer">
    <w:name w:val="footer"/>
    <w:basedOn w:val="Normal"/>
    <w:link w:val="FooterChar"/>
    <w:uiPriority w:val="99"/>
    <w:unhideWhenUsed/>
    <w:rsid w:val="00CC35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351E"/>
    <w:rPr>
      <w:rFonts w:eastAsiaTheme="minorEastAsia"/>
      <w:kern w:val="0"/>
      <w:sz w:val="22"/>
      <w:szCs w:val="22"/>
      <w:lang w:val="en-US"/>
      <w14:ligatures w14:val="none"/>
    </w:rPr>
  </w:style>
  <w:style w:type="paragraph" w:styleId="NoSpacing">
    <w:name w:val="No Spacing"/>
    <w:uiPriority w:val="1"/>
    <w:qFormat/>
    <w:rsid w:val="00CC351E"/>
    <w:pPr>
      <w:spacing w:after="0" w:line="240" w:lineRule="auto"/>
    </w:pPr>
    <w:rPr>
      <w:rFonts w:eastAsiaTheme="minorEastAsia"/>
      <w:kern w:val="0"/>
      <w:sz w:val="22"/>
      <w:szCs w:val="22"/>
      <w:lang w:val="en-US"/>
      <w14:ligatures w14:val="none"/>
    </w:rPr>
  </w:style>
  <w:style w:type="paragraph" w:styleId="BodyText">
    <w:name w:val="Body Text"/>
    <w:basedOn w:val="Normal"/>
    <w:link w:val="BodyTextChar"/>
    <w:uiPriority w:val="99"/>
    <w:unhideWhenUsed/>
    <w:rsid w:val="00CC351E"/>
    <w:pPr>
      <w:spacing w:after="120"/>
    </w:pPr>
  </w:style>
  <w:style w:type="character" w:customStyle="1" w:styleId="BodyTextChar">
    <w:name w:val="Body Text Char"/>
    <w:basedOn w:val="DefaultParagraphFont"/>
    <w:link w:val="BodyText"/>
    <w:uiPriority w:val="99"/>
    <w:rsid w:val="00CC351E"/>
    <w:rPr>
      <w:rFonts w:eastAsiaTheme="minorEastAsia"/>
      <w:kern w:val="0"/>
      <w:sz w:val="22"/>
      <w:szCs w:val="22"/>
      <w:lang w:val="en-US"/>
      <w14:ligatures w14:val="none"/>
    </w:rPr>
  </w:style>
  <w:style w:type="paragraph" w:styleId="BodyText2">
    <w:name w:val="Body Text 2"/>
    <w:basedOn w:val="Normal"/>
    <w:link w:val="BodyText2Char"/>
    <w:uiPriority w:val="99"/>
    <w:unhideWhenUsed/>
    <w:rsid w:val="00CC351E"/>
    <w:pPr>
      <w:spacing w:after="120" w:line="480" w:lineRule="auto"/>
    </w:pPr>
  </w:style>
  <w:style w:type="character" w:customStyle="1" w:styleId="BodyText2Char">
    <w:name w:val="Body Text 2 Char"/>
    <w:basedOn w:val="DefaultParagraphFont"/>
    <w:link w:val="BodyText2"/>
    <w:uiPriority w:val="99"/>
    <w:rsid w:val="00CC351E"/>
    <w:rPr>
      <w:rFonts w:eastAsiaTheme="minorEastAsia"/>
      <w:kern w:val="0"/>
      <w:sz w:val="22"/>
      <w:szCs w:val="22"/>
      <w:lang w:val="en-US"/>
      <w14:ligatures w14:val="none"/>
    </w:rPr>
  </w:style>
  <w:style w:type="paragraph" w:styleId="BodyText3">
    <w:name w:val="Body Text 3"/>
    <w:basedOn w:val="Normal"/>
    <w:link w:val="BodyText3Char"/>
    <w:uiPriority w:val="99"/>
    <w:unhideWhenUsed/>
    <w:rsid w:val="00CC351E"/>
    <w:pPr>
      <w:spacing w:after="120"/>
    </w:pPr>
    <w:rPr>
      <w:sz w:val="16"/>
      <w:szCs w:val="16"/>
    </w:rPr>
  </w:style>
  <w:style w:type="character" w:customStyle="1" w:styleId="BodyText3Char">
    <w:name w:val="Body Text 3 Char"/>
    <w:basedOn w:val="DefaultParagraphFont"/>
    <w:link w:val="BodyText3"/>
    <w:uiPriority w:val="99"/>
    <w:rsid w:val="00CC351E"/>
    <w:rPr>
      <w:rFonts w:eastAsiaTheme="minorEastAsia"/>
      <w:kern w:val="0"/>
      <w:sz w:val="16"/>
      <w:szCs w:val="16"/>
      <w:lang w:val="en-US"/>
      <w14:ligatures w14:val="none"/>
    </w:rPr>
  </w:style>
  <w:style w:type="paragraph" w:styleId="List">
    <w:name w:val="List"/>
    <w:basedOn w:val="Normal"/>
    <w:uiPriority w:val="99"/>
    <w:unhideWhenUsed/>
    <w:rsid w:val="00CC351E"/>
    <w:pPr>
      <w:ind w:left="360" w:hanging="360"/>
      <w:contextualSpacing/>
    </w:pPr>
  </w:style>
  <w:style w:type="paragraph" w:styleId="List2">
    <w:name w:val="List 2"/>
    <w:basedOn w:val="Normal"/>
    <w:uiPriority w:val="99"/>
    <w:unhideWhenUsed/>
    <w:rsid w:val="00CC351E"/>
    <w:pPr>
      <w:ind w:left="720" w:hanging="360"/>
      <w:contextualSpacing/>
    </w:pPr>
  </w:style>
  <w:style w:type="paragraph" w:styleId="List3">
    <w:name w:val="List 3"/>
    <w:basedOn w:val="Normal"/>
    <w:uiPriority w:val="99"/>
    <w:unhideWhenUsed/>
    <w:rsid w:val="00CC351E"/>
    <w:pPr>
      <w:ind w:left="1080" w:hanging="360"/>
      <w:contextualSpacing/>
    </w:pPr>
  </w:style>
  <w:style w:type="paragraph" w:styleId="ListBullet">
    <w:name w:val="List Bullet"/>
    <w:basedOn w:val="Normal"/>
    <w:uiPriority w:val="99"/>
    <w:unhideWhenUsed/>
    <w:rsid w:val="00CC351E"/>
    <w:pPr>
      <w:numPr>
        <w:numId w:val="1"/>
      </w:numPr>
      <w:tabs>
        <w:tab w:val="clear" w:pos="360"/>
      </w:tabs>
      <w:ind w:left="0" w:firstLine="0"/>
      <w:contextualSpacing/>
    </w:pPr>
  </w:style>
  <w:style w:type="paragraph" w:styleId="ListBullet2">
    <w:name w:val="List Bullet 2"/>
    <w:basedOn w:val="Normal"/>
    <w:uiPriority w:val="99"/>
    <w:unhideWhenUsed/>
    <w:rsid w:val="00CC351E"/>
    <w:pPr>
      <w:numPr>
        <w:numId w:val="2"/>
      </w:numPr>
      <w:tabs>
        <w:tab w:val="clear" w:pos="720"/>
      </w:tabs>
      <w:ind w:left="0" w:firstLine="0"/>
      <w:contextualSpacing/>
    </w:pPr>
  </w:style>
  <w:style w:type="paragraph" w:styleId="ListBullet3">
    <w:name w:val="List Bullet 3"/>
    <w:basedOn w:val="Normal"/>
    <w:uiPriority w:val="99"/>
    <w:unhideWhenUsed/>
    <w:rsid w:val="00CC351E"/>
    <w:pPr>
      <w:numPr>
        <w:numId w:val="3"/>
      </w:numPr>
      <w:tabs>
        <w:tab w:val="clear" w:pos="1080"/>
      </w:tabs>
      <w:ind w:left="0" w:firstLine="0"/>
      <w:contextualSpacing/>
    </w:pPr>
  </w:style>
  <w:style w:type="paragraph" w:styleId="ListNumber">
    <w:name w:val="List Number"/>
    <w:basedOn w:val="Normal"/>
    <w:uiPriority w:val="99"/>
    <w:unhideWhenUsed/>
    <w:rsid w:val="00CC351E"/>
    <w:pPr>
      <w:numPr>
        <w:numId w:val="5"/>
      </w:numPr>
      <w:tabs>
        <w:tab w:val="clear" w:pos="360"/>
      </w:tabs>
      <w:ind w:left="0" w:firstLine="0"/>
      <w:contextualSpacing/>
    </w:pPr>
  </w:style>
  <w:style w:type="paragraph" w:styleId="ListNumber2">
    <w:name w:val="List Number 2"/>
    <w:basedOn w:val="Normal"/>
    <w:uiPriority w:val="99"/>
    <w:unhideWhenUsed/>
    <w:rsid w:val="00CC351E"/>
    <w:pPr>
      <w:numPr>
        <w:numId w:val="6"/>
      </w:numPr>
      <w:tabs>
        <w:tab w:val="clear" w:pos="720"/>
      </w:tabs>
      <w:ind w:left="0" w:firstLine="0"/>
      <w:contextualSpacing/>
    </w:pPr>
  </w:style>
  <w:style w:type="paragraph" w:styleId="ListNumber3">
    <w:name w:val="List Number 3"/>
    <w:basedOn w:val="Normal"/>
    <w:uiPriority w:val="99"/>
    <w:unhideWhenUsed/>
    <w:rsid w:val="00CC351E"/>
    <w:pPr>
      <w:numPr>
        <w:numId w:val="7"/>
      </w:numPr>
      <w:tabs>
        <w:tab w:val="clear" w:pos="1080"/>
      </w:tabs>
      <w:ind w:left="0" w:firstLine="0"/>
      <w:contextualSpacing/>
    </w:pPr>
  </w:style>
  <w:style w:type="paragraph" w:styleId="ListContinue">
    <w:name w:val="List Continue"/>
    <w:basedOn w:val="Normal"/>
    <w:uiPriority w:val="99"/>
    <w:unhideWhenUsed/>
    <w:rsid w:val="00CC351E"/>
    <w:pPr>
      <w:spacing w:after="120"/>
      <w:ind w:left="360"/>
      <w:contextualSpacing/>
    </w:pPr>
  </w:style>
  <w:style w:type="paragraph" w:styleId="ListContinue2">
    <w:name w:val="List Continue 2"/>
    <w:basedOn w:val="Normal"/>
    <w:uiPriority w:val="99"/>
    <w:unhideWhenUsed/>
    <w:rsid w:val="00CC351E"/>
    <w:pPr>
      <w:spacing w:after="120"/>
      <w:ind w:left="720"/>
      <w:contextualSpacing/>
    </w:pPr>
  </w:style>
  <w:style w:type="paragraph" w:styleId="ListContinue3">
    <w:name w:val="List Continue 3"/>
    <w:basedOn w:val="Normal"/>
    <w:uiPriority w:val="99"/>
    <w:unhideWhenUsed/>
    <w:rsid w:val="00CC351E"/>
    <w:pPr>
      <w:spacing w:after="120"/>
      <w:ind w:left="1080"/>
      <w:contextualSpacing/>
    </w:pPr>
  </w:style>
  <w:style w:type="paragraph" w:styleId="MacroText">
    <w:name w:val="macro"/>
    <w:link w:val="MacroTextChar"/>
    <w:uiPriority w:val="99"/>
    <w:unhideWhenUsed/>
    <w:rsid w:val="00CC351E"/>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kern w:val="0"/>
      <w:sz w:val="20"/>
      <w:szCs w:val="20"/>
      <w:lang w:val="en-US"/>
      <w14:ligatures w14:val="none"/>
    </w:rPr>
  </w:style>
  <w:style w:type="character" w:customStyle="1" w:styleId="MacroTextChar">
    <w:name w:val="Macro Text Char"/>
    <w:basedOn w:val="DefaultParagraphFont"/>
    <w:link w:val="MacroText"/>
    <w:uiPriority w:val="99"/>
    <w:rsid w:val="00CC351E"/>
    <w:rPr>
      <w:rFonts w:ascii="Courier" w:eastAsiaTheme="minorEastAsia" w:hAnsi="Courier"/>
      <w:kern w:val="0"/>
      <w:sz w:val="20"/>
      <w:szCs w:val="20"/>
      <w:lang w:val="en-US"/>
      <w14:ligatures w14:val="none"/>
    </w:rPr>
  </w:style>
  <w:style w:type="paragraph" w:styleId="Caption">
    <w:name w:val="caption"/>
    <w:basedOn w:val="Normal"/>
    <w:next w:val="Normal"/>
    <w:uiPriority w:val="35"/>
    <w:semiHidden/>
    <w:unhideWhenUsed/>
    <w:qFormat/>
    <w:rsid w:val="00CC351E"/>
    <w:pPr>
      <w:spacing w:line="240" w:lineRule="auto"/>
    </w:pPr>
    <w:rPr>
      <w:b/>
      <w:bCs/>
      <w:color w:val="156082" w:themeColor="accent1"/>
      <w:sz w:val="18"/>
      <w:szCs w:val="18"/>
    </w:rPr>
  </w:style>
  <w:style w:type="character" w:styleId="Strong">
    <w:name w:val="Strong"/>
    <w:basedOn w:val="DefaultParagraphFont"/>
    <w:uiPriority w:val="22"/>
    <w:qFormat/>
    <w:rsid w:val="00CC351E"/>
    <w:rPr>
      <w:b/>
      <w:bCs/>
    </w:rPr>
  </w:style>
  <w:style w:type="character" w:styleId="Emphasis">
    <w:name w:val="Emphasis"/>
    <w:basedOn w:val="DefaultParagraphFont"/>
    <w:uiPriority w:val="20"/>
    <w:qFormat/>
    <w:rsid w:val="00CC351E"/>
    <w:rPr>
      <w:i/>
      <w:iCs/>
    </w:rPr>
  </w:style>
  <w:style w:type="character" w:styleId="SubtleEmphasis">
    <w:name w:val="Subtle Emphasis"/>
    <w:basedOn w:val="DefaultParagraphFont"/>
    <w:uiPriority w:val="19"/>
    <w:qFormat/>
    <w:rsid w:val="00CC351E"/>
    <w:rPr>
      <w:i/>
      <w:iCs/>
      <w:color w:val="808080" w:themeColor="text1" w:themeTint="7F"/>
    </w:rPr>
  </w:style>
  <w:style w:type="character" w:styleId="SubtleReference">
    <w:name w:val="Subtle Reference"/>
    <w:basedOn w:val="DefaultParagraphFont"/>
    <w:uiPriority w:val="31"/>
    <w:qFormat/>
    <w:rsid w:val="00CC351E"/>
    <w:rPr>
      <w:smallCaps/>
      <w:color w:val="E97132" w:themeColor="accent2"/>
      <w:u w:val="single"/>
    </w:rPr>
  </w:style>
  <w:style w:type="character" w:styleId="BookTitle">
    <w:name w:val="Book Title"/>
    <w:basedOn w:val="DefaultParagraphFont"/>
    <w:uiPriority w:val="33"/>
    <w:qFormat/>
    <w:rsid w:val="00CC351E"/>
    <w:rPr>
      <w:b/>
      <w:bCs/>
      <w:smallCaps/>
      <w:spacing w:val="5"/>
    </w:rPr>
  </w:style>
  <w:style w:type="paragraph" w:styleId="TOCHeading">
    <w:name w:val="TOC Heading"/>
    <w:basedOn w:val="Heading1"/>
    <w:next w:val="Normal"/>
    <w:uiPriority w:val="39"/>
    <w:semiHidden/>
    <w:unhideWhenUsed/>
    <w:qFormat/>
    <w:rsid w:val="00CC351E"/>
    <w:pPr>
      <w:spacing w:before="480" w:after="0" w:line="276" w:lineRule="auto"/>
      <w:outlineLvl w:val="9"/>
    </w:pPr>
    <w:rPr>
      <w:b/>
      <w:bCs/>
      <w:kern w:val="0"/>
      <w:sz w:val="28"/>
      <w:szCs w:val="28"/>
      <w:lang w:val="en-US"/>
      <w14:ligatures w14:val="none"/>
    </w:rPr>
  </w:style>
  <w:style w:type="table" w:styleId="LightShading">
    <w:name w:val="Light Shading"/>
    <w:basedOn w:val="TableNormal"/>
    <w:uiPriority w:val="60"/>
    <w:rsid w:val="00CC351E"/>
    <w:pPr>
      <w:spacing w:after="0" w:line="240" w:lineRule="auto"/>
    </w:pPr>
    <w:rPr>
      <w:rFonts w:eastAsiaTheme="minorEastAsia"/>
      <w:color w:val="000000" w:themeColor="text1" w:themeShade="BF"/>
      <w:kern w:val="0"/>
      <w:sz w:val="22"/>
      <w:szCs w:val="22"/>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CC351E"/>
    <w:pPr>
      <w:spacing w:after="0" w:line="240" w:lineRule="auto"/>
    </w:pPr>
    <w:rPr>
      <w:rFonts w:eastAsiaTheme="minorEastAsia"/>
      <w:color w:val="0F4761" w:themeColor="accent1" w:themeShade="BF"/>
      <w:kern w:val="0"/>
      <w:sz w:val="22"/>
      <w:szCs w:val="22"/>
      <w:lang w:val="en-US"/>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CC351E"/>
    <w:pPr>
      <w:spacing w:after="0" w:line="240" w:lineRule="auto"/>
    </w:pPr>
    <w:rPr>
      <w:rFonts w:eastAsiaTheme="minorEastAsia"/>
      <w:color w:val="BF4E14" w:themeColor="accent2" w:themeShade="BF"/>
      <w:kern w:val="0"/>
      <w:sz w:val="22"/>
      <w:szCs w:val="22"/>
      <w:lang w:val="en-US"/>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CC351E"/>
    <w:pPr>
      <w:spacing w:after="0" w:line="240" w:lineRule="auto"/>
    </w:pPr>
    <w:rPr>
      <w:rFonts w:eastAsiaTheme="minorEastAsia"/>
      <w:color w:val="124F1A" w:themeColor="accent3" w:themeShade="BF"/>
      <w:kern w:val="0"/>
      <w:sz w:val="22"/>
      <w:szCs w:val="22"/>
      <w:lang w:val="en-US"/>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CC351E"/>
    <w:pPr>
      <w:spacing w:after="0" w:line="240" w:lineRule="auto"/>
    </w:pPr>
    <w:rPr>
      <w:rFonts w:eastAsiaTheme="minorEastAsia"/>
      <w:color w:val="0B769F" w:themeColor="accent4" w:themeShade="BF"/>
      <w:kern w:val="0"/>
      <w:sz w:val="22"/>
      <w:szCs w:val="22"/>
      <w:lang w:val="en-US"/>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CC351E"/>
    <w:pPr>
      <w:spacing w:after="0" w:line="240" w:lineRule="auto"/>
    </w:pPr>
    <w:rPr>
      <w:rFonts w:eastAsiaTheme="minorEastAsia"/>
      <w:color w:val="77206D" w:themeColor="accent5" w:themeShade="BF"/>
      <w:kern w:val="0"/>
      <w:sz w:val="22"/>
      <w:szCs w:val="22"/>
      <w:lang w:val="en-US"/>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CC351E"/>
    <w:pPr>
      <w:spacing w:after="0" w:line="240" w:lineRule="auto"/>
    </w:pPr>
    <w:rPr>
      <w:rFonts w:eastAsiaTheme="minorEastAsia"/>
      <w:color w:val="3A7C22" w:themeColor="accent6" w:themeShade="BF"/>
      <w:kern w:val="0"/>
      <w:sz w:val="22"/>
      <w:szCs w:val="22"/>
      <w:lang w:val="en-US"/>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C351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C351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C351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C351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C351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C351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C351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C351E"/>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C351E"/>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C351E"/>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C351E"/>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C351E"/>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C351E"/>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C351E"/>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C351E"/>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C351E"/>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C351E"/>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C351E"/>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C351E"/>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C351E"/>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C351E"/>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C351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C351E"/>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C351E"/>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C351E"/>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C351E"/>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C351E"/>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C351E"/>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C351E"/>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C351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C351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C351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C351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C351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C351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C351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C351E"/>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C351E"/>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C351E"/>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C351E"/>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C351E"/>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C351E"/>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C351E"/>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C351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C351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C351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C351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C351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C351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C351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paragraph" w:styleId="Revision">
    <w:name w:val="Revision"/>
    <w:hidden/>
    <w:uiPriority w:val="99"/>
    <w:semiHidden/>
    <w:rsid w:val="00CC351E"/>
    <w:pPr>
      <w:spacing w:after="0" w:line="240" w:lineRule="auto"/>
    </w:pPr>
    <w:rPr>
      <w:rFonts w:eastAsiaTheme="minorEastAsia"/>
      <w:kern w:val="0"/>
      <w:sz w:val="22"/>
      <w:szCs w:val="22"/>
      <w:lang w:val="en-US"/>
      <w14:ligatures w14:val="none"/>
    </w:rPr>
  </w:style>
  <w:style w:type="character" w:styleId="CommentReference">
    <w:name w:val="annotation reference"/>
    <w:basedOn w:val="DefaultParagraphFont"/>
    <w:uiPriority w:val="99"/>
    <w:semiHidden/>
    <w:unhideWhenUsed/>
    <w:rsid w:val="000746E7"/>
    <w:rPr>
      <w:sz w:val="16"/>
      <w:szCs w:val="16"/>
    </w:rPr>
  </w:style>
  <w:style w:type="paragraph" w:styleId="CommentText">
    <w:name w:val="annotation text"/>
    <w:basedOn w:val="Normal"/>
    <w:link w:val="CommentTextChar"/>
    <w:uiPriority w:val="99"/>
    <w:unhideWhenUsed/>
    <w:rsid w:val="000746E7"/>
    <w:pPr>
      <w:spacing w:after="160" w:line="240" w:lineRule="auto"/>
    </w:pPr>
    <w:rPr>
      <w:sz w:val="20"/>
      <w:szCs w:val="20"/>
      <w:lang w:eastAsia="ja-JP"/>
    </w:rPr>
  </w:style>
  <w:style w:type="character" w:customStyle="1" w:styleId="CommentTextChar">
    <w:name w:val="Comment Text Char"/>
    <w:basedOn w:val="DefaultParagraphFont"/>
    <w:link w:val="CommentText"/>
    <w:uiPriority w:val="99"/>
    <w:rsid w:val="000746E7"/>
    <w:rPr>
      <w:rFonts w:eastAsiaTheme="minorEastAsia"/>
      <w:kern w:val="0"/>
      <w:sz w:val="20"/>
      <w:szCs w:val="20"/>
      <w:lang w:eastAsia="ja-JP"/>
      <w14:ligatures w14:val="none"/>
    </w:rPr>
  </w:style>
  <w:style w:type="paragraph" w:styleId="CommentSubject">
    <w:name w:val="annotation subject"/>
    <w:basedOn w:val="CommentText"/>
    <w:next w:val="CommentText"/>
    <w:link w:val="CommentSubjectChar"/>
    <w:uiPriority w:val="99"/>
    <w:semiHidden/>
    <w:unhideWhenUsed/>
    <w:rsid w:val="000746E7"/>
    <w:rPr>
      <w:b/>
      <w:bCs/>
    </w:rPr>
  </w:style>
  <w:style w:type="character" w:customStyle="1" w:styleId="CommentSubjectChar">
    <w:name w:val="Comment Subject Char"/>
    <w:basedOn w:val="CommentTextChar"/>
    <w:link w:val="CommentSubject"/>
    <w:uiPriority w:val="99"/>
    <w:semiHidden/>
    <w:rsid w:val="000746E7"/>
    <w:rPr>
      <w:rFonts w:eastAsiaTheme="minorEastAsia"/>
      <w:b/>
      <w:bCs/>
      <w:kern w:val="0"/>
      <w:sz w:val="20"/>
      <w:szCs w:val="20"/>
      <w:lang w:eastAsia="ja-JP"/>
      <w14:ligatures w14:val="none"/>
    </w:rPr>
  </w:style>
  <w:style w:type="table" w:styleId="GridTable1Light">
    <w:name w:val="Grid Table 1 Light"/>
    <w:basedOn w:val="TableNormal"/>
    <w:uiPriority w:val="46"/>
    <w:rsid w:val="000746E7"/>
    <w:pPr>
      <w:spacing w:after="0" w:line="240" w:lineRule="auto"/>
    </w:pPr>
    <w:rPr>
      <w:rFonts w:eastAsiaTheme="minorEastAsia"/>
      <w:kern w:val="0"/>
      <w:lang w:val="en-US" w:eastAsia="ja-JP"/>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0746E7"/>
    <w:rPr>
      <w:color w:val="666666"/>
    </w:rPr>
  </w:style>
  <w:style w:type="paragraph" w:styleId="NormalWeb">
    <w:name w:val="Normal (Web)"/>
    <w:basedOn w:val="Normal"/>
    <w:uiPriority w:val="99"/>
    <w:semiHidden/>
    <w:unhideWhenUsed/>
    <w:rsid w:val="000746E7"/>
    <w:pPr>
      <w:spacing w:before="100" w:beforeAutospacing="1" w:after="100" w:afterAutospacing="1" w:line="240" w:lineRule="auto"/>
    </w:pPr>
    <w:rPr>
      <w:rFonts w:ascii="Times New Roman" w:eastAsia="Times New Roman" w:hAnsi="Times New Roman" w:cs="Times New Roman"/>
      <w:sz w:val="24"/>
      <w:szCs w:val="24"/>
      <w:lang w:eastAsia="en-GB" w:bidi="th-TH"/>
    </w:rPr>
  </w:style>
  <w:style w:type="paragraph" w:styleId="Bibliography">
    <w:name w:val="Bibliography"/>
    <w:basedOn w:val="Normal"/>
    <w:next w:val="Normal"/>
    <w:uiPriority w:val="37"/>
    <w:unhideWhenUsed/>
    <w:rsid w:val="000746E7"/>
    <w:pPr>
      <w:spacing w:after="240" w:line="240" w:lineRule="auto"/>
    </w:pPr>
    <w:rPr>
      <w:sz w:val="24"/>
      <w:szCs w:val="24"/>
      <w:lang w:eastAsia="ja-JP"/>
    </w:rPr>
  </w:style>
  <w:style w:type="character" w:customStyle="1" w:styleId="normaltextrun">
    <w:name w:val="normaltextrun"/>
    <w:basedOn w:val="DefaultParagraphFont"/>
    <w:rsid w:val="000746E7"/>
  </w:style>
  <w:style w:type="character" w:customStyle="1" w:styleId="eop">
    <w:name w:val="eop"/>
    <w:basedOn w:val="DefaultParagraphFont"/>
    <w:rsid w:val="000746E7"/>
  </w:style>
  <w:style w:type="character" w:styleId="Hyperlink">
    <w:name w:val="Hyperlink"/>
    <w:basedOn w:val="DefaultParagraphFont"/>
    <w:uiPriority w:val="99"/>
    <w:unhideWhenUsed/>
    <w:rsid w:val="000746E7"/>
    <w:rPr>
      <w:color w:val="467886"/>
      <w:u w:val="single"/>
    </w:rPr>
  </w:style>
  <w:style w:type="character" w:styleId="FollowedHyperlink">
    <w:name w:val="FollowedHyperlink"/>
    <w:basedOn w:val="DefaultParagraphFont"/>
    <w:uiPriority w:val="99"/>
    <w:semiHidden/>
    <w:unhideWhenUsed/>
    <w:rsid w:val="000746E7"/>
    <w:rPr>
      <w:color w:val="96607D"/>
      <w:u w:val="single"/>
    </w:rPr>
  </w:style>
  <w:style w:type="paragraph" w:customStyle="1" w:styleId="msonormal0">
    <w:name w:val="msonormal"/>
    <w:basedOn w:val="Normal"/>
    <w:rsid w:val="000746E7"/>
    <w:pPr>
      <w:spacing w:before="100" w:beforeAutospacing="1" w:after="100" w:afterAutospacing="1" w:line="240" w:lineRule="auto"/>
    </w:pPr>
    <w:rPr>
      <w:rFonts w:ascii="Times New Roman" w:eastAsia="Times New Roman" w:hAnsi="Times New Roman" w:cs="Times New Roman"/>
      <w:sz w:val="24"/>
      <w:szCs w:val="24"/>
      <w:lang w:eastAsia="en-GB" w:bidi="th-TH"/>
    </w:rPr>
  </w:style>
  <w:style w:type="paragraph" w:customStyle="1" w:styleId="font5">
    <w:name w:val="font5"/>
    <w:basedOn w:val="Normal"/>
    <w:rsid w:val="000746E7"/>
    <w:pPr>
      <w:spacing w:before="100" w:beforeAutospacing="1" w:after="100" w:afterAutospacing="1" w:line="240" w:lineRule="auto"/>
    </w:pPr>
    <w:rPr>
      <w:rFonts w:ascii="Aptos" w:eastAsia="Times New Roman" w:hAnsi="Aptos" w:cs="Times New Roman"/>
      <w:b/>
      <w:bCs/>
      <w:color w:val="000000"/>
      <w:sz w:val="28"/>
      <w:szCs w:val="28"/>
      <w:lang w:eastAsia="en-GB" w:bidi="th-TH"/>
    </w:rPr>
  </w:style>
  <w:style w:type="paragraph" w:customStyle="1" w:styleId="font6">
    <w:name w:val="font6"/>
    <w:basedOn w:val="Normal"/>
    <w:rsid w:val="000746E7"/>
    <w:pPr>
      <w:spacing w:before="100" w:beforeAutospacing="1" w:after="100" w:afterAutospacing="1" w:line="240" w:lineRule="auto"/>
    </w:pPr>
    <w:rPr>
      <w:rFonts w:ascii="Aptos" w:eastAsia="Times New Roman" w:hAnsi="Aptos" w:cs="Times New Roman"/>
      <w:color w:val="000000"/>
      <w:sz w:val="28"/>
      <w:szCs w:val="28"/>
      <w:lang w:eastAsia="en-GB" w:bidi="th-TH"/>
    </w:rPr>
  </w:style>
  <w:style w:type="paragraph" w:customStyle="1" w:styleId="font7">
    <w:name w:val="font7"/>
    <w:basedOn w:val="Normal"/>
    <w:rsid w:val="000746E7"/>
    <w:pPr>
      <w:spacing w:before="100" w:beforeAutospacing="1" w:after="100" w:afterAutospacing="1" w:line="240" w:lineRule="auto"/>
    </w:pPr>
    <w:rPr>
      <w:rFonts w:ascii="Aptos" w:eastAsia="Times New Roman" w:hAnsi="Aptos" w:cs="Times New Roman"/>
      <w:b/>
      <w:bCs/>
      <w:color w:val="000000"/>
      <w:sz w:val="28"/>
      <w:szCs w:val="28"/>
      <w:u w:val="single"/>
      <w:lang w:eastAsia="en-GB" w:bidi="th-TH"/>
    </w:rPr>
  </w:style>
  <w:style w:type="paragraph" w:customStyle="1" w:styleId="font8">
    <w:name w:val="font8"/>
    <w:basedOn w:val="Normal"/>
    <w:rsid w:val="000746E7"/>
    <w:pPr>
      <w:spacing w:before="100" w:beforeAutospacing="1" w:after="100" w:afterAutospacing="1" w:line="240" w:lineRule="auto"/>
    </w:pPr>
    <w:rPr>
      <w:rFonts w:ascii="Tahoma" w:eastAsia="Times New Roman" w:hAnsi="Tahoma" w:cs="Tahoma"/>
      <w:b/>
      <w:bCs/>
      <w:color w:val="000000"/>
      <w:sz w:val="18"/>
      <w:szCs w:val="18"/>
      <w:lang w:eastAsia="en-GB" w:bidi="th-TH"/>
    </w:rPr>
  </w:style>
  <w:style w:type="paragraph" w:customStyle="1" w:styleId="font9">
    <w:name w:val="font9"/>
    <w:basedOn w:val="Normal"/>
    <w:rsid w:val="000746E7"/>
    <w:pPr>
      <w:spacing w:before="100" w:beforeAutospacing="1" w:after="100" w:afterAutospacing="1" w:line="240" w:lineRule="auto"/>
    </w:pPr>
    <w:rPr>
      <w:rFonts w:ascii="Tahoma" w:eastAsia="Times New Roman" w:hAnsi="Tahoma" w:cs="Tahoma"/>
      <w:color w:val="000000"/>
      <w:sz w:val="18"/>
      <w:szCs w:val="18"/>
      <w:lang w:eastAsia="en-GB" w:bidi="th-TH"/>
    </w:rPr>
  </w:style>
  <w:style w:type="paragraph" w:customStyle="1" w:styleId="font10">
    <w:name w:val="font10"/>
    <w:basedOn w:val="Normal"/>
    <w:rsid w:val="000746E7"/>
    <w:pPr>
      <w:spacing w:before="100" w:beforeAutospacing="1" w:after="100" w:afterAutospacing="1" w:line="240" w:lineRule="auto"/>
    </w:pPr>
    <w:rPr>
      <w:rFonts w:ascii="Tahoma" w:eastAsia="Times New Roman" w:hAnsi="Tahoma" w:cs="Tahoma"/>
      <w:color w:val="000000"/>
      <w:sz w:val="36"/>
      <w:szCs w:val="36"/>
      <w:lang w:eastAsia="en-GB" w:bidi="th-TH"/>
    </w:rPr>
  </w:style>
  <w:style w:type="paragraph" w:customStyle="1" w:styleId="font11">
    <w:name w:val="font11"/>
    <w:basedOn w:val="Normal"/>
    <w:rsid w:val="000746E7"/>
    <w:pPr>
      <w:spacing w:before="100" w:beforeAutospacing="1" w:after="100" w:afterAutospacing="1" w:line="240" w:lineRule="auto"/>
    </w:pPr>
    <w:rPr>
      <w:rFonts w:ascii="Aptos" w:eastAsia="Times New Roman" w:hAnsi="Aptos" w:cs="Times New Roman"/>
      <w:color w:val="000000"/>
      <w:sz w:val="28"/>
      <w:szCs w:val="28"/>
      <w:lang w:eastAsia="en-GB" w:bidi="th-TH"/>
    </w:rPr>
  </w:style>
  <w:style w:type="paragraph" w:customStyle="1" w:styleId="font12">
    <w:name w:val="font12"/>
    <w:basedOn w:val="Normal"/>
    <w:rsid w:val="000746E7"/>
    <w:pPr>
      <w:spacing w:before="100" w:beforeAutospacing="1" w:after="100" w:afterAutospacing="1" w:line="240" w:lineRule="auto"/>
    </w:pPr>
    <w:rPr>
      <w:rFonts w:ascii="Aptos" w:eastAsia="Times New Roman" w:hAnsi="Aptos" w:cs="Times New Roman"/>
      <w:b/>
      <w:bCs/>
      <w:color w:val="000000"/>
      <w:sz w:val="28"/>
      <w:szCs w:val="28"/>
      <w:lang w:eastAsia="en-GB" w:bidi="th-TH"/>
    </w:rPr>
  </w:style>
  <w:style w:type="paragraph" w:customStyle="1" w:styleId="xl65">
    <w:name w:val="xl65"/>
    <w:basedOn w:val="Normal"/>
    <w:rsid w:val="000746E7"/>
    <w:pPr>
      <w:spacing w:before="100" w:beforeAutospacing="1" w:after="100" w:afterAutospacing="1" w:line="240" w:lineRule="auto"/>
    </w:pPr>
    <w:rPr>
      <w:rFonts w:ascii="Aptos" w:eastAsia="Times New Roman" w:hAnsi="Aptos" w:cs="Times New Roman"/>
      <w:sz w:val="28"/>
      <w:szCs w:val="28"/>
      <w:lang w:eastAsia="en-GB" w:bidi="th-TH"/>
    </w:rPr>
  </w:style>
  <w:style w:type="paragraph" w:customStyle="1" w:styleId="xl66">
    <w:name w:val="xl66"/>
    <w:basedOn w:val="Normal"/>
    <w:rsid w:val="00074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w:eastAsia="Times New Roman" w:hAnsi="Aptos" w:cs="Times New Roman"/>
      <w:b/>
      <w:bCs/>
      <w:sz w:val="28"/>
      <w:szCs w:val="28"/>
      <w:lang w:eastAsia="en-GB" w:bidi="th-TH"/>
    </w:rPr>
  </w:style>
  <w:style w:type="paragraph" w:customStyle="1" w:styleId="xl67">
    <w:name w:val="xl67"/>
    <w:basedOn w:val="Normal"/>
    <w:rsid w:val="00074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ptos" w:eastAsia="Times New Roman" w:hAnsi="Aptos" w:cs="Times New Roman"/>
      <w:sz w:val="28"/>
      <w:szCs w:val="28"/>
      <w:lang w:eastAsia="en-GB" w:bidi="th-TH"/>
    </w:rPr>
  </w:style>
  <w:style w:type="paragraph" w:customStyle="1" w:styleId="xl68">
    <w:name w:val="xl68"/>
    <w:basedOn w:val="Normal"/>
    <w:rsid w:val="00074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ptos" w:eastAsia="Times New Roman" w:hAnsi="Aptos" w:cs="Times New Roman"/>
      <w:sz w:val="28"/>
      <w:szCs w:val="28"/>
      <w:lang w:eastAsia="en-GB" w:bidi="th-TH"/>
    </w:rPr>
  </w:style>
  <w:style w:type="paragraph" w:customStyle="1" w:styleId="xl69">
    <w:name w:val="xl69"/>
    <w:basedOn w:val="Normal"/>
    <w:rsid w:val="00074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ptos" w:eastAsia="Times New Roman" w:hAnsi="Aptos" w:cs="Times New Roman"/>
      <w:color w:val="000000"/>
      <w:sz w:val="28"/>
      <w:szCs w:val="28"/>
      <w:lang w:eastAsia="en-GB" w:bidi="th-TH"/>
    </w:rPr>
  </w:style>
  <w:style w:type="paragraph" w:customStyle="1" w:styleId="xl70">
    <w:name w:val="xl70"/>
    <w:basedOn w:val="Normal"/>
    <w:rsid w:val="00074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ptos" w:eastAsia="Times New Roman" w:hAnsi="Aptos" w:cs="Times New Roman"/>
      <w:sz w:val="28"/>
      <w:szCs w:val="28"/>
      <w:lang w:eastAsia="en-GB" w:bidi="th-TH"/>
    </w:rPr>
  </w:style>
  <w:style w:type="paragraph" w:customStyle="1" w:styleId="xl71">
    <w:name w:val="xl71"/>
    <w:basedOn w:val="Normal"/>
    <w:rsid w:val="00074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ptos" w:eastAsia="Times New Roman" w:hAnsi="Aptos" w:cs="Times New Roman"/>
      <w:b/>
      <w:bCs/>
      <w:sz w:val="28"/>
      <w:szCs w:val="28"/>
      <w:lang w:eastAsia="en-GB" w:bidi="th-TH"/>
    </w:rPr>
  </w:style>
  <w:style w:type="paragraph" w:customStyle="1" w:styleId="xl72">
    <w:name w:val="xl72"/>
    <w:basedOn w:val="Normal"/>
    <w:rsid w:val="00074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ptos" w:eastAsia="Times New Roman" w:hAnsi="Aptos" w:cs="Times New Roman"/>
      <w:color w:val="000000"/>
      <w:sz w:val="28"/>
      <w:szCs w:val="28"/>
      <w:lang w:eastAsia="en-GB" w:bidi="th-TH"/>
    </w:rPr>
  </w:style>
  <w:style w:type="paragraph" w:customStyle="1" w:styleId="xl73">
    <w:name w:val="xl73"/>
    <w:basedOn w:val="Normal"/>
    <w:rsid w:val="00074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8"/>
      <w:szCs w:val="28"/>
      <w:lang w:eastAsia="en-GB" w:bidi="th-TH"/>
    </w:rPr>
  </w:style>
  <w:style w:type="paragraph" w:customStyle="1" w:styleId="xl74">
    <w:name w:val="xl74"/>
    <w:basedOn w:val="Normal"/>
    <w:rsid w:val="000746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ptos" w:eastAsia="Times New Roman" w:hAnsi="Aptos" w:cs="Times New Roman"/>
      <w:sz w:val="28"/>
      <w:szCs w:val="28"/>
      <w:lang w:eastAsia="en-GB" w:bidi="th-TH"/>
    </w:rPr>
  </w:style>
  <w:style w:type="paragraph" w:customStyle="1" w:styleId="xl75">
    <w:name w:val="xl75"/>
    <w:basedOn w:val="Normal"/>
    <w:rsid w:val="000746E7"/>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pPr>
    <w:rPr>
      <w:rFonts w:ascii="Aptos" w:eastAsia="Times New Roman" w:hAnsi="Aptos" w:cs="Times New Roman"/>
      <w:sz w:val="28"/>
      <w:szCs w:val="28"/>
      <w:lang w:eastAsia="en-GB" w:bidi="th-TH"/>
    </w:rPr>
  </w:style>
  <w:style w:type="paragraph" w:customStyle="1" w:styleId="xl76">
    <w:name w:val="xl76"/>
    <w:basedOn w:val="Normal"/>
    <w:rsid w:val="000746E7"/>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pPr>
    <w:rPr>
      <w:rFonts w:ascii="Aptos" w:eastAsia="Times New Roman" w:hAnsi="Aptos" w:cs="Times New Roman"/>
      <w:sz w:val="28"/>
      <w:szCs w:val="28"/>
      <w:lang w:eastAsia="en-GB" w:bidi="th-TH"/>
    </w:rPr>
  </w:style>
  <w:style w:type="paragraph" w:customStyle="1" w:styleId="xl77">
    <w:name w:val="xl77"/>
    <w:basedOn w:val="Normal"/>
    <w:rsid w:val="000746E7"/>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pPr>
    <w:rPr>
      <w:rFonts w:ascii="Aptos" w:eastAsia="Times New Roman" w:hAnsi="Aptos" w:cs="Times New Roman"/>
      <w:sz w:val="28"/>
      <w:szCs w:val="28"/>
      <w:lang w:eastAsia="en-GB" w:bidi="th-TH"/>
    </w:rPr>
  </w:style>
  <w:style w:type="paragraph" w:customStyle="1" w:styleId="xl78">
    <w:name w:val="xl78"/>
    <w:basedOn w:val="Normal"/>
    <w:rsid w:val="000746E7"/>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pPr>
    <w:rPr>
      <w:rFonts w:ascii="Aptos" w:eastAsia="Times New Roman" w:hAnsi="Aptos" w:cs="Times New Roman"/>
      <w:sz w:val="28"/>
      <w:szCs w:val="28"/>
      <w:lang w:eastAsia="en-GB" w:bidi="th-TH"/>
    </w:rPr>
  </w:style>
  <w:style w:type="paragraph" w:customStyle="1" w:styleId="xl79">
    <w:name w:val="xl79"/>
    <w:basedOn w:val="Normal"/>
    <w:rsid w:val="000746E7"/>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pPr>
    <w:rPr>
      <w:rFonts w:ascii="Aptos" w:eastAsia="Times New Roman" w:hAnsi="Aptos" w:cs="Times New Roman"/>
      <w:b/>
      <w:bCs/>
      <w:sz w:val="28"/>
      <w:szCs w:val="28"/>
      <w:lang w:eastAsia="en-GB" w:bidi="th-TH"/>
    </w:rPr>
  </w:style>
  <w:style w:type="paragraph" w:customStyle="1" w:styleId="xl80">
    <w:name w:val="xl80"/>
    <w:basedOn w:val="Normal"/>
    <w:rsid w:val="000746E7"/>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pPr>
    <w:rPr>
      <w:rFonts w:ascii="Aptos" w:eastAsia="Times New Roman" w:hAnsi="Aptos" w:cs="Times New Roman"/>
      <w:sz w:val="28"/>
      <w:szCs w:val="28"/>
      <w:lang w:eastAsia="en-GB" w:bidi="th-TH"/>
    </w:rPr>
  </w:style>
  <w:style w:type="paragraph" w:customStyle="1" w:styleId="xl81">
    <w:name w:val="xl81"/>
    <w:basedOn w:val="Normal"/>
    <w:rsid w:val="000746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bidi="th-TH"/>
    </w:rPr>
  </w:style>
  <w:style w:type="paragraph" w:customStyle="1" w:styleId="xl82">
    <w:name w:val="xl82"/>
    <w:basedOn w:val="Normal"/>
    <w:rsid w:val="000746E7"/>
    <w:pPr>
      <w:pBdr>
        <w:left w:val="single" w:sz="4" w:space="0" w:color="auto"/>
        <w:bottom w:val="single" w:sz="4" w:space="0" w:color="auto"/>
        <w:right w:val="single" w:sz="4" w:space="0" w:color="auto"/>
      </w:pBdr>
      <w:spacing w:before="100" w:beforeAutospacing="1" w:after="100" w:afterAutospacing="1" w:line="240" w:lineRule="auto"/>
    </w:pPr>
    <w:rPr>
      <w:rFonts w:ascii="Aptos" w:eastAsia="Times New Roman" w:hAnsi="Aptos" w:cs="Times New Roman"/>
      <w:sz w:val="28"/>
      <w:szCs w:val="28"/>
      <w:lang w:eastAsia="en-GB" w:bidi="th-TH"/>
    </w:rPr>
  </w:style>
  <w:style w:type="paragraph" w:customStyle="1" w:styleId="xl83">
    <w:name w:val="xl83"/>
    <w:basedOn w:val="Normal"/>
    <w:rsid w:val="000746E7"/>
    <w:pPr>
      <w:pBdr>
        <w:left w:val="single" w:sz="4" w:space="0" w:color="auto"/>
        <w:bottom w:val="single" w:sz="4" w:space="0" w:color="auto"/>
        <w:right w:val="single" w:sz="4" w:space="0" w:color="auto"/>
      </w:pBdr>
      <w:spacing w:before="100" w:beforeAutospacing="1" w:after="100" w:afterAutospacing="1" w:line="240" w:lineRule="auto"/>
    </w:pPr>
    <w:rPr>
      <w:rFonts w:ascii="Aptos" w:eastAsia="Times New Roman" w:hAnsi="Aptos" w:cs="Times New Roman"/>
      <w:color w:val="000000"/>
      <w:sz w:val="28"/>
      <w:szCs w:val="28"/>
      <w:lang w:eastAsia="en-GB" w:bidi="th-TH"/>
    </w:rPr>
  </w:style>
  <w:style w:type="paragraph" w:customStyle="1" w:styleId="xl84">
    <w:name w:val="xl84"/>
    <w:basedOn w:val="Normal"/>
    <w:rsid w:val="000746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ptos" w:eastAsia="Times New Roman" w:hAnsi="Aptos" w:cs="Times New Roman"/>
      <w:b/>
      <w:bCs/>
      <w:sz w:val="28"/>
      <w:szCs w:val="28"/>
      <w:lang w:eastAsia="en-GB" w:bidi="th-TH"/>
    </w:rPr>
  </w:style>
  <w:style w:type="paragraph" w:customStyle="1" w:styleId="xl85">
    <w:name w:val="xl85"/>
    <w:basedOn w:val="Normal"/>
    <w:rsid w:val="000746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w:eastAsia="Times New Roman" w:hAnsi="Aptos" w:cs="Times New Roman"/>
      <w:b/>
      <w:bCs/>
      <w:sz w:val="28"/>
      <w:szCs w:val="28"/>
      <w:lang w:eastAsia="en-GB" w:bidi="th-TH"/>
    </w:rPr>
  </w:style>
  <w:style w:type="paragraph" w:customStyle="1" w:styleId="xl86">
    <w:name w:val="xl86"/>
    <w:basedOn w:val="Normal"/>
    <w:rsid w:val="000746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ptos" w:eastAsia="Times New Roman" w:hAnsi="Aptos" w:cs="Times New Roman"/>
      <w:b/>
      <w:bCs/>
      <w:sz w:val="28"/>
      <w:szCs w:val="28"/>
      <w:lang w:eastAsia="en-GB" w:bidi="th-TH"/>
    </w:rPr>
  </w:style>
  <w:style w:type="paragraph" w:customStyle="1" w:styleId="xl87">
    <w:name w:val="xl87"/>
    <w:basedOn w:val="Normal"/>
    <w:rsid w:val="000746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w:eastAsia="Times New Roman" w:hAnsi="Aptos" w:cs="Times New Roman"/>
      <w:b/>
      <w:bCs/>
      <w:sz w:val="28"/>
      <w:szCs w:val="28"/>
      <w:lang w:eastAsia="en-GB" w:bidi="th-TH"/>
    </w:rPr>
  </w:style>
  <w:style w:type="paragraph" w:customStyle="1" w:styleId="TableCaption">
    <w:name w:val="Table Caption"/>
    <w:basedOn w:val="Normal"/>
    <w:qFormat/>
    <w:rsid w:val="000746E7"/>
    <w:pPr>
      <w:spacing w:after="0" w:line="240" w:lineRule="auto"/>
      <w:jc w:val="center"/>
    </w:pPr>
    <w:rPr>
      <w:b/>
      <w:i/>
      <w:sz w:val="24"/>
      <w:szCs w:val="24"/>
    </w:rPr>
  </w:style>
  <w:style w:type="paragraph" w:customStyle="1" w:styleId="xl63">
    <w:name w:val="xl63"/>
    <w:basedOn w:val="Normal"/>
    <w:rsid w:val="000746E7"/>
    <w:pPr>
      <w:pBdr>
        <w:top w:val="single" w:sz="4" w:space="0" w:color="BFBFBF"/>
        <w:left w:val="single" w:sz="4" w:space="0" w:color="BFBFBF"/>
        <w:bottom w:val="single" w:sz="4" w:space="0" w:color="BFBFBF"/>
        <w:right w:val="single" w:sz="4" w:space="0" w:color="BFBFBF"/>
      </w:pBdr>
      <w:shd w:val="clear" w:color="003366" w:fill="1F4E79"/>
      <w:spacing w:before="100" w:beforeAutospacing="1" w:after="100" w:afterAutospacing="1" w:line="240" w:lineRule="auto"/>
      <w:jc w:val="center"/>
      <w:textAlignment w:val="center"/>
    </w:pPr>
    <w:rPr>
      <w:rFonts w:ascii="Arial" w:eastAsia="Times New Roman" w:hAnsi="Arial" w:cs="Arial"/>
      <w:b/>
      <w:bCs/>
      <w:color w:val="FFFFFF"/>
      <w:sz w:val="24"/>
      <w:szCs w:val="24"/>
      <w:lang w:eastAsia="en-GB"/>
    </w:rPr>
  </w:style>
  <w:style w:type="paragraph" w:customStyle="1" w:styleId="xl64">
    <w:name w:val="xl64"/>
    <w:basedOn w:val="Normal"/>
    <w:rsid w:val="000746E7"/>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textAlignment w:val="top"/>
    </w:pPr>
    <w:rPr>
      <w:rFonts w:ascii="Arial" w:eastAsia="Times New Roman" w:hAnsi="Arial" w:cs="Arial"/>
      <w:sz w:val="20"/>
      <w:szCs w:val="20"/>
      <w:lang w:eastAsia="en-GB"/>
    </w:rPr>
  </w:style>
  <w:style w:type="table" w:styleId="GridTable4">
    <w:name w:val="Grid Table 4"/>
    <w:basedOn w:val="TableNormal"/>
    <w:uiPriority w:val="49"/>
    <w:rsid w:val="000746E7"/>
    <w:pPr>
      <w:spacing w:after="0" w:line="240" w:lineRule="auto"/>
    </w:pPr>
    <w:rPr>
      <w:rFonts w:eastAsiaTheme="minorEastAsia"/>
      <w:kern w:val="0"/>
      <w:lang w:val="en-US" w:eastAsia="ja-JP"/>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0746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620</TotalTime>
  <Pages>47</Pages>
  <Words>62987</Words>
  <Characters>359030</Characters>
  <Application>Microsoft Office Word</Application>
  <DocSecurity>0</DocSecurity>
  <Lines>2991</Lines>
  <Paragraphs>842</Paragraphs>
  <ScaleCrop>false</ScaleCrop>
  <Company/>
  <LinksUpToDate>false</LinksUpToDate>
  <CharactersWithSpaces>421175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Akuze Joseph Waiswa</dc:creator>
  <cp:keywords/>
  <dc:description/>
  <cp:lastModifiedBy>Akuze Joseph Waiswa</cp:lastModifiedBy>
  <cp:revision>28</cp:revision>
  <dcterms:created xsi:type="dcterms:W3CDTF">2026-06-01T21:35:00Z</dcterms:created>
  <dcterms:modified xsi:type="dcterms:W3CDTF">2026-06-26T00:59:00Z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zotero-version="9.0.3"&gt;&lt;session id="yXhbmf6e"/&gt;&lt;style id="http://www.zotero.org/styles/bmc-public-health" hasBibliography="1" bibliographyStyleHasBeenSet="0"/&gt;&lt;prefs&gt;&lt;pref name="fieldType" value="Field"/&gt;&lt;pref name="automaticJournal</vt:lpwstr>
  </property>
  <property fmtid="{D5CDD505-2E9C-101B-9397-08002B2CF9AE}" pid="3" name="ZOTERO_PREF_2">
    <vt:lpwstr>Abbreviations" value="true"/&gt;&lt;/prefs&gt;&lt;/data&gt;</vt:lpwstr>
  </property>
</Properties>
</file>