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rFonts w:ascii="Arial" w:cs="Arial" w:eastAsia="Arial" w:hAnsi="Arial"/>
          <w:b/>
          <w:bCs/>
          <w:sz w:val="21"/>
          <w:szCs w:val="21"/>
        </w:rPr>
        <w:t xml:space="preserve">Table 1. One cohort, five answers.</w:t>
      </w:r>
      <w:r>
        <w:rPr>
          <w:rFonts w:ascii="Arial" w:cs="Arial" w:eastAsia="Arial" w:hAnsi="Arial"/>
          <w:sz w:val="21"/>
          <w:szCs w:val="21"/>
        </w:rPr>
        <w:t xml:space="preserve"> The same clinical event, expressed in five ways within the same institutional cohort, yields five qualitatively different conclusions. Only the recording-prone continuous field supports a large effect; every representation that is either robust to the low-end recording artifact (binary thresholds) or independent of the recording convention (objective hemoglobin) shows no comparable effect.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34%"/>
            <w:shd w:fill="2E5A88" w:val="clea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Representation of the same event</w:t>
            </w:r>
          </w:p>
        </w:tc>
        <w:tc>
          <w:tcPr>
            <w:tcW w:type="pct" w:w="40%"/>
            <w:shd w:fill="2E5A88" w:val="clea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Estimate (carbetocin vs control)</w:t>
            </w:r>
          </w:p>
        </w:tc>
        <w:tc>
          <w:tcPr>
            <w:tcW w:type="pct" w:w="26%"/>
            <w:shd w:fill="2E5A88" w:val="clear"/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Interpretation</w:t>
            </w:r>
          </w:p>
        </w:tc>
      </w:tr>
      <w:tr>
        <w:tc>
          <w:tcPr>
            <w:tcW w:type="pct" w:w="34%"/>
          </w:tcPr>
          <w:p>
            <w:r>
              <w:rPr>
                <w:rFonts w:ascii="Arial" w:cs="Arial" w:eastAsia="Arial" w:hAnsi="Arial"/>
                <w:b w:val="false"/>
                <w:bCs w:val="false"/>
                <w:sz w:val="19"/>
                <w:szCs w:val="19"/>
              </w:rPr>
              <w:t xml:space="preserve">Continuous recorded blood loss (log-linear)</w:t>
            </w:r>
          </w:p>
        </w:tc>
        <w:tc>
          <w:tcPr>
            <w:tcW w:type="pct" w:w="40%"/>
          </w:tcPr>
          <w:p>
            <w:r>
              <w:rPr>
                <w:rFonts w:ascii="Arial" w:cs="Arial" w:eastAsia="Arial" w:hAnsi="Arial"/>
                <w:b w:val="false"/>
                <w:bCs w:val="false"/>
                <w:sz w:val="19"/>
                <w:szCs w:val="19"/>
              </w:rPr>
              <w:t xml:space="preserve">ratio 0.38 (95% CI 0.36–0.39)</w:t>
            </w:r>
          </w:p>
        </w:tc>
        <w:tc>
          <w:tcPr>
            <w:tcW w:type="pct" w:w="26%"/>
          </w:tcPr>
          <w:p>
            <w:r>
              <w:rPr>
                <w:rFonts w:ascii="Arial" w:cs="Arial" w:eastAsia="Arial" w:hAnsi="Arial"/>
                <w:b w:val="false"/>
                <w:bCs w:val="false"/>
                <w:sz w:val="19"/>
                <w:szCs w:val="19"/>
              </w:rPr>
              <w:t xml:space="preserve">Large 62% ‘reduction’</w:t>
            </w:r>
          </w:p>
        </w:tc>
      </w:tr>
      <w:tr>
        <w:tc>
          <w:tcPr>
            <w:tcW w:type="pct" w:w="34%"/>
          </w:tcPr>
          <w:p>
            <w:r>
              <w:rPr>
                <w:rFonts w:ascii="Arial" w:cs="Arial" w:eastAsia="Arial" w:hAnsi="Arial"/>
                <w:b w:val="false"/>
                <w:bCs w:val="false"/>
                <w:sz w:val="19"/>
                <w:szCs w:val="19"/>
              </w:rPr>
              <w:t xml:space="preserve">Binary: recorded ≥500 mL (postpartum hemorrhage; same patients)</w:t>
            </w:r>
          </w:p>
        </w:tc>
        <w:tc>
          <w:tcPr>
            <w:tcW w:type="pct" w:w="40%"/>
          </w:tcPr>
          <w:p>
            <w:r>
              <w:rPr>
                <w:rFonts w:ascii="Arial" w:cs="Arial" w:eastAsia="Arial" w:hAnsi="Arial"/>
                <w:b w:val="false"/>
                <w:bCs w:val="false"/>
                <w:sz w:val="19"/>
                <w:szCs w:val="19"/>
              </w:rPr>
              <w:t xml:space="preserve">3.2% vs 4.2%; OR 0.76, p=0.13</w:t>
            </w:r>
          </w:p>
        </w:tc>
        <w:tc>
          <w:tcPr>
            <w:tcW w:type="pct" w:w="26%"/>
          </w:tcPr>
          <w:p>
            <w:r>
              <w:rPr>
                <w:rFonts w:ascii="Arial" w:cs="Arial" w:eastAsia="Arial" w:hAnsi="Arial"/>
                <w:b w:val="false"/>
                <w:bCs w:val="false"/>
                <w:sz w:val="19"/>
                <w:szCs w:val="19"/>
              </w:rPr>
              <w:t xml:space="preserve">No significant difference</w:t>
            </w:r>
          </w:p>
        </w:tc>
      </w:tr>
      <w:tr>
        <w:tc>
          <w:tcPr>
            <w:tcW w:type="pct" w:w="34%"/>
          </w:tcPr>
          <w:p>
            <w:r>
              <w:rPr>
                <w:rFonts w:ascii="Arial" w:cs="Arial" w:eastAsia="Arial" w:hAnsi="Arial"/>
                <w:b w:val="false"/>
                <w:bCs w:val="false"/>
                <w:sz w:val="19"/>
                <w:szCs w:val="19"/>
              </w:rPr>
              <w:t xml:space="preserve">Binary: recorded ≥1000 mL (same patients)</w:t>
            </w:r>
          </w:p>
        </w:tc>
        <w:tc>
          <w:tcPr>
            <w:tcW w:type="pct" w:w="40%"/>
          </w:tcPr>
          <w:p>
            <w:r>
              <w:rPr>
                <w:rFonts w:ascii="Arial" w:cs="Arial" w:eastAsia="Arial" w:hAnsi="Arial"/>
                <w:b w:val="false"/>
                <w:bCs w:val="false"/>
                <w:sz w:val="19"/>
                <w:szCs w:val="19"/>
              </w:rPr>
              <w:t xml:space="preserve">0.57% vs 0.25%; OR 2.27, p=0.18</w:t>
            </w:r>
          </w:p>
        </w:tc>
        <w:tc>
          <w:tcPr>
            <w:tcW w:type="pct" w:w="26%"/>
          </w:tcPr>
          <w:p>
            <w:r>
              <w:rPr>
                <w:rFonts w:ascii="Arial" w:cs="Arial" w:eastAsia="Arial" w:hAnsi="Arial"/>
                <w:b w:val="false"/>
                <w:bCs w:val="false"/>
                <w:sz w:val="19"/>
                <w:szCs w:val="19"/>
              </w:rPr>
              <w:t xml:space="preserve">Reversed (more with carbetocin)</w:t>
            </w:r>
          </w:p>
        </w:tc>
      </w:tr>
      <w:tr>
        <w:tc>
          <w:tcPr>
            <w:tcW w:type="pct" w:w="34%"/>
          </w:tcPr>
          <w:p>
            <w:r>
              <w:rPr>
                <w:rFonts w:ascii="Arial" w:cs="Arial" w:eastAsia="Arial" w:hAnsi="Arial"/>
                <w:b w:val="false"/>
                <w:bCs w:val="false"/>
                <w:sz w:val="19"/>
                <w:szCs w:val="19"/>
              </w:rPr>
              <w:t xml:space="preserve">Objective peri-operative hemoglobin change, vaginal (same patients, n=44)</w:t>
            </w:r>
          </w:p>
        </w:tc>
        <w:tc>
          <w:tcPr>
            <w:tcW w:type="pct" w:w="40%"/>
          </w:tcPr>
          <w:p>
            <w:r>
              <w:rPr>
                <w:rFonts w:ascii="Arial" w:cs="Arial" w:eastAsia="Arial" w:hAnsi="Arial"/>
                <w:b w:val="false"/>
                <w:bCs w:val="false"/>
                <w:sz w:val="19"/>
                <w:szCs w:val="19"/>
              </w:rPr>
              <w:t xml:space="preserve">median −0.80 vs −1.10 g/dL; p=0.94 (exploratory, underpowered)</w:t>
            </w:r>
          </w:p>
        </w:tc>
        <w:tc>
          <w:tcPr>
            <w:tcW w:type="pct" w:w="26%"/>
          </w:tcPr>
          <w:p>
            <w:r>
              <w:rPr>
                <w:rFonts w:ascii="Arial" w:cs="Arial" w:eastAsia="Arial" w:hAnsi="Arial"/>
                <w:b w:val="false"/>
                <w:bCs w:val="false"/>
                <w:sz w:val="19"/>
                <w:szCs w:val="19"/>
              </w:rPr>
              <w:t xml:space="preserve">No difference</w:t>
            </w:r>
          </w:p>
        </w:tc>
      </w:tr>
      <w:tr>
        <w:tc>
          <w:tcPr>
            <w:tcW w:type="pct" w:w="34%"/>
          </w:tcPr>
          <w:p>
            <w:r>
              <w:rPr>
                <w:rFonts w:ascii="Arial" w:cs="Arial" w:eastAsia="Arial" w:hAnsi="Arial"/>
                <w:b w:val="false"/>
                <w:bCs w:val="false"/>
                <w:sz w:val="19"/>
                <w:szCs w:val="19"/>
              </w:rPr>
              <w:t xml:space="preserve">Objective peri-operative hemoglobin change, cesarean (external)</w:t>
            </w:r>
          </w:p>
        </w:tc>
        <w:tc>
          <w:tcPr>
            <w:tcW w:type="pct" w:w="40%"/>
          </w:tcPr>
          <w:p>
            <w:r>
              <w:rPr>
                <w:rFonts w:ascii="Arial" w:cs="Arial" w:eastAsia="Arial" w:hAnsi="Arial"/>
                <w:b w:val="false"/>
                <w:bCs w:val="false"/>
                <w:sz w:val="19"/>
                <w:szCs w:val="19"/>
              </w:rPr>
              <w:t xml:space="preserve">median −0.60 vs −1.30 g/dL; adjusted +0.79 (95% CI 0.65–0.94)</w:t>
            </w:r>
          </w:p>
        </w:tc>
        <w:tc>
          <w:tcPr>
            <w:tcW w:type="pct" w:w="26%"/>
          </w:tcPr>
          <w:p>
            <w:r>
              <w:rPr>
                <w:rFonts w:ascii="Arial" w:cs="Arial" w:eastAsia="Arial" w:hAnsi="Arial"/>
                <w:b w:val="false"/>
                <w:bCs w:val="false"/>
                <w:sz w:val="19"/>
                <w:szCs w:val="19"/>
              </w:rPr>
              <w:t xml:space="preserve">Smaller objective signal</w:t>
            </w:r>
          </w:p>
        </w:tc>
      </w:tr>
    </w:tbl>
    <w:p>
      <w:pPr>
        <w:spacing w:before="100"/>
      </w:pPr>
      <w:r>
        <w:rPr>
          <w:rFonts w:ascii="Arial" w:cs="Arial" w:eastAsia="Arial" w:hAnsi="Arial"/>
          <w:i/>
          <w:iCs/>
          <w:sz w:val="17"/>
          <w:szCs w:val="17"/>
        </w:rPr>
        <w:t xml:space="preserve">OR, odds ratio; CI, confidence interval. The binary thresholds are derived from the same recorded field but are insensitive to the low-end template values (30–50 mL) that drive the continuous artifact. The vaginal objective comparison is a small, complication-enriched exploratory check (paired hemoglobin available for only 44 of 4,154 vaginal deliveries). The cesarean objective comparison is from a different population and is shown as supportive external evidence; its adjusted estimate is from a multivariable model.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2026-07-03T05:21:04.486Z</dcterms:created>
  <dcterms:modified xsi:type="dcterms:W3CDTF">2026-07-03T05:21:04.499Z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