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Supplementary material for BMC Medical Research Methodology submission</w:t>
      </w:r>
    </w:p>
    <w:p>
      <w:pPr>
        <w:pStyle w:val="Heading1"/>
      </w:pPr>
      <w:r>
        <w:t>Supplementary Methods S1. Scale extraction and variable definitions</w:t>
      </w:r>
    </w:p>
    <w:p>
      <w:r>
        <w:t>Five total scale scores were retained: MMSE, MoCA, GDS-15, 17-item Hamilton Depression Rating Scale, and Barthel ADL Index. Original paper-based clinical forms were digitised with RapidOCR. A random 10% of extracted numerical totals was manually checked against scanned source forms before analysis. MoCA subdomain scores were excluded because earlier extraction audits identified item-level inconsistency; only the total score was retained.</w:t>
      </w:r>
    </w:p>
    <w:p>
      <w:pPr>
        <w:pStyle w:val="Heading1"/>
      </w:pPr>
      <w:r>
        <w:t>Supplementary Methods S2. Missing-data sensitivity configuration</w:t>
      </w:r>
    </w:p>
    <w:p>
      <w:r>
        <w:t>MICE was implemented with chained equations using Bayesian ridge regression and posterior sampling. The imputation model included all five scale totals. Twenty imputed datasets were generated with fixed random seeds. The chained-equation procedure used the scikit-learn IterativeImputer default convergence tolerance and maximum-iteration setting unless otherwise specified in the executable analysis script. Imputed scale totals were inspected for out-of-range values before model fitting; downstream GMM analyses used the continuous imputed totals because the clustering pipeline operated on z-standardised continuous scale scores. For each imputed dataset, the five-variable GMM pipeline was re-run at k=5, and ARI was calculated against the median-imputed reference partition. The imputation-specific ARI distribution was summarised by mean, standard deviation, range, and empirical 95% interval. Because ARI is a bounded partition-concordance statistic rather than a regression coefficient with a conventional within-imputation variance estimate, this interval is descriptive rather than a formal Rubin-rules confidence interval. The analysis was interpreted as a sensitivity analysis because unmeasured predictors of missingness, including injury severity and ward process variables, were unavailable.</w:t>
      </w:r>
    </w:p>
    <w:p>
      <w:pPr>
        <w:pStyle w:val="Heading1"/>
      </w:pPr>
      <w:r>
        <w:t>Supplementary Methods S3. Complete-case phenotype adjudication</w:t>
      </w:r>
    </w:p>
    <w:p>
      <w:r>
        <w:t>The complete-case subset included 103 patients. GMM was refit with BIC re-selecting k. The Hamilton-extreme phenotype was adjudicated by: (A) label coverage of original cluster members entering the complete-case subset; (B) phenotype-based search for high Hamilton, low MMSE, preserved MoCA, and small cluster size; and (C) raw-distribution standard-deviation separation in the expected directions. Two of three methods were required for a replication verdict.</w:t>
      </w:r>
    </w:p>
    <w:p>
      <w:pPr>
        <w:pStyle w:val="Heading1"/>
      </w:pPr>
      <w:r>
        <w:t>Supplementary Methods S4. Input-outcome circularity test</w:t>
      </w:r>
    </w:p>
    <w:p>
      <w:r>
        <w:t>Barthel ADL was removed from the clustering input, and the GMM was refit on MMSE, MoCA, GDS, and Hamilton. Three-level Barthel ADL severity was then modelled with the original five-variable cluster and the four-variable cluster. A collapse in pseudo-R2 after ADL removal was interpreted as evidence that the original cluster-function association was primarily input-driven.</w:t>
      </w:r>
    </w:p>
    <w:p>
      <w:pPr>
        <w:pStyle w:val="Heading1"/>
      </w:pPr>
      <w:r>
        <w:t>Supplementary Results S1. Complete-case Hamilton-extreme adjudication</w:t>
      </w:r>
    </w:p>
    <w:p>
      <w:r>
        <w:t>Of 80 patients in the original Hamilton-extreme cluster, 14 entered the complete-case subset. Twelve of those 14 co-clustered in one complete-case k=5 component, but the phenotype-based search met only two of four criteria and the raw-distribution separation reversed for MMSE. The composite verdict was CLUSTER_ARTIFACT by two of three methods.</w:t>
      </w:r>
    </w:p>
    <w:p>
      <w:pPr>
        <w:pStyle w:val="Heading1"/>
      </w:pPr>
      <w:r>
        <w:t>Supplementary Results S2. Unavailable severity-proxy audit</w:t>
      </w:r>
    </w:p>
    <w:p>
      <w:r>
        <w:t>The pre-specified severity-proxy battery could not be assembled. GCS, length of stay, ICU admission, and surgery fields were absent at item level; lesion location was mostly missing or unstructured. The only complete structured diagnosis indicator was 97.8% concentrated in one category and was not informative for severity-confounding analysis.</w:t>
      </w:r>
    </w:p>
    <w:sectPr w:rsidR="00FC693F" w:rsidRPr="0006063C"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