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BC1524">
      <w:pPr>
        <w:spacing w:line="24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290185" cy="5660390"/>
            <wp:effectExtent l="0" t="0" r="5715" b="1270"/>
            <wp:docPr id="2" name="图片 2" descr="Figure S1文章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1文章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566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A63771">
      <w:pPr>
        <w:spacing w:line="276" w:lineRule="auto"/>
        <w:rPr>
          <w:sz w:val="22"/>
          <w:szCs w:val="22"/>
        </w:rPr>
      </w:pPr>
      <w:r>
        <w:rPr>
          <w:rFonts w:hint="eastAsia"/>
          <w:b/>
          <w:sz w:val="22"/>
          <w:szCs w:val="22"/>
        </w:rPr>
        <w:t>Fig</w:t>
      </w:r>
      <w:r>
        <w:rPr>
          <w:b/>
          <w:sz w:val="22"/>
          <w:szCs w:val="22"/>
        </w:rPr>
        <w:t>ure S1.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(A)</w:t>
      </w:r>
      <w:r>
        <w:rPr>
          <w:sz w:val="22"/>
          <w:szCs w:val="22"/>
        </w:rPr>
        <w:t xml:space="preserve"> Representative image of TTC staining at 24 h after MCAO</w:t>
      </w:r>
      <w:r>
        <w:rPr>
          <w:rFonts w:hint="eastAsia"/>
          <w:sz w:val="22"/>
          <w:szCs w:val="22"/>
        </w:rPr>
        <w:t>/</w:t>
      </w:r>
      <w:r>
        <w:rPr>
          <w:sz w:val="22"/>
          <w:szCs w:val="22"/>
        </w:rPr>
        <w:t xml:space="preserve">r. </w:t>
      </w:r>
      <w:r>
        <w:rPr>
          <w:rFonts w:hint="eastAsia"/>
          <w:b/>
          <w:sz w:val="22"/>
          <w:szCs w:val="22"/>
        </w:rPr>
        <w:t>(</w:t>
      </w:r>
      <w:r>
        <w:rPr>
          <w:b/>
          <w:sz w:val="22"/>
          <w:szCs w:val="22"/>
        </w:rPr>
        <w:t>B, C)</w:t>
      </w:r>
      <w:r>
        <w:rPr>
          <w:sz w:val="22"/>
          <w:szCs w:val="22"/>
        </w:rPr>
        <w:t xml:space="preserve"> Quantitative analysis of dendritic intersections and branch lengths.</w:t>
      </w:r>
      <w:r>
        <w:rPr>
          <w:b/>
          <w:sz w:val="22"/>
          <w:szCs w:val="22"/>
        </w:rPr>
        <w:t xml:space="preserve"> </w:t>
      </w:r>
      <w:r>
        <w:rPr>
          <w:i/>
          <w:sz w:val="22"/>
          <w:szCs w:val="22"/>
        </w:rPr>
        <w:t>n</w:t>
      </w:r>
      <w:r>
        <w:rPr>
          <w:sz w:val="22"/>
          <w:szCs w:val="22"/>
        </w:rPr>
        <w:t xml:space="preserve"> = 5 per group. </w:t>
      </w:r>
      <w:r>
        <w:rPr>
          <w:b/>
          <w:sz w:val="22"/>
          <w:szCs w:val="22"/>
        </w:rPr>
        <w:t>(D)</w:t>
      </w:r>
      <w:r>
        <w:rPr>
          <w:sz w:val="22"/>
          <w:szCs w:val="22"/>
        </w:rPr>
        <w:t xml:space="preserve"> TUNEL assay (TUNEL-green and GFAP-red) showed a large number of apoptotic cells in the infarct core. Scare bar = 2mm/500 </w:t>
      </w:r>
      <w:r>
        <w:rPr>
          <w:bCs/>
          <w:sz w:val="22"/>
          <w:szCs w:val="22"/>
        </w:rPr>
        <w:t>μm.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(E)</w:t>
      </w:r>
      <w:r>
        <w:rPr>
          <w:sz w:val="22"/>
          <w:szCs w:val="22"/>
        </w:rPr>
        <w:t xml:space="preserve"> Quantification of TUNEL-positive cells across regions. </w:t>
      </w:r>
      <w:r>
        <w:rPr>
          <w:i/>
          <w:sz w:val="22"/>
          <w:szCs w:val="22"/>
        </w:rPr>
        <w:t>n</w:t>
      </w:r>
      <w:r>
        <w:rPr>
          <w:sz w:val="22"/>
          <w:szCs w:val="22"/>
        </w:rPr>
        <w:t xml:space="preserve"> = </w:t>
      </w:r>
      <w:r>
        <w:rPr>
          <w:rFonts w:hint="eastAsia"/>
          <w:sz w:val="22"/>
          <w:szCs w:val="22"/>
        </w:rPr>
        <w:t>4</w:t>
      </w:r>
      <w:r>
        <w:rPr>
          <w:sz w:val="22"/>
          <w:szCs w:val="22"/>
        </w:rPr>
        <w:t xml:space="preserve"> per group. </w:t>
      </w:r>
      <w:r>
        <w:rPr>
          <w:b/>
          <w:sz w:val="22"/>
          <w:szCs w:val="22"/>
        </w:rPr>
        <w:t>(F)</w:t>
      </w:r>
      <w:r>
        <w:rPr>
          <w:sz w:val="22"/>
          <w:szCs w:val="22"/>
        </w:rPr>
        <w:t xml:space="preserve"> Double-labeled immunofluorescence of MAP2 and Caspase-3/Caspase-1 demonstrates distinct patterns of neuronal death in the infarct core and peri-infarct region. Scare bar = 40 </w:t>
      </w:r>
      <w:r>
        <w:rPr>
          <w:bCs/>
          <w:sz w:val="22"/>
          <w:szCs w:val="22"/>
        </w:rPr>
        <w:t>μm</w:t>
      </w:r>
      <w:r>
        <w:rPr>
          <w:sz w:val="22"/>
          <w:szCs w:val="22"/>
        </w:rPr>
        <w:t xml:space="preserve">/10 </w:t>
      </w:r>
      <w:r>
        <w:rPr>
          <w:bCs/>
          <w:sz w:val="22"/>
          <w:szCs w:val="22"/>
        </w:rPr>
        <w:t>μm.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(G, H) </w:t>
      </w:r>
      <w:r>
        <w:rPr>
          <w:sz w:val="22"/>
          <w:szCs w:val="22"/>
        </w:rPr>
        <w:t>Quantification of the number of Caspase</w:t>
      </w:r>
      <w:r>
        <w:rPr>
          <w:rFonts w:hint="eastAsia"/>
          <w:sz w:val="22"/>
          <w:szCs w:val="22"/>
        </w:rPr>
        <w:t>-</w:t>
      </w:r>
      <w:r>
        <w:rPr>
          <w:sz w:val="22"/>
          <w:szCs w:val="22"/>
        </w:rPr>
        <w:t>3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and Caspase-1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cells in different regions.</w:t>
      </w:r>
      <w:r>
        <w:rPr>
          <w:i/>
          <w:sz w:val="22"/>
          <w:szCs w:val="22"/>
        </w:rPr>
        <w:t xml:space="preserve"> n</w:t>
      </w:r>
      <w:r>
        <w:rPr>
          <w:sz w:val="22"/>
          <w:szCs w:val="22"/>
        </w:rPr>
        <w:t xml:space="preserve"> = 3 per group. </w:t>
      </w:r>
      <w:r>
        <w:rPr>
          <w:b/>
          <w:sz w:val="22"/>
          <w:szCs w:val="22"/>
        </w:rPr>
        <w:t>(I)</w:t>
      </w:r>
      <w:r>
        <w:rPr>
          <w:sz w:val="22"/>
          <w:szCs w:val="22"/>
        </w:rPr>
        <w:t xml:space="preserve"> Representative images of NeuN and GSDMD immunofluorescence and 3D rendering (right) highlights the increased number of pyroptotic neurons in the peri-infarct zone. All the following representative images were taken from where the white boxes indicated. </w:t>
      </w:r>
      <w:r>
        <w:rPr>
          <w:b/>
          <w:sz w:val="22"/>
          <w:szCs w:val="22"/>
        </w:rPr>
        <w:t>(J, K)</w:t>
      </w:r>
      <w:bookmarkStart w:id="0" w:name="_Hlk186480209"/>
      <w:r>
        <w:rPr>
          <w:sz w:val="22"/>
          <w:szCs w:val="22"/>
        </w:rPr>
        <w:t xml:space="preserve"> </w:t>
      </w:r>
      <w:bookmarkEnd w:id="0"/>
      <w:r>
        <w:rPr>
          <w:sz w:val="22"/>
          <w:szCs w:val="22"/>
        </w:rPr>
        <w:t xml:space="preserve">Orthogonal views and line-scan analysis confirm the colocalization of GSDMD with Neun in the peri-infarct zone. </w:t>
      </w:r>
      <w:r>
        <w:rPr>
          <w:b/>
          <w:sz w:val="22"/>
          <w:szCs w:val="22"/>
        </w:rPr>
        <w:t>(L)</w:t>
      </w:r>
      <w:r>
        <w:rPr>
          <w:sz w:val="22"/>
          <w:szCs w:val="22"/>
        </w:rPr>
        <w:t xml:space="preserve"> Quantification of the number of GSDMD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cells in different regions.</w:t>
      </w:r>
      <w:r>
        <w:rPr>
          <w:i/>
          <w:sz w:val="22"/>
          <w:szCs w:val="22"/>
        </w:rPr>
        <w:t xml:space="preserve"> n</w:t>
      </w:r>
      <w:r>
        <w:rPr>
          <w:sz w:val="22"/>
          <w:szCs w:val="22"/>
        </w:rPr>
        <w:t xml:space="preserve"> = 3 per group. TUNEL and immunofluorescence were performed on brain tissues collected at day 10 post-ischemia.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 xml:space="preserve">All data are presented as means </w:t>
      </w:r>
      <w:r>
        <w:rPr>
          <w:rFonts w:ascii="Symbol" w:hAnsi="Symbol"/>
          <w:bCs/>
          <w:sz w:val="22"/>
          <w:szCs w:val="22"/>
        </w:rPr>
        <w:t></w:t>
      </w:r>
      <w:r>
        <w:rPr>
          <w:sz w:val="22"/>
          <w:szCs w:val="22"/>
        </w:rPr>
        <w:t xml:space="preserve"> SEM. 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0.05, 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0.01, ***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0.001, ****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0.0001.</w:t>
      </w:r>
    </w:p>
    <w:p w14:paraId="2BA9B521">
      <w:pPr>
        <w:spacing w:line="276" w:lineRule="auto"/>
        <w:rPr>
          <w:sz w:val="22"/>
          <w:szCs w:val="22"/>
        </w:rPr>
      </w:pPr>
    </w:p>
    <w:p w14:paraId="009D0F56">
      <w:pPr>
        <w:spacing w:line="240" w:lineRule="auto"/>
        <w:jc w:val="center"/>
      </w:pPr>
      <w:r>
        <w:rPr>
          <w:rFonts w:hint="eastAsia"/>
        </w:rPr>
        <w:drawing>
          <wp:inline distT="0" distB="0" distL="114300" distR="114300">
            <wp:extent cx="5330825" cy="2743200"/>
            <wp:effectExtent l="0" t="0" r="317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30825" cy="27435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620DD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eastAsia" w:ascii="Times New Roman" w:hAnsi="Times New Roman" w:eastAsia="宋体" w:cs="Times New Roman"/>
          <w:sz w:val="22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sz w:val="22"/>
          <w:szCs w:val="21"/>
        </w:rPr>
        <w:t>Figure S2.</w:t>
      </w:r>
      <w:r>
        <w:rPr>
          <w:rFonts w:hint="default" w:ascii="Times New Roman" w:hAnsi="Times New Roman" w:cs="Times New Roman"/>
          <w:sz w:val="22"/>
          <w:szCs w:val="21"/>
        </w:rPr>
        <w:t xml:space="preserve"> </w:t>
      </w:r>
      <w:r>
        <w:rPr>
          <w:rFonts w:hint="default" w:ascii="Times New Roman" w:hAnsi="Times New Roman" w:cs="Times New Roman"/>
          <w:b/>
          <w:sz w:val="22"/>
          <w:szCs w:val="21"/>
        </w:rPr>
        <w:t>(A-D)</w:t>
      </w:r>
      <w:r>
        <w:rPr>
          <w:rFonts w:hint="default" w:ascii="Times New Roman" w:hAnsi="Times New Roman" w:cs="Times New Roman"/>
          <w:sz w:val="22"/>
          <w:szCs w:val="21"/>
        </w:rPr>
        <w:t xml:space="preserve"> Quantification of movement distance (A), mean velocity (B) in the open field test and gait parameters (C, D) in the WT sham mice and GSDMD-KO sham mice, indicating that GSDMD knockout didn’t affect motor parameters in the health mice. n = 5 per group. </w:t>
      </w:r>
      <w:r>
        <w:rPr>
          <w:rFonts w:hint="default" w:ascii="Times New Roman" w:hAnsi="Times New Roman" w:cs="Times New Roman"/>
          <w:b/>
          <w:bCs/>
          <w:sz w:val="22"/>
          <w:szCs w:val="21"/>
        </w:rPr>
        <w:t>(</w:t>
      </w:r>
      <w:r>
        <w:rPr>
          <w:rFonts w:hint="default" w:ascii="Times New Roman" w:hAnsi="Times New Roman" w:cs="Times New Roman"/>
          <w:b/>
          <w:bCs/>
          <w:sz w:val="22"/>
          <w:szCs w:val="21"/>
        </w:rPr>
        <w:t>E)</w:t>
      </w:r>
      <w:r>
        <w:rPr>
          <w:rFonts w:hint="default" w:ascii="Times New Roman" w:hAnsi="Times New Roman" w:cs="Times New Roman"/>
          <w:sz w:val="22"/>
          <w:szCs w:val="21"/>
        </w:rPr>
        <w:t xml:space="preserve"> Immunostaining showed the expression of MAP2 in the WT sham mice and GSDMD-KO sham mice. Scare bar = 40 μm.</w:t>
      </w:r>
      <w:r>
        <w:rPr>
          <w:rFonts w:hint="default" w:ascii="Times New Roman" w:hAnsi="Times New Roman" w:cs="Times New Roman"/>
          <w:b/>
          <w:bCs/>
          <w:sz w:val="22"/>
          <w:szCs w:val="21"/>
        </w:rPr>
        <w:t xml:space="preserve"> (</w:t>
      </w:r>
      <w:r>
        <w:rPr>
          <w:rFonts w:hint="default" w:ascii="Times New Roman" w:hAnsi="Times New Roman" w:cs="Times New Roman"/>
          <w:b/>
          <w:bCs/>
          <w:sz w:val="22"/>
          <w:szCs w:val="21"/>
        </w:rPr>
        <w:t>F)</w:t>
      </w:r>
      <w:r>
        <w:rPr>
          <w:rFonts w:hint="default" w:ascii="Times New Roman" w:hAnsi="Times New Roman" w:cs="Times New Roman"/>
          <w:sz w:val="22"/>
          <w:szCs w:val="21"/>
        </w:rPr>
        <w:t xml:space="preserve"> Quantification of MAP2 fluorescence intensity across experimental groups. n = 3 per group. </w:t>
      </w:r>
      <w:r>
        <w:rPr>
          <w:rFonts w:hint="default" w:ascii="Times New Roman" w:hAnsi="Times New Roman" w:cs="Times New Roman"/>
          <w:sz w:val="22"/>
          <w:szCs w:val="22"/>
        </w:rPr>
        <w:t xml:space="preserve">All data are presented as means </w:t>
      </w:r>
      <w:r>
        <w:rPr>
          <w:rFonts w:ascii="Symbol" w:hAnsi="Symbol"/>
          <w:bCs/>
          <w:sz w:val="22"/>
          <w:szCs w:val="22"/>
        </w:rPr>
        <w:t></w:t>
      </w:r>
      <w:r>
        <w:rPr>
          <w:rFonts w:hint="eastAsia" w:ascii="Symbol" w:hAnsi="Symbol"/>
          <w:bCs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</w:rPr>
        <w:t xml:space="preserve">SEM. </w:t>
      </w:r>
      <w:r>
        <w:rPr>
          <w:rFonts w:hint="default" w:ascii="Times New Roman" w:hAnsi="Times New Roman" w:cs="Times New Roman"/>
          <w:sz w:val="22"/>
          <w:szCs w:val="21"/>
        </w:rPr>
        <w:t>ns: not significant.</w:t>
      </w:r>
      <w:r>
        <w:rPr>
          <w:rFonts w:hint="eastAsia" w:cs="Times New Roman"/>
          <w:sz w:val="22"/>
          <w:szCs w:val="21"/>
          <w:lang w:val="en-US" w:eastAsia="zh-CN"/>
        </w:rPr>
        <w:t xml:space="preserve"> </w:t>
      </w:r>
    </w:p>
    <w:p w14:paraId="61C5B779">
      <w:pPr>
        <w:spacing w:line="240" w:lineRule="auto"/>
        <w:rPr>
          <w:rFonts w:hint="eastAsia"/>
          <w:sz w:val="22"/>
          <w:szCs w:val="21"/>
        </w:rPr>
      </w:pPr>
    </w:p>
    <w:p w14:paraId="60B9C267">
      <w:pPr>
        <w:spacing w:line="240" w:lineRule="auto"/>
        <w:jc w:val="center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4978400" cy="2292985"/>
            <wp:effectExtent l="0" t="0" r="5080" b="635"/>
            <wp:docPr id="1" name="图片 1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7840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DE6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2"/>
          <w:szCs w:val="22"/>
        </w:rPr>
      </w:pPr>
      <w:r>
        <w:rPr>
          <w:rFonts w:hint="eastAsia"/>
          <w:b/>
          <w:sz w:val="22"/>
          <w:szCs w:val="22"/>
        </w:rPr>
        <w:t>Fig</w:t>
      </w:r>
      <w:r>
        <w:rPr>
          <w:b/>
          <w:sz w:val="22"/>
          <w:szCs w:val="22"/>
        </w:rPr>
        <w:t>ure S</w:t>
      </w:r>
      <w:r>
        <w:rPr>
          <w:rFonts w:hint="eastAsia"/>
          <w:b/>
          <w:sz w:val="22"/>
          <w:szCs w:val="22"/>
        </w:rPr>
        <w:t>3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rFonts w:hint="eastAsia"/>
          <w:b/>
          <w:bCs/>
          <w:sz w:val="22"/>
          <w:szCs w:val="22"/>
        </w:rPr>
        <w:t>(</w:t>
      </w:r>
      <w:r>
        <w:rPr>
          <w:rFonts w:hint="eastAsia"/>
          <w:b/>
          <w:bCs/>
          <w:sz w:val="22"/>
          <w:szCs w:val="22"/>
          <w:lang w:val="en-US" w:eastAsia="zh-CN"/>
        </w:rPr>
        <w:t>A</w:t>
      </w:r>
      <w:r>
        <w:rPr>
          <w:rFonts w:hint="eastAsia"/>
          <w:b/>
          <w:bCs/>
          <w:sz w:val="22"/>
          <w:szCs w:val="22"/>
        </w:rPr>
        <w:t>-</w:t>
      </w:r>
      <w:r>
        <w:rPr>
          <w:rFonts w:hint="eastAsia"/>
          <w:b/>
          <w:bCs/>
          <w:sz w:val="22"/>
          <w:szCs w:val="22"/>
          <w:lang w:val="en-US" w:eastAsia="zh-CN"/>
        </w:rPr>
        <w:t>C</w:t>
      </w:r>
      <w:r>
        <w:rPr>
          <w:rFonts w:hint="eastAsia"/>
          <w:b/>
          <w:bCs/>
          <w:sz w:val="22"/>
          <w:szCs w:val="22"/>
        </w:rPr>
        <w:t>)</w:t>
      </w:r>
      <w:r>
        <w:rPr>
          <w:rFonts w:hint="eastAsia"/>
          <w:sz w:val="22"/>
          <w:szCs w:val="22"/>
        </w:rPr>
        <w:t xml:space="preserve"> Quantification of mNSS (</w:t>
      </w:r>
      <w:r>
        <w:rPr>
          <w:rFonts w:hint="eastAsia"/>
          <w:sz w:val="22"/>
          <w:szCs w:val="22"/>
          <w:lang w:val="en-US" w:eastAsia="zh-CN"/>
        </w:rPr>
        <w:t>A</w:t>
      </w:r>
      <w:r>
        <w:rPr>
          <w:rFonts w:hint="eastAsia"/>
          <w:sz w:val="22"/>
          <w:szCs w:val="22"/>
        </w:rPr>
        <w:t>), movement distance (</w:t>
      </w:r>
      <w:r>
        <w:rPr>
          <w:rFonts w:hint="eastAsia"/>
          <w:sz w:val="22"/>
          <w:szCs w:val="22"/>
          <w:lang w:val="en-US" w:eastAsia="zh-CN"/>
        </w:rPr>
        <w:t>B</w:t>
      </w:r>
      <w:r>
        <w:rPr>
          <w:rFonts w:hint="eastAsia"/>
          <w:sz w:val="22"/>
          <w:szCs w:val="22"/>
        </w:rPr>
        <w:t>) and mean velocity (</w:t>
      </w:r>
      <w:r>
        <w:rPr>
          <w:rFonts w:hint="eastAsia"/>
          <w:sz w:val="22"/>
          <w:szCs w:val="22"/>
          <w:lang w:val="en-US" w:eastAsia="zh-CN"/>
        </w:rPr>
        <w:t>C</w:t>
      </w:r>
      <w:r>
        <w:rPr>
          <w:rFonts w:hint="eastAsia"/>
          <w:sz w:val="22"/>
          <w:szCs w:val="22"/>
        </w:rPr>
        <w:t xml:space="preserve">) measured in open field test at day 1 and day 9 after MCAO/r in the female mice. </w:t>
      </w:r>
      <w:bookmarkStart w:id="2" w:name="_GoBack"/>
      <w:r>
        <w:rPr>
          <w:rFonts w:hint="eastAsia"/>
          <w:b/>
          <w:bCs/>
          <w:sz w:val="22"/>
          <w:szCs w:val="22"/>
        </w:rPr>
        <w:t>(</w:t>
      </w:r>
      <w:r>
        <w:rPr>
          <w:rFonts w:hint="eastAsia"/>
          <w:b/>
          <w:bCs/>
          <w:sz w:val="22"/>
          <w:szCs w:val="22"/>
          <w:lang w:val="en-US" w:eastAsia="zh-CN"/>
        </w:rPr>
        <w:t>D</w:t>
      </w:r>
      <w:r>
        <w:rPr>
          <w:rFonts w:hint="eastAsia"/>
          <w:b/>
          <w:bCs/>
          <w:sz w:val="22"/>
          <w:szCs w:val="22"/>
        </w:rPr>
        <w:t>-</w:t>
      </w:r>
      <w:r>
        <w:rPr>
          <w:rFonts w:hint="eastAsia"/>
          <w:b/>
          <w:bCs/>
          <w:sz w:val="22"/>
          <w:szCs w:val="22"/>
          <w:lang w:val="en-US" w:eastAsia="zh-CN"/>
        </w:rPr>
        <w:t>G</w:t>
      </w:r>
      <w:r>
        <w:rPr>
          <w:rFonts w:hint="eastAsia"/>
          <w:b/>
          <w:bCs/>
          <w:sz w:val="22"/>
          <w:szCs w:val="22"/>
        </w:rPr>
        <w:t xml:space="preserve">) </w:t>
      </w:r>
      <w:bookmarkEnd w:id="2"/>
      <w:r>
        <w:rPr>
          <w:rFonts w:hint="eastAsia"/>
          <w:sz w:val="22"/>
          <w:szCs w:val="22"/>
        </w:rPr>
        <w:t>Cadence (</w:t>
      </w:r>
      <w:r>
        <w:rPr>
          <w:rFonts w:hint="eastAsia"/>
          <w:sz w:val="22"/>
          <w:szCs w:val="22"/>
          <w:lang w:val="en-US" w:eastAsia="zh-CN"/>
        </w:rPr>
        <w:t>D</w:t>
      </w:r>
      <w:r>
        <w:rPr>
          <w:rFonts w:hint="eastAsia"/>
          <w:sz w:val="22"/>
          <w:szCs w:val="22"/>
        </w:rPr>
        <w:t>), duty cycle (</w:t>
      </w:r>
      <w:r>
        <w:rPr>
          <w:rFonts w:hint="eastAsia"/>
          <w:sz w:val="22"/>
          <w:szCs w:val="22"/>
          <w:lang w:val="en-US" w:eastAsia="zh-CN"/>
        </w:rPr>
        <w:t>E</w:t>
      </w:r>
      <w:r>
        <w:rPr>
          <w:rFonts w:hint="eastAsia"/>
          <w:sz w:val="22"/>
          <w:szCs w:val="22"/>
        </w:rPr>
        <w:t>), print area (</w:t>
      </w:r>
      <w:r>
        <w:rPr>
          <w:rFonts w:hint="eastAsia"/>
          <w:sz w:val="22"/>
          <w:szCs w:val="22"/>
          <w:lang w:val="en-US" w:eastAsia="zh-CN"/>
        </w:rPr>
        <w:t>F</w:t>
      </w:r>
      <w:r>
        <w:rPr>
          <w:rFonts w:hint="eastAsia"/>
          <w:sz w:val="22"/>
          <w:szCs w:val="22"/>
        </w:rPr>
        <w:t>), swing speed (</w:t>
      </w:r>
      <w:r>
        <w:rPr>
          <w:rFonts w:hint="eastAsia"/>
          <w:sz w:val="22"/>
          <w:szCs w:val="22"/>
          <w:lang w:val="en-US" w:eastAsia="zh-CN"/>
        </w:rPr>
        <w:t>G</w:t>
      </w:r>
      <w:r>
        <w:rPr>
          <w:rFonts w:hint="eastAsia"/>
          <w:sz w:val="22"/>
          <w:szCs w:val="22"/>
        </w:rPr>
        <w:t xml:space="preserve">) measured in gait analysis at day 9 after MCAO/r in the female mice. </w:t>
      </w:r>
      <w:r>
        <w:rPr>
          <w:rFonts w:hint="eastAsia"/>
          <w:i/>
          <w:iCs/>
          <w:sz w:val="22"/>
          <w:szCs w:val="22"/>
        </w:rPr>
        <w:t>RF</w:t>
      </w:r>
      <w:r>
        <w:rPr>
          <w:rFonts w:hint="eastAsia"/>
          <w:sz w:val="22"/>
          <w:szCs w:val="22"/>
        </w:rPr>
        <w:t xml:space="preserve"> right forelimb, </w:t>
      </w:r>
      <w:r>
        <w:rPr>
          <w:rFonts w:hint="eastAsia"/>
          <w:i/>
          <w:iCs/>
          <w:sz w:val="22"/>
          <w:szCs w:val="22"/>
        </w:rPr>
        <w:t>RH</w:t>
      </w:r>
      <w:r>
        <w:rPr>
          <w:rFonts w:hint="eastAsia"/>
          <w:sz w:val="22"/>
          <w:szCs w:val="22"/>
        </w:rPr>
        <w:t xml:space="preserve"> right hindlimb, </w:t>
      </w:r>
      <w:r>
        <w:rPr>
          <w:rFonts w:hint="eastAsia"/>
          <w:i/>
          <w:iCs/>
          <w:sz w:val="22"/>
          <w:szCs w:val="22"/>
        </w:rPr>
        <w:t>LF</w:t>
      </w:r>
      <w:r>
        <w:rPr>
          <w:rFonts w:hint="eastAsia"/>
          <w:sz w:val="22"/>
          <w:szCs w:val="22"/>
        </w:rPr>
        <w:t xml:space="preserve"> left forelimb, </w:t>
      </w:r>
      <w:r>
        <w:rPr>
          <w:rFonts w:hint="eastAsia"/>
          <w:i/>
          <w:iCs/>
          <w:sz w:val="22"/>
          <w:szCs w:val="22"/>
        </w:rPr>
        <w:t>LH</w:t>
      </w:r>
      <w:r>
        <w:rPr>
          <w:rFonts w:hint="eastAsia"/>
          <w:sz w:val="22"/>
          <w:szCs w:val="22"/>
        </w:rPr>
        <w:t xml:space="preserve"> left hindlimb. n = 5-6 per group for behavioral tests. All data are presented as </w:t>
      </w:r>
      <w:r>
        <w:rPr>
          <w:sz w:val="22"/>
          <w:szCs w:val="22"/>
        </w:rPr>
        <w:t xml:space="preserve">means </w:t>
      </w:r>
      <w:r>
        <w:rPr>
          <w:rFonts w:ascii="Symbol" w:hAnsi="Symbol"/>
          <w:bCs/>
          <w:sz w:val="22"/>
          <w:szCs w:val="22"/>
        </w:rPr>
        <w:t></w:t>
      </w:r>
      <w:r>
        <w:rPr>
          <w:sz w:val="22"/>
          <w:szCs w:val="22"/>
        </w:rPr>
        <w:t xml:space="preserve"> SEM. 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0.05, 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0.01, ***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0.001, ****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0.0001.</w:t>
      </w:r>
    </w:p>
    <w:p w14:paraId="37974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sz w:val="22"/>
          <w:szCs w:val="22"/>
        </w:rPr>
      </w:pPr>
    </w:p>
    <w:p w14:paraId="13DFE8A9">
      <w:pPr>
        <w:spacing w:line="240" w:lineRule="auto"/>
      </w:pPr>
      <w:r>
        <w:rPr>
          <w:rFonts w:hint="eastAsia"/>
        </w:rPr>
        <w:drawing>
          <wp:inline distT="0" distB="0" distL="0" distR="0">
            <wp:extent cx="5334635" cy="4998720"/>
            <wp:effectExtent l="0" t="0" r="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35269" cy="49990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ED450F">
      <w:pPr>
        <w:spacing w:line="240" w:lineRule="auto"/>
        <w:rPr>
          <w:sz w:val="22"/>
          <w:szCs w:val="22"/>
        </w:rPr>
      </w:pPr>
      <w:r>
        <w:rPr>
          <w:rFonts w:hint="eastAsia"/>
          <w:b/>
          <w:sz w:val="22"/>
          <w:szCs w:val="22"/>
        </w:rPr>
        <w:t>Fig</w:t>
      </w:r>
      <w:r>
        <w:rPr>
          <w:b/>
          <w:sz w:val="22"/>
          <w:szCs w:val="22"/>
        </w:rPr>
        <w:t>ure S</w:t>
      </w:r>
      <w:r>
        <w:rPr>
          <w:rFonts w:hint="eastAsia"/>
          <w:b/>
          <w:sz w:val="22"/>
          <w:szCs w:val="22"/>
          <w:lang w:val="en-US" w:eastAsia="zh-CN"/>
        </w:rPr>
        <w:t>4</w:t>
      </w:r>
      <w:r>
        <w:rPr>
          <w:b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(A, B) </w:t>
      </w:r>
      <w:r>
        <w:rPr>
          <w:sz w:val="22"/>
          <w:szCs w:val="22"/>
        </w:rPr>
        <w:t xml:space="preserve">Representative images illustrating ASC/MAP2 and GSDMD/MAP2 immunofluorescence at various time points following stroke. Scare bar = 30 </w:t>
      </w:r>
      <w:r>
        <w:rPr>
          <w:bCs/>
          <w:sz w:val="22"/>
          <w:szCs w:val="22"/>
        </w:rPr>
        <w:t>μm.</w:t>
      </w:r>
      <w:r>
        <w:rPr>
          <w:b/>
          <w:sz w:val="22"/>
          <w:szCs w:val="22"/>
        </w:rPr>
        <w:t xml:space="preserve"> (C, D)</w:t>
      </w:r>
      <w:r>
        <w:rPr>
          <w:sz w:val="22"/>
          <w:szCs w:val="22"/>
        </w:rPr>
        <w:t xml:space="preserve"> Temporal expression of ASC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cells and GSDMD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cells in the peri-infarct area, with the number of positive cells peaking on D7.</w:t>
      </w:r>
      <w:r>
        <w:rPr>
          <w:rFonts w:hint="eastAsia"/>
          <w:sz w:val="22"/>
          <w:szCs w:val="22"/>
        </w:rPr>
        <w:t xml:space="preserve"> </w:t>
      </w:r>
      <w:r>
        <w:rPr>
          <w:i/>
          <w:sz w:val="22"/>
          <w:szCs w:val="22"/>
        </w:rPr>
        <w:t>n</w:t>
      </w:r>
      <w:r>
        <w:rPr>
          <w:sz w:val="22"/>
          <w:szCs w:val="22"/>
        </w:rPr>
        <w:t xml:space="preserve"> = 3 per group.</w:t>
      </w:r>
      <w:r>
        <w:rPr>
          <w:b/>
          <w:sz w:val="22"/>
          <w:szCs w:val="22"/>
        </w:rPr>
        <w:t xml:space="preserve"> (E, F)</w:t>
      </w:r>
      <w:r>
        <w:rPr>
          <w:sz w:val="22"/>
          <w:szCs w:val="22"/>
        </w:rPr>
        <w:t xml:space="preserve"> Correlation analysis showing a positive association between the percentage of CD86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microglia and pyroptosis-related proteins (ASC and GSDMD). </w:t>
      </w:r>
      <w:r>
        <w:rPr>
          <w:b/>
          <w:sz w:val="22"/>
          <w:szCs w:val="22"/>
        </w:rPr>
        <w:t>(G, H)</w:t>
      </w:r>
      <w:r>
        <w:rPr>
          <w:sz w:val="22"/>
          <w:szCs w:val="22"/>
        </w:rPr>
        <w:t xml:space="preserve"> Correlation analysis showing a negative association between the ratio of the peri-infarct zone to the infarct core and the number of ASC</w:t>
      </w:r>
      <w:r>
        <w:rPr>
          <w:sz w:val="22"/>
          <w:szCs w:val="22"/>
          <w:vertAlign w:val="superscript"/>
        </w:rPr>
        <w:t>+</w:t>
      </w:r>
      <w:r>
        <w:rPr>
          <w:sz w:val="22"/>
          <w:szCs w:val="22"/>
        </w:rPr>
        <w:t xml:space="preserve"> cells as well as GSDMD</w:t>
      </w:r>
      <w:r>
        <w:rPr>
          <w:sz w:val="22"/>
          <w:szCs w:val="22"/>
          <w:vertAlign w:val="superscript"/>
        </w:rPr>
        <w:t xml:space="preserve">+ </w:t>
      </w:r>
      <w:r>
        <w:rPr>
          <w:sz w:val="22"/>
          <w:szCs w:val="22"/>
        </w:rPr>
        <w:t xml:space="preserve">cells. </w:t>
      </w:r>
      <w:r>
        <w:rPr>
          <w:b/>
          <w:sz w:val="22"/>
          <w:szCs w:val="22"/>
        </w:rPr>
        <w:t>(I)</w:t>
      </w:r>
      <w:r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Quantification of the maximum number of intersections across experimental groups.</w:t>
      </w:r>
      <w:bookmarkStart w:id="1" w:name="_Hlk195113758"/>
      <w:r>
        <w:rPr>
          <w:bCs/>
          <w:sz w:val="22"/>
          <w:szCs w:val="22"/>
        </w:rPr>
        <w:t xml:space="preserve"> </w:t>
      </w:r>
      <w:r>
        <w:rPr>
          <w:i/>
          <w:sz w:val="22"/>
          <w:szCs w:val="22"/>
        </w:rPr>
        <w:t>n</w:t>
      </w:r>
      <w:r>
        <w:rPr>
          <w:sz w:val="22"/>
          <w:szCs w:val="22"/>
        </w:rPr>
        <w:t xml:space="preserve"> = 5 per group.</w:t>
      </w:r>
      <w:r>
        <w:rPr>
          <w:i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(J)</w:t>
      </w:r>
      <w:r>
        <w:rPr>
          <w:bCs/>
          <w:sz w:val="22"/>
          <w:szCs w:val="22"/>
        </w:rPr>
        <w:t xml:space="preserve"> Flow cytometry gating strategy for identifying microglial subsets. CD45</w:t>
      </w:r>
      <w:r>
        <w:rPr>
          <w:bCs/>
          <w:sz w:val="22"/>
          <w:szCs w:val="22"/>
          <w:vertAlign w:val="superscript"/>
        </w:rPr>
        <w:t>high</w:t>
      </w:r>
      <w:r>
        <w:rPr>
          <w:bCs/>
          <w:sz w:val="22"/>
          <w:szCs w:val="22"/>
        </w:rPr>
        <w:t>/CD11b</w:t>
      </w:r>
      <w:r>
        <w:rPr>
          <w:bCs/>
          <w:sz w:val="22"/>
          <w:szCs w:val="22"/>
          <w:vertAlign w:val="superscript"/>
        </w:rPr>
        <w:t>+</w:t>
      </w:r>
      <w:r>
        <w:rPr>
          <w:bCs/>
          <w:sz w:val="22"/>
          <w:szCs w:val="22"/>
        </w:rPr>
        <w:t xml:space="preserve"> cells represent infiltrating macrophages, CD45</w:t>
      </w:r>
      <w:r>
        <w:rPr>
          <w:bCs/>
          <w:sz w:val="22"/>
          <w:szCs w:val="22"/>
          <w:vertAlign w:val="superscript"/>
        </w:rPr>
        <w:t>int</w:t>
      </w:r>
      <w:r>
        <w:rPr>
          <w:bCs/>
          <w:sz w:val="22"/>
          <w:szCs w:val="22"/>
        </w:rPr>
        <w:t>/CD11b</w:t>
      </w:r>
      <w:r>
        <w:rPr>
          <w:bCs/>
          <w:sz w:val="22"/>
          <w:szCs w:val="22"/>
          <w:vertAlign w:val="superscript"/>
        </w:rPr>
        <w:t>+</w:t>
      </w:r>
      <w:r>
        <w:rPr>
          <w:bCs/>
          <w:sz w:val="22"/>
          <w:szCs w:val="22"/>
        </w:rPr>
        <w:t xml:space="preserve"> cells represent activated microglia, and CD45</w:t>
      </w:r>
      <w:r>
        <w:rPr>
          <w:bCs/>
          <w:sz w:val="22"/>
          <w:szCs w:val="22"/>
          <w:vertAlign w:val="superscript"/>
        </w:rPr>
        <w:t>low</w:t>
      </w:r>
      <w:r>
        <w:rPr>
          <w:bCs/>
          <w:sz w:val="22"/>
          <w:szCs w:val="22"/>
        </w:rPr>
        <w:t>/CD11b</w:t>
      </w:r>
      <w:r>
        <w:rPr>
          <w:bCs/>
          <w:sz w:val="22"/>
          <w:szCs w:val="22"/>
          <w:vertAlign w:val="superscript"/>
        </w:rPr>
        <w:t>+</w:t>
      </w:r>
      <w:r>
        <w:rPr>
          <w:bCs/>
          <w:sz w:val="22"/>
          <w:szCs w:val="22"/>
        </w:rPr>
        <w:t xml:space="preserve"> cells represent resting microglia.</w:t>
      </w:r>
      <w:bookmarkEnd w:id="1"/>
      <w:r>
        <w:rPr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Data are presented as means </w:t>
      </w:r>
      <w:r>
        <w:rPr>
          <w:rFonts w:ascii="Symbol" w:hAnsi="Symbol"/>
          <w:bCs/>
          <w:sz w:val="22"/>
          <w:szCs w:val="22"/>
        </w:rPr>
        <w:t></w:t>
      </w:r>
      <w:r>
        <w:rPr>
          <w:sz w:val="22"/>
          <w:szCs w:val="22"/>
        </w:rPr>
        <w:t xml:space="preserve"> SEM. ns: not significant, 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0.05, 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0.01, ***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0.001, ****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0.0001.</w:t>
      </w:r>
    </w:p>
    <w:p w14:paraId="37CC9CA0">
      <w:pPr>
        <w:spacing w:line="240" w:lineRule="auto"/>
        <w:rPr>
          <w:sz w:val="22"/>
          <w:szCs w:val="22"/>
        </w:rPr>
      </w:pPr>
    </w:p>
    <w:p w14:paraId="1C7F03A1">
      <w:pPr>
        <w:spacing w:line="240" w:lineRule="auto"/>
        <w:jc w:val="center"/>
      </w:pPr>
      <w:r>
        <w:rPr>
          <w:rFonts w:hint="eastAsia"/>
        </w:rPr>
        <w:drawing>
          <wp:inline distT="0" distB="0" distL="114300" distR="114300">
            <wp:extent cx="4417695" cy="4524375"/>
            <wp:effectExtent l="0" t="0" r="1905" b="952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17695" cy="452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AED49">
      <w:pPr>
        <w:spacing w:line="240" w:lineRule="auto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Figure </w:t>
      </w:r>
      <w:r>
        <w:rPr>
          <w:rFonts w:hint="eastAsia"/>
          <w:b/>
          <w:bCs/>
          <w:sz w:val="22"/>
          <w:szCs w:val="22"/>
        </w:rPr>
        <w:t>S</w:t>
      </w:r>
      <w:r>
        <w:rPr>
          <w:rFonts w:hint="eastAsia"/>
          <w:b/>
          <w:bCs/>
          <w:sz w:val="22"/>
          <w:szCs w:val="22"/>
          <w:lang w:val="en-US" w:eastAsia="zh-CN"/>
        </w:rPr>
        <w:t>5</w:t>
      </w:r>
      <w:r>
        <w:rPr>
          <w:b/>
          <w:bCs/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>(A)</w:t>
      </w:r>
      <w:r>
        <w:rPr>
          <w:sz w:val="22"/>
          <w:szCs w:val="22"/>
        </w:rPr>
        <w:t xml:space="preserve"> </w:t>
      </w:r>
      <w:r>
        <w:rPr>
          <w:rFonts w:hint="eastAsia"/>
          <w:sz w:val="22"/>
          <w:szCs w:val="22"/>
        </w:rPr>
        <w:t>Correlation analysis between the relative expression level of CD206 and the relative expression level of Kv1.3</w:t>
      </w:r>
      <w:r>
        <w:rPr>
          <w:sz w:val="22"/>
          <w:szCs w:val="22"/>
        </w:rPr>
        <w:t>.</w:t>
      </w:r>
      <w:r>
        <w:rPr>
          <w:b/>
          <w:sz w:val="22"/>
          <w:szCs w:val="22"/>
        </w:rPr>
        <w:t xml:space="preserve"> (B)</w:t>
      </w:r>
      <w:r>
        <w:rPr>
          <w:sz w:val="22"/>
          <w:szCs w:val="22"/>
        </w:rPr>
        <w:t xml:space="preserve"> Three-dimensional gait trajectories captured during gait analysis. </w:t>
      </w:r>
      <w:r>
        <w:rPr>
          <w:b/>
          <w:sz w:val="22"/>
          <w:szCs w:val="22"/>
        </w:rPr>
        <w:t>(C–F)</w:t>
      </w:r>
      <w:r>
        <w:rPr>
          <w:sz w:val="22"/>
          <w:szCs w:val="22"/>
        </w:rPr>
        <w:t xml:space="preserve"> Quantification of gait parameters including mean intensity (C), stance time (D), step cycle (E), body speed (F). n = 6 per group for behavioral tests. Data are presented as means ±</w:t>
      </w:r>
      <w:r>
        <w:rPr>
          <w:rFonts w:hint="eastAsia"/>
          <w:sz w:val="22"/>
          <w:szCs w:val="22"/>
        </w:rPr>
        <w:t xml:space="preserve"> </w:t>
      </w:r>
      <w:r>
        <w:rPr>
          <w:sz w:val="22"/>
          <w:szCs w:val="22"/>
        </w:rPr>
        <w:t>SEM. ns: not significant, 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0.05, 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0.01, ***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0.001, ****</w:t>
      </w:r>
      <w:r>
        <w:rPr>
          <w:i/>
          <w:sz w:val="22"/>
          <w:szCs w:val="22"/>
        </w:rPr>
        <w:t>P</w:t>
      </w:r>
      <w:r>
        <w:rPr>
          <w:sz w:val="22"/>
          <w:szCs w:val="22"/>
        </w:rPr>
        <w:t xml:space="preserve"> &lt; 0.0001.</w:t>
      </w:r>
    </w:p>
    <w:p w14:paraId="512DF364">
      <w:pPr>
        <w:spacing w:line="240" w:lineRule="auto"/>
      </w:pPr>
    </w:p>
    <w:p w14:paraId="6ADF366A">
      <w:pPr>
        <w:spacing w:line="240" w:lineRule="auto"/>
      </w:pPr>
    </w:p>
    <w:p w14:paraId="103780B7">
      <w:pPr>
        <w:spacing w:line="240" w:lineRule="auto"/>
        <w:rPr>
          <w:rFonts w:eastAsiaTheme="minorEastAsia"/>
          <w:sz w:val="22"/>
          <w:szCs w:val="22"/>
        </w:rPr>
      </w:pPr>
    </w:p>
    <w:sectPr>
      <w:pgSz w:w="11906" w:h="16838"/>
      <w:pgMar w:top="1440" w:right="1752" w:bottom="1440" w:left="1752" w:header="851" w:footer="992" w:gutter="0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B97"/>
    <w:rsid w:val="000807E9"/>
    <w:rsid w:val="000A378E"/>
    <w:rsid w:val="000B7CE2"/>
    <w:rsid w:val="000E0873"/>
    <w:rsid w:val="000F17B2"/>
    <w:rsid w:val="002320A4"/>
    <w:rsid w:val="00260F53"/>
    <w:rsid w:val="00295582"/>
    <w:rsid w:val="002F2715"/>
    <w:rsid w:val="00315283"/>
    <w:rsid w:val="0032647A"/>
    <w:rsid w:val="00343C1A"/>
    <w:rsid w:val="00351318"/>
    <w:rsid w:val="00462858"/>
    <w:rsid w:val="0047231D"/>
    <w:rsid w:val="0049209D"/>
    <w:rsid w:val="004A46EF"/>
    <w:rsid w:val="004D1A39"/>
    <w:rsid w:val="00511EDD"/>
    <w:rsid w:val="005730B2"/>
    <w:rsid w:val="005B4FCD"/>
    <w:rsid w:val="005E26F7"/>
    <w:rsid w:val="006124E3"/>
    <w:rsid w:val="00661C8A"/>
    <w:rsid w:val="006921F7"/>
    <w:rsid w:val="00695F86"/>
    <w:rsid w:val="006A1B97"/>
    <w:rsid w:val="006F4ECD"/>
    <w:rsid w:val="006F4FAB"/>
    <w:rsid w:val="007044F4"/>
    <w:rsid w:val="008B3874"/>
    <w:rsid w:val="0091707B"/>
    <w:rsid w:val="0093450A"/>
    <w:rsid w:val="00970F5B"/>
    <w:rsid w:val="009A5A9F"/>
    <w:rsid w:val="009F5E17"/>
    <w:rsid w:val="00A84120"/>
    <w:rsid w:val="00AB717C"/>
    <w:rsid w:val="00B1121E"/>
    <w:rsid w:val="00B2070A"/>
    <w:rsid w:val="00B3518E"/>
    <w:rsid w:val="00B71EDF"/>
    <w:rsid w:val="00C1357F"/>
    <w:rsid w:val="00C20A70"/>
    <w:rsid w:val="00C816D9"/>
    <w:rsid w:val="00CB70F9"/>
    <w:rsid w:val="00CE6C9D"/>
    <w:rsid w:val="00D026B0"/>
    <w:rsid w:val="00D257BB"/>
    <w:rsid w:val="00D5302C"/>
    <w:rsid w:val="00DC289E"/>
    <w:rsid w:val="00DF4BB0"/>
    <w:rsid w:val="00E8388F"/>
    <w:rsid w:val="00E92CE8"/>
    <w:rsid w:val="00F9540E"/>
    <w:rsid w:val="04210CF3"/>
    <w:rsid w:val="05E44B7F"/>
    <w:rsid w:val="09143F6C"/>
    <w:rsid w:val="126778CA"/>
    <w:rsid w:val="166C2B35"/>
    <w:rsid w:val="2C031F0F"/>
    <w:rsid w:val="2F0D0E1E"/>
    <w:rsid w:val="50722DD5"/>
    <w:rsid w:val="5D963D2A"/>
    <w:rsid w:val="63BA261B"/>
    <w:rsid w:val="786E0F20"/>
    <w:rsid w:val="7A893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2767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00" w:lineRule="exact"/>
      <w:jc w:val="both"/>
    </w:pPr>
    <w:rPr>
      <w:rFonts w:ascii="Times New Roman" w:hAnsi="Times New Roman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qFormat/>
    <w:uiPriority w:val="0"/>
    <w:pPr>
      <w:spacing w:before="340" w:after="330" w:line="578" w:lineRule="auto"/>
      <w:outlineLvl w:val="0"/>
    </w:pPr>
    <w:rPr>
      <w:b/>
      <w:bCs/>
      <w:kern w:val="44"/>
      <w:sz w:val="32"/>
      <w:szCs w:val="44"/>
    </w:rPr>
  </w:style>
  <w:style w:type="paragraph" w:styleId="3">
    <w:name w:val="heading 2"/>
    <w:basedOn w:val="1"/>
    <w:next w:val="1"/>
    <w:link w:val="13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link w:val="18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6">
    <w:name w:val="header"/>
    <w:basedOn w:val="1"/>
    <w:link w:val="1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标题 1 字符"/>
    <w:link w:val="2"/>
    <w:qFormat/>
    <w:uiPriority w:val="0"/>
    <w:rPr>
      <w:b/>
      <w:bCs/>
      <w:kern w:val="44"/>
      <w:sz w:val="32"/>
      <w:szCs w:val="44"/>
    </w:rPr>
  </w:style>
  <w:style w:type="paragraph" w:customStyle="1" w:styleId="11">
    <w:name w:val="标题2"/>
    <w:basedOn w:val="3"/>
    <w:link w:val="12"/>
    <w:qFormat/>
    <w:uiPriority w:val="0"/>
    <w:pPr>
      <w:keepNext w:val="0"/>
      <w:keepLines w:val="0"/>
      <w:spacing w:before="20" w:after="20" w:line="415" w:lineRule="auto"/>
      <w:jc w:val="left"/>
    </w:pPr>
    <w:rPr>
      <w:rFonts w:asciiTheme="minorHAnsi" w:hAnsiTheme="minorHAnsi" w:eastAsiaTheme="minorEastAsia" w:cstheme="minorBidi"/>
      <w:sz w:val="28"/>
      <w:szCs w:val="24"/>
    </w:rPr>
  </w:style>
  <w:style w:type="character" w:customStyle="1" w:styleId="12">
    <w:name w:val="标题2 字符"/>
    <w:link w:val="11"/>
    <w:qFormat/>
    <w:uiPriority w:val="0"/>
    <w:rPr>
      <w:b/>
      <w:bCs/>
      <w:sz w:val="28"/>
      <w:szCs w:val="24"/>
    </w:rPr>
  </w:style>
  <w:style w:type="character" w:customStyle="1" w:styleId="13">
    <w:name w:val="标题 2 字符"/>
    <w:basedOn w:val="9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4">
    <w:name w:val="标题3"/>
    <w:basedOn w:val="4"/>
    <w:next w:val="4"/>
    <w:link w:val="15"/>
    <w:qFormat/>
    <w:uiPriority w:val="0"/>
    <w:pPr>
      <w:keepNext w:val="0"/>
      <w:keepLines w:val="0"/>
      <w:spacing w:before="0" w:after="0" w:line="415" w:lineRule="auto"/>
      <w:jc w:val="left"/>
    </w:pPr>
    <w:rPr>
      <w:sz w:val="24"/>
    </w:rPr>
  </w:style>
  <w:style w:type="character" w:customStyle="1" w:styleId="15">
    <w:name w:val="标题3 字符"/>
    <w:link w:val="14"/>
    <w:qFormat/>
    <w:uiPriority w:val="0"/>
    <w:rPr>
      <w:b/>
      <w:bCs/>
      <w:sz w:val="24"/>
      <w:szCs w:val="32"/>
    </w:rPr>
  </w:style>
  <w:style w:type="character" w:customStyle="1" w:styleId="16">
    <w:name w:val="标题 3 字符"/>
    <w:basedOn w:val="9"/>
    <w:link w:val="4"/>
    <w:semiHidden/>
    <w:qFormat/>
    <w:uiPriority w:val="9"/>
    <w:rPr>
      <w:b/>
      <w:bCs/>
      <w:sz w:val="32"/>
      <w:szCs w:val="32"/>
    </w:rPr>
  </w:style>
  <w:style w:type="character" w:customStyle="1" w:styleId="17">
    <w:name w:val="页眉 字符"/>
    <w:basedOn w:val="9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basedOn w:val="9"/>
    <w:link w:val="5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tiff"/><Relationship Id="rId8" Type="http://schemas.openxmlformats.org/officeDocument/2006/relationships/image" Target="media/image3.tiff"/><Relationship Id="rId7" Type="http://schemas.openxmlformats.org/officeDocument/2006/relationships/image" Target="media/image2.tiff"/><Relationship Id="rId6" Type="http://schemas.openxmlformats.org/officeDocument/2006/relationships/image" Target="media/image1.tiff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5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746</Words>
  <Characters>3952</Characters>
  <Lines>231</Lines>
  <Paragraphs>163</Paragraphs>
  <TotalTime>50</TotalTime>
  <ScaleCrop>false</ScaleCrop>
  <LinksUpToDate>false</LinksUpToDate>
  <CharactersWithSpaces>4691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2025-04-20T12:27:00Z</dcterms:created>
  <dc:creator>刘 美茜</dc:creator>
  <cp:lastModifiedBy>罗路</cp:lastModifiedBy>
  <dcterms:modified xsi:type="dcterms:W3CDTF">2026-07-04T12:16:46Z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6D136BE6881B4CAB8A339C8C4947C0C6_13</vt:lpwstr>
  </property>
  <property fmtid="{D5CDD505-2E9C-101B-9397-08002B2CF9AE}" pid="4" name="KSOTemplateDocerSaveRecord">
    <vt:lpwstr>eyJoZGlkIjoiNWMyNjllMmU0YTcwZjNhMTY0NmE1Zjk3MGY5NmI4MWYiLCJ1c2VySWQiOiIxNDg1MzcyODY3In0=</vt:lpwstr>
  </property>
</Properties>
</file>