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A7309" w14:textId="77777777" w:rsidR="005A1720" w:rsidRDefault="005A1720" w:rsidP="005A1720">
      <w:pPr>
        <w:spacing w:line="480" w:lineRule="auto"/>
        <w:rPr>
          <w:rFonts w:ascii="Times New Roman" w:eastAsia="Times New Roman" w:hAnsi="Times New Roman" w:cs="Times New Roman"/>
          <w:b/>
          <w:bCs/>
          <w:sz w:val="24"/>
          <w:szCs w:val="24"/>
        </w:rPr>
      </w:pPr>
    </w:p>
    <w:p w14:paraId="2C922883" w14:textId="343D5F65" w:rsidR="005A1720" w:rsidRDefault="005A1720" w:rsidP="005867D2">
      <w:pPr>
        <w:spacing w:line="480" w:lineRule="auto"/>
        <w:jc w:val="center"/>
        <w:rPr>
          <w:rFonts w:ascii="Times New Roman" w:eastAsia="Times New Roman" w:hAnsi="Times New Roman" w:cs="Times New Roman"/>
          <w:sz w:val="24"/>
          <w:szCs w:val="24"/>
        </w:rPr>
      </w:pPr>
      <w:r w:rsidRPr="0B367076">
        <w:rPr>
          <w:rFonts w:ascii="Times New Roman" w:eastAsia="Times New Roman" w:hAnsi="Times New Roman" w:cs="Times New Roman"/>
          <w:b/>
          <w:bCs/>
          <w:sz w:val="24"/>
          <w:szCs w:val="24"/>
        </w:rPr>
        <w:t xml:space="preserve">Supplementary Information (SI): Esketamine for treatment-resistant depression: Comparing two maintenance schedules in an observational real-world study. </w:t>
      </w:r>
      <w:r>
        <w:tab/>
      </w:r>
    </w:p>
    <w:p w14:paraId="4DA7D15E" w14:textId="77777777" w:rsidR="005867D2" w:rsidRPr="005867D2" w:rsidRDefault="005867D2" w:rsidP="005867D2">
      <w:pPr>
        <w:spacing w:line="480" w:lineRule="auto"/>
        <w:jc w:val="center"/>
        <w:rPr>
          <w:rFonts w:ascii="Times New Roman" w:eastAsia="Times New Roman" w:hAnsi="Times New Roman" w:cs="Times New Roman"/>
          <w:sz w:val="24"/>
          <w:szCs w:val="24"/>
        </w:rPr>
      </w:pPr>
    </w:p>
    <w:p w14:paraId="6897DC62" w14:textId="77777777" w:rsidR="005A1720" w:rsidRPr="00B0337E" w:rsidRDefault="005A1720" w:rsidP="005A1720">
      <w:pPr>
        <w:pStyle w:val="Listenabsatz"/>
        <w:numPr>
          <w:ilvl w:val="0"/>
          <w:numId w:val="1"/>
        </w:numPr>
        <w:spacing w:line="480" w:lineRule="auto"/>
        <w:jc w:val="center"/>
        <w:rPr>
          <w:rFonts w:ascii="Times New Roman" w:hAnsi="Times New Roman" w:cs="Times New Roman"/>
          <w:b/>
          <w:bCs/>
          <w:sz w:val="24"/>
          <w:szCs w:val="24"/>
        </w:rPr>
      </w:pPr>
      <w:r w:rsidRPr="0B367076">
        <w:rPr>
          <w:rFonts w:ascii="Times New Roman" w:hAnsi="Times New Roman" w:cs="Times New Roman"/>
          <w:b/>
          <w:bCs/>
          <w:sz w:val="24"/>
          <w:szCs w:val="24"/>
        </w:rPr>
        <w:t>Supplementary Methods</w:t>
      </w:r>
    </w:p>
    <w:p w14:paraId="24EE815B" w14:textId="77777777" w:rsidR="005A1720" w:rsidRPr="00B0337E" w:rsidRDefault="005A1720" w:rsidP="005A1720">
      <w:pPr>
        <w:spacing w:line="480" w:lineRule="auto"/>
        <w:jc w:val="both"/>
        <w:rPr>
          <w:rFonts w:ascii="Times New Roman" w:hAnsi="Times New Roman" w:cs="Times New Roman"/>
          <w:b/>
          <w:bCs/>
          <w:sz w:val="24"/>
          <w:szCs w:val="24"/>
          <w:u w:val="single"/>
        </w:rPr>
      </w:pPr>
      <w:r w:rsidRPr="0B367076">
        <w:rPr>
          <w:rFonts w:ascii="Times New Roman" w:hAnsi="Times New Roman" w:cs="Times New Roman"/>
          <w:b/>
          <w:bCs/>
          <w:sz w:val="24"/>
          <w:szCs w:val="24"/>
          <w:u w:val="single"/>
        </w:rPr>
        <w:t>Assumptions</w:t>
      </w:r>
    </w:p>
    <w:p w14:paraId="6CE54D28" w14:textId="047B7B66" w:rsidR="005A1720" w:rsidRPr="00B0337E" w:rsidRDefault="005A1720" w:rsidP="005A1720">
      <w:pPr>
        <w:spacing w:line="480" w:lineRule="auto"/>
        <w:jc w:val="both"/>
        <w:rPr>
          <w:rFonts w:ascii="Times New Roman" w:hAnsi="Times New Roman" w:cs="Times New Roman"/>
          <w:b/>
          <w:bCs/>
          <w:sz w:val="24"/>
          <w:szCs w:val="24"/>
          <w:lang w:val="en-US"/>
        </w:rPr>
      </w:pPr>
      <w:r w:rsidRPr="0B367076">
        <w:rPr>
          <w:rFonts w:ascii="Times New Roman" w:hAnsi="Times New Roman" w:cs="Times New Roman"/>
          <w:sz w:val="24"/>
          <w:szCs w:val="24"/>
          <w:lang w:val="en-US"/>
        </w:rPr>
        <w:t>t-tests: Assumptions were assessed by inspecting the distribution of within-participant difference scores using Q–Q plots. On the MADRS scores were approximately normally distributed. On the BDI, there was some deviation in the tails of the distribution (see Figure S1 below). Given the sample size and the robustness of the paired t-test to moderate non-normality, the analysis was retained</w:t>
      </w:r>
      <w:r>
        <w:rPr>
          <w:rFonts w:ascii="Times New Roman" w:hAnsi="Times New Roman" w:cs="Times New Roman"/>
          <w:sz w:val="24"/>
          <w:szCs w:val="24"/>
          <w:lang w:val="en-US"/>
        </w:rPr>
        <w:t>.</w:t>
      </w:r>
    </w:p>
    <w:p w14:paraId="33CDF437" w14:textId="77777777" w:rsidR="005A1720" w:rsidRPr="00B0337E" w:rsidRDefault="005A1720" w:rsidP="005A1720">
      <w:pPr>
        <w:spacing w:line="480" w:lineRule="auto"/>
        <w:jc w:val="both"/>
        <w:rPr>
          <w:rFonts w:ascii="Times New Roman" w:hAnsi="Times New Roman" w:cs="Times New Roman"/>
          <w:b/>
          <w:bCs/>
          <w:sz w:val="24"/>
          <w:szCs w:val="24"/>
        </w:rPr>
      </w:pPr>
      <w:r>
        <w:rPr>
          <w:noProof/>
        </w:rPr>
        <w:drawing>
          <wp:inline distT="0" distB="0" distL="0" distR="0" wp14:anchorId="004670E5" wp14:editId="5C7D34DE">
            <wp:extent cx="5731510" cy="3582035"/>
            <wp:effectExtent l="0" t="0" r="2540" b="0"/>
            <wp:docPr id="1583245197" name="Picture 5" descr="Ein Bild, das Text, Reihe, Diagramm, Screenshot enthält.&#10;&#10;KI-generierte Inhalte können fehlerhaft sein.">
              <a:extLst xmlns:a="http://schemas.openxmlformats.org/drawingml/2006/main">
                <a:ext uri="{FF2B5EF4-FFF2-40B4-BE49-F238E27FC236}">
                  <a16:creationId xmlns:a16="http://schemas.microsoft.com/office/drawing/2014/main" id="{0D457B9D-1ABA-424E-AC94-6CC42BD602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245197" name="Picture 5" descr="Ein Bild, das Text, Reihe, Diagramm, Screenshot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14:paraId="7F1E9F0B" w14:textId="77777777" w:rsidR="005A1720" w:rsidRDefault="005A1720" w:rsidP="005A1720">
      <w:pPr>
        <w:spacing w:line="480" w:lineRule="auto"/>
        <w:jc w:val="both"/>
        <w:rPr>
          <w:rFonts w:ascii="Times New Roman" w:hAnsi="Times New Roman" w:cs="Times New Roman"/>
          <w:sz w:val="24"/>
          <w:szCs w:val="24"/>
        </w:rPr>
      </w:pPr>
      <w:r w:rsidRPr="0B367076">
        <w:rPr>
          <w:rFonts w:ascii="Times New Roman" w:hAnsi="Times New Roman" w:cs="Times New Roman"/>
          <w:b/>
          <w:bCs/>
          <w:sz w:val="24"/>
          <w:szCs w:val="24"/>
        </w:rPr>
        <w:t>F</w:t>
      </w:r>
      <w:r w:rsidRPr="0B367076">
        <w:rPr>
          <w:rFonts w:ascii="Times New Roman" w:hAnsi="Times New Roman" w:cs="Times New Roman"/>
          <w:b/>
          <w:bCs/>
        </w:rPr>
        <w:t>igure S1</w:t>
      </w:r>
      <w:r w:rsidRPr="0B367076">
        <w:rPr>
          <w:rFonts w:ascii="Times New Roman" w:hAnsi="Times New Roman" w:cs="Times New Roman"/>
        </w:rPr>
        <w:t>.  Q-Q plot of BDI change scores</w:t>
      </w:r>
    </w:p>
    <w:p w14:paraId="54C86A9F" w14:textId="77777777" w:rsidR="005A1720" w:rsidRPr="00B0337E" w:rsidRDefault="005A1720" w:rsidP="005A1720">
      <w:pPr>
        <w:spacing w:line="480" w:lineRule="auto"/>
        <w:jc w:val="both"/>
        <w:rPr>
          <w:rFonts w:ascii="Times New Roman" w:hAnsi="Times New Roman" w:cs="Times New Roman"/>
          <w:sz w:val="24"/>
          <w:szCs w:val="24"/>
        </w:rPr>
      </w:pPr>
      <w:r w:rsidRPr="0B367076">
        <w:rPr>
          <w:rFonts w:ascii="Times New Roman" w:hAnsi="Times New Roman" w:cs="Times New Roman"/>
          <w:sz w:val="24"/>
          <w:szCs w:val="24"/>
        </w:rPr>
        <w:lastRenderedPageBreak/>
        <w:t xml:space="preserve">Linear mixed-effects models: </w:t>
      </w:r>
      <w:r w:rsidRPr="0B367076">
        <w:rPr>
          <w:rFonts w:ascii="Times New Roman" w:hAnsi="Times New Roman" w:cs="Times New Roman"/>
          <w:sz w:val="24"/>
          <w:szCs w:val="24"/>
          <w:lang w:val="en-US"/>
        </w:rPr>
        <w:t xml:space="preserve">Normality of the residuals was assessed by inspection of residual Q-Q plots. On the MADRS, residuals appeared normally distributed. </w:t>
      </w:r>
      <w:r w:rsidRPr="0B367076">
        <w:rPr>
          <w:rFonts w:ascii="Times New Roman" w:hAnsi="Times New Roman" w:cs="Times New Roman"/>
          <w:sz w:val="24"/>
          <w:szCs w:val="24"/>
        </w:rPr>
        <w:t>For the BDI model, however, the residual Q-Q plot indicated some deviation from normality, particularly in the tails of the distribution (see Figure S2 below). Nevertheless,</w:t>
      </w:r>
      <w:r w:rsidRPr="0B367076">
        <w:rPr>
          <w:rFonts w:ascii="Times New Roman" w:hAnsi="Times New Roman" w:cs="Times New Roman"/>
          <w:sz w:val="24"/>
          <w:szCs w:val="24"/>
          <w:lang w:val="en-US"/>
        </w:rPr>
        <w:t xml:space="preserve"> the</w:t>
      </w:r>
      <w:r w:rsidRPr="0B367076">
        <w:rPr>
          <w:rFonts w:ascii="Times New Roman" w:hAnsi="Times New Roman" w:cs="Times New Roman"/>
          <w:sz w:val="24"/>
          <w:szCs w:val="24"/>
        </w:rPr>
        <w:t xml:space="preserve"> central part of the residual distribution followed the expected normal pattern reasonably well. </w:t>
      </w:r>
      <w:r w:rsidRPr="0B367076">
        <w:rPr>
          <w:rFonts w:ascii="Times New Roman" w:hAnsi="Times New Roman" w:cs="Times New Roman"/>
          <w:sz w:val="24"/>
          <w:szCs w:val="24"/>
          <w:lang w:val="en-US"/>
        </w:rPr>
        <w:t xml:space="preserve">Normality of the random effects was assessed by inspecting the Q-Q plot of the estimated random effects. Homoscedasticity was assessed by plotting residuals across time points and maintenance schedules to verify approximately constant variance across levels. </w:t>
      </w:r>
      <w:r w:rsidRPr="0B367076">
        <w:rPr>
          <w:rFonts w:ascii="Times New Roman" w:hAnsi="Times New Roman" w:cs="Times New Roman"/>
          <w:sz w:val="24"/>
          <w:szCs w:val="24"/>
        </w:rPr>
        <w:t>Potentially influential patients were examined using Cook’s distance. Models were refitted excluding potentially influential patients, with no meaningful changes in the interpretation of the results.</w:t>
      </w:r>
    </w:p>
    <w:p w14:paraId="27AF38E5" w14:textId="77777777" w:rsidR="005A1720" w:rsidRPr="00B0337E" w:rsidRDefault="005A1720" w:rsidP="005A1720">
      <w:pPr>
        <w:rPr>
          <w:rFonts w:ascii="Times New Roman" w:hAnsi="Times New Roman" w:cs="Times New Roman"/>
          <w:sz w:val="24"/>
          <w:szCs w:val="24"/>
        </w:rPr>
      </w:pPr>
      <w:r>
        <w:rPr>
          <w:noProof/>
        </w:rPr>
        <w:drawing>
          <wp:inline distT="0" distB="0" distL="0" distR="0" wp14:anchorId="3CF09FE2" wp14:editId="4A6211FF">
            <wp:extent cx="5731510" cy="3582035"/>
            <wp:effectExtent l="0" t="0" r="2540" b="0"/>
            <wp:docPr id="1743084516" name="Picture 4" descr="Ein Bild, das Text, Reihe, Diagramm, Screenshot enthält.&#10;&#10;KI-generierte Inhalte können fehlerhaft sein.">
              <a:extLst xmlns:a="http://schemas.openxmlformats.org/drawingml/2006/main">
                <a:ext uri="{FF2B5EF4-FFF2-40B4-BE49-F238E27FC236}">
                  <a16:creationId xmlns:a16="http://schemas.microsoft.com/office/drawing/2014/main" id="{EC80C380-36BE-4EF6-A65F-A54E9549CE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84516" name="Picture 4" descr="Ein Bild, das Text, Reihe, Diagramm, Screenshot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14:paraId="08266896" w14:textId="77777777" w:rsidR="005A1720" w:rsidRDefault="005A1720" w:rsidP="005A1720">
      <w:pPr>
        <w:spacing w:line="480" w:lineRule="auto"/>
        <w:jc w:val="both"/>
        <w:rPr>
          <w:rFonts w:ascii="Times New Roman" w:hAnsi="Times New Roman" w:cs="Times New Roman"/>
          <w:lang w:val="en-US"/>
        </w:rPr>
      </w:pPr>
      <w:r w:rsidRPr="0B367076">
        <w:rPr>
          <w:rFonts w:ascii="Times New Roman" w:hAnsi="Times New Roman" w:cs="Times New Roman"/>
          <w:b/>
          <w:bCs/>
          <w:lang w:val="en-US"/>
        </w:rPr>
        <w:t>Figure S2</w:t>
      </w:r>
      <w:r w:rsidRPr="0B367076">
        <w:rPr>
          <w:rFonts w:ascii="Times New Roman" w:hAnsi="Times New Roman" w:cs="Times New Roman"/>
          <w:lang w:val="en-US"/>
        </w:rPr>
        <w:t>. Q-Q plot of residuals</w:t>
      </w:r>
    </w:p>
    <w:p w14:paraId="4486E93B" w14:textId="77777777" w:rsidR="005A1720" w:rsidRDefault="005A1720" w:rsidP="005A1720">
      <w:pPr>
        <w:spacing w:line="480" w:lineRule="auto"/>
        <w:jc w:val="both"/>
        <w:rPr>
          <w:rFonts w:ascii="Times New Roman" w:hAnsi="Times New Roman" w:cs="Times New Roman"/>
          <w:sz w:val="24"/>
          <w:szCs w:val="24"/>
          <w:lang w:val="en-US"/>
        </w:rPr>
      </w:pPr>
      <w:r w:rsidRPr="0B367076">
        <w:rPr>
          <w:rFonts w:ascii="Times New Roman" w:hAnsi="Times New Roman" w:cs="Times New Roman"/>
          <w:sz w:val="24"/>
          <w:szCs w:val="24"/>
          <w:lang w:val="en-US"/>
        </w:rPr>
        <w:t xml:space="preserve">ANCOVA: Scatterplots of baseline and T13 scores suggested an approximately linear relationships for both instruments. Homogeneity of regression slopes was assessed by refitting each model with an </w:t>
      </w:r>
      <w:proofErr w:type="gramStart"/>
      <w:r w:rsidRPr="0B367076">
        <w:rPr>
          <w:rFonts w:ascii="Times New Roman" w:hAnsi="Times New Roman" w:cs="Times New Roman"/>
          <w:sz w:val="24"/>
          <w:szCs w:val="24"/>
          <w:lang w:val="en-US"/>
        </w:rPr>
        <w:t>interaction  between</w:t>
      </w:r>
      <w:proofErr w:type="gramEnd"/>
      <w:r w:rsidRPr="0B367076">
        <w:rPr>
          <w:rFonts w:ascii="Times New Roman" w:hAnsi="Times New Roman" w:cs="Times New Roman"/>
          <w:sz w:val="24"/>
          <w:szCs w:val="24"/>
          <w:lang w:val="en-US"/>
        </w:rPr>
        <w:t xml:space="preserve"> baseline score and maintenance; no significant </w:t>
      </w:r>
      <w:r w:rsidRPr="0B367076">
        <w:rPr>
          <w:rFonts w:ascii="Times New Roman" w:hAnsi="Times New Roman" w:cs="Times New Roman"/>
          <w:sz w:val="24"/>
          <w:szCs w:val="24"/>
          <w:lang w:val="en-US"/>
        </w:rPr>
        <w:lastRenderedPageBreak/>
        <w:t xml:space="preserve">covariate and group interaction was observed for either instrument. Q-Q plots of the residuals indicated approximate normality, and residuals-versus-fitted plots did not suggest heteroscedasticity. Potentially influential observations were examined using standardized residuals and Cook’s distance. Models were refitted excluding influential observations, with no meaningful changes in the interpretation of the results. </w:t>
      </w:r>
    </w:p>
    <w:p w14:paraId="06AE52C1" w14:textId="77777777" w:rsidR="005A1720" w:rsidRDefault="005A1720" w:rsidP="005A1720">
      <w:pPr>
        <w:spacing w:line="480" w:lineRule="auto"/>
        <w:jc w:val="both"/>
        <w:rPr>
          <w:rFonts w:ascii="Times New Roman" w:hAnsi="Times New Roman" w:cs="Times New Roman"/>
          <w:b/>
          <w:bCs/>
          <w:sz w:val="24"/>
          <w:szCs w:val="24"/>
        </w:rPr>
      </w:pPr>
    </w:p>
    <w:p w14:paraId="476B1790" w14:textId="77777777" w:rsidR="005A1720" w:rsidRDefault="005A1720" w:rsidP="005A1720">
      <w:pPr>
        <w:spacing w:line="480" w:lineRule="auto"/>
        <w:jc w:val="both"/>
        <w:rPr>
          <w:rFonts w:ascii="Times New Roman" w:hAnsi="Times New Roman" w:cs="Times New Roman"/>
          <w:b/>
          <w:bCs/>
          <w:sz w:val="24"/>
          <w:szCs w:val="24"/>
        </w:rPr>
      </w:pPr>
    </w:p>
    <w:p w14:paraId="5C524D5C" w14:textId="77777777" w:rsidR="005A1720" w:rsidRDefault="005A1720" w:rsidP="005A1720">
      <w:pPr>
        <w:spacing w:line="480" w:lineRule="auto"/>
        <w:jc w:val="both"/>
        <w:rPr>
          <w:rFonts w:ascii="Times New Roman" w:hAnsi="Times New Roman" w:cs="Times New Roman"/>
          <w:b/>
          <w:bCs/>
          <w:sz w:val="24"/>
          <w:szCs w:val="24"/>
        </w:rPr>
      </w:pPr>
    </w:p>
    <w:p w14:paraId="1C677141" w14:textId="77777777" w:rsidR="005A1720" w:rsidRPr="00B0337E" w:rsidRDefault="005A1720" w:rsidP="005A1720">
      <w:pPr>
        <w:spacing w:line="480" w:lineRule="auto"/>
        <w:jc w:val="both"/>
        <w:rPr>
          <w:rFonts w:ascii="Times New Roman" w:hAnsi="Times New Roman" w:cs="Times New Roman"/>
          <w:b/>
          <w:bCs/>
          <w:sz w:val="24"/>
          <w:szCs w:val="24"/>
        </w:rPr>
      </w:pPr>
    </w:p>
    <w:p w14:paraId="68A9732D" w14:textId="77777777" w:rsidR="005A1720" w:rsidRPr="00B0337E" w:rsidRDefault="005A1720" w:rsidP="005A1720">
      <w:pPr>
        <w:pStyle w:val="Listenabsatz"/>
        <w:numPr>
          <w:ilvl w:val="0"/>
          <w:numId w:val="1"/>
        </w:numPr>
        <w:spacing w:line="480" w:lineRule="auto"/>
        <w:jc w:val="center"/>
        <w:rPr>
          <w:rFonts w:ascii="Times New Roman" w:hAnsi="Times New Roman" w:cs="Times New Roman"/>
          <w:b/>
          <w:bCs/>
          <w:sz w:val="24"/>
          <w:szCs w:val="24"/>
          <w:lang w:val="en-US"/>
        </w:rPr>
      </w:pPr>
      <w:r w:rsidRPr="0B367076">
        <w:rPr>
          <w:rFonts w:ascii="Times New Roman" w:hAnsi="Times New Roman" w:cs="Times New Roman"/>
          <w:b/>
          <w:bCs/>
          <w:sz w:val="24"/>
          <w:szCs w:val="24"/>
        </w:rPr>
        <w:t>Supplementary Results</w:t>
      </w:r>
    </w:p>
    <w:p w14:paraId="47B486F9" w14:textId="77777777" w:rsidR="005A1720" w:rsidRDefault="005A1720" w:rsidP="005A1720">
      <w:pPr>
        <w:rPr>
          <w:rFonts w:ascii="Times New Roman" w:hAnsi="Times New Roman" w:cs="Times New Roman"/>
          <w:b/>
          <w:bCs/>
          <w:sz w:val="24"/>
          <w:szCs w:val="24"/>
          <w:u w:val="single"/>
        </w:rPr>
      </w:pPr>
      <w:r w:rsidRPr="2A6D821C">
        <w:rPr>
          <w:rFonts w:ascii="Times New Roman" w:hAnsi="Times New Roman" w:cs="Times New Roman"/>
          <w:b/>
          <w:bCs/>
          <w:sz w:val="24"/>
          <w:szCs w:val="24"/>
          <w:u w:val="single"/>
        </w:rPr>
        <w:t>Figures</w:t>
      </w:r>
    </w:p>
    <w:p w14:paraId="73AAE16F" w14:textId="0C81729F" w:rsidR="005A1720" w:rsidRPr="00B0337E" w:rsidRDefault="00330880" w:rsidP="005A1720">
      <w:r>
        <w:rPr>
          <w:noProof/>
          <w14:ligatures w14:val="standardContextual"/>
        </w:rPr>
        <w:lastRenderedPageBreak/>
        <w:drawing>
          <wp:inline distT="0" distB="0" distL="0" distR="0" wp14:anchorId="5D16E40C" wp14:editId="5F3A55E2">
            <wp:extent cx="5673012" cy="8028073"/>
            <wp:effectExtent l="0" t="0" r="4445" b="0"/>
            <wp:docPr id="4392384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38406" name="Grafik 439238406"/>
                    <pic:cNvPicPr/>
                  </pic:nvPicPr>
                  <pic:blipFill>
                    <a:blip r:embed="rId9"/>
                    <a:stretch>
                      <a:fillRect/>
                    </a:stretch>
                  </pic:blipFill>
                  <pic:spPr>
                    <a:xfrm>
                      <a:off x="0" y="0"/>
                      <a:ext cx="5674656" cy="8030400"/>
                    </a:xfrm>
                    <a:prstGeom prst="rect">
                      <a:avLst/>
                    </a:prstGeom>
                  </pic:spPr>
                </pic:pic>
              </a:graphicData>
            </a:graphic>
          </wp:inline>
        </w:drawing>
      </w:r>
    </w:p>
    <w:p w14:paraId="7D975D80" w14:textId="77777777" w:rsidR="005A1720" w:rsidRPr="00B0337E" w:rsidRDefault="005A1720" w:rsidP="005A1720">
      <w:pPr>
        <w:rPr>
          <w:rFonts w:ascii="Times New Roman" w:hAnsi="Times New Roman" w:cs="Times New Roman"/>
          <w:b/>
          <w:bCs/>
        </w:rPr>
      </w:pPr>
      <w:r w:rsidRPr="2A6D821C">
        <w:rPr>
          <w:rFonts w:ascii="Times New Roman" w:hAnsi="Times New Roman" w:cs="Times New Roman"/>
          <w:b/>
          <w:bCs/>
        </w:rPr>
        <w:t xml:space="preserve">Figure S3. </w:t>
      </w:r>
      <w:r w:rsidRPr="2A6D821C">
        <w:rPr>
          <w:rFonts w:ascii="Times New Roman" w:hAnsi="Times New Roman" w:cs="Times New Roman"/>
        </w:rPr>
        <w:t>STROBE Patient-Flow Diagram for drop-out analysis</w:t>
      </w:r>
    </w:p>
    <w:p w14:paraId="32EAF335" w14:textId="77777777" w:rsidR="005A1720" w:rsidRPr="00B0337E" w:rsidRDefault="005A1720" w:rsidP="005A1720">
      <w:pPr>
        <w:rPr>
          <w:rFonts w:ascii="Times New Roman" w:hAnsi="Times New Roman" w:cs="Times New Roman"/>
          <w:sz w:val="20"/>
          <w:szCs w:val="20"/>
          <w:lang w:val="en-US"/>
        </w:rPr>
      </w:pPr>
      <w:r w:rsidRPr="2A6D821C">
        <w:rPr>
          <w:rFonts w:ascii="Times New Roman" w:hAnsi="Times New Roman" w:cs="Times New Roman"/>
          <w:b/>
          <w:bCs/>
          <w:sz w:val="20"/>
          <w:szCs w:val="20"/>
          <w:lang w:val="en-US"/>
        </w:rPr>
        <w:t>Note</w:t>
      </w:r>
      <w:r w:rsidRPr="2A6D821C">
        <w:rPr>
          <w:rFonts w:ascii="Times New Roman" w:hAnsi="Times New Roman" w:cs="Times New Roman"/>
          <w:sz w:val="20"/>
          <w:szCs w:val="20"/>
          <w:lang w:val="en-US"/>
        </w:rPr>
        <w:t>. CGI-I=Clinical Global Impression–Improvement; MADRS=Montgomery-</w:t>
      </w:r>
      <w:proofErr w:type="spellStart"/>
      <w:r w:rsidRPr="2A6D821C">
        <w:rPr>
          <w:rFonts w:ascii="Times New Roman" w:hAnsi="Times New Roman" w:cs="Times New Roman"/>
          <w:sz w:val="20"/>
          <w:szCs w:val="20"/>
          <w:lang w:val="en-US"/>
        </w:rPr>
        <w:t>Åsberg</w:t>
      </w:r>
      <w:proofErr w:type="spellEnd"/>
      <w:r w:rsidRPr="2A6D821C">
        <w:rPr>
          <w:rFonts w:ascii="Times New Roman" w:hAnsi="Times New Roman" w:cs="Times New Roman"/>
          <w:sz w:val="20"/>
          <w:szCs w:val="20"/>
          <w:lang w:val="en-US"/>
        </w:rPr>
        <w:t xml:space="preserve"> Depression Rating Scale; BDI=Beck Depression Inventory-II. Allocation to maintenance schedules was non-</w:t>
      </w:r>
      <w:proofErr w:type="spellStart"/>
      <w:r w:rsidRPr="2A6D821C">
        <w:rPr>
          <w:rFonts w:ascii="Times New Roman" w:hAnsi="Times New Roman" w:cs="Times New Roman"/>
          <w:sz w:val="20"/>
          <w:szCs w:val="20"/>
          <w:lang w:val="en-US"/>
        </w:rPr>
        <w:t>randomised</w:t>
      </w:r>
      <w:proofErr w:type="spellEnd"/>
      <w:r w:rsidRPr="2A6D821C">
        <w:rPr>
          <w:rFonts w:ascii="Times New Roman" w:hAnsi="Times New Roman" w:cs="Times New Roman"/>
          <w:sz w:val="20"/>
          <w:szCs w:val="20"/>
          <w:lang w:val="en-US"/>
        </w:rPr>
        <w:t xml:space="preserve"> (by </w:t>
      </w:r>
      <w:r w:rsidRPr="2A6D821C">
        <w:rPr>
          <w:rFonts w:ascii="Times New Roman" w:hAnsi="Times New Roman" w:cs="Times New Roman"/>
          <w:sz w:val="20"/>
          <w:szCs w:val="20"/>
          <w:lang w:val="en-US"/>
        </w:rPr>
        <w:lastRenderedPageBreak/>
        <w:t xml:space="preserve">clinical availability). Dropout reasons reported </w:t>
      </w:r>
      <w:proofErr w:type="gramStart"/>
      <w:r w:rsidRPr="2A6D821C">
        <w:rPr>
          <w:rFonts w:ascii="Times New Roman" w:hAnsi="Times New Roman" w:cs="Times New Roman"/>
          <w:sz w:val="20"/>
          <w:szCs w:val="20"/>
          <w:lang w:val="en-US"/>
        </w:rPr>
        <w:t>were:</w:t>
      </w:r>
      <w:proofErr w:type="gramEnd"/>
      <w:r w:rsidRPr="2A6D821C">
        <w:rPr>
          <w:rFonts w:ascii="Times New Roman" w:hAnsi="Times New Roman" w:cs="Times New Roman"/>
          <w:sz w:val="20"/>
          <w:szCs w:val="20"/>
          <w:lang w:val="en-US"/>
        </w:rPr>
        <w:t xml:space="preserve"> unknown (n = 10), increased panic attacks (n = 1), intense suicidal ideation with plan (n = 1), and death by suicide (n = </w:t>
      </w:r>
      <w:proofErr w:type="gramStart"/>
      <w:r w:rsidRPr="2A6D821C">
        <w:rPr>
          <w:rFonts w:ascii="Times New Roman" w:hAnsi="Times New Roman" w:cs="Times New Roman"/>
          <w:sz w:val="20"/>
          <w:szCs w:val="20"/>
          <w:lang w:val="en-US"/>
        </w:rPr>
        <w:t>1)*</w:t>
      </w:r>
      <w:proofErr w:type="gramEnd"/>
      <w:r w:rsidRPr="2A6D821C">
        <w:rPr>
          <w:rFonts w:ascii="Times New Roman" w:hAnsi="Times New Roman" w:cs="Times New Roman"/>
          <w:sz w:val="20"/>
          <w:szCs w:val="20"/>
          <w:lang w:val="en-US"/>
        </w:rPr>
        <w:t>.</w:t>
      </w:r>
    </w:p>
    <w:p w14:paraId="7A810DE5" w14:textId="77777777" w:rsidR="005A1720" w:rsidRPr="00B0337E" w:rsidRDefault="005A1720" w:rsidP="005A1720">
      <w:pPr>
        <w:rPr>
          <w:rFonts w:ascii="Times New Roman" w:hAnsi="Times New Roman" w:cs="Times New Roman"/>
          <w:sz w:val="20"/>
          <w:szCs w:val="20"/>
          <w:lang w:val="en-US"/>
        </w:rPr>
      </w:pPr>
      <w:r w:rsidRPr="2A6D821C">
        <w:rPr>
          <w:rFonts w:ascii="Times New Roman" w:hAnsi="Times New Roman" w:cs="Times New Roman"/>
          <w:sz w:val="20"/>
          <w:szCs w:val="20"/>
          <w:lang w:val="en-US"/>
        </w:rPr>
        <w:t>*Suicide was committed five days post session 10 (</w:t>
      </w:r>
      <w:r>
        <w:rPr>
          <w:rFonts w:ascii="Times New Roman" w:hAnsi="Times New Roman" w:cs="Times New Roman"/>
          <w:sz w:val="20"/>
          <w:szCs w:val="20"/>
          <w:lang w:val="en-US"/>
        </w:rPr>
        <w:t>MS</w:t>
      </w:r>
      <w:r w:rsidRPr="2A6D821C">
        <w:rPr>
          <w:rFonts w:ascii="Times New Roman" w:hAnsi="Times New Roman" w:cs="Times New Roman"/>
          <w:sz w:val="20"/>
          <w:szCs w:val="20"/>
          <w:lang w:val="en-US"/>
        </w:rPr>
        <w:t xml:space="preserve"> 1). The Naranjo Adverse Drug Reaction Probability Scale </w:t>
      </w:r>
      <w:r>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ZOTERO_ITEM CSL_CITATION {"citationID":"5bYXOK3e","properties":{"unsorted":false,"formattedCitation":"(39)","plainCitation":"(39)","noteIndex":0},"citationItems":[{"id":1051,"uris":["http://zotero.org/users/16807698/items/GTBZ86PA"],"itemData":{"id":1051,"type":"article-journal","abstract":"The estimation of the probability that a drug caused an adverse clinical event is usually based on clinical judgment. Lack of a method for establishing causality generates large between-raters and within-raters variability in assessment. Using the conventional categories and definitions of definite, probable, possible, and doubtful adverse drug reactions (ADRs), the between-raters agreement of two physicians and four pharmacists who independently assessed 63 randomly selected alleged ADRs was 38% to 63%, kappa (k, a chance-corrected index of agreement) varied from 0.21 to 0.40, and the intraclass correlation coefficient of reliability (R[est]) was 0.49. Six (testing) and 22 wk (retesting) later the same observers independently reanalyzed the 63 cases by assigning a weighted score (ADR probability scale) to each of the components that must be considered in establishing causal associations between drug(s) and adverse events (e.g., temporal sequence). The cases were randomized to minimize the influence of learning. The event was assigned a probability category from the total score. The between-raters reliability (range: percent agreement = 83% to 92%; κ = 0.69 to 0.86; r = 0.91 to 0.95; R(est) = 0.92) and within-raters reliability (range: percent agreement = 80% to 97%; κ = 0.64 to 0.95; r = 0.91 to 0.98) improved (p &lt; 0.001). The between-raters reliability was maintained on retesting (range: r = 0.84 to 0.94; R(est) = 0.87). The between-raters reliability of three attending physicians who independently assessed 28 other prospectively collected cases of alleged ADRs was very high (range: r = 0.76 to 0.87; R(est) = 0.80). It was also shown that the ADR probability scale has consensual, content, and concurrent validity. This systematic method offers a sensitive way to monitor ADRs and may be applicable to postmarketing drug surveillance. Clinical Pharmacology and Therapeutics (1981) 30, 239–245; doi:10.1038/clpt.1981.154","container-title":"Clinical Pharmacology &amp; Therapeutics","DOI":"10.1038/clpt.1981.154","ISSN":"1532-6535","issue":"2","language":"en","license":"© 1981 American Society for Clinical Pharmacology and Therapeutics","note":"_eprint: https://onlinelibrary.wiley.com/doi/pdf/10.1038/clpt.1981.154","page":"239-245","source":"Wiley Online Library","title":"A method for estimating the probability of adverse drug reactions","volume":"30","author":[{"family":"Naranjo","given":"C A"},{"family":"Busto","given":"U"},{"family":"Sellers","given":"E M"},{"family":"Sandor","given":"P"},{"family":"Ruiz","given":"I"},{"family":"Roberts","given":"E A"},{"family":"Janecek","given":"E"},{"family":"Domecq","given":"C"},{"family":"Greenblatt","given":"D J"}],"issued":{"date-parts":[["1981"]]}}}],"schema":"https://github.com/citation-style-language/schema/raw/master/csl-citation.json"} </w:instrText>
      </w:r>
      <w:r>
        <w:rPr>
          <w:rFonts w:ascii="Times New Roman" w:hAnsi="Times New Roman" w:cs="Times New Roman"/>
          <w:sz w:val="20"/>
          <w:szCs w:val="20"/>
          <w:lang w:val="en-US"/>
        </w:rPr>
        <w:fldChar w:fldCharType="separate"/>
      </w:r>
      <w:r w:rsidRPr="006E1EBF">
        <w:rPr>
          <w:rFonts w:ascii="Times New Roman" w:hAnsi="Times New Roman" w:cs="Times New Roman"/>
          <w:sz w:val="20"/>
        </w:rPr>
        <w:t>(39)</w:t>
      </w:r>
      <w:r>
        <w:rPr>
          <w:rFonts w:ascii="Times New Roman" w:hAnsi="Times New Roman" w:cs="Times New Roman"/>
          <w:sz w:val="20"/>
          <w:szCs w:val="20"/>
          <w:lang w:val="en-US"/>
        </w:rPr>
        <w:fldChar w:fldCharType="end"/>
      </w:r>
      <w:r>
        <w:rPr>
          <w:rFonts w:ascii="Times New Roman" w:hAnsi="Times New Roman" w:cs="Times New Roman"/>
          <w:sz w:val="20"/>
          <w:szCs w:val="20"/>
          <w:lang w:val="en-US"/>
        </w:rPr>
        <w:t xml:space="preserve"> </w:t>
      </w:r>
      <w:r w:rsidRPr="2A6D821C">
        <w:rPr>
          <w:rFonts w:ascii="Times New Roman" w:hAnsi="Times New Roman" w:cs="Times New Roman"/>
          <w:sz w:val="20"/>
          <w:szCs w:val="20"/>
          <w:lang w:val="en-US"/>
        </w:rPr>
        <w:t>was used to determine the likelihood of esketamine contributing to the patient`s suicide. The 10-question survey was answered independently by two raters.  revealing a “possible”  (score = 3) probability of esketamine contributing to the patient`s death (total score of 3 out of 13 (+1 for previous conclusive reports on this reaction, +2 for adverse event appearing after suspected drug was administered, -1 for potential alternative causes of the adverse event, and +1 for the adverse event being confirmed by objective evidence).</w:t>
      </w:r>
    </w:p>
    <w:p w14:paraId="43FEFBA2" w14:textId="77777777" w:rsidR="005A1720" w:rsidRDefault="005A1720" w:rsidP="005A1720">
      <w:pPr>
        <w:rPr>
          <w:rFonts w:ascii="Times New Roman" w:hAnsi="Times New Roman" w:cs="Times New Roman"/>
        </w:rPr>
      </w:pPr>
    </w:p>
    <w:p w14:paraId="28084FFE" w14:textId="77777777" w:rsidR="005A1720" w:rsidRPr="00B0337E" w:rsidRDefault="005A1720" w:rsidP="005A1720">
      <w:pPr>
        <w:rPr>
          <w:rFonts w:ascii="Times New Roman" w:hAnsi="Times New Roman" w:cs="Times New Roman"/>
          <w:b/>
          <w:bCs/>
          <w:sz w:val="24"/>
          <w:szCs w:val="24"/>
          <w:u w:val="single"/>
        </w:rPr>
      </w:pPr>
      <w:r w:rsidRPr="0B367076">
        <w:rPr>
          <w:rFonts w:ascii="Times New Roman" w:hAnsi="Times New Roman" w:cs="Times New Roman"/>
          <w:b/>
          <w:bCs/>
          <w:sz w:val="24"/>
          <w:szCs w:val="24"/>
          <w:u w:val="single"/>
        </w:rPr>
        <w:t>Tables</w:t>
      </w:r>
    </w:p>
    <w:tbl>
      <w:tblPr>
        <w:tblW w:w="0" w:type="auto"/>
        <w:tblLook w:val="04A0" w:firstRow="1" w:lastRow="0" w:firstColumn="1" w:lastColumn="0" w:noHBand="0" w:noVBand="1"/>
      </w:tblPr>
      <w:tblGrid>
        <w:gridCol w:w="567"/>
        <w:gridCol w:w="898"/>
        <w:gridCol w:w="898"/>
        <w:gridCol w:w="898"/>
        <w:gridCol w:w="1535"/>
        <w:gridCol w:w="24"/>
        <w:gridCol w:w="850"/>
        <w:gridCol w:w="850"/>
        <w:gridCol w:w="851"/>
        <w:gridCol w:w="1655"/>
      </w:tblGrid>
      <w:tr w:rsidR="005A1720" w:rsidRPr="00B0337E" w14:paraId="0A59736A" w14:textId="77777777" w:rsidTr="00307894">
        <w:tc>
          <w:tcPr>
            <w:tcW w:w="9026" w:type="dxa"/>
            <w:gridSpan w:val="10"/>
            <w:tcBorders>
              <w:top w:val="nil"/>
              <w:left w:val="nil"/>
              <w:bottom w:val="single" w:sz="4" w:space="0" w:color="auto"/>
              <w:right w:val="nil"/>
            </w:tcBorders>
          </w:tcPr>
          <w:p w14:paraId="61F18A74" w14:textId="77777777" w:rsidR="005A1720" w:rsidRPr="00B0337E" w:rsidRDefault="005A1720" w:rsidP="00307894">
            <w:pPr>
              <w:rPr>
                <w:rFonts w:ascii="Times New Roman" w:hAnsi="Times New Roman" w:cs="Times New Roman"/>
                <w:b/>
                <w:bCs/>
                <w:sz w:val="20"/>
                <w:szCs w:val="20"/>
              </w:rPr>
            </w:pPr>
            <w:r w:rsidRPr="00B0337E">
              <w:rPr>
                <w:rFonts w:ascii="Times New Roman" w:hAnsi="Times New Roman" w:cs="Times New Roman"/>
                <w:b/>
                <w:bCs/>
                <w:sz w:val="20"/>
                <w:szCs w:val="20"/>
              </w:rPr>
              <w:t xml:space="preserve">Table S1. </w:t>
            </w:r>
            <w:r w:rsidRPr="00B0337E">
              <w:rPr>
                <w:rFonts w:ascii="Times New Roman" w:hAnsi="Times New Roman" w:cs="Times New Roman"/>
                <w:sz w:val="20"/>
                <w:szCs w:val="20"/>
              </w:rPr>
              <w:t>Descriptives of the induction phase</w:t>
            </w:r>
          </w:p>
        </w:tc>
      </w:tr>
      <w:tr w:rsidR="005A1720" w:rsidRPr="00B0337E" w14:paraId="34AAA126" w14:textId="77777777" w:rsidTr="00307894">
        <w:trPr>
          <w:trHeight w:val="421"/>
        </w:trPr>
        <w:tc>
          <w:tcPr>
            <w:tcW w:w="567" w:type="dxa"/>
            <w:tcBorders>
              <w:top w:val="single" w:sz="4" w:space="0" w:color="auto"/>
              <w:left w:val="nil"/>
              <w:bottom w:val="single" w:sz="4" w:space="0" w:color="auto"/>
              <w:right w:val="nil"/>
            </w:tcBorders>
          </w:tcPr>
          <w:p w14:paraId="24AD52DF" w14:textId="77777777" w:rsidR="005A1720" w:rsidRPr="00B0337E" w:rsidRDefault="005A1720" w:rsidP="00307894">
            <w:pPr>
              <w:rPr>
                <w:rFonts w:ascii="Times New Roman" w:hAnsi="Times New Roman" w:cs="Times New Roman"/>
                <w:sz w:val="20"/>
                <w:szCs w:val="20"/>
                <w:u w:val="single"/>
              </w:rPr>
            </w:pPr>
            <w:bookmarkStart w:id="0" w:name="_Hlk222238342"/>
          </w:p>
        </w:tc>
        <w:tc>
          <w:tcPr>
            <w:tcW w:w="4229" w:type="dxa"/>
            <w:gridSpan w:val="4"/>
            <w:tcBorders>
              <w:top w:val="single" w:sz="4" w:space="0" w:color="auto"/>
              <w:left w:val="nil"/>
              <w:bottom w:val="single" w:sz="4" w:space="0" w:color="auto"/>
              <w:right w:val="nil"/>
            </w:tcBorders>
            <w:vAlign w:val="center"/>
          </w:tcPr>
          <w:p w14:paraId="2850F2AE" w14:textId="77777777" w:rsidR="005A1720" w:rsidRPr="00B0337E" w:rsidRDefault="005A1720" w:rsidP="00307894">
            <w:pPr>
              <w:rPr>
                <w:rFonts w:ascii="Times New Roman" w:hAnsi="Times New Roman" w:cs="Times New Roman"/>
                <w:b/>
                <w:bCs/>
                <w:sz w:val="20"/>
                <w:szCs w:val="20"/>
              </w:rPr>
            </w:pPr>
            <w:r w:rsidRPr="00B0337E">
              <w:rPr>
                <w:rFonts w:ascii="Times New Roman" w:hAnsi="Times New Roman" w:cs="Times New Roman"/>
                <w:b/>
                <w:bCs/>
                <w:sz w:val="20"/>
                <w:szCs w:val="20"/>
              </w:rPr>
              <w:t>MADRS</w:t>
            </w:r>
          </w:p>
        </w:tc>
        <w:tc>
          <w:tcPr>
            <w:tcW w:w="4230" w:type="dxa"/>
            <w:gridSpan w:val="5"/>
            <w:tcBorders>
              <w:top w:val="single" w:sz="4" w:space="0" w:color="auto"/>
              <w:left w:val="nil"/>
              <w:bottom w:val="single" w:sz="4" w:space="0" w:color="auto"/>
              <w:right w:val="nil"/>
            </w:tcBorders>
            <w:vAlign w:val="center"/>
          </w:tcPr>
          <w:p w14:paraId="447AC37E" w14:textId="77777777" w:rsidR="005A1720" w:rsidRPr="00B0337E" w:rsidRDefault="005A1720" w:rsidP="00307894">
            <w:pPr>
              <w:rPr>
                <w:rFonts w:ascii="Times New Roman" w:hAnsi="Times New Roman" w:cs="Times New Roman"/>
                <w:b/>
                <w:bCs/>
                <w:sz w:val="20"/>
                <w:szCs w:val="20"/>
              </w:rPr>
            </w:pPr>
            <w:r w:rsidRPr="00B0337E">
              <w:rPr>
                <w:rFonts w:ascii="Times New Roman" w:hAnsi="Times New Roman" w:cs="Times New Roman"/>
                <w:b/>
                <w:bCs/>
                <w:sz w:val="20"/>
                <w:szCs w:val="20"/>
              </w:rPr>
              <w:t>BDI</w:t>
            </w:r>
          </w:p>
        </w:tc>
      </w:tr>
      <w:tr w:rsidR="005A1720" w:rsidRPr="00B0337E" w14:paraId="3972BB5B" w14:textId="77777777" w:rsidTr="00307894">
        <w:tc>
          <w:tcPr>
            <w:tcW w:w="567" w:type="dxa"/>
            <w:tcBorders>
              <w:top w:val="nil"/>
              <w:left w:val="nil"/>
              <w:bottom w:val="nil"/>
              <w:right w:val="nil"/>
            </w:tcBorders>
            <w:vAlign w:val="center"/>
          </w:tcPr>
          <w:p w14:paraId="10F5099F"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T</w:t>
            </w:r>
          </w:p>
        </w:tc>
        <w:tc>
          <w:tcPr>
            <w:tcW w:w="898" w:type="dxa"/>
            <w:tcBorders>
              <w:top w:val="nil"/>
              <w:left w:val="nil"/>
              <w:bottom w:val="nil"/>
              <w:right w:val="nil"/>
            </w:tcBorders>
            <w:vAlign w:val="center"/>
          </w:tcPr>
          <w:p w14:paraId="237ED1EF"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n</w:t>
            </w:r>
          </w:p>
        </w:tc>
        <w:tc>
          <w:tcPr>
            <w:tcW w:w="898" w:type="dxa"/>
            <w:tcBorders>
              <w:top w:val="nil"/>
              <w:left w:val="nil"/>
              <w:bottom w:val="nil"/>
              <w:right w:val="nil"/>
            </w:tcBorders>
            <w:vAlign w:val="center"/>
          </w:tcPr>
          <w:p w14:paraId="53488801"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mean</w:t>
            </w:r>
          </w:p>
        </w:tc>
        <w:tc>
          <w:tcPr>
            <w:tcW w:w="898" w:type="dxa"/>
            <w:tcBorders>
              <w:top w:val="nil"/>
              <w:left w:val="nil"/>
              <w:bottom w:val="nil"/>
              <w:right w:val="nil"/>
            </w:tcBorders>
            <w:vAlign w:val="center"/>
          </w:tcPr>
          <w:p w14:paraId="20966176"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SD</w:t>
            </w:r>
          </w:p>
        </w:tc>
        <w:tc>
          <w:tcPr>
            <w:tcW w:w="1559" w:type="dxa"/>
            <w:gridSpan w:val="2"/>
            <w:tcBorders>
              <w:top w:val="nil"/>
              <w:left w:val="nil"/>
              <w:bottom w:val="nil"/>
              <w:right w:val="nil"/>
            </w:tcBorders>
          </w:tcPr>
          <w:p w14:paraId="4425B034"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95% CI</w:t>
            </w:r>
          </w:p>
        </w:tc>
        <w:tc>
          <w:tcPr>
            <w:tcW w:w="850" w:type="dxa"/>
            <w:tcBorders>
              <w:top w:val="nil"/>
              <w:left w:val="nil"/>
              <w:bottom w:val="nil"/>
              <w:right w:val="nil"/>
            </w:tcBorders>
            <w:vAlign w:val="center"/>
          </w:tcPr>
          <w:p w14:paraId="74E5878A"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n</w:t>
            </w:r>
          </w:p>
        </w:tc>
        <w:tc>
          <w:tcPr>
            <w:tcW w:w="850" w:type="dxa"/>
            <w:tcBorders>
              <w:top w:val="nil"/>
              <w:left w:val="nil"/>
              <w:bottom w:val="nil"/>
              <w:right w:val="nil"/>
            </w:tcBorders>
            <w:vAlign w:val="center"/>
          </w:tcPr>
          <w:p w14:paraId="248DB25E"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mean</w:t>
            </w:r>
          </w:p>
        </w:tc>
        <w:tc>
          <w:tcPr>
            <w:tcW w:w="851" w:type="dxa"/>
            <w:tcBorders>
              <w:top w:val="nil"/>
              <w:left w:val="nil"/>
              <w:bottom w:val="nil"/>
              <w:right w:val="nil"/>
            </w:tcBorders>
            <w:vAlign w:val="center"/>
          </w:tcPr>
          <w:p w14:paraId="6B009617"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SD</w:t>
            </w:r>
          </w:p>
        </w:tc>
        <w:tc>
          <w:tcPr>
            <w:tcW w:w="1655" w:type="dxa"/>
            <w:tcBorders>
              <w:top w:val="nil"/>
              <w:left w:val="nil"/>
              <w:bottom w:val="nil"/>
              <w:right w:val="nil"/>
            </w:tcBorders>
          </w:tcPr>
          <w:p w14:paraId="108AD74F"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95% CI</w:t>
            </w:r>
          </w:p>
        </w:tc>
      </w:tr>
      <w:tr w:rsidR="005A1720" w:rsidRPr="00B0337E" w14:paraId="1A2A7724" w14:textId="77777777" w:rsidTr="00307894">
        <w:tc>
          <w:tcPr>
            <w:tcW w:w="567" w:type="dxa"/>
            <w:tcBorders>
              <w:top w:val="nil"/>
              <w:left w:val="nil"/>
              <w:bottom w:val="nil"/>
              <w:right w:val="nil"/>
            </w:tcBorders>
            <w:vAlign w:val="center"/>
          </w:tcPr>
          <w:p w14:paraId="018A5ABE"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T0</w:t>
            </w:r>
          </w:p>
        </w:tc>
        <w:tc>
          <w:tcPr>
            <w:tcW w:w="898" w:type="dxa"/>
            <w:tcBorders>
              <w:top w:val="nil"/>
              <w:left w:val="nil"/>
              <w:bottom w:val="nil"/>
              <w:right w:val="nil"/>
            </w:tcBorders>
            <w:vAlign w:val="center"/>
          </w:tcPr>
          <w:p w14:paraId="33C7E5D8"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65</w:t>
            </w:r>
          </w:p>
        </w:tc>
        <w:tc>
          <w:tcPr>
            <w:tcW w:w="898" w:type="dxa"/>
            <w:tcBorders>
              <w:top w:val="nil"/>
              <w:left w:val="nil"/>
              <w:bottom w:val="nil"/>
              <w:right w:val="nil"/>
            </w:tcBorders>
            <w:vAlign w:val="center"/>
          </w:tcPr>
          <w:p w14:paraId="16C95980"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26.65</w:t>
            </w:r>
          </w:p>
        </w:tc>
        <w:tc>
          <w:tcPr>
            <w:tcW w:w="898" w:type="dxa"/>
            <w:tcBorders>
              <w:top w:val="nil"/>
              <w:left w:val="nil"/>
              <w:bottom w:val="nil"/>
              <w:right w:val="nil"/>
            </w:tcBorders>
            <w:vAlign w:val="center"/>
          </w:tcPr>
          <w:p w14:paraId="457B5429"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7.86</w:t>
            </w:r>
          </w:p>
        </w:tc>
        <w:tc>
          <w:tcPr>
            <w:tcW w:w="1559" w:type="dxa"/>
            <w:gridSpan w:val="2"/>
            <w:tcBorders>
              <w:top w:val="nil"/>
              <w:left w:val="nil"/>
              <w:bottom w:val="nil"/>
              <w:right w:val="nil"/>
            </w:tcBorders>
            <w:vAlign w:val="center"/>
          </w:tcPr>
          <w:p w14:paraId="2758841F"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[24.70, 28.59]</w:t>
            </w:r>
          </w:p>
        </w:tc>
        <w:tc>
          <w:tcPr>
            <w:tcW w:w="850" w:type="dxa"/>
            <w:tcBorders>
              <w:top w:val="nil"/>
              <w:left w:val="nil"/>
              <w:bottom w:val="nil"/>
              <w:right w:val="nil"/>
            </w:tcBorders>
            <w:vAlign w:val="center"/>
          </w:tcPr>
          <w:p w14:paraId="09D1658B"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65</w:t>
            </w:r>
          </w:p>
        </w:tc>
        <w:tc>
          <w:tcPr>
            <w:tcW w:w="850" w:type="dxa"/>
            <w:tcBorders>
              <w:top w:val="nil"/>
              <w:left w:val="nil"/>
              <w:bottom w:val="nil"/>
              <w:right w:val="nil"/>
            </w:tcBorders>
            <w:vAlign w:val="center"/>
          </w:tcPr>
          <w:p w14:paraId="41313586"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31.48</w:t>
            </w:r>
          </w:p>
        </w:tc>
        <w:tc>
          <w:tcPr>
            <w:tcW w:w="851" w:type="dxa"/>
            <w:tcBorders>
              <w:top w:val="nil"/>
              <w:left w:val="nil"/>
              <w:bottom w:val="nil"/>
              <w:right w:val="nil"/>
            </w:tcBorders>
            <w:vAlign w:val="center"/>
          </w:tcPr>
          <w:p w14:paraId="17DF4015"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9.39</w:t>
            </w:r>
          </w:p>
        </w:tc>
        <w:tc>
          <w:tcPr>
            <w:tcW w:w="1655" w:type="dxa"/>
            <w:tcBorders>
              <w:top w:val="nil"/>
              <w:left w:val="nil"/>
              <w:bottom w:val="nil"/>
              <w:right w:val="nil"/>
            </w:tcBorders>
            <w:vAlign w:val="center"/>
          </w:tcPr>
          <w:p w14:paraId="6AAA1668"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[29.15, 33.81]</w:t>
            </w:r>
          </w:p>
        </w:tc>
      </w:tr>
      <w:tr w:rsidR="005A1720" w:rsidRPr="00B0337E" w14:paraId="20C5DBA5" w14:textId="77777777" w:rsidTr="00307894">
        <w:trPr>
          <w:trHeight w:val="277"/>
        </w:trPr>
        <w:tc>
          <w:tcPr>
            <w:tcW w:w="567" w:type="dxa"/>
            <w:tcBorders>
              <w:top w:val="nil"/>
              <w:left w:val="nil"/>
              <w:bottom w:val="nil"/>
              <w:right w:val="nil"/>
            </w:tcBorders>
            <w:vAlign w:val="center"/>
          </w:tcPr>
          <w:p w14:paraId="6A294E02"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T1</w:t>
            </w:r>
          </w:p>
        </w:tc>
        <w:tc>
          <w:tcPr>
            <w:tcW w:w="898" w:type="dxa"/>
            <w:tcBorders>
              <w:top w:val="nil"/>
              <w:left w:val="nil"/>
              <w:bottom w:val="nil"/>
              <w:right w:val="nil"/>
            </w:tcBorders>
            <w:vAlign w:val="center"/>
          </w:tcPr>
          <w:p w14:paraId="4DA289D4"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65</w:t>
            </w:r>
          </w:p>
        </w:tc>
        <w:tc>
          <w:tcPr>
            <w:tcW w:w="898" w:type="dxa"/>
            <w:tcBorders>
              <w:top w:val="nil"/>
              <w:left w:val="nil"/>
              <w:bottom w:val="nil"/>
              <w:right w:val="nil"/>
            </w:tcBorders>
            <w:vAlign w:val="center"/>
          </w:tcPr>
          <w:p w14:paraId="6F8E6174"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23.45</w:t>
            </w:r>
          </w:p>
        </w:tc>
        <w:tc>
          <w:tcPr>
            <w:tcW w:w="898" w:type="dxa"/>
            <w:tcBorders>
              <w:top w:val="nil"/>
              <w:left w:val="nil"/>
              <w:bottom w:val="nil"/>
              <w:right w:val="nil"/>
            </w:tcBorders>
            <w:vAlign w:val="center"/>
          </w:tcPr>
          <w:p w14:paraId="443D9E5E"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8.26</w:t>
            </w:r>
          </w:p>
        </w:tc>
        <w:tc>
          <w:tcPr>
            <w:tcW w:w="1559" w:type="dxa"/>
            <w:gridSpan w:val="2"/>
            <w:tcBorders>
              <w:top w:val="nil"/>
              <w:left w:val="nil"/>
              <w:bottom w:val="nil"/>
              <w:right w:val="nil"/>
            </w:tcBorders>
            <w:vAlign w:val="center"/>
          </w:tcPr>
          <w:p w14:paraId="0AF1667A"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[21.40, 25.49]</w:t>
            </w:r>
          </w:p>
        </w:tc>
        <w:tc>
          <w:tcPr>
            <w:tcW w:w="850" w:type="dxa"/>
            <w:tcBorders>
              <w:top w:val="nil"/>
              <w:left w:val="nil"/>
              <w:bottom w:val="nil"/>
              <w:right w:val="nil"/>
            </w:tcBorders>
            <w:vAlign w:val="center"/>
          </w:tcPr>
          <w:p w14:paraId="69F50021"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65</w:t>
            </w:r>
          </w:p>
        </w:tc>
        <w:tc>
          <w:tcPr>
            <w:tcW w:w="850" w:type="dxa"/>
            <w:tcBorders>
              <w:top w:val="nil"/>
              <w:left w:val="nil"/>
              <w:bottom w:val="nil"/>
              <w:right w:val="nil"/>
            </w:tcBorders>
            <w:vAlign w:val="center"/>
          </w:tcPr>
          <w:p w14:paraId="7712D976"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28.34</w:t>
            </w:r>
          </w:p>
        </w:tc>
        <w:tc>
          <w:tcPr>
            <w:tcW w:w="851" w:type="dxa"/>
            <w:tcBorders>
              <w:top w:val="nil"/>
              <w:left w:val="nil"/>
              <w:bottom w:val="nil"/>
              <w:right w:val="nil"/>
            </w:tcBorders>
            <w:vAlign w:val="center"/>
          </w:tcPr>
          <w:p w14:paraId="292D7E27"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10.43</w:t>
            </w:r>
          </w:p>
        </w:tc>
        <w:tc>
          <w:tcPr>
            <w:tcW w:w="1655" w:type="dxa"/>
            <w:tcBorders>
              <w:top w:val="nil"/>
              <w:left w:val="nil"/>
              <w:bottom w:val="nil"/>
              <w:right w:val="nil"/>
            </w:tcBorders>
            <w:vAlign w:val="center"/>
          </w:tcPr>
          <w:p w14:paraId="514D626D"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[25.76, 30.92]</w:t>
            </w:r>
          </w:p>
        </w:tc>
      </w:tr>
      <w:tr w:rsidR="005A1720" w:rsidRPr="00B0337E" w14:paraId="6C3B7601" w14:textId="77777777" w:rsidTr="00307894">
        <w:tc>
          <w:tcPr>
            <w:tcW w:w="567" w:type="dxa"/>
            <w:tcBorders>
              <w:top w:val="nil"/>
              <w:left w:val="nil"/>
              <w:bottom w:val="nil"/>
              <w:right w:val="nil"/>
            </w:tcBorders>
            <w:vAlign w:val="center"/>
          </w:tcPr>
          <w:p w14:paraId="61881FEE"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T2</w:t>
            </w:r>
          </w:p>
        </w:tc>
        <w:tc>
          <w:tcPr>
            <w:tcW w:w="898" w:type="dxa"/>
            <w:tcBorders>
              <w:top w:val="nil"/>
              <w:left w:val="nil"/>
              <w:bottom w:val="nil"/>
              <w:right w:val="nil"/>
            </w:tcBorders>
            <w:vAlign w:val="center"/>
          </w:tcPr>
          <w:p w14:paraId="3E3DE93E"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63</w:t>
            </w:r>
          </w:p>
        </w:tc>
        <w:tc>
          <w:tcPr>
            <w:tcW w:w="898" w:type="dxa"/>
            <w:tcBorders>
              <w:top w:val="nil"/>
              <w:left w:val="nil"/>
              <w:bottom w:val="nil"/>
              <w:right w:val="nil"/>
            </w:tcBorders>
            <w:vAlign w:val="center"/>
          </w:tcPr>
          <w:p w14:paraId="6829CC0F"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22.92</w:t>
            </w:r>
          </w:p>
        </w:tc>
        <w:tc>
          <w:tcPr>
            <w:tcW w:w="898" w:type="dxa"/>
            <w:tcBorders>
              <w:top w:val="nil"/>
              <w:left w:val="nil"/>
              <w:bottom w:val="nil"/>
              <w:right w:val="nil"/>
            </w:tcBorders>
            <w:vAlign w:val="center"/>
          </w:tcPr>
          <w:p w14:paraId="268641CE"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8.42</w:t>
            </w:r>
          </w:p>
        </w:tc>
        <w:tc>
          <w:tcPr>
            <w:tcW w:w="1559" w:type="dxa"/>
            <w:gridSpan w:val="2"/>
            <w:tcBorders>
              <w:top w:val="nil"/>
              <w:left w:val="nil"/>
              <w:bottom w:val="nil"/>
              <w:right w:val="nil"/>
            </w:tcBorders>
            <w:vAlign w:val="center"/>
          </w:tcPr>
          <w:p w14:paraId="079733F6"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[20.80, 25.04]</w:t>
            </w:r>
          </w:p>
        </w:tc>
        <w:tc>
          <w:tcPr>
            <w:tcW w:w="850" w:type="dxa"/>
            <w:tcBorders>
              <w:top w:val="nil"/>
              <w:left w:val="nil"/>
              <w:bottom w:val="nil"/>
              <w:right w:val="nil"/>
            </w:tcBorders>
            <w:vAlign w:val="center"/>
          </w:tcPr>
          <w:p w14:paraId="4EB119B7"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61</w:t>
            </w:r>
          </w:p>
        </w:tc>
        <w:tc>
          <w:tcPr>
            <w:tcW w:w="850" w:type="dxa"/>
            <w:tcBorders>
              <w:top w:val="nil"/>
              <w:left w:val="nil"/>
              <w:bottom w:val="nil"/>
              <w:right w:val="nil"/>
            </w:tcBorders>
            <w:vAlign w:val="center"/>
          </w:tcPr>
          <w:p w14:paraId="7B3467E7"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26.85</w:t>
            </w:r>
          </w:p>
        </w:tc>
        <w:tc>
          <w:tcPr>
            <w:tcW w:w="851" w:type="dxa"/>
            <w:tcBorders>
              <w:top w:val="nil"/>
              <w:left w:val="nil"/>
              <w:bottom w:val="nil"/>
              <w:right w:val="nil"/>
            </w:tcBorders>
            <w:vAlign w:val="center"/>
          </w:tcPr>
          <w:p w14:paraId="248314BC"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10.79</w:t>
            </w:r>
          </w:p>
        </w:tc>
        <w:tc>
          <w:tcPr>
            <w:tcW w:w="1655" w:type="dxa"/>
            <w:tcBorders>
              <w:top w:val="nil"/>
              <w:left w:val="nil"/>
              <w:bottom w:val="nil"/>
              <w:right w:val="nil"/>
            </w:tcBorders>
            <w:vAlign w:val="center"/>
          </w:tcPr>
          <w:p w14:paraId="53BF4809"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[24.09, 29.62]</w:t>
            </w:r>
          </w:p>
        </w:tc>
      </w:tr>
      <w:tr w:rsidR="005A1720" w:rsidRPr="00B0337E" w14:paraId="4675F453" w14:textId="77777777" w:rsidTr="00307894">
        <w:tc>
          <w:tcPr>
            <w:tcW w:w="567" w:type="dxa"/>
            <w:tcBorders>
              <w:top w:val="nil"/>
              <w:left w:val="nil"/>
              <w:bottom w:val="nil"/>
              <w:right w:val="nil"/>
            </w:tcBorders>
            <w:vAlign w:val="center"/>
          </w:tcPr>
          <w:p w14:paraId="402B046B"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T3</w:t>
            </w:r>
          </w:p>
        </w:tc>
        <w:tc>
          <w:tcPr>
            <w:tcW w:w="898" w:type="dxa"/>
            <w:tcBorders>
              <w:top w:val="nil"/>
              <w:left w:val="nil"/>
              <w:bottom w:val="nil"/>
              <w:right w:val="nil"/>
            </w:tcBorders>
            <w:vAlign w:val="center"/>
          </w:tcPr>
          <w:p w14:paraId="4D5540AE"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64</w:t>
            </w:r>
          </w:p>
        </w:tc>
        <w:tc>
          <w:tcPr>
            <w:tcW w:w="898" w:type="dxa"/>
            <w:tcBorders>
              <w:top w:val="nil"/>
              <w:left w:val="nil"/>
              <w:bottom w:val="nil"/>
              <w:right w:val="nil"/>
            </w:tcBorders>
            <w:vAlign w:val="center"/>
          </w:tcPr>
          <w:p w14:paraId="5A9F3BCF"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22.80</w:t>
            </w:r>
          </w:p>
        </w:tc>
        <w:tc>
          <w:tcPr>
            <w:tcW w:w="898" w:type="dxa"/>
            <w:tcBorders>
              <w:top w:val="nil"/>
              <w:left w:val="nil"/>
              <w:bottom w:val="nil"/>
              <w:right w:val="nil"/>
            </w:tcBorders>
            <w:vAlign w:val="center"/>
          </w:tcPr>
          <w:p w14:paraId="29C663EB"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9.60</w:t>
            </w:r>
          </w:p>
        </w:tc>
        <w:tc>
          <w:tcPr>
            <w:tcW w:w="1559" w:type="dxa"/>
            <w:gridSpan w:val="2"/>
            <w:tcBorders>
              <w:top w:val="nil"/>
              <w:left w:val="nil"/>
              <w:bottom w:val="nil"/>
              <w:right w:val="nil"/>
            </w:tcBorders>
            <w:vAlign w:val="center"/>
          </w:tcPr>
          <w:p w14:paraId="3AF4018B"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[20.40, 25.19]</w:t>
            </w:r>
          </w:p>
        </w:tc>
        <w:tc>
          <w:tcPr>
            <w:tcW w:w="850" w:type="dxa"/>
            <w:tcBorders>
              <w:top w:val="nil"/>
              <w:left w:val="nil"/>
              <w:bottom w:val="nil"/>
              <w:right w:val="nil"/>
            </w:tcBorders>
            <w:vAlign w:val="center"/>
          </w:tcPr>
          <w:p w14:paraId="3DEBFCCD"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61</w:t>
            </w:r>
          </w:p>
        </w:tc>
        <w:tc>
          <w:tcPr>
            <w:tcW w:w="850" w:type="dxa"/>
            <w:tcBorders>
              <w:top w:val="nil"/>
              <w:left w:val="nil"/>
              <w:bottom w:val="nil"/>
              <w:right w:val="nil"/>
            </w:tcBorders>
            <w:vAlign w:val="center"/>
          </w:tcPr>
          <w:p w14:paraId="214E0D01"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27.54</w:t>
            </w:r>
          </w:p>
        </w:tc>
        <w:tc>
          <w:tcPr>
            <w:tcW w:w="851" w:type="dxa"/>
            <w:tcBorders>
              <w:top w:val="nil"/>
              <w:left w:val="nil"/>
              <w:bottom w:val="nil"/>
              <w:right w:val="nil"/>
            </w:tcBorders>
            <w:vAlign w:val="center"/>
          </w:tcPr>
          <w:p w14:paraId="4A55B29C"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11.28</w:t>
            </w:r>
          </w:p>
        </w:tc>
        <w:tc>
          <w:tcPr>
            <w:tcW w:w="1655" w:type="dxa"/>
            <w:tcBorders>
              <w:top w:val="nil"/>
              <w:left w:val="nil"/>
              <w:bottom w:val="nil"/>
              <w:right w:val="nil"/>
            </w:tcBorders>
            <w:vAlign w:val="center"/>
          </w:tcPr>
          <w:p w14:paraId="54B1DCF1"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[24.65, 30.43]</w:t>
            </w:r>
          </w:p>
        </w:tc>
      </w:tr>
      <w:tr w:rsidR="005A1720" w:rsidRPr="00B0337E" w14:paraId="448CEE1C" w14:textId="77777777" w:rsidTr="00307894">
        <w:tc>
          <w:tcPr>
            <w:tcW w:w="567" w:type="dxa"/>
            <w:tcBorders>
              <w:top w:val="nil"/>
              <w:left w:val="nil"/>
              <w:bottom w:val="nil"/>
              <w:right w:val="nil"/>
            </w:tcBorders>
            <w:vAlign w:val="center"/>
          </w:tcPr>
          <w:p w14:paraId="362AE7C6"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T4</w:t>
            </w:r>
          </w:p>
        </w:tc>
        <w:tc>
          <w:tcPr>
            <w:tcW w:w="898" w:type="dxa"/>
            <w:tcBorders>
              <w:top w:val="nil"/>
              <w:left w:val="nil"/>
              <w:bottom w:val="nil"/>
              <w:right w:val="nil"/>
            </w:tcBorders>
            <w:vAlign w:val="center"/>
          </w:tcPr>
          <w:p w14:paraId="270A65AE"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64</w:t>
            </w:r>
          </w:p>
        </w:tc>
        <w:tc>
          <w:tcPr>
            <w:tcW w:w="898" w:type="dxa"/>
            <w:tcBorders>
              <w:top w:val="nil"/>
              <w:left w:val="nil"/>
              <w:bottom w:val="nil"/>
              <w:right w:val="nil"/>
            </w:tcBorders>
            <w:vAlign w:val="center"/>
          </w:tcPr>
          <w:p w14:paraId="54EB9A61"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22.20</w:t>
            </w:r>
          </w:p>
        </w:tc>
        <w:tc>
          <w:tcPr>
            <w:tcW w:w="898" w:type="dxa"/>
            <w:tcBorders>
              <w:top w:val="nil"/>
              <w:left w:val="nil"/>
              <w:bottom w:val="nil"/>
              <w:right w:val="nil"/>
            </w:tcBorders>
            <w:vAlign w:val="center"/>
          </w:tcPr>
          <w:p w14:paraId="6D8E50BB"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9.21</w:t>
            </w:r>
          </w:p>
        </w:tc>
        <w:tc>
          <w:tcPr>
            <w:tcW w:w="1559" w:type="dxa"/>
            <w:gridSpan w:val="2"/>
            <w:tcBorders>
              <w:top w:val="nil"/>
              <w:left w:val="nil"/>
              <w:bottom w:val="nil"/>
              <w:right w:val="nil"/>
            </w:tcBorders>
            <w:vAlign w:val="center"/>
          </w:tcPr>
          <w:p w14:paraId="07BBF971"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[19.90, 24.50]</w:t>
            </w:r>
          </w:p>
        </w:tc>
        <w:tc>
          <w:tcPr>
            <w:tcW w:w="850" w:type="dxa"/>
            <w:tcBorders>
              <w:top w:val="nil"/>
              <w:left w:val="nil"/>
              <w:bottom w:val="nil"/>
              <w:right w:val="nil"/>
            </w:tcBorders>
            <w:vAlign w:val="center"/>
          </w:tcPr>
          <w:p w14:paraId="515D1FEB"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64</w:t>
            </w:r>
          </w:p>
        </w:tc>
        <w:tc>
          <w:tcPr>
            <w:tcW w:w="850" w:type="dxa"/>
            <w:tcBorders>
              <w:top w:val="nil"/>
              <w:left w:val="nil"/>
              <w:bottom w:val="nil"/>
              <w:right w:val="nil"/>
            </w:tcBorders>
            <w:vAlign w:val="center"/>
          </w:tcPr>
          <w:p w14:paraId="7C9E593A"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25.72</w:t>
            </w:r>
          </w:p>
        </w:tc>
        <w:tc>
          <w:tcPr>
            <w:tcW w:w="851" w:type="dxa"/>
            <w:tcBorders>
              <w:top w:val="nil"/>
              <w:left w:val="nil"/>
              <w:bottom w:val="nil"/>
              <w:right w:val="nil"/>
            </w:tcBorders>
            <w:vAlign w:val="center"/>
          </w:tcPr>
          <w:p w14:paraId="61D2049F"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10.84</w:t>
            </w:r>
          </w:p>
        </w:tc>
        <w:tc>
          <w:tcPr>
            <w:tcW w:w="1655" w:type="dxa"/>
            <w:tcBorders>
              <w:top w:val="nil"/>
              <w:left w:val="nil"/>
              <w:bottom w:val="nil"/>
              <w:right w:val="nil"/>
            </w:tcBorders>
            <w:vAlign w:val="center"/>
          </w:tcPr>
          <w:p w14:paraId="51084005"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[23.01, 28.43]</w:t>
            </w:r>
          </w:p>
        </w:tc>
      </w:tr>
      <w:tr w:rsidR="005A1720" w:rsidRPr="00B0337E" w14:paraId="1FBB9883" w14:textId="77777777" w:rsidTr="00307894">
        <w:tc>
          <w:tcPr>
            <w:tcW w:w="567" w:type="dxa"/>
            <w:tcBorders>
              <w:top w:val="nil"/>
              <w:left w:val="nil"/>
              <w:bottom w:val="nil"/>
              <w:right w:val="nil"/>
            </w:tcBorders>
            <w:vAlign w:val="center"/>
          </w:tcPr>
          <w:p w14:paraId="6D979065"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T5</w:t>
            </w:r>
          </w:p>
        </w:tc>
        <w:tc>
          <w:tcPr>
            <w:tcW w:w="898" w:type="dxa"/>
            <w:tcBorders>
              <w:top w:val="nil"/>
              <w:left w:val="nil"/>
              <w:bottom w:val="nil"/>
              <w:right w:val="nil"/>
            </w:tcBorders>
            <w:vAlign w:val="center"/>
          </w:tcPr>
          <w:p w14:paraId="6A8B65EE"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61</w:t>
            </w:r>
          </w:p>
        </w:tc>
        <w:tc>
          <w:tcPr>
            <w:tcW w:w="898" w:type="dxa"/>
            <w:tcBorders>
              <w:top w:val="nil"/>
              <w:left w:val="nil"/>
              <w:bottom w:val="nil"/>
              <w:right w:val="nil"/>
            </w:tcBorders>
            <w:vAlign w:val="center"/>
          </w:tcPr>
          <w:p w14:paraId="00D24364"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19.75</w:t>
            </w:r>
          </w:p>
        </w:tc>
        <w:tc>
          <w:tcPr>
            <w:tcW w:w="898" w:type="dxa"/>
            <w:tcBorders>
              <w:top w:val="nil"/>
              <w:left w:val="nil"/>
              <w:bottom w:val="nil"/>
              <w:right w:val="nil"/>
            </w:tcBorders>
            <w:vAlign w:val="center"/>
          </w:tcPr>
          <w:p w14:paraId="1D700455"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9.25</w:t>
            </w:r>
          </w:p>
        </w:tc>
        <w:tc>
          <w:tcPr>
            <w:tcW w:w="1559" w:type="dxa"/>
            <w:gridSpan w:val="2"/>
            <w:tcBorders>
              <w:top w:val="nil"/>
              <w:left w:val="nil"/>
              <w:bottom w:val="nil"/>
              <w:right w:val="nil"/>
            </w:tcBorders>
            <w:vAlign w:val="center"/>
          </w:tcPr>
          <w:p w14:paraId="6D6302C6"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[17.38, 22.12]</w:t>
            </w:r>
          </w:p>
        </w:tc>
        <w:tc>
          <w:tcPr>
            <w:tcW w:w="850" w:type="dxa"/>
            <w:tcBorders>
              <w:top w:val="nil"/>
              <w:left w:val="nil"/>
              <w:bottom w:val="nil"/>
              <w:right w:val="nil"/>
            </w:tcBorders>
            <w:vAlign w:val="center"/>
          </w:tcPr>
          <w:p w14:paraId="0A6E5FBB"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61</w:t>
            </w:r>
          </w:p>
        </w:tc>
        <w:tc>
          <w:tcPr>
            <w:tcW w:w="850" w:type="dxa"/>
            <w:tcBorders>
              <w:top w:val="nil"/>
              <w:left w:val="nil"/>
              <w:bottom w:val="nil"/>
              <w:right w:val="nil"/>
            </w:tcBorders>
            <w:vAlign w:val="center"/>
          </w:tcPr>
          <w:p w14:paraId="475B331E"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24.41</w:t>
            </w:r>
          </w:p>
        </w:tc>
        <w:tc>
          <w:tcPr>
            <w:tcW w:w="851" w:type="dxa"/>
            <w:tcBorders>
              <w:top w:val="nil"/>
              <w:left w:val="nil"/>
              <w:bottom w:val="nil"/>
              <w:right w:val="nil"/>
            </w:tcBorders>
            <w:vAlign w:val="center"/>
          </w:tcPr>
          <w:p w14:paraId="10C4E9DB" w14:textId="77777777" w:rsidR="005A1720" w:rsidRPr="00B0337E" w:rsidRDefault="005A1720" w:rsidP="00307894">
            <w:pPr>
              <w:rPr>
                <w:rFonts w:ascii="Times New Roman" w:eastAsia="Arial" w:hAnsi="Times New Roman" w:cs="Times New Roman"/>
                <w:color w:val="000000"/>
                <w:sz w:val="16"/>
                <w:szCs w:val="16"/>
              </w:rPr>
            </w:pPr>
            <w:r w:rsidRPr="00B0337E">
              <w:rPr>
                <w:rFonts w:ascii="Times New Roman" w:eastAsia="Arial" w:hAnsi="Times New Roman" w:cs="Times New Roman"/>
                <w:color w:val="000000"/>
                <w:sz w:val="16"/>
                <w:szCs w:val="16"/>
              </w:rPr>
              <w:t>10.61</w:t>
            </w:r>
          </w:p>
        </w:tc>
        <w:tc>
          <w:tcPr>
            <w:tcW w:w="1655" w:type="dxa"/>
            <w:tcBorders>
              <w:top w:val="nil"/>
              <w:left w:val="nil"/>
              <w:bottom w:val="nil"/>
              <w:right w:val="nil"/>
            </w:tcBorders>
            <w:vAlign w:val="center"/>
          </w:tcPr>
          <w:p w14:paraId="6D4C35DF"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[21.69, 27.13]</w:t>
            </w:r>
          </w:p>
        </w:tc>
      </w:tr>
      <w:tr w:rsidR="005A1720" w:rsidRPr="00B0337E" w14:paraId="671C0BA0" w14:textId="77777777" w:rsidTr="00307894">
        <w:tc>
          <w:tcPr>
            <w:tcW w:w="567" w:type="dxa"/>
            <w:tcBorders>
              <w:top w:val="nil"/>
              <w:left w:val="nil"/>
              <w:bottom w:val="nil"/>
              <w:right w:val="nil"/>
            </w:tcBorders>
            <w:vAlign w:val="center"/>
          </w:tcPr>
          <w:p w14:paraId="7AD68DA9"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T6</w:t>
            </w:r>
          </w:p>
        </w:tc>
        <w:tc>
          <w:tcPr>
            <w:tcW w:w="898" w:type="dxa"/>
            <w:tcBorders>
              <w:top w:val="nil"/>
              <w:left w:val="nil"/>
              <w:bottom w:val="nil"/>
              <w:right w:val="nil"/>
            </w:tcBorders>
            <w:vAlign w:val="center"/>
          </w:tcPr>
          <w:p w14:paraId="140595D1"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61</w:t>
            </w:r>
          </w:p>
        </w:tc>
        <w:tc>
          <w:tcPr>
            <w:tcW w:w="898" w:type="dxa"/>
            <w:tcBorders>
              <w:top w:val="nil"/>
              <w:left w:val="nil"/>
              <w:bottom w:val="nil"/>
              <w:right w:val="nil"/>
            </w:tcBorders>
            <w:vAlign w:val="center"/>
          </w:tcPr>
          <w:p w14:paraId="35512B7F"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19.77</w:t>
            </w:r>
          </w:p>
        </w:tc>
        <w:tc>
          <w:tcPr>
            <w:tcW w:w="898" w:type="dxa"/>
            <w:tcBorders>
              <w:top w:val="nil"/>
              <w:left w:val="nil"/>
              <w:bottom w:val="nil"/>
              <w:right w:val="nil"/>
            </w:tcBorders>
            <w:vAlign w:val="center"/>
          </w:tcPr>
          <w:p w14:paraId="05FE864D"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9.06</w:t>
            </w:r>
          </w:p>
        </w:tc>
        <w:tc>
          <w:tcPr>
            <w:tcW w:w="1559" w:type="dxa"/>
            <w:gridSpan w:val="2"/>
            <w:tcBorders>
              <w:top w:val="nil"/>
              <w:left w:val="nil"/>
              <w:bottom w:val="nil"/>
              <w:right w:val="nil"/>
            </w:tcBorders>
            <w:vAlign w:val="center"/>
          </w:tcPr>
          <w:p w14:paraId="1072DF50"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[17.45, 22.09]</w:t>
            </w:r>
          </w:p>
        </w:tc>
        <w:tc>
          <w:tcPr>
            <w:tcW w:w="850" w:type="dxa"/>
            <w:tcBorders>
              <w:top w:val="nil"/>
              <w:left w:val="nil"/>
              <w:bottom w:val="nil"/>
              <w:right w:val="nil"/>
            </w:tcBorders>
            <w:vAlign w:val="center"/>
          </w:tcPr>
          <w:p w14:paraId="21EDC167"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61</w:t>
            </w:r>
          </w:p>
        </w:tc>
        <w:tc>
          <w:tcPr>
            <w:tcW w:w="850" w:type="dxa"/>
            <w:tcBorders>
              <w:top w:val="nil"/>
              <w:left w:val="nil"/>
              <w:bottom w:val="nil"/>
              <w:right w:val="nil"/>
            </w:tcBorders>
            <w:vAlign w:val="center"/>
          </w:tcPr>
          <w:p w14:paraId="39214EE1"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24.61</w:t>
            </w:r>
          </w:p>
        </w:tc>
        <w:tc>
          <w:tcPr>
            <w:tcW w:w="851" w:type="dxa"/>
            <w:tcBorders>
              <w:top w:val="nil"/>
              <w:left w:val="nil"/>
              <w:bottom w:val="nil"/>
              <w:right w:val="nil"/>
            </w:tcBorders>
            <w:vAlign w:val="center"/>
          </w:tcPr>
          <w:p w14:paraId="4DDBEBFF" w14:textId="77777777" w:rsidR="005A1720" w:rsidRPr="00B0337E" w:rsidRDefault="005A1720" w:rsidP="00307894">
            <w:pPr>
              <w:rPr>
                <w:rFonts w:ascii="Times New Roman" w:eastAsia="Arial" w:hAnsi="Times New Roman" w:cs="Times New Roman"/>
                <w:color w:val="000000"/>
                <w:sz w:val="16"/>
                <w:szCs w:val="16"/>
              </w:rPr>
            </w:pPr>
            <w:r w:rsidRPr="00B0337E">
              <w:rPr>
                <w:rFonts w:ascii="Times New Roman" w:eastAsia="Arial" w:hAnsi="Times New Roman" w:cs="Times New Roman"/>
                <w:color w:val="000000"/>
                <w:sz w:val="16"/>
                <w:szCs w:val="16"/>
              </w:rPr>
              <w:t>11.09</w:t>
            </w:r>
          </w:p>
        </w:tc>
        <w:tc>
          <w:tcPr>
            <w:tcW w:w="1655" w:type="dxa"/>
            <w:tcBorders>
              <w:top w:val="nil"/>
              <w:left w:val="nil"/>
              <w:bottom w:val="nil"/>
              <w:right w:val="nil"/>
            </w:tcBorders>
            <w:vAlign w:val="center"/>
          </w:tcPr>
          <w:p w14:paraId="08F982D0"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[21.77, 27.45]</w:t>
            </w:r>
          </w:p>
        </w:tc>
      </w:tr>
      <w:tr w:rsidR="005A1720" w:rsidRPr="00B0337E" w14:paraId="5C3D3BBA" w14:textId="77777777" w:rsidTr="00307894">
        <w:tc>
          <w:tcPr>
            <w:tcW w:w="567" w:type="dxa"/>
            <w:tcBorders>
              <w:top w:val="nil"/>
              <w:left w:val="nil"/>
              <w:right w:val="nil"/>
            </w:tcBorders>
            <w:vAlign w:val="center"/>
          </w:tcPr>
          <w:p w14:paraId="39F6DD74"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T7</w:t>
            </w:r>
          </w:p>
        </w:tc>
        <w:tc>
          <w:tcPr>
            <w:tcW w:w="898" w:type="dxa"/>
            <w:tcBorders>
              <w:top w:val="nil"/>
              <w:left w:val="nil"/>
              <w:right w:val="nil"/>
            </w:tcBorders>
            <w:vAlign w:val="center"/>
          </w:tcPr>
          <w:p w14:paraId="4E9A8D4C"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60</w:t>
            </w:r>
          </w:p>
        </w:tc>
        <w:tc>
          <w:tcPr>
            <w:tcW w:w="898" w:type="dxa"/>
            <w:tcBorders>
              <w:top w:val="nil"/>
              <w:left w:val="nil"/>
              <w:right w:val="nil"/>
            </w:tcBorders>
            <w:vAlign w:val="center"/>
          </w:tcPr>
          <w:p w14:paraId="1A2B7481"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19.10</w:t>
            </w:r>
          </w:p>
        </w:tc>
        <w:tc>
          <w:tcPr>
            <w:tcW w:w="898" w:type="dxa"/>
            <w:tcBorders>
              <w:top w:val="nil"/>
              <w:left w:val="nil"/>
              <w:right w:val="nil"/>
            </w:tcBorders>
            <w:vAlign w:val="center"/>
          </w:tcPr>
          <w:p w14:paraId="10212ED1"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8.49</w:t>
            </w:r>
          </w:p>
        </w:tc>
        <w:tc>
          <w:tcPr>
            <w:tcW w:w="1559" w:type="dxa"/>
            <w:gridSpan w:val="2"/>
            <w:tcBorders>
              <w:top w:val="nil"/>
              <w:left w:val="nil"/>
              <w:right w:val="nil"/>
            </w:tcBorders>
            <w:vAlign w:val="center"/>
          </w:tcPr>
          <w:p w14:paraId="640DB302"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[16.91, 21.29]</w:t>
            </w:r>
          </w:p>
        </w:tc>
        <w:tc>
          <w:tcPr>
            <w:tcW w:w="850" w:type="dxa"/>
            <w:tcBorders>
              <w:top w:val="nil"/>
              <w:left w:val="nil"/>
              <w:right w:val="nil"/>
            </w:tcBorders>
            <w:vAlign w:val="center"/>
          </w:tcPr>
          <w:p w14:paraId="7C993E92"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61</w:t>
            </w:r>
          </w:p>
        </w:tc>
        <w:tc>
          <w:tcPr>
            <w:tcW w:w="850" w:type="dxa"/>
            <w:tcBorders>
              <w:top w:val="nil"/>
              <w:left w:val="nil"/>
              <w:right w:val="nil"/>
            </w:tcBorders>
            <w:vAlign w:val="center"/>
          </w:tcPr>
          <w:p w14:paraId="1E0267FE"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23.48</w:t>
            </w:r>
          </w:p>
        </w:tc>
        <w:tc>
          <w:tcPr>
            <w:tcW w:w="851" w:type="dxa"/>
            <w:tcBorders>
              <w:top w:val="nil"/>
              <w:left w:val="nil"/>
              <w:right w:val="nil"/>
            </w:tcBorders>
            <w:vAlign w:val="center"/>
          </w:tcPr>
          <w:p w14:paraId="5D5C45FA" w14:textId="77777777" w:rsidR="005A1720" w:rsidRPr="00B0337E" w:rsidRDefault="005A1720" w:rsidP="00307894">
            <w:pPr>
              <w:rPr>
                <w:rFonts w:ascii="Times New Roman" w:eastAsia="Arial" w:hAnsi="Times New Roman" w:cs="Times New Roman"/>
                <w:color w:val="000000"/>
                <w:sz w:val="16"/>
                <w:szCs w:val="16"/>
              </w:rPr>
            </w:pPr>
            <w:r w:rsidRPr="00B0337E">
              <w:rPr>
                <w:rFonts w:ascii="Times New Roman" w:eastAsia="Arial" w:hAnsi="Times New Roman" w:cs="Times New Roman"/>
                <w:color w:val="000000"/>
                <w:sz w:val="16"/>
                <w:szCs w:val="16"/>
              </w:rPr>
              <w:t>11.05</w:t>
            </w:r>
          </w:p>
        </w:tc>
        <w:tc>
          <w:tcPr>
            <w:tcW w:w="1655" w:type="dxa"/>
            <w:tcBorders>
              <w:top w:val="nil"/>
              <w:left w:val="nil"/>
              <w:right w:val="nil"/>
            </w:tcBorders>
            <w:vAlign w:val="center"/>
          </w:tcPr>
          <w:p w14:paraId="37F56555"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[20.65, 26.30]</w:t>
            </w:r>
          </w:p>
        </w:tc>
      </w:tr>
      <w:tr w:rsidR="005A1720" w:rsidRPr="00B0337E" w14:paraId="6B94766A" w14:textId="77777777" w:rsidTr="00307894">
        <w:tc>
          <w:tcPr>
            <w:tcW w:w="567" w:type="dxa"/>
            <w:tcBorders>
              <w:top w:val="nil"/>
              <w:left w:val="nil"/>
              <w:bottom w:val="single" w:sz="4" w:space="0" w:color="auto"/>
              <w:right w:val="nil"/>
            </w:tcBorders>
            <w:vAlign w:val="center"/>
          </w:tcPr>
          <w:p w14:paraId="34294435"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themeColor="text1"/>
                <w:sz w:val="16"/>
                <w:szCs w:val="16"/>
              </w:rPr>
              <w:t>T8</w:t>
            </w:r>
          </w:p>
        </w:tc>
        <w:tc>
          <w:tcPr>
            <w:tcW w:w="898" w:type="dxa"/>
            <w:tcBorders>
              <w:top w:val="nil"/>
              <w:left w:val="nil"/>
              <w:bottom w:val="single" w:sz="4" w:space="0" w:color="auto"/>
              <w:right w:val="nil"/>
            </w:tcBorders>
            <w:vAlign w:val="center"/>
          </w:tcPr>
          <w:p w14:paraId="2E2A85D6"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57</w:t>
            </w:r>
          </w:p>
        </w:tc>
        <w:tc>
          <w:tcPr>
            <w:tcW w:w="898" w:type="dxa"/>
            <w:tcBorders>
              <w:top w:val="nil"/>
              <w:left w:val="nil"/>
              <w:bottom w:val="single" w:sz="4" w:space="0" w:color="auto"/>
              <w:right w:val="nil"/>
            </w:tcBorders>
            <w:vAlign w:val="center"/>
          </w:tcPr>
          <w:p w14:paraId="305D41C1"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17.72</w:t>
            </w:r>
          </w:p>
        </w:tc>
        <w:tc>
          <w:tcPr>
            <w:tcW w:w="898" w:type="dxa"/>
            <w:tcBorders>
              <w:top w:val="nil"/>
              <w:left w:val="nil"/>
              <w:bottom w:val="single" w:sz="4" w:space="0" w:color="auto"/>
              <w:right w:val="nil"/>
            </w:tcBorders>
            <w:vAlign w:val="center"/>
          </w:tcPr>
          <w:p w14:paraId="04B048E2"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7.84</w:t>
            </w:r>
          </w:p>
        </w:tc>
        <w:tc>
          <w:tcPr>
            <w:tcW w:w="1559" w:type="dxa"/>
            <w:gridSpan w:val="2"/>
            <w:tcBorders>
              <w:top w:val="nil"/>
              <w:left w:val="nil"/>
              <w:bottom w:val="single" w:sz="4" w:space="0" w:color="auto"/>
              <w:right w:val="nil"/>
            </w:tcBorders>
            <w:vAlign w:val="center"/>
          </w:tcPr>
          <w:p w14:paraId="79E8A951"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[15.64, 19.80]</w:t>
            </w:r>
          </w:p>
        </w:tc>
        <w:tc>
          <w:tcPr>
            <w:tcW w:w="850" w:type="dxa"/>
            <w:tcBorders>
              <w:top w:val="nil"/>
              <w:left w:val="nil"/>
              <w:bottom w:val="single" w:sz="4" w:space="0" w:color="auto"/>
              <w:right w:val="nil"/>
            </w:tcBorders>
            <w:vAlign w:val="center"/>
          </w:tcPr>
          <w:p w14:paraId="6DB47080"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57</w:t>
            </w:r>
          </w:p>
        </w:tc>
        <w:tc>
          <w:tcPr>
            <w:tcW w:w="850" w:type="dxa"/>
            <w:tcBorders>
              <w:top w:val="nil"/>
              <w:left w:val="nil"/>
              <w:bottom w:val="single" w:sz="4" w:space="0" w:color="auto"/>
              <w:right w:val="nil"/>
            </w:tcBorders>
            <w:vAlign w:val="center"/>
          </w:tcPr>
          <w:p w14:paraId="3E4CC3E1"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sz w:val="16"/>
                <w:szCs w:val="16"/>
              </w:rPr>
              <w:t>23.60</w:t>
            </w:r>
          </w:p>
        </w:tc>
        <w:tc>
          <w:tcPr>
            <w:tcW w:w="851" w:type="dxa"/>
            <w:tcBorders>
              <w:top w:val="nil"/>
              <w:left w:val="nil"/>
              <w:bottom w:val="single" w:sz="4" w:space="0" w:color="auto"/>
              <w:right w:val="nil"/>
            </w:tcBorders>
            <w:vAlign w:val="center"/>
          </w:tcPr>
          <w:p w14:paraId="22035F70" w14:textId="77777777" w:rsidR="005A1720" w:rsidRPr="00B0337E" w:rsidRDefault="005A1720" w:rsidP="00307894">
            <w:pPr>
              <w:rPr>
                <w:rFonts w:ascii="Times New Roman" w:eastAsia="Arial" w:hAnsi="Times New Roman" w:cs="Times New Roman"/>
                <w:color w:val="000000"/>
                <w:sz w:val="16"/>
                <w:szCs w:val="16"/>
              </w:rPr>
            </w:pPr>
            <w:r w:rsidRPr="00B0337E">
              <w:rPr>
                <w:rFonts w:ascii="Times New Roman" w:eastAsia="Arial" w:hAnsi="Times New Roman" w:cs="Times New Roman"/>
                <w:color w:val="000000"/>
                <w:sz w:val="16"/>
                <w:szCs w:val="16"/>
              </w:rPr>
              <w:t>10.92</w:t>
            </w:r>
          </w:p>
        </w:tc>
        <w:tc>
          <w:tcPr>
            <w:tcW w:w="1655" w:type="dxa"/>
            <w:tcBorders>
              <w:top w:val="nil"/>
              <w:left w:val="nil"/>
              <w:bottom w:val="single" w:sz="4" w:space="0" w:color="auto"/>
              <w:right w:val="nil"/>
            </w:tcBorders>
            <w:vAlign w:val="center"/>
          </w:tcPr>
          <w:p w14:paraId="76711736" w14:textId="77777777" w:rsidR="005A1720" w:rsidRPr="00B0337E" w:rsidRDefault="005A1720" w:rsidP="00307894">
            <w:pPr>
              <w:rPr>
                <w:rFonts w:ascii="Times New Roman" w:hAnsi="Times New Roman" w:cs="Times New Roman"/>
                <w:sz w:val="16"/>
                <w:szCs w:val="16"/>
              </w:rPr>
            </w:pPr>
            <w:r w:rsidRPr="00B0337E">
              <w:rPr>
                <w:rFonts w:ascii="Times New Roman" w:eastAsia="Arial" w:hAnsi="Times New Roman" w:cs="Times New Roman"/>
                <w:color w:val="000000" w:themeColor="text1"/>
                <w:sz w:val="16"/>
                <w:szCs w:val="16"/>
              </w:rPr>
              <w:t>[20.65, 26.50]</w:t>
            </w:r>
          </w:p>
        </w:tc>
      </w:tr>
    </w:tbl>
    <w:bookmarkEnd w:id="0"/>
    <w:p w14:paraId="580C7874" w14:textId="4770813C" w:rsidR="005A1720" w:rsidRPr="005A1720" w:rsidRDefault="005A1720" w:rsidP="005A1720">
      <w:pPr>
        <w:rPr>
          <w:rFonts w:ascii="Times New Roman" w:hAnsi="Times New Roman" w:cs="Times New Roman"/>
          <w:sz w:val="20"/>
          <w:szCs w:val="20"/>
        </w:rPr>
      </w:pPr>
      <w:r w:rsidRPr="0B367076">
        <w:rPr>
          <w:rFonts w:ascii="Times New Roman" w:hAnsi="Times New Roman" w:cs="Times New Roman"/>
          <w:b/>
          <w:bCs/>
          <w:sz w:val="20"/>
          <w:szCs w:val="20"/>
        </w:rPr>
        <w:t>Note.</w:t>
      </w:r>
      <w:r w:rsidRPr="0B367076">
        <w:rPr>
          <w:rFonts w:ascii="Times New Roman" w:hAnsi="Times New Roman" w:cs="Times New Roman"/>
          <w:sz w:val="20"/>
          <w:szCs w:val="20"/>
        </w:rPr>
        <w:t xml:space="preserve"> T = Time point.</w:t>
      </w:r>
    </w:p>
    <w:p w14:paraId="7175DD31" w14:textId="77777777" w:rsidR="005A1720" w:rsidRPr="00B0337E" w:rsidRDefault="005A1720" w:rsidP="005A1720">
      <w:pPr>
        <w:rPr>
          <w:rFonts w:ascii="Times New Roman" w:hAnsi="Times New Roman" w:cs="Times New Roman"/>
          <w:sz w:val="20"/>
          <w:szCs w:val="20"/>
          <w:u w:val="single"/>
        </w:rPr>
      </w:pPr>
    </w:p>
    <w:tbl>
      <w:tblPr>
        <w:tblW w:w="9303" w:type="dxa"/>
        <w:jc w:val="center"/>
        <w:tblLayout w:type="fixed"/>
        <w:tblLook w:val="0420" w:firstRow="1" w:lastRow="0" w:firstColumn="0" w:lastColumn="0" w:noHBand="0" w:noVBand="1"/>
      </w:tblPr>
      <w:tblGrid>
        <w:gridCol w:w="1316"/>
        <w:gridCol w:w="1661"/>
        <w:gridCol w:w="1265"/>
        <w:gridCol w:w="1265"/>
        <w:gridCol w:w="1265"/>
        <w:gridCol w:w="741"/>
        <w:gridCol w:w="524"/>
        <w:gridCol w:w="1266"/>
      </w:tblGrid>
      <w:tr w:rsidR="005A1720" w:rsidRPr="00B0337E" w14:paraId="2CA4E051" w14:textId="77777777" w:rsidTr="00307894">
        <w:trPr>
          <w:tblHeader/>
          <w:jc w:val="center"/>
        </w:trPr>
        <w:tc>
          <w:tcPr>
            <w:tcW w:w="7513" w:type="dxa"/>
            <w:gridSpan w:val="6"/>
            <w:tcBorders>
              <w:bottom w:val="single" w:sz="4" w:space="0" w:color="auto"/>
            </w:tcBorders>
            <w:shd w:val="clear" w:color="auto" w:fill="FFFFFF" w:themeFill="background1"/>
            <w:tcMar>
              <w:top w:w="0" w:type="dxa"/>
              <w:left w:w="0" w:type="dxa"/>
              <w:bottom w:w="0" w:type="dxa"/>
              <w:right w:w="0" w:type="dxa"/>
            </w:tcMar>
            <w:vAlign w:val="center"/>
          </w:tcPr>
          <w:p w14:paraId="51B3A5F3" w14:textId="77777777" w:rsidR="005A1720" w:rsidRPr="00B0337E" w:rsidRDefault="005A1720" w:rsidP="00307894">
            <w:pPr>
              <w:rPr>
                <w:rFonts w:ascii="Times New Roman" w:hAnsi="Times New Roman" w:cs="Times New Roman"/>
                <w:b/>
                <w:bCs/>
                <w:sz w:val="20"/>
                <w:szCs w:val="20"/>
              </w:rPr>
            </w:pPr>
            <w:r w:rsidRPr="0B367076">
              <w:rPr>
                <w:rFonts w:ascii="Times New Roman" w:hAnsi="Times New Roman" w:cs="Times New Roman"/>
                <w:b/>
                <w:bCs/>
                <w:sz w:val="20"/>
                <w:szCs w:val="20"/>
              </w:rPr>
              <w:t xml:space="preserve">Table S2. </w:t>
            </w:r>
            <w:r w:rsidRPr="0B367076">
              <w:rPr>
                <w:rFonts w:ascii="Times New Roman" w:hAnsi="Times New Roman" w:cs="Times New Roman"/>
                <w:sz w:val="20"/>
                <w:szCs w:val="20"/>
              </w:rPr>
              <w:t>Complete case analysis: F-test linear mixed effects models</w:t>
            </w:r>
          </w:p>
        </w:tc>
        <w:tc>
          <w:tcPr>
            <w:tcW w:w="1790" w:type="dxa"/>
            <w:gridSpan w:val="2"/>
            <w:tcBorders>
              <w:bottom w:val="single" w:sz="4" w:space="0" w:color="auto"/>
            </w:tcBorders>
            <w:shd w:val="clear" w:color="auto" w:fill="FFFFFF" w:themeFill="background1"/>
          </w:tcPr>
          <w:p w14:paraId="73F22C92" w14:textId="77777777" w:rsidR="005A1720" w:rsidRPr="00B0337E" w:rsidRDefault="005A1720" w:rsidP="00307894">
            <w:pPr>
              <w:rPr>
                <w:rFonts w:ascii="Times New Roman" w:hAnsi="Times New Roman" w:cs="Times New Roman"/>
                <w:b/>
                <w:bCs/>
                <w:sz w:val="20"/>
                <w:szCs w:val="20"/>
              </w:rPr>
            </w:pPr>
          </w:p>
        </w:tc>
      </w:tr>
      <w:tr w:rsidR="005A1720" w:rsidRPr="00B0337E" w14:paraId="6FDAC5DE" w14:textId="77777777" w:rsidTr="00307894">
        <w:trPr>
          <w:tblHeader/>
          <w:jc w:val="center"/>
        </w:trPr>
        <w:tc>
          <w:tcPr>
            <w:tcW w:w="1316" w:type="dxa"/>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4C3E3FE4" w14:textId="77777777" w:rsidR="005A1720" w:rsidRPr="00B0337E" w:rsidRDefault="005A1720" w:rsidP="00307894">
            <w:pPr>
              <w:rPr>
                <w:rFonts w:ascii="Times New Roman" w:hAnsi="Times New Roman" w:cs="Times New Roman"/>
                <w:b/>
                <w:bCs/>
                <w:sz w:val="16"/>
                <w:szCs w:val="16"/>
              </w:rPr>
            </w:pPr>
            <w:r w:rsidRPr="00B0337E">
              <w:rPr>
                <w:rFonts w:ascii="Times New Roman" w:hAnsi="Times New Roman" w:cs="Times New Roman"/>
                <w:b/>
                <w:bCs/>
                <w:sz w:val="16"/>
                <w:szCs w:val="16"/>
              </w:rPr>
              <w:t>Measure</w:t>
            </w:r>
          </w:p>
        </w:tc>
        <w:tc>
          <w:tcPr>
            <w:tcW w:w="1661" w:type="dxa"/>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0B25FE13" w14:textId="77777777" w:rsidR="005A1720" w:rsidRPr="00B0337E" w:rsidRDefault="005A1720" w:rsidP="00307894">
            <w:pPr>
              <w:rPr>
                <w:rFonts w:ascii="Times New Roman" w:hAnsi="Times New Roman" w:cs="Times New Roman"/>
                <w:b/>
                <w:bCs/>
                <w:sz w:val="16"/>
                <w:szCs w:val="16"/>
              </w:rPr>
            </w:pPr>
            <w:r w:rsidRPr="00B0337E">
              <w:rPr>
                <w:rFonts w:ascii="Times New Roman" w:hAnsi="Times New Roman" w:cs="Times New Roman"/>
                <w:b/>
                <w:bCs/>
                <w:sz w:val="16"/>
                <w:szCs w:val="16"/>
              </w:rPr>
              <w:t>Variable</w:t>
            </w:r>
          </w:p>
        </w:tc>
        <w:tc>
          <w:tcPr>
            <w:tcW w:w="1265" w:type="dxa"/>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4B90D620" w14:textId="77777777" w:rsidR="005A1720" w:rsidRPr="00B0337E" w:rsidRDefault="005A1720" w:rsidP="00307894">
            <w:pPr>
              <w:rPr>
                <w:rFonts w:ascii="Times New Roman" w:hAnsi="Times New Roman" w:cs="Times New Roman"/>
                <w:b/>
                <w:bCs/>
                <w:sz w:val="16"/>
                <w:szCs w:val="16"/>
              </w:rPr>
            </w:pPr>
            <w:r w:rsidRPr="00B0337E">
              <w:rPr>
                <w:rFonts w:ascii="Times New Roman" w:hAnsi="Times New Roman" w:cs="Times New Roman"/>
                <w:b/>
                <w:bCs/>
                <w:sz w:val="16"/>
                <w:szCs w:val="16"/>
              </w:rPr>
              <w:t>SS</w:t>
            </w:r>
          </w:p>
        </w:tc>
        <w:tc>
          <w:tcPr>
            <w:tcW w:w="1265" w:type="dxa"/>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0E735E72" w14:textId="77777777" w:rsidR="005A1720" w:rsidRPr="00B0337E" w:rsidRDefault="005A1720" w:rsidP="00307894">
            <w:pPr>
              <w:rPr>
                <w:rFonts w:ascii="Times New Roman" w:hAnsi="Times New Roman" w:cs="Times New Roman"/>
                <w:b/>
                <w:bCs/>
                <w:sz w:val="16"/>
                <w:szCs w:val="16"/>
              </w:rPr>
            </w:pPr>
            <w:proofErr w:type="spellStart"/>
            <w:r w:rsidRPr="00B0337E">
              <w:rPr>
                <w:rFonts w:ascii="Times New Roman" w:hAnsi="Times New Roman" w:cs="Times New Roman"/>
                <w:b/>
                <w:bCs/>
                <w:sz w:val="16"/>
                <w:szCs w:val="16"/>
              </w:rPr>
              <w:t>df</w:t>
            </w:r>
            <w:proofErr w:type="spellEnd"/>
          </w:p>
        </w:tc>
        <w:tc>
          <w:tcPr>
            <w:tcW w:w="1265" w:type="dxa"/>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7AFB0690" w14:textId="77777777" w:rsidR="005A1720" w:rsidRPr="00B0337E" w:rsidRDefault="005A1720" w:rsidP="00307894">
            <w:pPr>
              <w:rPr>
                <w:rFonts w:ascii="Times New Roman" w:hAnsi="Times New Roman" w:cs="Times New Roman"/>
                <w:b/>
                <w:bCs/>
                <w:sz w:val="16"/>
                <w:szCs w:val="16"/>
              </w:rPr>
            </w:pPr>
            <w:r w:rsidRPr="00B0337E">
              <w:rPr>
                <w:rFonts w:ascii="Times New Roman" w:hAnsi="Times New Roman" w:cs="Times New Roman"/>
                <w:b/>
                <w:bCs/>
                <w:sz w:val="16"/>
                <w:szCs w:val="16"/>
              </w:rPr>
              <w:t>MS</w:t>
            </w:r>
          </w:p>
        </w:tc>
        <w:tc>
          <w:tcPr>
            <w:tcW w:w="1265" w:type="dxa"/>
            <w:gridSpan w:val="2"/>
            <w:tcBorders>
              <w:top w:val="single" w:sz="4" w:space="0" w:color="auto"/>
              <w:bottom w:val="single" w:sz="4" w:space="0" w:color="auto"/>
            </w:tcBorders>
            <w:shd w:val="clear" w:color="auto" w:fill="FFFFFF" w:themeFill="background1"/>
            <w:tcMar>
              <w:top w:w="0" w:type="dxa"/>
              <w:left w:w="0" w:type="dxa"/>
              <w:bottom w:w="0" w:type="dxa"/>
              <w:right w:w="0" w:type="dxa"/>
            </w:tcMar>
            <w:vAlign w:val="center"/>
          </w:tcPr>
          <w:p w14:paraId="0B37C9A3" w14:textId="77777777" w:rsidR="005A1720" w:rsidRPr="00B0337E" w:rsidRDefault="005A1720" w:rsidP="00307894">
            <w:pPr>
              <w:rPr>
                <w:rFonts w:ascii="Times New Roman" w:hAnsi="Times New Roman" w:cs="Times New Roman"/>
                <w:b/>
                <w:bCs/>
                <w:sz w:val="16"/>
                <w:szCs w:val="16"/>
              </w:rPr>
            </w:pPr>
            <w:r w:rsidRPr="00B0337E">
              <w:rPr>
                <w:rFonts w:ascii="Times New Roman" w:hAnsi="Times New Roman" w:cs="Times New Roman"/>
                <w:b/>
                <w:bCs/>
                <w:sz w:val="16"/>
                <w:szCs w:val="16"/>
              </w:rPr>
              <w:t>F</w:t>
            </w:r>
          </w:p>
        </w:tc>
        <w:tc>
          <w:tcPr>
            <w:tcW w:w="1266" w:type="dxa"/>
            <w:tcBorders>
              <w:top w:val="single" w:sz="4" w:space="0" w:color="auto"/>
              <w:bottom w:val="single" w:sz="4" w:space="0" w:color="auto"/>
            </w:tcBorders>
            <w:shd w:val="clear" w:color="auto" w:fill="FFFFFF" w:themeFill="background1"/>
          </w:tcPr>
          <w:p w14:paraId="763F277C" w14:textId="77777777" w:rsidR="005A1720" w:rsidRPr="00B0337E" w:rsidRDefault="005A1720" w:rsidP="00307894">
            <w:pPr>
              <w:rPr>
                <w:rFonts w:ascii="Times New Roman" w:hAnsi="Times New Roman" w:cs="Times New Roman"/>
                <w:b/>
                <w:bCs/>
                <w:sz w:val="16"/>
                <w:szCs w:val="16"/>
              </w:rPr>
            </w:pPr>
            <w:r w:rsidRPr="00B0337E">
              <w:rPr>
                <w:rFonts w:ascii="Times New Roman" w:hAnsi="Times New Roman" w:cs="Times New Roman"/>
                <w:b/>
                <w:bCs/>
                <w:sz w:val="16"/>
                <w:szCs w:val="16"/>
              </w:rPr>
              <w:t>p</w:t>
            </w:r>
          </w:p>
        </w:tc>
      </w:tr>
      <w:tr w:rsidR="005A1720" w:rsidRPr="00B0337E" w14:paraId="26F191D0" w14:textId="77777777" w:rsidTr="00307894">
        <w:trPr>
          <w:jc w:val="center"/>
        </w:trPr>
        <w:tc>
          <w:tcPr>
            <w:tcW w:w="1316" w:type="dxa"/>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6E5BF60"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MADRS</w:t>
            </w:r>
          </w:p>
        </w:tc>
        <w:tc>
          <w:tcPr>
            <w:tcW w:w="1661" w:type="dxa"/>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6EB84BE"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T</w:t>
            </w:r>
          </w:p>
        </w:tc>
        <w:tc>
          <w:tcPr>
            <w:tcW w:w="1265" w:type="dxa"/>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34502FB6"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41.29</w:t>
            </w:r>
          </w:p>
        </w:tc>
        <w:tc>
          <w:tcPr>
            <w:tcW w:w="1265" w:type="dxa"/>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034325EC"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3, 150</w:t>
            </w:r>
          </w:p>
        </w:tc>
        <w:tc>
          <w:tcPr>
            <w:tcW w:w="1265" w:type="dxa"/>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4212892E"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13.76</w:t>
            </w:r>
          </w:p>
        </w:tc>
        <w:tc>
          <w:tcPr>
            <w:tcW w:w="1265" w:type="dxa"/>
            <w:gridSpan w:val="2"/>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5C257743"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0.74</w:t>
            </w:r>
          </w:p>
        </w:tc>
        <w:tc>
          <w:tcPr>
            <w:tcW w:w="1266" w:type="dxa"/>
            <w:tcBorders>
              <w:top w:val="single" w:sz="4" w:space="0" w:color="auto"/>
              <w:left w:val="none" w:sz="0" w:space="0" w:color="000000" w:themeColor="text1"/>
              <w:bottom w:val="none" w:sz="0" w:space="0" w:color="000000" w:themeColor="text1"/>
              <w:right w:val="none" w:sz="0" w:space="0" w:color="000000" w:themeColor="text1"/>
            </w:tcBorders>
            <w:shd w:val="clear" w:color="auto" w:fill="FFFFFF" w:themeFill="background1"/>
            <w:vAlign w:val="bottom"/>
          </w:tcPr>
          <w:p w14:paraId="245D361C"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.530</w:t>
            </w:r>
          </w:p>
        </w:tc>
      </w:tr>
      <w:tr w:rsidR="005A1720" w:rsidRPr="00B0337E" w14:paraId="766390E1" w14:textId="77777777" w:rsidTr="00307894">
        <w:trPr>
          <w:jc w:val="center"/>
        </w:trPr>
        <w:tc>
          <w:tcPr>
            <w:tcW w:w="131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C739089" w14:textId="77777777" w:rsidR="005A1720" w:rsidRPr="00B0337E" w:rsidRDefault="005A1720" w:rsidP="00307894">
            <w:pPr>
              <w:rPr>
                <w:rFonts w:ascii="Times New Roman" w:hAnsi="Times New Roman" w:cs="Times New Roman"/>
                <w:sz w:val="16"/>
                <w:szCs w:val="16"/>
              </w:rPr>
            </w:pPr>
          </w:p>
        </w:tc>
        <w:tc>
          <w:tcPr>
            <w:tcW w:w="166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187CA58C"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Maintenance</w:t>
            </w:r>
          </w:p>
        </w:tc>
        <w:tc>
          <w:tcPr>
            <w:tcW w:w="126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00E7B42B"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0.02</w:t>
            </w:r>
          </w:p>
        </w:tc>
        <w:tc>
          <w:tcPr>
            <w:tcW w:w="126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53F793F6"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1, 50</w:t>
            </w:r>
          </w:p>
        </w:tc>
        <w:tc>
          <w:tcPr>
            <w:tcW w:w="126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5BF42300"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0.02</w:t>
            </w:r>
          </w:p>
        </w:tc>
        <w:tc>
          <w:tcPr>
            <w:tcW w:w="1265" w:type="dxa"/>
            <w:gridSpan w:val="2"/>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3FEFAC1D"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&lt; 0.01</w:t>
            </w:r>
          </w:p>
        </w:tc>
        <w:tc>
          <w:tcPr>
            <w:tcW w:w="126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bottom"/>
          </w:tcPr>
          <w:p w14:paraId="68AAAAB3"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.978</w:t>
            </w:r>
          </w:p>
        </w:tc>
      </w:tr>
      <w:tr w:rsidR="005A1720" w:rsidRPr="00B0337E" w14:paraId="6D58A675" w14:textId="77777777" w:rsidTr="00307894">
        <w:trPr>
          <w:jc w:val="center"/>
        </w:trPr>
        <w:tc>
          <w:tcPr>
            <w:tcW w:w="131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4BA119B" w14:textId="77777777" w:rsidR="005A1720" w:rsidRPr="00B0337E" w:rsidRDefault="005A1720" w:rsidP="00307894">
            <w:pPr>
              <w:rPr>
                <w:rFonts w:ascii="Times New Roman" w:hAnsi="Times New Roman" w:cs="Times New Roman"/>
                <w:sz w:val="16"/>
                <w:szCs w:val="16"/>
              </w:rPr>
            </w:pPr>
          </w:p>
        </w:tc>
        <w:tc>
          <w:tcPr>
            <w:tcW w:w="166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142498A"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T × Maintenance</w:t>
            </w:r>
          </w:p>
        </w:tc>
        <w:tc>
          <w:tcPr>
            <w:tcW w:w="126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770C11FD"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98.75</w:t>
            </w:r>
          </w:p>
        </w:tc>
        <w:tc>
          <w:tcPr>
            <w:tcW w:w="126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251B1577"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3, 150</w:t>
            </w:r>
          </w:p>
        </w:tc>
        <w:tc>
          <w:tcPr>
            <w:tcW w:w="126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1B134821"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32.92</w:t>
            </w:r>
          </w:p>
        </w:tc>
        <w:tc>
          <w:tcPr>
            <w:tcW w:w="1265" w:type="dxa"/>
            <w:gridSpan w:val="2"/>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4DC2E1EB"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1.77</w:t>
            </w:r>
          </w:p>
        </w:tc>
        <w:tc>
          <w:tcPr>
            <w:tcW w:w="126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bottom"/>
          </w:tcPr>
          <w:p w14:paraId="4861DC99"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.155</w:t>
            </w:r>
          </w:p>
        </w:tc>
      </w:tr>
      <w:tr w:rsidR="005A1720" w:rsidRPr="00B0337E" w14:paraId="4B767362" w14:textId="77777777" w:rsidTr="00307894">
        <w:trPr>
          <w:jc w:val="center"/>
        </w:trPr>
        <w:tc>
          <w:tcPr>
            <w:tcW w:w="131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CF6BE47"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BDI</w:t>
            </w:r>
          </w:p>
        </w:tc>
        <w:tc>
          <w:tcPr>
            <w:tcW w:w="1661"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0EE99AA"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T</w:t>
            </w:r>
          </w:p>
        </w:tc>
        <w:tc>
          <w:tcPr>
            <w:tcW w:w="126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7C89C993"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55.06</w:t>
            </w:r>
          </w:p>
        </w:tc>
        <w:tc>
          <w:tcPr>
            <w:tcW w:w="126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4D06FCCB"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3, 150</w:t>
            </w:r>
          </w:p>
        </w:tc>
        <w:tc>
          <w:tcPr>
            <w:tcW w:w="126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201CE345"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18.35</w:t>
            </w:r>
          </w:p>
        </w:tc>
        <w:tc>
          <w:tcPr>
            <w:tcW w:w="1265" w:type="dxa"/>
            <w:gridSpan w:val="2"/>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0F479AA5"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1.11</w:t>
            </w:r>
          </w:p>
        </w:tc>
        <w:tc>
          <w:tcPr>
            <w:tcW w:w="126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bottom"/>
          </w:tcPr>
          <w:p w14:paraId="490477D8"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.347</w:t>
            </w:r>
          </w:p>
        </w:tc>
      </w:tr>
      <w:tr w:rsidR="005A1720" w:rsidRPr="00B0337E" w14:paraId="14AD96A6" w14:textId="77777777" w:rsidTr="00307894">
        <w:trPr>
          <w:jc w:val="center"/>
        </w:trPr>
        <w:tc>
          <w:tcPr>
            <w:tcW w:w="1316" w:type="dxa"/>
            <w:tcBorders>
              <w:top w:val="none" w:sz="0" w:space="0" w:color="000000" w:themeColor="text1"/>
              <w:left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A354F3F" w14:textId="77777777" w:rsidR="005A1720" w:rsidRPr="00B0337E" w:rsidRDefault="005A1720" w:rsidP="00307894">
            <w:pPr>
              <w:rPr>
                <w:rFonts w:ascii="Times New Roman" w:hAnsi="Times New Roman" w:cs="Times New Roman"/>
                <w:sz w:val="16"/>
                <w:szCs w:val="16"/>
              </w:rPr>
            </w:pPr>
          </w:p>
        </w:tc>
        <w:tc>
          <w:tcPr>
            <w:tcW w:w="1661" w:type="dxa"/>
            <w:tcBorders>
              <w:top w:val="none" w:sz="0" w:space="0" w:color="000000" w:themeColor="text1"/>
              <w:left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A2DD2CC"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Maintenance</w:t>
            </w:r>
          </w:p>
        </w:tc>
        <w:tc>
          <w:tcPr>
            <w:tcW w:w="1265" w:type="dxa"/>
            <w:tcBorders>
              <w:top w:val="none" w:sz="0" w:space="0" w:color="000000" w:themeColor="text1"/>
              <w:left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1AFC8459"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1.12</w:t>
            </w:r>
          </w:p>
        </w:tc>
        <w:tc>
          <w:tcPr>
            <w:tcW w:w="1265" w:type="dxa"/>
            <w:tcBorders>
              <w:top w:val="none" w:sz="0" w:space="0" w:color="000000" w:themeColor="text1"/>
              <w:left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646E1290"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1, 50</w:t>
            </w:r>
          </w:p>
        </w:tc>
        <w:tc>
          <w:tcPr>
            <w:tcW w:w="1265" w:type="dxa"/>
            <w:tcBorders>
              <w:top w:val="none" w:sz="0" w:space="0" w:color="000000" w:themeColor="text1"/>
              <w:left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6DCAFC0C"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1.12</w:t>
            </w:r>
          </w:p>
        </w:tc>
        <w:tc>
          <w:tcPr>
            <w:tcW w:w="1265" w:type="dxa"/>
            <w:gridSpan w:val="2"/>
            <w:tcBorders>
              <w:top w:val="none" w:sz="0" w:space="0" w:color="000000" w:themeColor="text1"/>
              <w:left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bottom"/>
          </w:tcPr>
          <w:p w14:paraId="1F343B1E"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0.07</w:t>
            </w:r>
          </w:p>
        </w:tc>
        <w:tc>
          <w:tcPr>
            <w:tcW w:w="1266" w:type="dxa"/>
            <w:tcBorders>
              <w:top w:val="none" w:sz="0" w:space="0" w:color="000000" w:themeColor="text1"/>
              <w:left w:val="none" w:sz="0" w:space="0" w:color="000000" w:themeColor="text1"/>
              <w:right w:val="none" w:sz="0" w:space="0" w:color="000000" w:themeColor="text1"/>
            </w:tcBorders>
            <w:shd w:val="clear" w:color="auto" w:fill="FFFFFF" w:themeFill="background1"/>
            <w:vAlign w:val="bottom"/>
          </w:tcPr>
          <w:p w14:paraId="31CCB0F6"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.796</w:t>
            </w:r>
          </w:p>
        </w:tc>
      </w:tr>
      <w:tr w:rsidR="005A1720" w:rsidRPr="00B0337E" w14:paraId="7890436F" w14:textId="77777777" w:rsidTr="00307894">
        <w:trPr>
          <w:jc w:val="center"/>
        </w:trPr>
        <w:tc>
          <w:tcPr>
            <w:tcW w:w="1316" w:type="dxa"/>
            <w:tcBorders>
              <w:bottom w:val="single" w:sz="4" w:space="0" w:color="auto"/>
            </w:tcBorders>
            <w:shd w:val="clear" w:color="auto" w:fill="FFFFFF" w:themeFill="background1"/>
            <w:tcMar>
              <w:top w:w="0" w:type="dxa"/>
              <w:left w:w="0" w:type="dxa"/>
              <w:bottom w:w="0" w:type="dxa"/>
              <w:right w:w="0" w:type="dxa"/>
            </w:tcMar>
            <w:vAlign w:val="center"/>
          </w:tcPr>
          <w:p w14:paraId="62792A81" w14:textId="77777777" w:rsidR="005A1720" w:rsidRPr="00B0337E" w:rsidRDefault="005A1720" w:rsidP="00307894">
            <w:pPr>
              <w:rPr>
                <w:rFonts w:ascii="Times New Roman" w:hAnsi="Times New Roman" w:cs="Times New Roman"/>
                <w:sz w:val="16"/>
                <w:szCs w:val="16"/>
              </w:rPr>
            </w:pPr>
          </w:p>
        </w:tc>
        <w:tc>
          <w:tcPr>
            <w:tcW w:w="1661" w:type="dxa"/>
            <w:tcBorders>
              <w:bottom w:val="single" w:sz="4" w:space="0" w:color="auto"/>
            </w:tcBorders>
            <w:shd w:val="clear" w:color="auto" w:fill="FFFFFF" w:themeFill="background1"/>
            <w:tcMar>
              <w:top w:w="0" w:type="dxa"/>
              <w:left w:w="0" w:type="dxa"/>
              <w:bottom w:w="0" w:type="dxa"/>
              <w:right w:w="0" w:type="dxa"/>
            </w:tcMar>
          </w:tcPr>
          <w:p w14:paraId="5D608CA6"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T × Maintenance</w:t>
            </w:r>
          </w:p>
        </w:tc>
        <w:tc>
          <w:tcPr>
            <w:tcW w:w="1265" w:type="dxa"/>
            <w:tcBorders>
              <w:bottom w:val="single" w:sz="4" w:space="0" w:color="auto"/>
            </w:tcBorders>
            <w:shd w:val="clear" w:color="auto" w:fill="FFFFFF" w:themeFill="background1"/>
            <w:tcMar>
              <w:top w:w="0" w:type="dxa"/>
              <w:left w:w="0" w:type="dxa"/>
              <w:bottom w:w="0" w:type="dxa"/>
              <w:right w:w="0" w:type="dxa"/>
            </w:tcMar>
            <w:vAlign w:val="bottom"/>
          </w:tcPr>
          <w:p w14:paraId="5C00AAD3"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73.10</w:t>
            </w:r>
          </w:p>
        </w:tc>
        <w:tc>
          <w:tcPr>
            <w:tcW w:w="1265" w:type="dxa"/>
            <w:tcBorders>
              <w:bottom w:val="single" w:sz="4" w:space="0" w:color="auto"/>
            </w:tcBorders>
            <w:shd w:val="clear" w:color="auto" w:fill="FFFFFF" w:themeFill="background1"/>
            <w:tcMar>
              <w:top w:w="0" w:type="dxa"/>
              <w:left w:w="0" w:type="dxa"/>
              <w:bottom w:w="0" w:type="dxa"/>
              <w:right w:w="0" w:type="dxa"/>
            </w:tcMar>
            <w:vAlign w:val="bottom"/>
          </w:tcPr>
          <w:p w14:paraId="20A6376C"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3, 150</w:t>
            </w:r>
          </w:p>
        </w:tc>
        <w:tc>
          <w:tcPr>
            <w:tcW w:w="1265" w:type="dxa"/>
            <w:tcBorders>
              <w:bottom w:val="single" w:sz="4" w:space="0" w:color="auto"/>
            </w:tcBorders>
            <w:shd w:val="clear" w:color="auto" w:fill="FFFFFF" w:themeFill="background1"/>
            <w:tcMar>
              <w:top w:w="0" w:type="dxa"/>
              <w:left w:w="0" w:type="dxa"/>
              <w:bottom w:w="0" w:type="dxa"/>
              <w:right w:w="0" w:type="dxa"/>
            </w:tcMar>
            <w:vAlign w:val="bottom"/>
          </w:tcPr>
          <w:p w14:paraId="23A8EAC0"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24.37</w:t>
            </w:r>
          </w:p>
        </w:tc>
        <w:tc>
          <w:tcPr>
            <w:tcW w:w="1265" w:type="dxa"/>
            <w:gridSpan w:val="2"/>
            <w:tcBorders>
              <w:bottom w:val="single" w:sz="4" w:space="0" w:color="auto"/>
            </w:tcBorders>
            <w:shd w:val="clear" w:color="auto" w:fill="FFFFFF" w:themeFill="background1"/>
            <w:tcMar>
              <w:top w:w="0" w:type="dxa"/>
              <w:left w:w="0" w:type="dxa"/>
              <w:bottom w:w="0" w:type="dxa"/>
              <w:right w:w="0" w:type="dxa"/>
            </w:tcMar>
            <w:vAlign w:val="bottom"/>
          </w:tcPr>
          <w:p w14:paraId="22428A4A"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1.47</w:t>
            </w:r>
          </w:p>
        </w:tc>
        <w:tc>
          <w:tcPr>
            <w:tcW w:w="1266" w:type="dxa"/>
            <w:tcBorders>
              <w:bottom w:val="single" w:sz="4" w:space="0" w:color="auto"/>
            </w:tcBorders>
            <w:shd w:val="clear" w:color="auto" w:fill="FFFFFF" w:themeFill="background1"/>
            <w:vAlign w:val="bottom"/>
          </w:tcPr>
          <w:p w14:paraId="6DBFF7BF"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.224</w:t>
            </w:r>
          </w:p>
        </w:tc>
      </w:tr>
    </w:tbl>
    <w:p w14:paraId="00BE180A" w14:textId="421AC499" w:rsidR="005A1720" w:rsidRPr="00754CCC" w:rsidRDefault="005A1720" w:rsidP="005A1720">
      <w:pPr>
        <w:rPr>
          <w:rFonts w:ascii="Times New Roman" w:hAnsi="Times New Roman" w:cs="Times New Roman"/>
          <w:sz w:val="20"/>
          <w:szCs w:val="20"/>
        </w:rPr>
      </w:pPr>
      <w:r w:rsidRPr="0B367076">
        <w:rPr>
          <w:rFonts w:ascii="Times New Roman" w:hAnsi="Times New Roman" w:cs="Times New Roman"/>
          <w:b/>
          <w:bCs/>
          <w:sz w:val="20"/>
          <w:szCs w:val="20"/>
        </w:rPr>
        <w:t xml:space="preserve">Note. </w:t>
      </w:r>
      <w:r w:rsidRPr="0B367076">
        <w:rPr>
          <w:rFonts w:ascii="Times New Roman" w:hAnsi="Times New Roman" w:cs="Times New Roman"/>
          <w:sz w:val="20"/>
          <w:szCs w:val="20"/>
        </w:rPr>
        <w:t>SS = Sum of squares, MS = Mean square, T = Time points, Maintenance = Maintenance schedule.</w:t>
      </w:r>
    </w:p>
    <w:tbl>
      <w:tblPr>
        <w:tblW w:w="9368" w:type="dxa"/>
        <w:tblInd w:w="-164" w:type="dxa"/>
        <w:tblLayout w:type="fixed"/>
        <w:tblLook w:val="04A0" w:firstRow="1" w:lastRow="0" w:firstColumn="1" w:lastColumn="0" w:noHBand="0" w:noVBand="1"/>
      </w:tblPr>
      <w:tblGrid>
        <w:gridCol w:w="1521"/>
        <w:gridCol w:w="967"/>
        <w:gridCol w:w="829"/>
        <w:gridCol w:w="1244"/>
        <w:gridCol w:w="831"/>
        <w:gridCol w:w="967"/>
        <w:gridCol w:w="654"/>
        <w:gridCol w:w="1382"/>
        <w:gridCol w:w="973"/>
      </w:tblGrid>
      <w:tr w:rsidR="005A1720" w:rsidRPr="00B0337E" w14:paraId="5DBC1A40" w14:textId="77777777" w:rsidTr="00307894">
        <w:trPr>
          <w:trHeight w:val="476"/>
        </w:trPr>
        <w:tc>
          <w:tcPr>
            <w:tcW w:w="9368" w:type="dxa"/>
            <w:gridSpan w:val="9"/>
          </w:tcPr>
          <w:p w14:paraId="17ACDD8D" w14:textId="77777777" w:rsidR="005A1720" w:rsidRPr="00B0337E" w:rsidRDefault="005A1720" w:rsidP="00307894">
            <w:pPr>
              <w:rPr>
                <w:rFonts w:ascii="Times New Roman" w:hAnsi="Times New Roman" w:cs="Times New Roman"/>
                <w:b/>
                <w:bCs/>
                <w:sz w:val="20"/>
                <w:szCs w:val="20"/>
              </w:rPr>
            </w:pPr>
            <w:r w:rsidRPr="00B0337E">
              <w:rPr>
                <w:rFonts w:ascii="Times New Roman" w:hAnsi="Times New Roman" w:cs="Times New Roman"/>
                <w:b/>
                <w:bCs/>
                <w:sz w:val="20"/>
                <w:szCs w:val="20"/>
              </w:rPr>
              <w:t xml:space="preserve">Table S3. </w:t>
            </w:r>
            <w:r w:rsidRPr="00B0337E">
              <w:rPr>
                <w:rFonts w:ascii="Times New Roman" w:hAnsi="Times New Roman" w:cs="Times New Roman"/>
                <w:sz w:val="20"/>
                <w:szCs w:val="20"/>
              </w:rPr>
              <w:t>Complete case analysis: Contrast Maintenance Schedules</w:t>
            </w:r>
          </w:p>
        </w:tc>
      </w:tr>
      <w:tr w:rsidR="005A1720" w:rsidRPr="00B0337E" w14:paraId="00F3C20B" w14:textId="77777777" w:rsidTr="00307894">
        <w:trPr>
          <w:trHeight w:val="469"/>
        </w:trPr>
        <w:tc>
          <w:tcPr>
            <w:tcW w:w="1521" w:type="dxa"/>
            <w:tcBorders>
              <w:top w:val="single" w:sz="4" w:space="0" w:color="auto"/>
              <w:bottom w:val="single" w:sz="4" w:space="0" w:color="auto"/>
            </w:tcBorders>
            <w:vAlign w:val="center"/>
          </w:tcPr>
          <w:p w14:paraId="1447FF27" w14:textId="77777777" w:rsidR="005A1720" w:rsidRPr="00B0337E" w:rsidRDefault="005A1720" w:rsidP="00307894">
            <w:pPr>
              <w:rPr>
                <w:rFonts w:ascii="Times New Roman" w:hAnsi="Times New Roman" w:cs="Times New Roman"/>
                <w:sz w:val="20"/>
                <w:szCs w:val="20"/>
              </w:rPr>
            </w:pPr>
          </w:p>
        </w:tc>
        <w:tc>
          <w:tcPr>
            <w:tcW w:w="3871" w:type="dxa"/>
            <w:gridSpan w:val="4"/>
            <w:tcBorders>
              <w:top w:val="single" w:sz="4" w:space="0" w:color="auto"/>
              <w:bottom w:val="single" w:sz="4" w:space="0" w:color="auto"/>
            </w:tcBorders>
          </w:tcPr>
          <w:p w14:paraId="29143A8F" w14:textId="77777777" w:rsidR="005A1720" w:rsidRPr="00B0337E" w:rsidRDefault="005A1720" w:rsidP="00307894">
            <w:pPr>
              <w:rPr>
                <w:rFonts w:ascii="Times New Roman" w:hAnsi="Times New Roman" w:cs="Times New Roman"/>
                <w:b/>
                <w:bCs/>
                <w:sz w:val="20"/>
                <w:szCs w:val="20"/>
              </w:rPr>
            </w:pPr>
            <w:r w:rsidRPr="00B0337E">
              <w:rPr>
                <w:rFonts w:ascii="Times New Roman" w:hAnsi="Times New Roman" w:cs="Times New Roman"/>
                <w:b/>
                <w:bCs/>
                <w:sz w:val="20"/>
                <w:szCs w:val="20"/>
              </w:rPr>
              <w:t>MADRS</w:t>
            </w:r>
          </w:p>
        </w:tc>
        <w:tc>
          <w:tcPr>
            <w:tcW w:w="3976" w:type="dxa"/>
            <w:gridSpan w:val="4"/>
            <w:tcBorders>
              <w:top w:val="single" w:sz="4" w:space="0" w:color="auto"/>
              <w:bottom w:val="single" w:sz="4" w:space="0" w:color="auto"/>
            </w:tcBorders>
          </w:tcPr>
          <w:p w14:paraId="08174D0E" w14:textId="77777777" w:rsidR="005A1720" w:rsidRPr="00B0337E" w:rsidRDefault="005A1720" w:rsidP="00307894">
            <w:pPr>
              <w:rPr>
                <w:rFonts w:ascii="Times New Roman" w:hAnsi="Times New Roman" w:cs="Times New Roman"/>
                <w:b/>
                <w:bCs/>
                <w:sz w:val="20"/>
                <w:szCs w:val="20"/>
              </w:rPr>
            </w:pPr>
            <w:r w:rsidRPr="00B0337E">
              <w:rPr>
                <w:rFonts w:ascii="Times New Roman" w:hAnsi="Times New Roman" w:cs="Times New Roman"/>
                <w:b/>
                <w:bCs/>
                <w:sz w:val="20"/>
                <w:szCs w:val="20"/>
              </w:rPr>
              <w:t>BDI</w:t>
            </w:r>
          </w:p>
        </w:tc>
      </w:tr>
      <w:tr w:rsidR="005A1720" w:rsidRPr="00B0337E" w14:paraId="513EC9CC" w14:textId="77777777" w:rsidTr="00307894">
        <w:trPr>
          <w:trHeight w:val="415"/>
        </w:trPr>
        <w:tc>
          <w:tcPr>
            <w:tcW w:w="1521" w:type="dxa"/>
            <w:tcBorders>
              <w:top w:val="single" w:sz="4" w:space="0" w:color="auto"/>
            </w:tcBorders>
            <w:vAlign w:val="center"/>
          </w:tcPr>
          <w:p w14:paraId="2267DD11"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Predictors</w:t>
            </w:r>
          </w:p>
        </w:tc>
        <w:tc>
          <w:tcPr>
            <w:tcW w:w="967" w:type="dxa"/>
            <w:tcBorders>
              <w:top w:val="single" w:sz="4" w:space="0" w:color="auto"/>
            </w:tcBorders>
            <w:vAlign w:val="center"/>
          </w:tcPr>
          <w:p w14:paraId="05988A15"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Estimate</w:t>
            </w:r>
          </w:p>
        </w:tc>
        <w:tc>
          <w:tcPr>
            <w:tcW w:w="829" w:type="dxa"/>
            <w:tcBorders>
              <w:top w:val="single" w:sz="4" w:space="0" w:color="auto"/>
            </w:tcBorders>
            <w:vAlign w:val="center"/>
          </w:tcPr>
          <w:p w14:paraId="47F5E962"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i/>
                <w:iCs/>
                <w:sz w:val="16"/>
                <w:szCs w:val="16"/>
              </w:rPr>
              <w:t>SE</w:t>
            </w:r>
          </w:p>
        </w:tc>
        <w:tc>
          <w:tcPr>
            <w:tcW w:w="1244" w:type="dxa"/>
            <w:tcBorders>
              <w:top w:val="single" w:sz="4" w:space="0" w:color="auto"/>
            </w:tcBorders>
            <w:vAlign w:val="center"/>
          </w:tcPr>
          <w:p w14:paraId="40073B11"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95% CI</w:t>
            </w:r>
          </w:p>
        </w:tc>
        <w:tc>
          <w:tcPr>
            <w:tcW w:w="831" w:type="dxa"/>
            <w:tcBorders>
              <w:top w:val="single" w:sz="4" w:space="0" w:color="auto"/>
            </w:tcBorders>
          </w:tcPr>
          <w:p w14:paraId="7071D0E4"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p</w:t>
            </w:r>
          </w:p>
        </w:tc>
        <w:tc>
          <w:tcPr>
            <w:tcW w:w="967" w:type="dxa"/>
            <w:tcBorders>
              <w:top w:val="single" w:sz="4" w:space="0" w:color="auto"/>
            </w:tcBorders>
            <w:vAlign w:val="center"/>
          </w:tcPr>
          <w:p w14:paraId="5967B33D"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Estimate</w:t>
            </w:r>
          </w:p>
        </w:tc>
        <w:tc>
          <w:tcPr>
            <w:tcW w:w="654" w:type="dxa"/>
            <w:tcBorders>
              <w:top w:val="single" w:sz="4" w:space="0" w:color="auto"/>
            </w:tcBorders>
            <w:vAlign w:val="center"/>
          </w:tcPr>
          <w:p w14:paraId="7A54011A"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i/>
                <w:iCs/>
                <w:sz w:val="16"/>
                <w:szCs w:val="16"/>
              </w:rPr>
              <w:t>SE</w:t>
            </w:r>
          </w:p>
        </w:tc>
        <w:tc>
          <w:tcPr>
            <w:tcW w:w="1382" w:type="dxa"/>
            <w:tcBorders>
              <w:top w:val="single" w:sz="4" w:space="0" w:color="auto"/>
            </w:tcBorders>
            <w:vAlign w:val="center"/>
          </w:tcPr>
          <w:p w14:paraId="03BB2967"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95% CI</w:t>
            </w:r>
          </w:p>
        </w:tc>
        <w:tc>
          <w:tcPr>
            <w:tcW w:w="973" w:type="dxa"/>
            <w:tcBorders>
              <w:top w:val="single" w:sz="4" w:space="0" w:color="auto"/>
            </w:tcBorders>
          </w:tcPr>
          <w:p w14:paraId="3E2FF7B6"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p</w:t>
            </w:r>
          </w:p>
        </w:tc>
      </w:tr>
      <w:tr w:rsidR="005A1720" w:rsidRPr="00B0337E" w14:paraId="0C04F813" w14:textId="77777777" w:rsidTr="00307894">
        <w:trPr>
          <w:trHeight w:val="422"/>
        </w:trPr>
        <w:tc>
          <w:tcPr>
            <w:tcW w:w="1521" w:type="dxa"/>
          </w:tcPr>
          <w:p w14:paraId="70D0784A"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T8: MS1-MS2</w:t>
            </w:r>
          </w:p>
        </w:tc>
        <w:tc>
          <w:tcPr>
            <w:tcW w:w="967" w:type="dxa"/>
            <w:vAlign w:val="bottom"/>
          </w:tcPr>
          <w:p w14:paraId="08A39F47"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.89</w:t>
            </w:r>
          </w:p>
        </w:tc>
        <w:tc>
          <w:tcPr>
            <w:tcW w:w="829" w:type="dxa"/>
            <w:vAlign w:val="bottom"/>
          </w:tcPr>
          <w:p w14:paraId="08222BF5"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2.64</w:t>
            </w:r>
          </w:p>
        </w:tc>
        <w:tc>
          <w:tcPr>
            <w:tcW w:w="1244" w:type="dxa"/>
            <w:vAlign w:val="bottom"/>
          </w:tcPr>
          <w:p w14:paraId="21FCFC38"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-4.37, 6.15</w:t>
            </w:r>
          </w:p>
        </w:tc>
        <w:tc>
          <w:tcPr>
            <w:tcW w:w="831" w:type="dxa"/>
            <w:vAlign w:val="bottom"/>
          </w:tcPr>
          <w:p w14:paraId="0164BC40"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.738</w:t>
            </w:r>
          </w:p>
        </w:tc>
        <w:tc>
          <w:tcPr>
            <w:tcW w:w="967" w:type="dxa"/>
            <w:vAlign w:val="bottom"/>
          </w:tcPr>
          <w:p w14:paraId="109696CE"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3.09</w:t>
            </w:r>
          </w:p>
        </w:tc>
        <w:tc>
          <w:tcPr>
            <w:tcW w:w="654" w:type="dxa"/>
            <w:vAlign w:val="bottom"/>
          </w:tcPr>
          <w:p w14:paraId="7C240F1C"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3.48</w:t>
            </w:r>
          </w:p>
        </w:tc>
        <w:tc>
          <w:tcPr>
            <w:tcW w:w="1382" w:type="dxa"/>
            <w:vAlign w:val="bottom"/>
          </w:tcPr>
          <w:p w14:paraId="0E64AC4F"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-3.88, 10.05</w:t>
            </w:r>
          </w:p>
        </w:tc>
        <w:tc>
          <w:tcPr>
            <w:tcW w:w="973" w:type="dxa"/>
            <w:vAlign w:val="bottom"/>
          </w:tcPr>
          <w:p w14:paraId="4733099F"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.379</w:t>
            </w:r>
          </w:p>
        </w:tc>
      </w:tr>
      <w:tr w:rsidR="005A1720" w:rsidRPr="00B0337E" w14:paraId="4C075B73" w14:textId="77777777" w:rsidTr="00307894">
        <w:trPr>
          <w:trHeight w:val="415"/>
        </w:trPr>
        <w:tc>
          <w:tcPr>
            <w:tcW w:w="1521" w:type="dxa"/>
          </w:tcPr>
          <w:p w14:paraId="35ADA62D"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T9: MS1-MS2</w:t>
            </w:r>
          </w:p>
        </w:tc>
        <w:tc>
          <w:tcPr>
            <w:tcW w:w="967" w:type="dxa"/>
            <w:vAlign w:val="bottom"/>
          </w:tcPr>
          <w:p w14:paraId="61CCEBCE"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- 2.02</w:t>
            </w:r>
          </w:p>
        </w:tc>
        <w:tc>
          <w:tcPr>
            <w:tcW w:w="829" w:type="dxa"/>
            <w:vAlign w:val="bottom"/>
          </w:tcPr>
          <w:p w14:paraId="0D7F276A"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2.64</w:t>
            </w:r>
          </w:p>
        </w:tc>
        <w:tc>
          <w:tcPr>
            <w:tcW w:w="1244" w:type="dxa"/>
            <w:vAlign w:val="bottom"/>
          </w:tcPr>
          <w:p w14:paraId="6217BE5C"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-7.28, 3.24</w:t>
            </w:r>
          </w:p>
        </w:tc>
        <w:tc>
          <w:tcPr>
            <w:tcW w:w="831" w:type="dxa"/>
            <w:vAlign w:val="bottom"/>
          </w:tcPr>
          <w:p w14:paraId="43EEB9BF"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.447</w:t>
            </w:r>
          </w:p>
        </w:tc>
        <w:tc>
          <w:tcPr>
            <w:tcW w:w="967" w:type="dxa"/>
            <w:vAlign w:val="bottom"/>
          </w:tcPr>
          <w:p w14:paraId="3858A490"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- 0.32</w:t>
            </w:r>
          </w:p>
        </w:tc>
        <w:tc>
          <w:tcPr>
            <w:tcW w:w="654" w:type="dxa"/>
            <w:vAlign w:val="bottom"/>
          </w:tcPr>
          <w:p w14:paraId="3BADE96D"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3.48</w:t>
            </w:r>
          </w:p>
        </w:tc>
        <w:tc>
          <w:tcPr>
            <w:tcW w:w="1382" w:type="dxa"/>
            <w:vAlign w:val="bottom"/>
          </w:tcPr>
          <w:p w14:paraId="19E0CE85"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-7.29, 6.64</w:t>
            </w:r>
          </w:p>
        </w:tc>
        <w:tc>
          <w:tcPr>
            <w:tcW w:w="973" w:type="dxa"/>
            <w:vAlign w:val="bottom"/>
          </w:tcPr>
          <w:p w14:paraId="605F8893"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.926</w:t>
            </w:r>
          </w:p>
        </w:tc>
      </w:tr>
      <w:tr w:rsidR="005A1720" w:rsidRPr="00B0337E" w14:paraId="32B2DD12" w14:textId="77777777" w:rsidTr="00307894">
        <w:trPr>
          <w:trHeight w:val="422"/>
        </w:trPr>
        <w:tc>
          <w:tcPr>
            <w:tcW w:w="1521" w:type="dxa"/>
          </w:tcPr>
          <w:p w14:paraId="514C21C5"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T10: MS1- MS2</w:t>
            </w:r>
          </w:p>
        </w:tc>
        <w:tc>
          <w:tcPr>
            <w:tcW w:w="967" w:type="dxa"/>
            <w:vAlign w:val="bottom"/>
          </w:tcPr>
          <w:p w14:paraId="70B857FB"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2.04</w:t>
            </w:r>
          </w:p>
        </w:tc>
        <w:tc>
          <w:tcPr>
            <w:tcW w:w="829" w:type="dxa"/>
            <w:vAlign w:val="bottom"/>
          </w:tcPr>
          <w:p w14:paraId="6B143B15"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2.64</w:t>
            </w:r>
          </w:p>
        </w:tc>
        <w:tc>
          <w:tcPr>
            <w:tcW w:w="1244" w:type="dxa"/>
            <w:vAlign w:val="bottom"/>
          </w:tcPr>
          <w:p w14:paraId="022B7B0F"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-3.22, 7.30</w:t>
            </w:r>
          </w:p>
        </w:tc>
        <w:tc>
          <w:tcPr>
            <w:tcW w:w="831" w:type="dxa"/>
            <w:vAlign w:val="bottom"/>
          </w:tcPr>
          <w:p w14:paraId="591CAD9D"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.443</w:t>
            </w:r>
          </w:p>
        </w:tc>
        <w:tc>
          <w:tcPr>
            <w:tcW w:w="967" w:type="dxa"/>
            <w:vAlign w:val="bottom"/>
          </w:tcPr>
          <w:p w14:paraId="3C3D3E99"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.51</w:t>
            </w:r>
          </w:p>
        </w:tc>
        <w:tc>
          <w:tcPr>
            <w:tcW w:w="654" w:type="dxa"/>
            <w:vAlign w:val="bottom"/>
          </w:tcPr>
          <w:p w14:paraId="149746E8"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3.48</w:t>
            </w:r>
          </w:p>
        </w:tc>
        <w:tc>
          <w:tcPr>
            <w:tcW w:w="1382" w:type="dxa"/>
            <w:vAlign w:val="bottom"/>
          </w:tcPr>
          <w:p w14:paraId="0A87E529"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-6.45, 7.48</w:t>
            </w:r>
          </w:p>
        </w:tc>
        <w:tc>
          <w:tcPr>
            <w:tcW w:w="973" w:type="dxa"/>
            <w:vAlign w:val="bottom"/>
          </w:tcPr>
          <w:p w14:paraId="1A6F1630"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.883</w:t>
            </w:r>
          </w:p>
        </w:tc>
      </w:tr>
      <w:tr w:rsidR="005A1720" w:rsidRPr="00B0337E" w14:paraId="7ADADCA4" w14:textId="77777777" w:rsidTr="00307894">
        <w:trPr>
          <w:trHeight w:val="415"/>
        </w:trPr>
        <w:tc>
          <w:tcPr>
            <w:tcW w:w="1521" w:type="dxa"/>
            <w:tcBorders>
              <w:bottom w:val="single" w:sz="4" w:space="0" w:color="auto"/>
            </w:tcBorders>
          </w:tcPr>
          <w:p w14:paraId="12D7C6C5"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T11: MS1- MS2</w:t>
            </w:r>
          </w:p>
        </w:tc>
        <w:tc>
          <w:tcPr>
            <w:tcW w:w="967" w:type="dxa"/>
            <w:tcBorders>
              <w:bottom w:val="single" w:sz="4" w:space="0" w:color="auto"/>
            </w:tcBorders>
            <w:vAlign w:val="bottom"/>
          </w:tcPr>
          <w:p w14:paraId="7AF13520"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- 0.64</w:t>
            </w:r>
          </w:p>
        </w:tc>
        <w:tc>
          <w:tcPr>
            <w:tcW w:w="829" w:type="dxa"/>
            <w:tcBorders>
              <w:bottom w:val="single" w:sz="4" w:space="0" w:color="auto"/>
            </w:tcBorders>
            <w:vAlign w:val="bottom"/>
          </w:tcPr>
          <w:p w14:paraId="12900A5C"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2.64</w:t>
            </w:r>
          </w:p>
        </w:tc>
        <w:tc>
          <w:tcPr>
            <w:tcW w:w="1244" w:type="dxa"/>
            <w:tcBorders>
              <w:bottom w:val="single" w:sz="4" w:space="0" w:color="auto"/>
            </w:tcBorders>
            <w:vAlign w:val="bottom"/>
          </w:tcPr>
          <w:p w14:paraId="3AEA171B"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-5.90, 4.62</w:t>
            </w:r>
          </w:p>
        </w:tc>
        <w:tc>
          <w:tcPr>
            <w:tcW w:w="831" w:type="dxa"/>
            <w:tcBorders>
              <w:bottom w:val="single" w:sz="4" w:space="0" w:color="auto"/>
            </w:tcBorders>
            <w:vAlign w:val="bottom"/>
          </w:tcPr>
          <w:p w14:paraId="41853CAD"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.810</w:t>
            </w:r>
          </w:p>
        </w:tc>
        <w:tc>
          <w:tcPr>
            <w:tcW w:w="967" w:type="dxa"/>
            <w:tcBorders>
              <w:bottom w:val="single" w:sz="4" w:space="0" w:color="auto"/>
            </w:tcBorders>
            <w:vAlign w:val="bottom"/>
          </w:tcPr>
          <w:p w14:paraId="2F7598D5"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.16</w:t>
            </w:r>
          </w:p>
        </w:tc>
        <w:tc>
          <w:tcPr>
            <w:tcW w:w="654" w:type="dxa"/>
            <w:tcBorders>
              <w:bottom w:val="single" w:sz="4" w:space="0" w:color="auto"/>
            </w:tcBorders>
            <w:vAlign w:val="bottom"/>
          </w:tcPr>
          <w:p w14:paraId="4D74F101"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3.48</w:t>
            </w:r>
          </w:p>
        </w:tc>
        <w:tc>
          <w:tcPr>
            <w:tcW w:w="1382" w:type="dxa"/>
            <w:tcBorders>
              <w:bottom w:val="single" w:sz="4" w:space="0" w:color="auto"/>
            </w:tcBorders>
            <w:vAlign w:val="bottom"/>
          </w:tcPr>
          <w:p w14:paraId="1A4E9419"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-6.80, 7.12</w:t>
            </w:r>
          </w:p>
        </w:tc>
        <w:tc>
          <w:tcPr>
            <w:tcW w:w="973" w:type="dxa"/>
            <w:tcBorders>
              <w:bottom w:val="single" w:sz="4" w:space="0" w:color="auto"/>
            </w:tcBorders>
            <w:vAlign w:val="bottom"/>
          </w:tcPr>
          <w:p w14:paraId="539449AA" w14:textId="77777777" w:rsidR="005A1720" w:rsidRPr="00B0337E" w:rsidRDefault="005A1720" w:rsidP="00307894">
            <w:pPr>
              <w:rPr>
                <w:rFonts w:ascii="Times New Roman" w:hAnsi="Times New Roman" w:cs="Times New Roman"/>
                <w:sz w:val="16"/>
                <w:szCs w:val="16"/>
              </w:rPr>
            </w:pPr>
            <w:r w:rsidRPr="00B0337E">
              <w:rPr>
                <w:rFonts w:ascii="Times New Roman" w:hAnsi="Times New Roman" w:cs="Times New Roman"/>
                <w:sz w:val="16"/>
                <w:szCs w:val="16"/>
              </w:rPr>
              <w:t>.963</w:t>
            </w:r>
          </w:p>
        </w:tc>
      </w:tr>
    </w:tbl>
    <w:p w14:paraId="394F7045" w14:textId="77777777" w:rsidR="005A1720" w:rsidRPr="00B0337E" w:rsidRDefault="005A1720" w:rsidP="005A1720">
      <w:pPr>
        <w:rPr>
          <w:rFonts w:ascii="Times New Roman" w:hAnsi="Times New Roman" w:cs="Times New Roman"/>
          <w:sz w:val="20"/>
          <w:szCs w:val="20"/>
          <w:lang w:val="en-US"/>
        </w:rPr>
      </w:pPr>
      <w:r w:rsidRPr="0B367076">
        <w:rPr>
          <w:rFonts w:ascii="Times New Roman" w:hAnsi="Times New Roman" w:cs="Times New Roman"/>
          <w:b/>
          <w:bCs/>
          <w:sz w:val="20"/>
          <w:szCs w:val="20"/>
          <w:lang w:val="en-US"/>
        </w:rPr>
        <w:t xml:space="preserve">Note. </w:t>
      </w:r>
      <w:r w:rsidRPr="0B367076">
        <w:rPr>
          <w:rFonts w:ascii="Times New Roman" w:hAnsi="Times New Roman" w:cs="Times New Roman"/>
          <w:sz w:val="20"/>
          <w:szCs w:val="20"/>
          <w:lang w:val="en-US"/>
        </w:rPr>
        <w:t xml:space="preserve">T = Timepoint, MS </w:t>
      </w:r>
      <w:proofErr w:type="gramStart"/>
      <w:r w:rsidRPr="0B367076">
        <w:rPr>
          <w:rFonts w:ascii="Times New Roman" w:hAnsi="Times New Roman" w:cs="Times New Roman"/>
          <w:sz w:val="20"/>
          <w:szCs w:val="20"/>
          <w:lang w:val="en-US"/>
        </w:rPr>
        <w:t>=  Maintenance</w:t>
      </w:r>
      <w:proofErr w:type="gramEnd"/>
      <w:r w:rsidRPr="0B367076">
        <w:rPr>
          <w:rFonts w:ascii="Times New Roman" w:hAnsi="Times New Roman" w:cs="Times New Roman"/>
          <w:sz w:val="20"/>
          <w:szCs w:val="20"/>
          <w:lang w:val="en-US"/>
        </w:rPr>
        <w:t xml:space="preserve"> schedule.</w:t>
      </w:r>
    </w:p>
    <w:p w14:paraId="3792E819" w14:textId="77777777" w:rsidR="005A1720" w:rsidRPr="00B0337E" w:rsidRDefault="005A1720" w:rsidP="005A1720">
      <w:pPr>
        <w:rPr>
          <w:rFonts w:ascii="Times New Roman" w:hAnsi="Times New Roman" w:cs="Times New Roman"/>
        </w:rPr>
      </w:pPr>
    </w:p>
    <w:p w14:paraId="19DEE98A" w14:textId="77777777" w:rsidR="005A1720" w:rsidRPr="00B0337E" w:rsidRDefault="005A1720" w:rsidP="005A1720">
      <w:pPr>
        <w:rPr>
          <w:rFonts w:ascii="Times New Roman" w:hAnsi="Times New Roman" w:cs="Times New Roman"/>
        </w:rPr>
      </w:pPr>
    </w:p>
    <w:p w14:paraId="17B22089" w14:textId="77777777" w:rsidR="005A1720" w:rsidRPr="00B0337E" w:rsidRDefault="005A1720" w:rsidP="005A1720">
      <w:pPr>
        <w:rPr>
          <w:rFonts w:ascii="Times New Roman" w:hAnsi="Times New Roman" w:cs="Times New Roman"/>
        </w:rPr>
      </w:pPr>
    </w:p>
    <w:p w14:paraId="2796F399" w14:textId="77777777" w:rsidR="005A1720" w:rsidRPr="00B0337E" w:rsidRDefault="005A1720" w:rsidP="005A1720">
      <w:pPr>
        <w:rPr>
          <w:rFonts w:ascii="Times New Roman" w:hAnsi="Times New Roman" w:cs="Times New Roman"/>
        </w:rPr>
      </w:pPr>
    </w:p>
    <w:p w14:paraId="650C0787" w14:textId="77777777" w:rsidR="005A1720" w:rsidRPr="00B0337E" w:rsidRDefault="005A1720" w:rsidP="005A1720">
      <w:pPr>
        <w:rPr>
          <w:rFonts w:ascii="Times New Roman" w:hAnsi="Times New Roman" w:cs="Times New Roman"/>
        </w:rPr>
      </w:pPr>
    </w:p>
    <w:p w14:paraId="1989A2CF" w14:textId="77777777" w:rsidR="005A1720" w:rsidRPr="00B0337E" w:rsidRDefault="005A1720" w:rsidP="005A1720">
      <w:pPr>
        <w:rPr>
          <w:rFonts w:ascii="Times New Roman" w:hAnsi="Times New Roman" w:cs="Times New Roman"/>
        </w:rPr>
      </w:pPr>
    </w:p>
    <w:p w14:paraId="50378DBB" w14:textId="77777777" w:rsidR="005A1720" w:rsidRPr="00B0337E" w:rsidRDefault="005A1720" w:rsidP="005A1720">
      <w:pPr>
        <w:rPr>
          <w:rFonts w:ascii="Times New Roman" w:hAnsi="Times New Roman" w:cs="Times New Roman"/>
        </w:rPr>
      </w:pPr>
    </w:p>
    <w:p w14:paraId="7E45110D" w14:textId="77777777" w:rsidR="005A1720" w:rsidRPr="00B0337E" w:rsidRDefault="005A1720" w:rsidP="005A1720">
      <w:pPr>
        <w:rPr>
          <w:rFonts w:ascii="Times New Roman" w:hAnsi="Times New Roman" w:cs="Times New Roman"/>
        </w:rPr>
      </w:pPr>
    </w:p>
    <w:p w14:paraId="3AAC22EC" w14:textId="77777777" w:rsidR="005A1720" w:rsidRPr="00B0337E" w:rsidRDefault="005A1720" w:rsidP="005A1720">
      <w:pPr>
        <w:rPr>
          <w:rFonts w:ascii="Times New Roman" w:hAnsi="Times New Roman" w:cs="Times New Roman"/>
        </w:rPr>
      </w:pPr>
    </w:p>
    <w:p w14:paraId="78C493AB" w14:textId="77777777" w:rsidR="005A1720" w:rsidRPr="00B0337E" w:rsidRDefault="005A1720" w:rsidP="005A1720">
      <w:pPr>
        <w:rPr>
          <w:rFonts w:ascii="Times New Roman" w:hAnsi="Times New Roman" w:cs="Times New Roman"/>
        </w:rPr>
      </w:pPr>
    </w:p>
    <w:p w14:paraId="28620274" w14:textId="77777777" w:rsidR="005A1720" w:rsidRPr="00B0337E" w:rsidRDefault="005A1720" w:rsidP="005A1720">
      <w:pPr>
        <w:rPr>
          <w:rFonts w:ascii="Times New Roman" w:hAnsi="Times New Roman" w:cs="Times New Roman"/>
        </w:rPr>
      </w:pPr>
    </w:p>
    <w:p w14:paraId="5304F561" w14:textId="77777777" w:rsidR="005A1720" w:rsidRPr="003E0102" w:rsidRDefault="005A1720" w:rsidP="005A1720"/>
    <w:p w14:paraId="7945428B" w14:textId="730C759A" w:rsidR="00DC3862" w:rsidRDefault="00DC3862"/>
    <w:sectPr w:rsidR="00DC3862" w:rsidSect="005A1720">
      <w:headerReference w:type="default" r:id="rId10"/>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563D9" w14:textId="77777777" w:rsidR="00E76D3C" w:rsidRDefault="00E76D3C">
      <w:pPr>
        <w:spacing w:after="0" w:line="240" w:lineRule="auto"/>
      </w:pPr>
      <w:r>
        <w:separator/>
      </w:r>
    </w:p>
  </w:endnote>
  <w:endnote w:type="continuationSeparator" w:id="0">
    <w:p w14:paraId="06CA231E" w14:textId="77777777" w:rsidR="00E76D3C" w:rsidRDefault="00E76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405066"/>
      <w:docPartObj>
        <w:docPartGallery w:val="Page Numbers (Bottom of Page)"/>
        <w:docPartUnique/>
      </w:docPartObj>
    </w:sdtPr>
    <w:sdtContent>
      <w:p w14:paraId="1AFC1CD7" w14:textId="77777777" w:rsidR="005A1720" w:rsidRDefault="005A1720">
        <w:pPr>
          <w:pStyle w:val="Fuzeile"/>
          <w:jc w:val="right"/>
        </w:pPr>
        <w:r>
          <w:fldChar w:fldCharType="begin"/>
        </w:r>
        <w:r>
          <w:instrText>PAGE   \* MERGEFORMAT</w:instrText>
        </w:r>
        <w:r>
          <w:fldChar w:fldCharType="separate"/>
        </w:r>
        <w:r>
          <w:rPr>
            <w:lang w:val="de-DE"/>
          </w:rPr>
          <w:t>2</w:t>
        </w:r>
        <w:r>
          <w:fldChar w:fldCharType="end"/>
        </w:r>
      </w:p>
    </w:sdtContent>
  </w:sdt>
  <w:p w14:paraId="54EB3746" w14:textId="77777777" w:rsidR="005A1720" w:rsidRPr="00B0337E" w:rsidRDefault="005A172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0A483" w14:textId="77777777" w:rsidR="00E76D3C" w:rsidRDefault="00E76D3C">
      <w:pPr>
        <w:spacing w:after="0" w:line="240" w:lineRule="auto"/>
      </w:pPr>
      <w:r>
        <w:separator/>
      </w:r>
    </w:p>
  </w:footnote>
  <w:footnote w:type="continuationSeparator" w:id="0">
    <w:p w14:paraId="707850C8" w14:textId="77777777" w:rsidR="00E76D3C" w:rsidRDefault="00E76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474B" w14:textId="77777777" w:rsidR="005A1720" w:rsidRPr="00B0337E" w:rsidRDefault="005A1720" w:rsidP="00AD2B5B">
    <w:pPr>
      <w:pStyle w:val="Kopfzeile"/>
    </w:pPr>
    <w:proofErr w:type="spellStart"/>
    <w:r w:rsidRPr="616B6FB9">
      <w:rPr>
        <w:rFonts w:ascii="Times New Roman" w:hAnsi="Times New Roman" w:cs="Times New Roman"/>
        <w:lang w:val="de-DE"/>
      </w:rPr>
      <w:t>Esketamine</w:t>
    </w:r>
    <w:proofErr w:type="spellEnd"/>
    <w:r w:rsidRPr="616B6FB9">
      <w:rPr>
        <w:rFonts w:ascii="Times New Roman" w:hAnsi="Times New Roman" w:cs="Times New Roman"/>
        <w:lang w:val="de-DE"/>
      </w:rPr>
      <w:t xml:space="preserve"> </w:t>
    </w:r>
    <w:proofErr w:type="spellStart"/>
    <w:r w:rsidRPr="616B6FB9">
      <w:rPr>
        <w:rFonts w:ascii="Times New Roman" w:hAnsi="Times New Roman" w:cs="Times New Roman"/>
        <w:lang w:val="de-DE"/>
      </w:rPr>
      <w:t>for</w:t>
    </w:r>
    <w:proofErr w:type="spellEnd"/>
    <w:r w:rsidRPr="616B6FB9">
      <w:rPr>
        <w:rFonts w:ascii="Times New Roman" w:hAnsi="Times New Roman" w:cs="Times New Roman"/>
        <w:lang w:val="de-DE"/>
      </w:rPr>
      <w:t xml:space="preserve"> </w:t>
    </w:r>
    <w:proofErr w:type="spellStart"/>
    <w:r w:rsidRPr="616B6FB9">
      <w:rPr>
        <w:rFonts w:ascii="Times New Roman" w:hAnsi="Times New Roman" w:cs="Times New Roman"/>
        <w:lang w:val="de-DE"/>
      </w:rPr>
      <w:t>treatment-resistant</w:t>
    </w:r>
    <w:proofErr w:type="spellEnd"/>
    <w:r w:rsidRPr="616B6FB9">
      <w:rPr>
        <w:rFonts w:ascii="Times New Roman" w:hAnsi="Times New Roman" w:cs="Times New Roman"/>
        <w:lang w:val="de-DE"/>
      </w:rPr>
      <w:t xml:space="preserve"> </w:t>
    </w:r>
    <w:proofErr w:type="spellStart"/>
    <w:r w:rsidRPr="616B6FB9">
      <w:rPr>
        <w:rFonts w:ascii="Times New Roman" w:hAnsi="Times New Roman" w:cs="Times New Roman"/>
        <w:lang w:val="de-DE"/>
      </w:rPr>
      <w:t>depression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7099D" w14:textId="77777777" w:rsidR="005A1720" w:rsidRPr="00B0337E" w:rsidRDefault="005A1720">
    <w:pPr>
      <w:pStyle w:val="Kopfzeile"/>
      <w:rPr>
        <w:rFonts w:ascii="Times New Roman" w:eastAsia="Times New Roman" w:hAnsi="Times New Roman" w:cs="Times New Roman"/>
        <w:sz w:val="20"/>
        <w:szCs w:val="20"/>
      </w:rPr>
    </w:pPr>
  </w:p>
  <w:p w14:paraId="08189F49" w14:textId="77777777" w:rsidR="005A1720" w:rsidRPr="00B0337E" w:rsidRDefault="005A1720">
    <w:pPr>
      <w:pStyle w:val="Kopfzeile"/>
      <w:rPr>
        <w:rFonts w:ascii="Times New Roman" w:eastAsia="Times New Roman" w:hAnsi="Times New Roman" w:cs="Times New Roman"/>
        <w:color w:val="212121"/>
        <w:sz w:val="20"/>
        <w:szCs w:val="20"/>
      </w:rPr>
    </w:pPr>
    <w:r w:rsidRPr="1A612C44">
      <w:rPr>
        <w:rFonts w:ascii="Times New Roman" w:eastAsia="Times New Roman" w:hAnsi="Times New Roman" w:cs="Times New Roman"/>
        <w:sz w:val="20"/>
        <w:szCs w:val="20"/>
      </w:rPr>
      <w:t>Esketamine for treatment-resistant depression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715EC"/>
    <w:multiLevelType w:val="hybridMultilevel"/>
    <w:tmpl w:val="FFFFFFFF"/>
    <w:lvl w:ilvl="0" w:tplc="D3283862">
      <w:start w:val="1"/>
      <w:numFmt w:val="decimal"/>
      <w:lvlText w:val="%1)"/>
      <w:lvlJc w:val="left"/>
      <w:pPr>
        <w:ind w:left="720" w:hanging="360"/>
      </w:pPr>
    </w:lvl>
    <w:lvl w:ilvl="1" w:tplc="98BE4126">
      <w:start w:val="1"/>
      <w:numFmt w:val="lowerLetter"/>
      <w:lvlText w:val="%2."/>
      <w:lvlJc w:val="left"/>
      <w:pPr>
        <w:ind w:left="1440" w:hanging="360"/>
      </w:pPr>
    </w:lvl>
    <w:lvl w:ilvl="2" w:tplc="9D04160A">
      <w:start w:val="1"/>
      <w:numFmt w:val="lowerRoman"/>
      <w:lvlText w:val="%3."/>
      <w:lvlJc w:val="right"/>
      <w:pPr>
        <w:ind w:left="2160" w:hanging="180"/>
      </w:pPr>
    </w:lvl>
    <w:lvl w:ilvl="3" w:tplc="CB5E87C2">
      <w:start w:val="1"/>
      <w:numFmt w:val="decimal"/>
      <w:lvlText w:val="%4."/>
      <w:lvlJc w:val="left"/>
      <w:pPr>
        <w:ind w:left="2880" w:hanging="360"/>
      </w:pPr>
    </w:lvl>
    <w:lvl w:ilvl="4" w:tplc="9AA05818">
      <w:start w:val="1"/>
      <w:numFmt w:val="lowerLetter"/>
      <w:lvlText w:val="%5."/>
      <w:lvlJc w:val="left"/>
      <w:pPr>
        <w:ind w:left="3600" w:hanging="360"/>
      </w:pPr>
    </w:lvl>
    <w:lvl w:ilvl="5" w:tplc="22DA5C46">
      <w:start w:val="1"/>
      <w:numFmt w:val="lowerRoman"/>
      <w:lvlText w:val="%6."/>
      <w:lvlJc w:val="right"/>
      <w:pPr>
        <w:ind w:left="4320" w:hanging="180"/>
      </w:pPr>
    </w:lvl>
    <w:lvl w:ilvl="6" w:tplc="3DEC0030">
      <w:start w:val="1"/>
      <w:numFmt w:val="decimal"/>
      <w:lvlText w:val="%7."/>
      <w:lvlJc w:val="left"/>
      <w:pPr>
        <w:ind w:left="5040" w:hanging="360"/>
      </w:pPr>
    </w:lvl>
    <w:lvl w:ilvl="7" w:tplc="8C0C33B0">
      <w:start w:val="1"/>
      <w:numFmt w:val="lowerLetter"/>
      <w:lvlText w:val="%8."/>
      <w:lvlJc w:val="left"/>
      <w:pPr>
        <w:ind w:left="5760" w:hanging="360"/>
      </w:pPr>
    </w:lvl>
    <w:lvl w:ilvl="8" w:tplc="3962E8FE">
      <w:start w:val="1"/>
      <w:numFmt w:val="lowerRoman"/>
      <w:lvlText w:val="%9."/>
      <w:lvlJc w:val="right"/>
      <w:pPr>
        <w:ind w:left="6480" w:hanging="180"/>
      </w:pPr>
    </w:lvl>
  </w:abstractNum>
  <w:num w:numId="1" w16cid:durableId="164909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81"/>
    <w:rsid w:val="00143081"/>
    <w:rsid w:val="001B7C6C"/>
    <w:rsid w:val="00260463"/>
    <w:rsid w:val="00330880"/>
    <w:rsid w:val="003506D5"/>
    <w:rsid w:val="005867D2"/>
    <w:rsid w:val="005A1720"/>
    <w:rsid w:val="009240EE"/>
    <w:rsid w:val="00B228B8"/>
    <w:rsid w:val="00D76243"/>
    <w:rsid w:val="00DC3862"/>
    <w:rsid w:val="00E76D3C"/>
    <w:rsid w:val="00F7770F"/>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0CA2F"/>
  <w15:chartTrackingRefBased/>
  <w15:docId w15:val="{F8A5DF54-1E3A-4B1A-87B1-A423AA234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1720"/>
    <w:pPr>
      <w:spacing w:after="200" w:line="276" w:lineRule="auto"/>
    </w:pPr>
    <w:rPr>
      <w:rFonts w:eastAsiaTheme="minorEastAsia"/>
      <w:kern w:val="0"/>
      <w:lang w:val="en-GB"/>
      <w14:ligatures w14:val="none"/>
    </w:rPr>
  </w:style>
  <w:style w:type="paragraph" w:styleId="berschrift1">
    <w:name w:val="heading 1"/>
    <w:basedOn w:val="Standard"/>
    <w:next w:val="Standard"/>
    <w:link w:val="berschrift1Zchn"/>
    <w:uiPriority w:val="9"/>
    <w:qFormat/>
    <w:rsid w:val="001430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430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4308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4308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4308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4308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4308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4308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4308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4308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4308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4308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4308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4308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4308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4308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4308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43081"/>
    <w:rPr>
      <w:rFonts w:eastAsiaTheme="majorEastAsia" w:cstheme="majorBidi"/>
      <w:color w:val="272727" w:themeColor="text1" w:themeTint="D8"/>
    </w:rPr>
  </w:style>
  <w:style w:type="paragraph" w:styleId="Titel">
    <w:name w:val="Title"/>
    <w:basedOn w:val="Standard"/>
    <w:next w:val="Standard"/>
    <w:link w:val="TitelZchn"/>
    <w:uiPriority w:val="10"/>
    <w:qFormat/>
    <w:rsid w:val="001430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4308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4308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4308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4308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43081"/>
    <w:rPr>
      <w:i/>
      <w:iCs/>
      <w:color w:val="404040" w:themeColor="text1" w:themeTint="BF"/>
    </w:rPr>
  </w:style>
  <w:style w:type="paragraph" w:styleId="Listenabsatz">
    <w:name w:val="List Paragraph"/>
    <w:basedOn w:val="Standard"/>
    <w:uiPriority w:val="34"/>
    <w:qFormat/>
    <w:rsid w:val="00143081"/>
    <w:pPr>
      <w:ind w:left="720"/>
      <w:contextualSpacing/>
    </w:pPr>
  </w:style>
  <w:style w:type="character" w:styleId="IntensiveHervorhebung">
    <w:name w:val="Intense Emphasis"/>
    <w:basedOn w:val="Absatz-Standardschriftart"/>
    <w:uiPriority w:val="21"/>
    <w:qFormat/>
    <w:rsid w:val="00143081"/>
    <w:rPr>
      <w:i/>
      <w:iCs/>
      <w:color w:val="0F4761" w:themeColor="accent1" w:themeShade="BF"/>
    </w:rPr>
  </w:style>
  <w:style w:type="paragraph" w:styleId="IntensivesZitat">
    <w:name w:val="Intense Quote"/>
    <w:basedOn w:val="Standard"/>
    <w:next w:val="Standard"/>
    <w:link w:val="IntensivesZitatZchn"/>
    <w:uiPriority w:val="30"/>
    <w:qFormat/>
    <w:rsid w:val="001430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43081"/>
    <w:rPr>
      <w:i/>
      <w:iCs/>
      <w:color w:val="0F4761" w:themeColor="accent1" w:themeShade="BF"/>
    </w:rPr>
  </w:style>
  <w:style w:type="character" w:styleId="IntensiverVerweis">
    <w:name w:val="Intense Reference"/>
    <w:basedOn w:val="Absatz-Standardschriftart"/>
    <w:uiPriority w:val="32"/>
    <w:qFormat/>
    <w:rsid w:val="00143081"/>
    <w:rPr>
      <w:b/>
      <w:bCs/>
      <w:smallCaps/>
      <w:color w:val="0F4761" w:themeColor="accent1" w:themeShade="BF"/>
      <w:spacing w:val="5"/>
    </w:rPr>
  </w:style>
  <w:style w:type="character" w:styleId="Kommentarzeichen">
    <w:name w:val="annotation reference"/>
    <w:basedOn w:val="Absatz-Standardschriftart"/>
    <w:uiPriority w:val="99"/>
    <w:semiHidden/>
    <w:unhideWhenUsed/>
    <w:rsid w:val="005A1720"/>
    <w:rPr>
      <w:sz w:val="16"/>
      <w:szCs w:val="16"/>
    </w:rPr>
  </w:style>
  <w:style w:type="paragraph" w:styleId="Kommentartext">
    <w:name w:val="annotation text"/>
    <w:basedOn w:val="Standard"/>
    <w:link w:val="KommentartextZchn"/>
    <w:uiPriority w:val="99"/>
    <w:unhideWhenUsed/>
    <w:rsid w:val="005A1720"/>
    <w:pPr>
      <w:spacing w:line="240" w:lineRule="auto"/>
    </w:pPr>
    <w:rPr>
      <w:sz w:val="20"/>
      <w:szCs w:val="20"/>
    </w:rPr>
  </w:style>
  <w:style w:type="character" w:customStyle="1" w:styleId="KommentartextZchn">
    <w:name w:val="Kommentartext Zchn"/>
    <w:basedOn w:val="Absatz-Standardschriftart"/>
    <w:link w:val="Kommentartext"/>
    <w:uiPriority w:val="99"/>
    <w:rsid w:val="005A1720"/>
    <w:rPr>
      <w:rFonts w:eastAsiaTheme="minorEastAsia"/>
      <w:kern w:val="0"/>
      <w:sz w:val="20"/>
      <w:szCs w:val="20"/>
      <w:lang w:val="en-GB"/>
      <w14:ligatures w14:val="none"/>
    </w:rPr>
  </w:style>
  <w:style w:type="paragraph" w:styleId="Kopfzeile">
    <w:name w:val="header"/>
    <w:basedOn w:val="Standard"/>
    <w:link w:val="KopfzeileZchn"/>
    <w:uiPriority w:val="99"/>
    <w:unhideWhenUsed/>
    <w:rsid w:val="005A1720"/>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5A1720"/>
    <w:rPr>
      <w:rFonts w:eastAsiaTheme="minorEastAsia"/>
      <w:kern w:val="0"/>
      <w:lang w:val="en-GB"/>
      <w14:ligatures w14:val="none"/>
    </w:rPr>
  </w:style>
  <w:style w:type="paragraph" w:styleId="Fuzeile">
    <w:name w:val="footer"/>
    <w:basedOn w:val="Standard"/>
    <w:link w:val="FuzeileZchn"/>
    <w:uiPriority w:val="99"/>
    <w:unhideWhenUsed/>
    <w:rsid w:val="005A1720"/>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5A1720"/>
    <w:rPr>
      <w:rFonts w:eastAsiaTheme="minorEastAsia"/>
      <w:kern w:val="0"/>
      <w:lang w:val="en-GB"/>
      <w14:ligatures w14:val="none"/>
    </w:rPr>
  </w:style>
  <w:style w:type="character" w:styleId="Erwhnung">
    <w:name w:val="Mention"/>
    <w:basedOn w:val="Absatz-Standardschriftart"/>
    <w:uiPriority w:val="99"/>
    <w:unhideWhenUsed/>
    <w:rsid w:val="005A17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1242</Words>
  <Characters>6860</Characters>
  <Application>Microsoft Office Word</Application>
  <DocSecurity>0</DocSecurity>
  <Lines>428</Lines>
  <Paragraphs>368</Paragraphs>
  <ScaleCrop>false</ScaleCrop>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Yamina Carla Ehrt-Schäfer</dc:creator>
  <cp:keywords/>
  <dc:description/>
  <cp:lastModifiedBy>Johannes Jungwirth</cp:lastModifiedBy>
  <cp:revision>6</cp:revision>
  <dcterms:created xsi:type="dcterms:W3CDTF">2026-06-30T22:52:00Z</dcterms:created>
  <dcterms:modified xsi:type="dcterms:W3CDTF">2026-07-03T18:13:00Z</dcterms:modified>
</cp:coreProperties>
</file>