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557"/>
        <w:gridCol w:w="2323"/>
        <w:gridCol w:w="3146"/>
      </w:tblGrid>
      <w:tr w:rsidR="00BE7335" w:rsidRPr="00C1151D" w14:paraId="4B280C9E" w14:textId="77777777" w:rsidTr="00F705AD">
        <w:trPr>
          <w:trHeight w:val="229"/>
          <w:tblHeader/>
          <w:tblCellSpacing w:w="15" w:type="dxa"/>
        </w:trPr>
        <w:tc>
          <w:tcPr>
            <w:tcW w:w="3512" w:type="dxa"/>
            <w:tcBorders>
              <w:top w:val="nil"/>
              <w:bottom w:val="single" w:sz="4" w:space="0" w:color="auto"/>
            </w:tcBorders>
            <w:vAlign w:val="center"/>
            <w:hideMark/>
          </w:tcPr>
          <w:p w14:paraId="1F23BE6D" w14:textId="77777777" w:rsidR="00BE7335" w:rsidRPr="00C1151D" w:rsidRDefault="00BE7335" w:rsidP="00F705AD">
            <w:pPr>
              <w:spacing w:line="240" w:lineRule="auto"/>
              <w:jc w:val="center"/>
              <w:rPr>
                <w:rFonts w:ascii="Times New Roman" w:hAnsi="Times New Roman" w:cs="Times New Roman"/>
                <w:b/>
                <w:bCs/>
                <w:sz w:val="22"/>
                <w:szCs w:val="22"/>
                <w:lang w:val="en-IN"/>
              </w:rPr>
            </w:pPr>
            <w:r w:rsidRPr="00C1151D">
              <w:rPr>
                <w:rFonts w:ascii="Times New Roman" w:hAnsi="Times New Roman" w:cs="Times New Roman"/>
                <w:b/>
                <w:bCs/>
                <w:sz w:val="22"/>
                <w:szCs w:val="22"/>
                <w:lang w:val="en-IN"/>
              </w:rPr>
              <w:t>Metric</w:t>
            </w:r>
          </w:p>
        </w:tc>
        <w:tc>
          <w:tcPr>
            <w:tcW w:w="2293" w:type="dxa"/>
            <w:tcBorders>
              <w:top w:val="nil"/>
              <w:bottom w:val="single" w:sz="4" w:space="0" w:color="auto"/>
            </w:tcBorders>
            <w:vAlign w:val="center"/>
            <w:hideMark/>
          </w:tcPr>
          <w:p w14:paraId="394D288D" w14:textId="77777777" w:rsidR="00BE7335" w:rsidRPr="00C1151D" w:rsidRDefault="00BE7335" w:rsidP="00F705AD">
            <w:pPr>
              <w:spacing w:line="240" w:lineRule="auto"/>
              <w:jc w:val="center"/>
              <w:rPr>
                <w:rFonts w:ascii="Times New Roman" w:hAnsi="Times New Roman" w:cs="Times New Roman"/>
                <w:b/>
                <w:bCs/>
                <w:sz w:val="22"/>
                <w:szCs w:val="22"/>
                <w:lang w:val="en-IN"/>
              </w:rPr>
            </w:pPr>
            <w:r w:rsidRPr="00C1151D">
              <w:rPr>
                <w:rFonts w:ascii="Times New Roman" w:hAnsi="Times New Roman" w:cs="Times New Roman"/>
                <w:b/>
                <w:bCs/>
                <w:sz w:val="22"/>
                <w:szCs w:val="22"/>
                <w:lang w:val="en-IN"/>
              </w:rPr>
              <w:t>Derivation Cohort</w:t>
            </w:r>
          </w:p>
        </w:tc>
        <w:tc>
          <w:tcPr>
            <w:tcW w:w="3101" w:type="dxa"/>
            <w:tcBorders>
              <w:top w:val="nil"/>
              <w:bottom w:val="single" w:sz="4" w:space="0" w:color="auto"/>
            </w:tcBorders>
            <w:vAlign w:val="center"/>
            <w:hideMark/>
          </w:tcPr>
          <w:p w14:paraId="6019719A" w14:textId="77777777" w:rsidR="00BE7335" w:rsidRPr="00C1151D" w:rsidRDefault="00BE7335" w:rsidP="00F705AD">
            <w:pPr>
              <w:spacing w:line="240" w:lineRule="auto"/>
              <w:jc w:val="center"/>
              <w:rPr>
                <w:rFonts w:ascii="Times New Roman" w:hAnsi="Times New Roman" w:cs="Times New Roman"/>
                <w:b/>
                <w:bCs/>
                <w:sz w:val="22"/>
                <w:szCs w:val="22"/>
                <w:lang w:val="en-IN"/>
              </w:rPr>
            </w:pPr>
            <w:r w:rsidRPr="00C1151D">
              <w:rPr>
                <w:rFonts w:ascii="Times New Roman" w:hAnsi="Times New Roman" w:cs="Times New Roman"/>
                <w:b/>
                <w:bCs/>
                <w:sz w:val="22"/>
                <w:szCs w:val="22"/>
                <w:lang w:val="en-IN"/>
              </w:rPr>
              <w:t>Independent Holdout Cohort</w:t>
            </w:r>
          </w:p>
        </w:tc>
      </w:tr>
      <w:tr w:rsidR="00BE7335" w:rsidRPr="00C1151D" w14:paraId="5107259E" w14:textId="77777777" w:rsidTr="0035478A">
        <w:trPr>
          <w:trHeight w:val="20"/>
          <w:tblCellSpacing w:w="15" w:type="dxa"/>
        </w:trPr>
        <w:tc>
          <w:tcPr>
            <w:tcW w:w="3512" w:type="dxa"/>
            <w:vAlign w:val="center"/>
            <w:hideMark/>
          </w:tcPr>
          <w:p w14:paraId="5A78E3E9"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Area Under ROC Curve (AUC)</w:t>
            </w:r>
          </w:p>
        </w:tc>
        <w:tc>
          <w:tcPr>
            <w:tcW w:w="2293" w:type="dxa"/>
            <w:vAlign w:val="center"/>
            <w:hideMark/>
          </w:tcPr>
          <w:p w14:paraId="6ACC4BAA"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0.907</w:t>
            </w:r>
          </w:p>
        </w:tc>
        <w:tc>
          <w:tcPr>
            <w:tcW w:w="3101" w:type="dxa"/>
            <w:vAlign w:val="center"/>
            <w:hideMark/>
          </w:tcPr>
          <w:p w14:paraId="3A7FB9C9"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0.717</w:t>
            </w:r>
          </w:p>
        </w:tc>
      </w:tr>
      <w:tr w:rsidR="00BE7335" w:rsidRPr="00C1151D" w14:paraId="1B07B8B8" w14:textId="77777777" w:rsidTr="0035478A">
        <w:trPr>
          <w:trHeight w:val="20"/>
          <w:tblCellSpacing w:w="15" w:type="dxa"/>
        </w:trPr>
        <w:tc>
          <w:tcPr>
            <w:tcW w:w="3512" w:type="dxa"/>
            <w:vAlign w:val="center"/>
            <w:hideMark/>
          </w:tcPr>
          <w:p w14:paraId="1A3AF0D2"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Accuracy</w:t>
            </w:r>
          </w:p>
        </w:tc>
        <w:tc>
          <w:tcPr>
            <w:tcW w:w="2293" w:type="dxa"/>
            <w:vAlign w:val="center"/>
            <w:hideMark/>
          </w:tcPr>
          <w:p w14:paraId="62357AA2"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0.809</w:t>
            </w:r>
          </w:p>
        </w:tc>
        <w:tc>
          <w:tcPr>
            <w:tcW w:w="3101" w:type="dxa"/>
            <w:vAlign w:val="center"/>
            <w:hideMark/>
          </w:tcPr>
          <w:p w14:paraId="38AE8A98" w14:textId="10B0676E"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w:t>
            </w:r>
          </w:p>
        </w:tc>
      </w:tr>
      <w:tr w:rsidR="00BE7335" w:rsidRPr="00C1151D" w14:paraId="0FD17E07" w14:textId="77777777" w:rsidTr="0035478A">
        <w:trPr>
          <w:trHeight w:val="20"/>
          <w:tblCellSpacing w:w="15" w:type="dxa"/>
        </w:trPr>
        <w:tc>
          <w:tcPr>
            <w:tcW w:w="3512" w:type="dxa"/>
            <w:vAlign w:val="center"/>
            <w:hideMark/>
          </w:tcPr>
          <w:p w14:paraId="124639F9"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Balanced Accuracy</w:t>
            </w:r>
          </w:p>
        </w:tc>
        <w:tc>
          <w:tcPr>
            <w:tcW w:w="2293" w:type="dxa"/>
            <w:vAlign w:val="center"/>
            <w:hideMark/>
          </w:tcPr>
          <w:p w14:paraId="2B2AB1BE" w14:textId="06DFB63E"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 xml:space="preserve">- </w:t>
            </w:r>
          </w:p>
        </w:tc>
        <w:tc>
          <w:tcPr>
            <w:tcW w:w="3101" w:type="dxa"/>
            <w:vAlign w:val="center"/>
            <w:hideMark/>
          </w:tcPr>
          <w:p w14:paraId="1FF186EA"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0.687</w:t>
            </w:r>
          </w:p>
        </w:tc>
      </w:tr>
      <w:tr w:rsidR="00BE7335" w:rsidRPr="00C1151D" w14:paraId="79A718A0" w14:textId="77777777" w:rsidTr="0035478A">
        <w:trPr>
          <w:trHeight w:val="20"/>
          <w:tblCellSpacing w:w="15" w:type="dxa"/>
        </w:trPr>
        <w:tc>
          <w:tcPr>
            <w:tcW w:w="3512" w:type="dxa"/>
            <w:vAlign w:val="center"/>
            <w:hideMark/>
          </w:tcPr>
          <w:p w14:paraId="72DC7CCD"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Optimal Classification Threshold</w:t>
            </w:r>
          </w:p>
        </w:tc>
        <w:tc>
          <w:tcPr>
            <w:tcW w:w="2293" w:type="dxa"/>
            <w:vAlign w:val="center"/>
            <w:hideMark/>
          </w:tcPr>
          <w:p w14:paraId="0FACAF66"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0.742</w:t>
            </w:r>
          </w:p>
        </w:tc>
        <w:tc>
          <w:tcPr>
            <w:tcW w:w="3101" w:type="dxa"/>
            <w:vAlign w:val="center"/>
            <w:hideMark/>
          </w:tcPr>
          <w:p w14:paraId="6ED19752"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Applied from derivation cohort</w:t>
            </w:r>
          </w:p>
        </w:tc>
      </w:tr>
      <w:tr w:rsidR="00BE7335" w:rsidRPr="00C1151D" w14:paraId="49074E12" w14:textId="77777777" w:rsidTr="0035478A">
        <w:trPr>
          <w:trHeight w:val="20"/>
          <w:tblCellSpacing w:w="15" w:type="dxa"/>
        </w:trPr>
        <w:tc>
          <w:tcPr>
            <w:tcW w:w="3512" w:type="dxa"/>
            <w:vAlign w:val="center"/>
            <w:hideMark/>
          </w:tcPr>
          <w:p w14:paraId="1A68AB49"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G-mean</w:t>
            </w:r>
          </w:p>
        </w:tc>
        <w:tc>
          <w:tcPr>
            <w:tcW w:w="2293" w:type="dxa"/>
            <w:vAlign w:val="center"/>
            <w:hideMark/>
          </w:tcPr>
          <w:p w14:paraId="3C7FDE6B"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0.808</w:t>
            </w:r>
          </w:p>
        </w:tc>
        <w:tc>
          <w:tcPr>
            <w:tcW w:w="3101" w:type="dxa"/>
            <w:vAlign w:val="center"/>
            <w:hideMark/>
          </w:tcPr>
          <w:p w14:paraId="108492FA" w14:textId="7C2EAA79"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w:t>
            </w:r>
          </w:p>
        </w:tc>
      </w:tr>
      <w:tr w:rsidR="00BE7335" w:rsidRPr="00C1151D" w14:paraId="5CE1FBAE" w14:textId="77777777" w:rsidTr="0035478A">
        <w:trPr>
          <w:trHeight w:val="20"/>
          <w:tblCellSpacing w:w="15" w:type="dxa"/>
        </w:trPr>
        <w:tc>
          <w:tcPr>
            <w:tcW w:w="3512" w:type="dxa"/>
            <w:vAlign w:val="center"/>
            <w:hideMark/>
          </w:tcPr>
          <w:p w14:paraId="384AECCB"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Sensitivity</w:t>
            </w:r>
          </w:p>
        </w:tc>
        <w:tc>
          <w:tcPr>
            <w:tcW w:w="2293" w:type="dxa"/>
            <w:vAlign w:val="center"/>
            <w:hideMark/>
          </w:tcPr>
          <w:p w14:paraId="2D6B02EF"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0.862</w:t>
            </w:r>
          </w:p>
        </w:tc>
        <w:tc>
          <w:tcPr>
            <w:tcW w:w="3101" w:type="dxa"/>
            <w:vAlign w:val="center"/>
            <w:hideMark/>
          </w:tcPr>
          <w:p w14:paraId="7D5C66D5"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0.700</w:t>
            </w:r>
          </w:p>
        </w:tc>
      </w:tr>
      <w:tr w:rsidR="00BE7335" w:rsidRPr="00C1151D" w14:paraId="123FE2E1" w14:textId="77777777" w:rsidTr="0035478A">
        <w:trPr>
          <w:trHeight w:val="20"/>
          <w:tblCellSpacing w:w="15" w:type="dxa"/>
        </w:trPr>
        <w:tc>
          <w:tcPr>
            <w:tcW w:w="3512" w:type="dxa"/>
            <w:vAlign w:val="center"/>
            <w:hideMark/>
          </w:tcPr>
          <w:p w14:paraId="64811741"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Specificity</w:t>
            </w:r>
          </w:p>
        </w:tc>
        <w:tc>
          <w:tcPr>
            <w:tcW w:w="2293" w:type="dxa"/>
            <w:vAlign w:val="center"/>
            <w:hideMark/>
          </w:tcPr>
          <w:p w14:paraId="4765F8AC"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0.757</w:t>
            </w:r>
          </w:p>
        </w:tc>
        <w:tc>
          <w:tcPr>
            <w:tcW w:w="3101" w:type="dxa"/>
            <w:vAlign w:val="center"/>
            <w:hideMark/>
          </w:tcPr>
          <w:p w14:paraId="2E01B314" w14:textId="77777777" w:rsidR="00BE7335" w:rsidRPr="00C1151D" w:rsidRDefault="00BE7335" w:rsidP="0080037D">
            <w:pPr>
              <w:spacing w:line="240" w:lineRule="auto"/>
              <w:jc w:val="center"/>
              <w:rPr>
                <w:rFonts w:ascii="Times New Roman" w:hAnsi="Times New Roman" w:cs="Times New Roman"/>
                <w:sz w:val="22"/>
                <w:szCs w:val="22"/>
                <w:lang w:val="en-IN"/>
              </w:rPr>
            </w:pPr>
            <w:r w:rsidRPr="00C1151D">
              <w:rPr>
                <w:rFonts w:ascii="Times New Roman" w:hAnsi="Times New Roman" w:cs="Times New Roman"/>
                <w:sz w:val="22"/>
                <w:szCs w:val="22"/>
                <w:lang w:val="en-IN"/>
              </w:rPr>
              <w:t>0.674</w:t>
            </w:r>
          </w:p>
        </w:tc>
      </w:tr>
    </w:tbl>
    <w:p w14:paraId="0EE112FF" w14:textId="2D2A4D5D" w:rsidR="00F06EA6" w:rsidRPr="00C1151D" w:rsidRDefault="00BE7335" w:rsidP="00A61EC2">
      <w:pPr>
        <w:rPr>
          <w:rFonts w:ascii="Times New Roman" w:hAnsi="Times New Roman" w:cs="Times New Roman"/>
          <w:sz w:val="22"/>
          <w:szCs w:val="22"/>
        </w:rPr>
      </w:pPr>
      <w:r w:rsidRPr="00A61EC2">
        <w:rPr>
          <w:rFonts w:ascii="Times New Roman" w:hAnsi="Times New Roman" w:cs="Times New Roman"/>
          <w:b/>
          <w:bCs/>
          <w:i/>
          <w:iCs/>
          <w:sz w:val="22"/>
          <w:szCs w:val="22"/>
        </w:rPr>
        <w:t>Supplementary Table S</w:t>
      </w:r>
      <w:r w:rsidR="00D432AC" w:rsidRPr="00A61EC2">
        <w:rPr>
          <w:rFonts w:ascii="Times New Roman" w:hAnsi="Times New Roman" w:cs="Times New Roman"/>
          <w:b/>
          <w:bCs/>
          <w:i/>
          <w:iCs/>
          <w:sz w:val="22"/>
          <w:szCs w:val="22"/>
        </w:rPr>
        <w:t>1</w:t>
      </w:r>
      <w:r w:rsidRPr="00A61EC2">
        <w:rPr>
          <w:rFonts w:ascii="Times New Roman" w:hAnsi="Times New Roman" w:cs="Times New Roman"/>
          <w:b/>
          <w:bCs/>
          <w:i/>
          <w:iCs/>
          <w:sz w:val="22"/>
          <w:szCs w:val="22"/>
        </w:rPr>
        <w:t>.</w:t>
      </w:r>
      <w:r w:rsidRPr="00A61EC2">
        <w:rPr>
          <w:rFonts w:ascii="Times New Roman" w:hAnsi="Times New Roman" w:cs="Times New Roman"/>
          <w:i/>
          <w:iCs/>
          <w:sz w:val="22"/>
          <w:szCs w:val="22"/>
        </w:rPr>
        <w:t> </w:t>
      </w:r>
      <w:r w:rsidRPr="00C1151D">
        <w:rPr>
          <w:rFonts w:ascii="Times New Roman" w:hAnsi="Times New Roman" w:cs="Times New Roman"/>
          <w:sz w:val="22"/>
          <w:szCs w:val="22"/>
        </w:rPr>
        <w:t>Performance metrics of the ensemble machine learning model in the derivation and independent holdout cohorts. The optimal classification threshold in the derivation cohort was selected using the maximum geometric mean (G-mean) criterion and subsequently applied to the holdout cohort for external evaluation.</w:t>
      </w:r>
    </w:p>
    <w:p w14:paraId="4FFA2B76" w14:textId="77777777" w:rsidR="00BE7335" w:rsidRDefault="00BE7335" w:rsidP="00BE7335">
      <w:pPr>
        <w:jc w:val="center"/>
        <w:rPr>
          <w:rFonts w:ascii="Times New Roman" w:hAnsi="Times New Roman" w:cs="Times New Roman"/>
        </w:rPr>
      </w:pPr>
    </w:p>
    <w:tbl>
      <w:tblPr>
        <w:tblW w:w="0" w:type="auto"/>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432"/>
        <w:gridCol w:w="2156"/>
        <w:gridCol w:w="2023"/>
        <w:gridCol w:w="1335"/>
        <w:gridCol w:w="2080"/>
      </w:tblGrid>
      <w:tr w:rsidR="00686107" w:rsidRPr="00686107" w14:paraId="7D659669" w14:textId="77777777" w:rsidTr="00464FEE">
        <w:trPr>
          <w:trHeight w:val="511"/>
          <w:tblHeader/>
          <w:tblCellSpacing w:w="15" w:type="dxa"/>
          <w:jc w:val="center"/>
        </w:trPr>
        <w:tc>
          <w:tcPr>
            <w:tcW w:w="1387" w:type="dxa"/>
            <w:tcBorders>
              <w:top w:val="nil"/>
              <w:bottom w:val="single" w:sz="4" w:space="0" w:color="auto"/>
            </w:tcBorders>
            <w:vAlign w:val="center"/>
            <w:hideMark/>
          </w:tcPr>
          <w:p w14:paraId="53BD66EE" w14:textId="77777777" w:rsidR="00686107" w:rsidRPr="00686107" w:rsidRDefault="00686107" w:rsidP="00464FEE">
            <w:pPr>
              <w:spacing w:line="240" w:lineRule="auto"/>
              <w:jc w:val="center"/>
              <w:rPr>
                <w:rFonts w:ascii="Times New Roman" w:hAnsi="Times New Roman" w:cs="Times New Roman"/>
                <w:b/>
                <w:bCs/>
                <w:sz w:val="22"/>
                <w:szCs w:val="22"/>
                <w:lang w:val="en-IN"/>
              </w:rPr>
            </w:pPr>
            <w:r w:rsidRPr="00686107">
              <w:rPr>
                <w:rFonts w:ascii="Times New Roman" w:hAnsi="Times New Roman" w:cs="Times New Roman"/>
                <w:b/>
                <w:bCs/>
                <w:sz w:val="22"/>
                <w:szCs w:val="22"/>
                <w:lang w:val="en-IN"/>
              </w:rPr>
              <w:t>Risk Score</w:t>
            </w:r>
          </w:p>
        </w:tc>
        <w:tc>
          <w:tcPr>
            <w:tcW w:w="0" w:type="auto"/>
            <w:tcBorders>
              <w:top w:val="nil"/>
              <w:bottom w:val="single" w:sz="4" w:space="0" w:color="auto"/>
            </w:tcBorders>
            <w:vAlign w:val="center"/>
            <w:hideMark/>
          </w:tcPr>
          <w:p w14:paraId="24229A65" w14:textId="77777777" w:rsidR="00686107" w:rsidRPr="00686107" w:rsidRDefault="00686107" w:rsidP="00464FEE">
            <w:pPr>
              <w:spacing w:line="240" w:lineRule="auto"/>
              <w:jc w:val="center"/>
              <w:rPr>
                <w:rFonts w:ascii="Times New Roman" w:hAnsi="Times New Roman" w:cs="Times New Roman"/>
                <w:b/>
                <w:bCs/>
                <w:sz w:val="22"/>
                <w:szCs w:val="22"/>
                <w:lang w:val="en-IN"/>
              </w:rPr>
            </w:pPr>
            <w:r w:rsidRPr="00686107">
              <w:rPr>
                <w:rFonts w:ascii="Times New Roman" w:hAnsi="Times New Roman" w:cs="Times New Roman"/>
                <w:b/>
                <w:bCs/>
                <w:sz w:val="22"/>
                <w:szCs w:val="22"/>
                <w:lang w:val="en-IN"/>
              </w:rPr>
              <w:t>Dysphagia Cases (Positive)</w:t>
            </w:r>
          </w:p>
        </w:tc>
        <w:tc>
          <w:tcPr>
            <w:tcW w:w="0" w:type="auto"/>
            <w:tcBorders>
              <w:top w:val="nil"/>
              <w:bottom w:val="single" w:sz="4" w:space="0" w:color="auto"/>
            </w:tcBorders>
            <w:vAlign w:val="center"/>
            <w:hideMark/>
          </w:tcPr>
          <w:p w14:paraId="5E89D7AD" w14:textId="77777777" w:rsidR="00686107" w:rsidRPr="00686107" w:rsidRDefault="00686107" w:rsidP="00464FEE">
            <w:pPr>
              <w:spacing w:line="240" w:lineRule="auto"/>
              <w:jc w:val="center"/>
              <w:rPr>
                <w:rFonts w:ascii="Times New Roman" w:hAnsi="Times New Roman" w:cs="Times New Roman"/>
                <w:b/>
                <w:bCs/>
                <w:sz w:val="22"/>
                <w:szCs w:val="22"/>
                <w:lang w:val="en-IN"/>
              </w:rPr>
            </w:pPr>
            <w:r w:rsidRPr="00686107">
              <w:rPr>
                <w:rFonts w:ascii="Times New Roman" w:hAnsi="Times New Roman" w:cs="Times New Roman"/>
                <w:b/>
                <w:bCs/>
                <w:sz w:val="22"/>
                <w:szCs w:val="22"/>
                <w:lang w:val="en-IN"/>
              </w:rPr>
              <w:t>No Dysphagia (Negative)</w:t>
            </w:r>
          </w:p>
        </w:tc>
        <w:tc>
          <w:tcPr>
            <w:tcW w:w="1305" w:type="dxa"/>
            <w:tcBorders>
              <w:top w:val="nil"/>
              <w:bottom w:val="single" w:sz="4" w:space="0" w:color="auto"/>
            </w:tcBorders>
            <w:vAlign w:val="center"/>
            <w:hideMark/>
          </w:tcPr>
          <w:p w14:paraId="6923F085" w14:textId="77777777" w:rsidR="00686107" w:rsidRPr="00686107" w:rsidRDefault="00686107" w:rsidP="00464FEE">
            <w:pPr>
              <w:spacing w:line="240" w:lineRule="auto"/>
              <w:jc w:val="center"/>
              <w:rPr>
                <w:rFonts w:ascii="Times New Roman" w:hAnsi="Times New Roman" w:cs="Times New Roman"/>
                <w:b/>
                <w:bCs/>
                <w:sz w:val="22"/>
                <w:szCs w:val="22"/>
                <w:lang w:val="en-IN"/>
              </w:rPr>
            </w:pPr>
            <w:r w:rsidRPr="00686107">
              <w:rPr>
                <w:rFonts w:ascii="Times New Roman" w:hAnsi="Times New Roman" w:cs="Times New Roman"/>
                <w:b/>
                <w:bCs/>
                <w:sz w:val="22"/>
                <w:szCs w:val="22"/>
                <w:lang w:val="en-IN"/>
              </w:rPr>
              <w:t>Total Patients</w:t>
            </w:r>
          </w:p>
        </w:tc>
        <w:tc>
          <w:tcPr>
            <w:tcW w:w="2035" w:type="dxa"/>
            <w:tcBorders>
              <w:top w:val="nil"/>
              <w:bottom w:val="single" w:sz="4" w:space="0" w:color="auto"/>
            </w:tcBorders>
            <w:vAlign w:val="center"/>
            <w:hideMark/>
          </w:tcPr>
          <w:p w14:paraId="22CF1501" w14:textId="77777777" w:rsidR="00686107" w:rsidRPr="00686107" w:rsidRDefault="00686107" w:rsidP="00464FEE">
            <w:pPr>
              <w:spacing w:line="240" w:lineRule="auto"/>
              <w:jc w:val="center"/>
              <w:rPr>
                <w:rFonts w:ascii="Times New Roman" w:hAnsi="Times New Roman" w:cs="Times New Roman"/>
                <w:b/>
                <w:bCs/>
                <w:sz w:val="22"/>
                <w:szCs w:val="22"/>
                <w:lang w:val="en-IN"/>
              </w:rPr>
            </w:pPr>
            <w:r w:rsidRPr="00686107">
              <w:rPr>
                <w:rFonts w:ascii="Times New Roman" w:hAnsi="Times New Roman" w:cs="Times New Roman"/>
                <w:b/>
                <w:bCs/>
                <w:sz w:val="22"/>
                <w:szCs w:val="22"/>
                <w:lang w:val="en-IN"/>
              </w:rPr>
              <w:t>Proportion Dysphagia (%)</w:t>
            </w:r>
          </w:p>
        </w:tc>
      </w:tr>
      <w:tr w:rsidR="00686107" w:rsidRPr="00686107" w14:paraId="7211F014" w14:textId="77777777" w:rsidTr="00335B28">
        <w:trPr>
          <w:trHeight w:val="340"/>
          <w:tblCellSpacing w:w="15" w:type="dxa"/>
          <w:jc w:val="center"/>
        </w:trPr>
        <w:tc>
          <w:tcPr>
            <w:tcW w:w="1387" w:type="dxa"/>
            <w:vAlign w:val="center"/>
            <w:hideMark/>
          </w:tcPr>
          <w:p w14:paraId="3D482C30"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-12</w:t>
            </w:r>
          </w:p>
        </w:tc>
        <w:tc>
          <w:tcPr>
            <w:tcW w:w="0" w:type="auto"/>
            <w:vAlign w:val="center"/>
            <w:hideMark/>
          </w:tcPr>
          <w:p w14:paraId="14D3F273"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w:t>
            </w:r>
          </w:p>
        </w:tc>
        <w:tc>
          <w:tcPr>
            <w:tcW w:w="0" w:type="auto"/>
            <w:vAlign w:val="center"/>
            <w:hideMark/>
          </w:tcPr>
          <w:p w14:paraId="2208E46B"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w:t>
            </w:r>
          </w:p>
        </w:tc>
        <w:tc>
          <w:tcPr>
            <w:tcW w:w="1305" w:type="dxa"/>
            <w:vAlign w:val="center"/>
            <w:hideMark/>
          </w:tcPr>
          <w:p w14:paraId="4A2FB104"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w:t>
            </w:r>
          </w:p>
        </w:tc>
        <w:tc>
          <w:tcPr>
            <w:tcW w:w="2035" w:type="dxa"/>
            <w:vAlign w:val="center"/>
            <w:hideMark/>
          </w:tcPr>
          <w:p w14:paraId="22A6BF9F"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0.0</w:t>
            </w:r>
          </w:p>
        </w:tc>
      </w:tr>
      <w:tr w:rsidR="00686107" w:rsidRPr="00686107" w14:paraId="2BEAE41F" w14:textId="77777777" w:rsidTr="00335B28">
        <w:trPr>
          <w:trHeight w:val="340"/>
          <w:tblCellSpacing w:w="15" w:type="dxa"/>
          <w:jc w:val="center"/>
        </w:trPr>
        <w:tc>
          <w:tcPr>
            <w:tcW w:w="1387" w:type="dxa"/>
            <w:vAlign w:val="center"/>
            <w:hideMark/>
          </w:tcPr>
          <w:p w14:paraId="35342DBF"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-10</w:t>
            </w:r>
          </w:p>
        </w:tc>
        <w:tc>
          <w:tcPr>
            <w:tcW w:w="0" w:type="auto"/>
            <w:vAlign w:val="center"/>
            <w:hideMark/>
          </w:tcPr>
          <w:p w14:paraId="2DCBC33E"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w:t>
            </w:r>
          </w:p>
        </w:tc>
        <w:tc>
          <w:tcPr>
            <w:tcW w:w="0" w:type="auto"/>
            <w:vAlign w:val="center"/>
            <w:hideMark/>
          </w:tcPr>
          <w:p w14:paraId="7D0DE69B"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w:t>
            </w:r>
          </w:p>
        </w:tc>
        <w:tc>
          <w:tcPr>
            <w:tcW w:w="1305" w:type="dxa"/>
            <w:vAlign w:val="center"/>
            <w:hideMark/>
          </w:tcPr>
          <w:p w14:paraId="1954B448"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4</w:t>
            </w:r>
          </w:p>
        </w:tc>
        <w:tc>
          <w:tcPr>
            <w:tcW w:w="2035" w:type="dxa"/>
            <w:vAlign w:val="center"/>
            <w:hideMark/>
          </w:tcPr>
          <w:p w14:paraId="6194FE41"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25.0</w:t>
            </w:r>
          </w:p>
        </w:tc>
      </w:tr>
      <w:tr w:rsidR="00686107" w:rsidRPr="00686107" w14:paraId="112BB653" w14:textId="77777777" w:rsidTr="00335B28">
        <w:trPr>
          <w:trHeight w:val="340"/>
          <w:tblCellSpacing w:w="15" w:type="dxa"/>
          <w:jc w:val="center"/>
        </w:trPr>
        <w:tc>
          <w:tcPr>
            <w:tcW w:w="1387" w:type="dxa"/>
            <w:vAlign w:val="center"/>
            <w:hideMark/>
          </w:tcPr>
          <w:p w14:paraId="6D3E514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-9</w:t>
            </w:r>
          </w:p>
        </w:tc>
        <w:tc>
          <w:tcPr>
            <w:tcW w:w="0" w:type="auto"/>
            <w:vAlign w:val="center"/>
            <w:hideMark/>
          </w:tcPr>
          <w:p w14:paraId="0AC1E139"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w:t>
            </w:r>
          </w:p>
        </w:tc>
        <w:tc>
          <w:tcPr>
            <w:tcW w:w="0" w:type="auto"/>
            <w:vAlign w:val="center"/>
            <w:hideMark/>
          </w:tcPr>
          <w:p w14:paraId="4AEA10E9"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w:t>
            </w:r>
          </w:p>
        </w:tc>
        <w:tc>
          <w:tcPr>
            <w:tcW w:w="1305" w:type="dxa"/>
            <w:vAlign w:val="center"/>
            <w:hideMark/>
          </w:tcPr>
          <w:p w14:paraId="1097A63F"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w:t>
            </w:r>
          </w:p>
        </w:tc>
        <w:tc>
          <w:tcPr>
            <w:tcW w:w="2035" w:type="dxa"/>
            <w:vAlign w:val="center"/>
            <w:hideMark/>
          </w:tcPr>
          <w:p w14:paraId="24D16C12"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0.0</w:t>
            </w:r>
          </w:p>
        </w:tc>
      </w:tr>
      <w:tr w:rsidR="00686107" w:rsidRPr="00686107" w14:paraId="73C4847E" w14:textId="77777777" w:rsidTr="00335B28">
        <w:trPr>
          <w:trHeight w:val="340"/>
          <w:tblCellSpacing w:w="15" w:type="dxa"/>
          <w:jc w:val="center"/>
        </w:trPr>
        <w:tc>
          <w:tcPr>
            <w:tcW w:w="1387" w:type="dxa"/>
            <w:vAlign w:val="center"/>
            <w:hideMark/>
          </w:tcPr>
          <w:p w14:paraId="54FE4214"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-7</w:t>
            </w:r>
          </w:p>
        </w:tc>
        <w:tc>
          <w:tcPr>
            <w:tcW w:w="0" w:type="auto"/>
            <w:vAlign w:val="center"/>
            <w:hideMark/>
          </w:tcPr>
          <w:p w14:paraId="3939CE63"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2</w:t>
            </w:r>
          </w:p>
        </w:tc>
        <w:tc>
          <w:tcPr>
            <w:tcW w:w="0" w:type="auto"/>
            <w:vAlign w:val="center"/>
            <w:hideMark/>
          </w:tcPr>
          <w:p w14:paraId="79AF6CA0"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9</w:t>
            </w:r>
          </w:p>
        </w:tc>
        <w:tc>
          <w:tcPr>
            <w:tcW w:w="1305" w:type="dxa"/>
            <w:vAlign w:val="center"/>
            <w:hideMark/>
          </w:tcPr>
          <w:p w14:paraId="59E72CF6"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11</w:t>
            </w:r>
          </w:p>
        </w:tc>
        <w:tc>
          <w:tcPr>
            <w:tcW w:w="2035" w:type="dxa"/>
            <w:vAlign w:val="center"/>
            <w:hideMark/>
          </w:tcPr>
          <w:p w14:paraId="14B4B65B"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18.2</w:t>
            </w:r>
          </w:p>
        </w:tc>
      </w:tr>
      <w:tr w:rsidR="00686107" w:rsidRPr="00686107" w14:paraId="3EC371E5" w14:textId="77777777" w:rsidTr="00335B28">
        <w:trPr>
          <w:trHeight w:val="340"/>
          <w:tblCellSpacing w:w="15" w:type="dxa"/>
          <w:jc w:val="center"/>
        </w:trPr>
        <w:tc>
          <w:tcPr>
            <w:tcW w:w="1387" w:type="dxa"/>
            <w:vAlign w:val="center"/>
            <w:hideMark/>
          </w:tcPr>
          <w:p w14:paraId="551BC1E5"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-5</w:t>
            </w:r>
          </w:p>
        </w:tc>
        <w:tc>
          <w:tcPr>
            <w:tcW w:w="0" w:type="auto"/>
            <w:vAlign w:val="center"/>
            <w:hideMark/>
          </w:tcPr>
          <w:p w14:paraId="24EA4C3A"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w:t>
            </w:r>
          </w:p>
        </w:tc>
        <w:tc>
          <w:tcPr>
            <w:tcW w:w="0" w:type="auto"/>
            <w:vAlign w:val="center"/>
            <w:hideMark/>
          </w:tcPr>
          <w:p w14:paraId="4B7B2556"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5</w:t>
            </w:r>
          </w:p>
        </w:tc>
        <w:tc>
          <w:tcPr>
            <w:tcW w:w="1305" w:type="dxa"/>
            <w:vAlign w:val="center"/>
            <w:hideMark/>
          </w:tcPr>
          <w:p w14:paraId="4E542D08"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5</w:t>
            </w:r>
          </w:p>
        </w:tc>
        <w:tc>
          <w:tcPr>
            <w:tcW w:w="2035" w:type="dxa"/>
            <w:vAlign w:val="center"/>
            <w:hideMark/>
          </w:tcPr>
          <w:p w14:paraId="0E506F1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0.0</w:t>
            </w:r>
          </w:p>
        </w:tc>
      </w:tr>
      <w:tr w:rsidR="00686107" w:rsidRPr="00686107" w14:paraId="766236A9" w14:textId="77777777" w:rsidTr="00335B28">
        <w:trPr>
          <w:trHeight w:val="340"/>
          <w:tblCellSpacing w:w="15" w:type="dxa"/>
          <w:jc w:val="center"/>
        </w:trPr>
        <w:tc>
          <w:tcPr>
            <w:tcW w:w="1387" w:type="dxa"/>
            <w:vAlign w:val="center"/>
            <w:hideMark/>
          </w:tcPr>
          <w:p w14:paraId="6AF5272B"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-4</w:t>
            </w:r>
          </w:p>
        </w:tc>
        <w:tc>
          <w:tcPr>
            <w:tcW w:w="0" w:type="auto"/>
            <w:vAlign w:val="center"/>
            <w:hideMark/>
          </w:tcPr>
          <w:p w14:paraId="59EC99A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w:t>
            </w:r>
          </w:p>
        </w:tc>
        <w:tc>
          <w:tcPr>
            <w:tcW w:w="0" w:type="auto"/>
            <w:vAlign w:val="center"/>
            <w:hideMark/>
          </w:tcPr>
          <w:p w14:paraId="64D061D4"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2</w:t>
            </w:r>
          </w:p>
        </w:tc>
        <w:tc>
          <w:tcPr>
            <w:tcW w:w="1305" w:type="dxa"/>
            <w:vAlign w:val="center"/>
            <w:hideMark/>
          </w:tcPr>
          <w:p w14:paraId="2945F602"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2</w:t>
            </w:r>
          </w:p>
        </w:tc>
        <w:tc>
          <w:tcPr>
            <w:tcW w:w="2035" w:type="dxa"/>
            <w:vAlign w:val="center"/>
            <w:hideMark/>
          </w:tcPr>
          <w:p w14:paraId="7BFB6518"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0.0</w:t>
            </w:r>
          </w:p>
        </w:tc>
      </w:tr>
      <w:tr w:rsidR="00686107" w:rsidRPr="00686107" w14:paraId="05E3EFF8" w14:textId="77777777" w:rsidTr="00335B28">
        <w:trPr>
          <w:trHeight w:val="340"/>
          <w:tblCellSpacing w:w="15" w:type="dxa"/>
          <w:jc w:val="center"/>
        </w:trPr>
        <w:tc>
          <w:tcPr>
            <w:tcW w:w="1387" w:type="dxa"/>
            <w:vAlign w:val="center"/>
            <w:hideMark/>
          </w:tcPr>
          <w:p w14:paraId="30D7F5A5"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w:t>
            </w:r>
          </w:p>
        </w:tc>
        <w:tc>
          <w:tcPr>
            <w:tcW w:w="0" w:type="auto"/>
            <w:vAlign w:val="center"/>
            <w:hideMark/>
          </w:tcPr>
          <w:p w14:paraId="67F78558"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w:t>
            </w:r>
          </w:p>
        </w:tc>
        <w:tc>
          <w:tcPr>
            <w:tcW w:w="0" w:type="auto"/>
            <w:vAlign w:val="center"/>
            <w:hideMark/>
          </w:tcPr>
          <w:p w14:paraId="1DC368F9"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8</w:t>
            </w:r>
          </w:p>
        </w:tc>
        <w:tc>
          <w:tcPr>
            <w:tcW w:w="1305" w:type="dxa"/>
            <w:vAlign w:val="center"/>
            <w:hideMark/>
          </w:tcPr>
          <w:p w14:paraId="6C9ED06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11</w:t>
            </w:r>
          </w:p>
        </w:tc>
        <w:tc>
          <w:tcPr>
            <w:tcW w:w="2035" w:type="dxa"/>
            <w:vAlign w:val="center"/>
            <w:hideMark/>
          </w:tcPr>
          <w:p w14:paraId="23AED9B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27.3</w:t>
            </w:r>
          </w:p>
        </w:tc>
      </w:tr>
      <w:tr w:rsidR="00686107" w:rsidRPr="00686107" w14:paraId="46D7899A" w14:textId="77777777" w:rsidTr="00335B28">
        <w:trPr>
          <w:trHeight w:val="340"/>
          <w:tblCellSpacing w:w="15" w:type="dxa"/>
          <w:jc w:val="center"/>
        </w:trPr>
        <w:tc>
          <w:tcPr>
            <w:tcW w:w="1387" w:type="dxa"/>
            <w:vAlign w:val="center"/>
            <w:hideMark/>
          </w:tcPr>
          <w:p w14:paraId="1479BB70"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w:t>
            </w:r>
          </w:p>
        </w:tc>
        <w:tc>
          <w:tcPr>
            <w:tcW w:w="0" w:type="auto"/>
            <w:vAlign w:val="center"/>
            <w:hideMark/>
          </w:tcPr>
          <w:p w14:paraId="1D186FF6"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w:t>
            </w:r>
          </w:p>
        </w:tc>
        <w:tc>
          <w:tcPr>
            <w:tcW w:w="0" w:type="auto"/>
            <w:vAlign w:val="center"/>
            <w:hideMark/>
          </w:tcPr>
          <w:p w14:paraId="4D8BF3A7"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w:t>
            </w:r>
          </w:p>
        </w:tc>
        <w:tc>
          <w:tcPr>
            <w:tcW w:w="1305" w:type="dxa"/>
            <w:vAlign w:val="center"/>
            <w:hideMark/>
          </w:tcPr>
          <w:p w14:paraId="0D0F2BDB"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6</w:t>
            </w:r>
          </w:p>
        </w:tc>
        <w:tc>
          <w:tcPr>
            <w:tcW w:w="2035" w:type="dxa"/>
            <w:vAlign w:val="center"/>
            <w:hideMark/>
          </w:tcPr>
          <w:p w14:paraId="1A123066"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50.0</w:t>
            </w:r>
          </w:p>
        </w:tc>
      </w:tr>
      <w:tr w:rsidR="00686107" w:rsidRPr="00686107" w14:paraId="6D265D74" w14:textId="77777777" w:rsidTr="00335B28">
        <w:trPr>
          <w:trHeight w:val="340"/>
          <w:tblCellSpacing w:w="15" w:type="dxa"/>
          <w:jc w:val="center"/>
        </w:trPr>
        <w:tc>
          <w:tcPr>
            <w:tcW w:w="1387" w:type="dxa"/>
            <w:vAlign w:val="center"/>
            <w:hideMark/>
          </w:tcPr>
          <w:p w14:paraId="55C6BCE6"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2</w:t>
            </w:r>
          </w:p>
        </w:tc>
        <w:tc>
          <w:tcPr>
            <w:tcW w:w="0" w:type="auto"/>
            <w:vAlign w:val="center"/>
            <w:hideMark/>
          </w:tcPr>
          <w:p w14:paraId="4449A93C"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7</w:t>
            </w:r>
          </w:p>
        </w:tc>
        <w:tc>
          <w:tcPr>
            <w:tcW w:w="0" w:type="auto"/>
            <w:vAlign w:val="center"/>
            <w:hideMark/>
          </w:tcPr>
          <w:p w14:paraId="58EE28EE"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30</w:t>
            </w:r>
          </w:p>
        </w:tc>
        <w:tc>
          <w:tcPr>
            <w:tcW w:w="1305" w:type="dxa"/>
            <w:vAlign w:val="center"/>
            <w:hideMark/>
          </w:tcPr>
          <w:p w14:paraId="43A50CE6"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37</w:t>
            </w:r>
          </w:p>
        </w:tc>
        <w:tc>
          <w:tcPr>
            <w:tcW w:w="2035" w:type="dxa"/>
            <w:vAlign w:val="center"/>
            <w:hideMark/>
          </w:tcPr>
          <w:p w14:paraId="2DECB69C"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18.9</w:t>
            </w:r>
          </w:p>
        </w:tc>
      </w:tr>
      <w:tr w:rsidR="00686107" w:rsidRPr="00686107" w14:paraId="1B30F783" w14:textId="77777777" w:rsidTr="00335B28">
        <w:trPr>
          <w:trHeight w:val="340"/>
          <w:tblCellSpacing w:w="15" w:type="dxa"/>
          <w:jc w:val="center"/>
        </w:trPr>
        <w:tc>
          <w:tcPr>
            <w:tcW w:w="1387" w:type="dxa"/>
            <w:vAlign w:val="center"/>
            <w:hideMark/>
          </w:tcPr>
          <w:p w14:paraId="73DC22B9"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w:t>
            </w:r>
          </w:p>
        </w:tc>
        <w:tc>
          <w:tcPr>
            <w:tcW w:w="0" w:type="auto"/>
            <w:vAlign w:val="center"/>
            <w:hideMark/>
          </w:tcPr>
          <w:p w14:paraId="5F2D0F83"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5</w:t>
            </w:r>
          </w:p>
        </w:tc>
        <w:tc>
          <w:tcPr>
            <w:tcW w:w="0" w:type="auto"/>
            <w:vAlign w:val="center"/>
            <w:hideMark/>
          </w:tcPr>
          <w:p w14:paraId="5EB8FB9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7</w:t>
            </w:r>
          </w:p>
        </w:tc>
        <w:tc>
          <w:tcPr>
            <w:tcW w:w="1305" w:type="dxa"/>
            <w:vAlign w:val="center"/>
            <w:hideMark/>
          </w:tcPr>
          <w:p w14:paraId="7999ACDE"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12</w:t>
            </w:r>
          </w:p>
        </w:tc>
        <w:tc>
          <w:tcPr>
            <w:tcW w:w="2035" w:type="dxa"/>
            <w:vAlign w:val="center"/>
            <w:hideMark/>
          </w:tcPr>
          <w:p w14:paraId="1789C400"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41.7</w:t>
            </w:r>
          </w:p>
        </w:tc>
      </w:tr>
      <w:tr w:rsidR="00686107" w:rsidRPr="00686107" w14:paraId="6D676436" w14:textId="77777777" w:rsidTr="00335B28">
        <w:trPr>
          <w:trHeight w:val="340"/>
          <w:tblCellSpacing w:w="15" w:type="dxa"/>
          <w:jc w:val="center"/>
        </w:trPr>
        <w:tc>
          <w:tcPr>
            <w:tcW w:w="1387" w:type="dxa"/>
            <w:vAlign w:val="center"/>
            <w:hideMark/>
          </w:tcPr>
          <w:p w14:paraId="40942951"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4</w:t>
            </w:r>
          </w:p>
        </w:tc>
        <w:tc>
          <w:tcPr>
            <w:tcW w:w="0" w:type="auto"/>
            <w:vAlign w:val="center"/>
            <w:hideMark/>
          </w:tcPr>
          <w:p w14:paraId="0F01E245"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2</w:t>
            </w:r>
          </w:p>
        </w:tc>
        <w:tc>
          <w:tcPr>
            <w:tcW w:w="0" w:type="auto"/>
            <w:vAlign w:val="center"/>
            <w:hideMark/>
          </w:tcPr>
          <w:p w14:paraId="56521C60"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w:t>
            </w:r>
          </w:p>
        </w:tc>
        <w:tc>
          <w:tcPr>
            <w:tcW w:w="1305" w:type="dxa"/>
            <w:vAlign w:val="center"/>
            <w:hideMark/>
          </w:tcPr>
          <w:p w14:paraId="27176844"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w:t>
            </w:r>
          </w:p>
        </w:tc>
        <w:tc>
          <w:tcPr>
            <w:tcW w:w="2035" w:type="dxa"/>
            <w:vAlign w:val="center"/>
            <w:hideMark/>
          </w:tcPr>
          <w:p w14:paraId="4807C6EE"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66.7</w:t>
            </w:r>
          </w:p>
        </w:tc>
      </w:tr>
      <w:tr w:rsidR="00686107" w:rsidRPr="00686107" w14:paraId="428FA4BA" w14:textId="77777777" w:rsidTr="00335B28">
        <w:trPr>
          <w:trHeight w:val="340"/>
          <w:tblCellSpacing w:w="15" w:type="dxa"/>
          <w:jc w:val="center"/>
        </w:trPr>
        <w:tc>
          <w:tcPr>
            <w:tcW w:w="1387" w:type="dxa"/>
            <w:vAlign w:val="center"/>
            <w:hideMark/>
          </w:tcPr>
          <w:p w14:paraId="327C5DF5"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5</w:t>
            </w:r>
          </w:p>
        </w:tc>
        <w:tc>
          <w:tcPr>
            <w:tcW w:w="0" w:type="auto"/>
            <w:vAlign w:val="center"/>
            <w:hideMark/>
          </w:tcPr>
          <w:p w14:paraId="682D60E2"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18</w:t>
            </w:r>
          </w:p>
        </w:tc>
        <w:tc>
          <w:tcPr>
            <w:tcW w:w="0" w:type="auto"/>
            <w:vAlign w:val="center"/>
            <w:hideMark/>
          </w:tcPr>
          <w:p w14:paraId="2FEAB8FC"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24</w:t>
            </w:r>
          </w:p>
        </w:tc>
        <w:tc>
          <w:tcPr>
            <w:tcW w:w="1305" w:type="dxa"/>
            <w:vAlign w:val="center"/>
            <w:hideMark/>
          </w:tcPr>
          <w:p w14:paraId="5AC77130"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42</w:t>
            </w:r>
          </w:p>
        </w:tc>
        <w:tc>
          <w:tcPr>
            <w:tcW w:w="2035" w:type="dxa"/>
            <w:vAlign w:val="center"/>
            <w:hideMark/>
          </w:tcPr>
          <w:p w14:paraId="304E2FE1"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42.9</w:t>
            </w:r>
          </w:p>
        </w:tc>
      </w:tr>
      <w:tr w:rsidR="00686107" w:rsidRPr="00686107" w14:paraId="48A2BAE1" w14:textId="77777777" w:rsidTr="00335B28">
        <w:trPr>
          <w:trHeight w:val="340"/>
          <w:tblCellSpacing w:w="15" w:type="dxa"/>
          <w:jc w:val="center"/>
        </w:trPr>
        <w:tc>
          <w:tcPr>
            <w:tcW w:w="1387" w:type="dxa"/>
            <w:vAlign w:val="center"/>
            <w:hideMark/>
          </w:tcPr>
          <w:p w14:paraId="1BAF532E"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6</w:t>
            </w:r>
          </w:p>
        </w:tc>
        <w:tc>
          <w:tcPr>
            <w:tcW w:w="0" w:type="auto"/>
            <w:vAlign w:val="center"/>
            <w:hideMark/>
          </w:tcPr>
          <w:p w14:paraId="3016DCDC"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2</w:t>
            </w:r>
          </w:p>
        </w:tc>
        <w:tc>
          <w:tcPr>
            <w:tcW w:w="0" w:type="auto"/>
            <w:vAlign w:val="center"/>
            <w:hideMark/>
          </w:tcPr>
          <w:p w14:paraId="7823B2E5"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w:t>
            </w:r>
          </w:p>
        </w:tc>
        <w:tc>
          <w:tcPr>
            <w:tcW w:w="1305" w:type="dxa"/>
            <w:vAlign w:val="center"/>
            <w:hideMark/>
          </w:tcPr>
          <w:p w14:paraId="0C92E644"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2</w:t>
            </w:r>
          </w:p>
        </w:tc>
        <w:tc>
          <w:tcPr>
            <w:tcW w:w="2035" w:type="dxa"/>
            <w:vAlign w:val="center"/>
            <w:hideMark/>
          </w:tcPr>
          <w:p w14:paraId="7A9887E8"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100.0</w:t>
            </w:r>
          </w:p>
        </w:tc>
      </w:tr>
      <w:tr w:rsidR="00686107" w:rsidRPr="00686107" w14:paraId="706FA0E0" w14:textId="77777777" w:rsidTr="00335B28">
        <w:trPr>
          <w:trHeight w:val="340"/>
          <w:tblCellSpacing w:w="15" w:type="dxa"/>
          <w:jc w:val="center"/>
        </w:trPr>
        <w:tc>
          <w:tcPr>
            <w:tcW w:w="1387" w:type="dxa"/>
            <w:vAlign w:val="center"/>
            <w:hideMark/>
          </w:tcPr>
          <w:p w14:paraId="25E81D49"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7</w:t>
            </w:r>
          </w:p>
        </w:tc>
        <w:tc>
          <w:tcPr>
            <w:tcW w:w="0" w:type="auto"/>
            <w:vAlign w:val="center"/>
            <w:hideMark/>
          </w:tcPr>
          <w:p w14:paraId="54B8414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w:t>
            </w:r>
          </w:p>
        </w:tc>
        <w:tc>
          <w:tcPr>
            <w:tcW w:w="0" w:type="auto"/>
            <w:vAlign w:val="center"/>
            <w:hideMark/>
          </w:tcPr>
          <w:p w14:paraId="3BAE0143"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5</w:t>
            </w:r>
          </w:p>
        </w:tc>
        <w:tc>
          <w:tcPr>
            <w:tcW w:w="1305" w:type="dxa"/>
            <w:vAlign w:val="center"/>
            <w:hideMark/>
          </w:tcPr>
          <w:p w14:paraId="1D733C76"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8</w:t>
            </w:r>
          </w:p>
        </w:tc>
        <w:tc>
          <w:tcPr>
            <w:tcW w:w="2035" w:type="dxa"/>
            <w:vAlign w:val="center"/>
            <w:hideMark/>
          </w:tcPr>
          <w:p w14:paraId="68E33B87"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37.5</w:t>
            </w:r>
          </w:p>
        </w:tc>
      </w:tr>
      <w:tr w:rsidR="00686107" w:rsidRPr="00686107" w14:paraId="754ABC54" w14:textId="77777777" w:rsidTr="00335B28">
        <w:trPr>
          <w:trHeight w:val="340"/>
          <w:tblCellSpacing w:w="15" w:type="dxa"/>
          <w:jc w:val="center"/>
        </w:trPr>
        <w:tc>
          <w:tcPr>
            <w:tcW w:w="1387" w:type="dxa"/>
            <w:vAlign w:val="center"/>
            <w:hideMark/>
          </w:tcPr>
          <w:p w14:paraId="057BB4BA"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8</w:t>
            </w:r>
          </w:p>
        </w:tc>
        <w:tc>
          <w:tcPr>
            <w:tcW w:w="0" w:type="auto"/>
            <w:vAlign w:val="center"/>
            <w:hideMark/>
          </w:tcPr>
          <w:p w14:paraId="75D10714"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4</w:t>
            </w:r>
          </w:p>
        </w:tc>
        <w:tc>
          <w:tcPr>
            <w:tcW w:w="0" w:type="auto"/>
            <w:vAlign w:val="center"/>
            <w:hideMark/>
          </w:tcPr>
          <w:p w14:paraId="6F097D5A"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8</w:t>
            </w:r>
          </w:p>
        </w:tc>
        <w:tc>
          <w:tcPr>
            <w:tcW w:w="1305" w:type="dxa"/>
            <w:vAlign w:val="center"/>
            <w:hideMark/>
          </w:tcPr>
          <w:p w14:paraId="5A1AE5E5"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12</w:t>
            </w:r>
          </w:p>
        </w:tc>
        <w:tc>
          <w:tcPr>
            <w:tcW w:w="2035" w:type="dxa"/>
            <w:vAlign w:val="center"/>
            <w:hideMark/>
          </w:tcPr>
          <w:p w14:paraId="54F27A4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33.3</w:t>
            </w:r>
          </w:p>
        </w:tc>
      </w:tr>
      <w:tr w:rsidR="00686107" w:rsidRPr="00686107" w14:paraId="6395EE5D" w14:textId="77777777" w:rsidTr="00335B28">
        <w:trPr>
          <w:trHeight w:val="340"/>
          <w:tblCellSpacing w:w="15" w:type="dxa"/>
          <w:jc w:val="center"/>
        </w:trPr>
        <w:tc>
          <w:tcPr>
            <w:tcW w:w="1387" w:type="dxa"/>
            <w:vAlign w:val="center"/>
            <w:hideMark/>
          </w:tcPr>
          <w:p w14:paraId="4F27D2FB"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lastRenderedPageBreak/>
              <w:t>9</w:t>
            </w:r>
          </w:p>
        </w:tc>
        <w:tc>
          <w:tcPr>
            <w:tcW w:w="0" w:type="auto"/>
            <w:vAlign w:val="center"/>
            <w:hideMark/>
          </w:tcPr>
          <w:p w14:paraId="45D5D9C0"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4</w:t>
            </w:r>
          </w:p>
        </w:tc>
        <w:tc>
          <w:tcPr>
            <w:tcW w:w="0" w:type="auto"/>
            <w:vAlign w:val="center"/>
            <w:hideMark/>
          </w:tcPr>
          <w:p w14:paraId="380F6A2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w:t>
            </w:r>
          </w:p>
        </w:tc>
        <w:tc>
          <w:tcPr>
            <w:tcW w:w="1305" w:type="dxa"/>
            <w:vAlign w:val="center"/>
            <w:hideMark/>
          </w:tcPr>
          <w:p w14:paraId="42690881"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5</w:t>
            </w:r>
          </w:p>
        </w:tc>
        <w:tc>
          <w:tcPr>
            <w:tcW w:w="2035" w:type="dxa"/>
            <w:vAlign w:val="center"/>
            <w:hideMark/>
          </w:tcPr>
          <w:p w14:paraId="527813A1"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80.0</w:t>
            </w:r>
          </w:p>
        </w:tc>
      </w:tr>
      <w:tr w:rsidR="00686107" w:rsidRPr="00686107" w14:paraId="5548E453" w14:textId="77777777" w:rsidTr="00335B28">
        <w:trPr>
          <w:trHeight w:val="340"/>
          <w:tblCellSpacing w:w="15" w:type="dxa"/>
          <w:jc w:val="center"/>
        </w:trPr>
        <w:tc>
          <w:tcPr>
            <w:tcW w:w="1387" w:type="dxa"/>
            <w:vAlign w:val="center"/>
            <w:hideMark/>
          </w:tcPr>
          <w:p w14:paraId="09E64EB0"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10</w:t>
            </w:r>
          </w:p>
        </w:tc>
        <w:tc>
          <w:tcPr>
            <w:tcW w:w="0" w:type="auto"/>
            <w:vAlign w:val="center"/>
            <w:hideMark/>
          </w:tcPr>
          <w:p w14:paraId="636574C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2</w:t>
            </w:r>
          </w:p>
        </w:tc>
        <w:tc>
          <w:tcPr>
            <w:tcW w:w="0" w:type="auto"/>
            <w:vAlign w:val="center"/>
            <w:hideMark/>
          </w:tcPr>
          <w:p w14:paraId="463EC586"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w:t>
            </w:r>
          </w:p>
        </w:tc>
        <w:tc>
          <w:tcPr>
            <w:tcW w:w="1305" w:type="dxa"/>
            <w:vAlign w:val="center"/>
            <w:hideMark/>
          </w:tcPr>
          <w:p w14:paraId="712C727A"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5</w:t>
            </w:r>
          </w:p>
        </w:tc>
        <w:tc>
          <w:tcPr>
            <w:tcW w:w="2035" w:type="dxa"/>
            <w:vAlign w:val="center"/>
            <w:hideMark/>
          </w:tcPr>
          <w:p w14:paraId="5130B97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40.0</w:t>
            </w:r>
          </w:p>
        </w:tc>
      </w:tr>
      <w:tr w:rsidR="00686107" w:rsidRPr="00686107" w14:paraId="07B7FE40" w14:textId="77777777" w:rsidTr="00335B28">
        <w:trPr>
          <w:trHeight w:val="340"/>
          <w:tblCellSpacing w:w="15" w:type="dxa"/>
          <w:jc w:val="center"/>
        </w:trPr>
        <w:tc>
          <w:tcPr>
            <w:tcW w:w="1387" w:type="dxa"/>
            <w:vAlign w:val="center"/>
            <w:hideMark/>
          </w:tcPr>
          <w:p w14:paraId="686C1DEA"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11</w:t>
            </w:r>
          </w:p>
        </w:tc>
        <w:tc>
          <w:tcPr>
            <w:tcW w:w="0" w:type="auto"/>
            <w:vAlign w:val="center"/>
            <w:hideMark/>
          </w:tcPr>
          <w:p w14:paraId="16C48B14"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43</w:t>
            </w:r>
          </w:p>
        </w:tc>
        <w:tc>
          <w:tcPr>
            <w:tcW w:w="0" w:type="auto"/>
            <w:vAlign w:val="center"/>
            <w:hideMark/>
          </w:tcPr>
          <w:p w14:paraId="0D18356B"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19</w:t>
            </w:r>
          </w:p>
        </w:tc>
        <w:tc>
          <w:tcPr>
            <w:tcW w:w="1305" w:type="dxa"/>
            <w:vAlign w:val="center"/>
            <w:hideMark/>
          </w:tcPr>
          <w:p w14:paraId="74C5F15B"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62</w:t>
            </w:r>
          </w:p>
        </w:tc>
        <w:tc>
          <w:tcPr>
            <w:tcW w:w="2035" w:type="dxa"/>
            <w:vAlign w:val="center"/>
            <w:hideMark/>
          </w:tcPr>
          <w:p w14:paraId="68C925B2"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69.4</w:t>
            </w:r>
          </w:p>
        </w:tc>
      </w:tr>
      <w:tr w:rsidR="00686107" w:rsidRPr="00686107" w14:paraId="0D3391BF" w14:textId="77777777" w:rsidTr="00335B28">
        <w:trPr>
          <w:trHeight w:val="340"/>
          <w:tblCellSpacing w:w="15" w:type="dxa"/>
          <w:jc w:val="center"/>
        </w:trPr>
        <w:tc>
          <w:tcPr>
            <w:tcW w:w="1387" w:type="dxa"/>
            <w:vAlign w:val="center"/>
            <w:hideMark/>
          </w:tcPr>
          <w:p w14:paraId="38A195E6"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12</w:t>
            </w:r>
          </w:p>
        </w:tc>
        <w:tc>
          <w:tcPr>
            <w:tcW w:w="0" w:type="auto"/>
            <w:vAlign w:val="center"/>
            <w:hideMark/>
          </w:tcPr>
          <w:p w14:paraId="2A005852"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16</w:t>
            </w:r>
          </w:p>
        </w:tc>
        <w:tc>
          <w:tcPr>
            <w:tcW w:w="0" w:type="auto"/>
            <w:vAlign w:val="center"/>
            <w:hideMark/>
          </w:tcPr>
          <w:p w14:paraId="6A490B5E"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2</w:t>
            </w:r>
          </w:p>
        </w:tc>
        <w:tc>
          <w:tcPr>
            <w:tcW w:w="1305" w:type="dxa"/>
            <w:vAlign w:val="center"/>
            <w:hideMark/>
          </w:tcPr>
          <w:p w14:paraId="0F45FD3A"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18</w:t>
            </w:r>
          </w:p>
        </w:tc>
        <w:tc>
          <w:tcPr>
            <w:tcW w:w="2035" w:type="dxa"/>
            <w:vAlign w:val="center"/>
            <w:hideMark/>
          </w:tcPr>
          <w:p w14:paraId="0B105903"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88.9</w:t>
            </w:r>
          </w:p>
        </w:tc>
      </w:tr>
      <w:tr w:rsidR="00686107" w:rsidRPr="00686107" w14:paraId="58931720" w14:textId="77777777" w:rsidTr="00335B28">
        <w:trPr>
          <w:trHeight w:val="340"/>
          <w:tblCellSpacing w:w="15" w:type="dxa"/>
          <w:jc w:val="center"/>
        </w:trPr>
        <w:tc>
          <w:tcPr>
            <w:tcW w:w="1387" w:type="dxa"/>
            <w:vAlign w:val="center"/>
            <w:hideMark/>
          </w:tcPr>
          <w:p w14:paraId="0E6B1512"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13</w:t>
            </w:r>
          </w:p>
        </w:tc>
        <w:tc>
          <w:tcPr>
            <w:tcW w:w="0" w:type="auto"/>
            <w:vAlign w:val="center"/>
            <w:hideMark/>
          </w:tcPr>
          <w:p w14:paraId="3D140E5C"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w:t>
            </w:r>
          </w:p>
        </w:tc>
        <w:tc>
          <w:tcPr>
            <w:tcW w:w="0" w:type="auto"/>
            <w:vAlign w:val="center"/>
            <w:hideMark/>
          </w:tcPr>
          <w:p w14:paraId="4577A973"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7</w:t>
            </w:r>
          </w:p>
        </w:tc>
        <w:tc>
          <w:tcPr>
            <w:tcW w:w="1305" w:type="dxa"/>
            <w:vAlign w:val="center"/>
            <w:hideMark/>
          </w:tcPr>
          <w:p w14:paraId="1AAC8C4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7</w:t>
            </w:r>
          </w:p>
        </w:tc>
        <w:tc>
          <w:tcPr>
            <w:tcW w:w="2035" w:type="dxa"/>
            <w:vAlign w:val="center"/>
            <w:hideMark/>
          </w:tcPr>
          <w:p w14:paraId="688F328C"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0.0</w:t>
            </w:r>
          </w:p>
        </w:tc>
      </w:tr>
      <w:tr w:rsidR="00686107" w:rsidRPr="00686107" w14:paraId="748DEA06" w14:textId="77777777" w:rsidTr="00335B28">
        <w:trPr>
          <w:trHeight w:val="340"/>
          <w:tblCellSpacing w:w="15" w:type="dxa"/>
          <w:jc w:val="center"/>
        </w:trPr>
        <w:tc>
          <w:tcPr>
            <w:tcW w:w="1387" w:type="dxa"/>
            <w:vAlign w:val="center"/>
            <w:hideMark/>
          </w:tcPr>
          <w:p w14:paraId="1DEB008B"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14</w:t>
            </w:r>
          </w:p>
        </w:tc>
        <w:tc>
          <w:tcPr>
            <w:tcW w:w="0" w:type="auto"/>
            <w:vAlign w:val="center"/>
            <w:hideMark/>
          </w:tcPr>
          <w:p w14:paraId="5B8086C6"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60</w:t>
            </w:r>
          </w:p>
        </w:tc>
        <w:tc>
          <w:tcPr>
            <w:tcW w:w="0" w:type="auto"/>
            <w:vAlign w:val="center"/>
            <w:hideMark/>
          </w:tcPr>
          <w:p w14:paraId="6CBF2F32"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32</w:t>
            </w:r>
          </w:p>
        </w:tc>
        <w:tc>
          <w:tcPr>
            <w:tcW w:w="1305" w:type="dxa"/>
            <w:vAlign w:val="center"/>
            <w:hideMark/>
          </w:tcPr>
          <w:p w14:paraId="7D828620"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92</w:t>
            </w:r>
          </w:p>
        </w:tc>
        <w:tc>
          <w:tcPr>
            <w:tcW w:w="2035" w:type="dxa"/>
            <w:vAlign w:val="center"/>
            <w:hideMark/>
          </w:tcPr>
          <w:p w14:paraId="1360684C"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65.2</w:t>
            </w:r>
          </w:p>
        </w:tc>
      </w:tr>
      <w:tr w:rsidR="00686107" w:rsidRPr="00686107" w14:paraId="733347F1" w14:textId="77777777" w:rsidTr="00335B28">
        <w:trPr>
          <w:trHeight w:val="340"/>
          <w:tblCellSpacing w:w="15" w:type="dxa"/>
          <w:jc w:val="center"/>
        </w:trPr>
        <w:tc>
          <w:tcPr>
            <w:tcW w:w="1387" w:type="dxa"/>
            <w:vAlign w:val="center"/>
            <w:hideMark/>
          </w:tcPr>
          <w:p w14:paraId="0357CDC9"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16</w:t>
            </w:r>
          </w:p>
        </w:tc>
        <w:tc>
          <w:tcPr>
            <w:tcW w:w="0" w:type="auto"/>
            <w:vAlign w:val="center"/>
            <w:hideMark/>
          </w:tcPr>
          <w:p w14:paraId="5A7E572F"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w:t>
            </w:r>
          </w:p>
        </w:tc>
        <w:tc>
          <w:tcPr>
            <w:tcW w:w="0" w:type="auto"/>
            <w:vAlign w:val="center"/>
            <w:hideMark/>
          </w:tcPr>
          <w:p w14:paraId="3BE384A2"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4</w:t>
            </w:r>
          </w:p>
        </w:tc>
        <w:tc>
          <w:tcPr>
            <w:tcW w:w="1305" w:type="dxa"/>
            <w:vAlign w:val="center"/>
            <w:hideMark/>
          </w:tcPr>
          <w:p w14:paraId="22641D89"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4</w:t>
            </w:r>
          </w:p>
        </w:tc>
        <w:tc>
          <w:tcPr>
            <w:tcW w:w="2035" w:type="dxa"/>
            <w:vAlign w:val="center"/>
            <w:hideMark/>
          </w:tcPr>
          <w:p w14:paraId="75CDCCB6"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0.0</w:t>
            </w:r>
          </w:p>
        </w:tc>
      </w:tr>
      <w:tr w:rsidR="00686107" w:rsidRPr="00686107" w14:paraId="2AD33D2A" w14:textId="77777777" w:rsidTr="00335B28">
        <w:trPr>
          <w:trHeight w:val="340"/>
          <w:tblCellSpacing w:w="15" w:type="dxa"/>
          <w:jc w:val="center"/>
        </w:trPr>
        <w:tc>
          <w:tcPr>
            <w:tcW w:w="1387" w:type="dxa"/>
            <w:vAlign w:val="center"/>
            <w:hideMark/>
          </w:tcPr>
          <w:p w14:paraId="115BE310"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17</w:t>
            </w:r>
          </w:p>
        </w:tc>
        <w:tc>
          <w:tcPr>
            <w:tcW w:w="0" w:type="auto"/>
            <w:vAlign w:val="center"/>
            <w:hideMark/>
          </w:tcPr>
          <w:p w14:paraId="0D228FB1"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6</w:t>
            </w:r>
          </w:p>
        </w:tc>
        <w:tc>
          <w:tcPr>
            <w:tcW w:w="0" w:type="auto"/>
            <w:vAlign w:val="center"/>
            <w:hideMark/>
          </w:tcPr>
          <w:p w14:paraId="01EF3998"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w:t>
            </w:r>
          </w:p>
        </w:tc>
        <w:tc>
          <w:tcPr>
            <w:tcW w:w="1305" w:type="dxa"/>
            <w:vAlign w:val="center"/>
            <w:hideMark/>
          </w:tcPr>
          <w:p w14:paraId="518129D9"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9</w:t>
            </w:r>
          </w:p>
        </w:tc>
        <w:tc>
          <w:tcPr>
            <w:tcW w:w="2035" w:type="dxa"/>
            <w:vAlign w:val="center"/>
            <w:hideMark/>
          </w:tcPr>
          <w:p w14:paraId="632F5B6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66.7</w:t>
            </w:r>
          </w:p>
        </w:tc>
      </w:tr>
      <w:tr w:rsidR="00686107" w:rsidRPr="00686107" w14:paraId="00FE5E90" w14:textId="77777777" w:rsidTr="00335B28">
        <w:trPr>
          <w:trHeight w:val="340"/>
          <w:tblCellSpacing w:w="15" w:type="dxa"/>
          <w:jc w:val="center"/>
        </w:trPr>
        <w:tc>
          <w:tcPr>
            <w:tcW w:w="1387" w:type="dxa"/>
            <w:vAlign w:val="center"/>
            <w:hideMark/>
          </w:tcPr>
          <w:p w14:paraId="04DE4290"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19</w:t>
            </w:r>
          </w:p>
        </w:tc>
        <w:tc>
          <w:tcPr>
            <w:tcW w:w="0" w:type="auto"/>
            <w:vAlign w:val="center"/>
            <w:hideMark/>
          </w:tcPr>
          <w:p w14:paraId="5DAC3AAB"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w:t>
            </w:r>
          </w:p>
        </w:tc>
        <w:tc>
          <w:tcPr>
            <w:tcW w:w="0" w:type="auto"/>
            <w:vAlign w:val="center"/>
            <w:hideMark/>
          </w:tcPr>
          <w:p w14:paraId="3353A057"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w:t>
            </w:r>
          </w:p>
        </w:tc>
        <w:tc>
          <w:tcPr>
            <w:tcW w:w="1305" w:type="dxa"/>
            <w:vAlign w:val="center"/>
            <w:hideMark/>
          </w:tcPr>
          <w:p w14:paraId="2A3B0ADD"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3</w:t>
            </w:r>
          </w:p>
        </w:tc>
        <w:tc>
          <w:tcPr>
            <w:tcW w:w="2035" w:type="dxa"/>
            <w:vAlign w:val="center"/>
            <w:hideMark/>
          </w:tcPr>
          <w:p w14:paraId="361C9149" w14:textId="77777777" w:rsidR="00686107" w:rsidRPr="00686107" w:rsidRDefault="00686107" w:rsidP="00464FEE">
            <w:pPr>
              <w:spacing w:line="240" w:lineRule="auto"/>
              <w:jc w:val="center"/>
              <w:rPr>
                <w:rFonts w:ascii="Times New Roman" w:hAnsi="Times New Roman" w:cs="Times New Roman"/>
                <w:sz w:val="22"/>
                <w:szCs w:val="22"/>
                <w:lang w:val="en-IN"/>
              </w:rPr>
            </w:pPr>
            <w:r w:rsidRPr="00686107">
              <w:rPr>
                <w:rFonts w:ascii="Times New Roman" w:hAnsi="Times New Roman" w:cs="Times New Roman"/>
                <w:sz w:val="22"/>
                <w:szCs w:val="22"/>
                <w:lang w:val="en-IN"/>
              </w:rPr>
              <w:t>0.0</w:t>
            </w:r>
          </w:p>
        </w:tc>
      </w:tr>
    </w:tbl>
    <w:p w14:paraId="689ED107" w14:textId="459847A9" w:rsidR="00686107" w:rsidRDefault="00686107" w:rsidP="00686107">
      <w:pPr>
        <w:rPr>
          <w:rFonts w:ascii="Times New Roman" w:hAnsi="Times New Roman" w:cs="Times New Roman"/>
          <w:sz w:val="22"/>
          <w:szCs w:val="22"/>
        </w:rPr>
      </w:pPr>
      <w:r w:rsidRPr="00686107">
        <w:rPr>
          <w:rFonts w:ascii="Times New Roman" w:hAnsi="Times New Roman" w:cs="Times New Roman"/>
          <w:b/>
          <w:bCs/>
          <w:i/>
          <w:iCs/>
          <w:sz w:val="22"/>
          <w:szCs w:val="22"/>
        </w:rPr>
        <w:t>Supplementary Table S2.</w:t>
      </w:r>
      <w:r w:rsidRPr="00686107">
        <w:rPr>
          <w:rFonts w:ascii="Times New Roman" w:hAnsi="Times New Roman" w:cs="Times New Roman"/>
          <w:sz w:val="22"/>
          <w:szCs w:val="22"/>
        </w:rPr>
        <w:t> Distribution of postoperative dysphagia outcomes across cumulative risk score categories in the derivation cohort. The proportion dysphagia (%) represents the percentage of patients within each score category who developed new-onset postoperative dysphagia following anti-reflux surgery.</w:t>
      </w:r>
    </w:p>
    <w:p w14:paraId="17A3B4DC" w14:textId="77777777" w:rsidR="0035478A" w:rsidRDefault="0035478A" w:rsidP="00686107">
      <w:pPr>
        <w:rPr>
          <w:rFonts w:ascii="Times New Roman" w:hAnsi="Times New Roman" w:cs="Times New Roman"/>
          <w:sz w:val="22"/>
          <w:szCs w:val="22"/>
        </w:rPr>
      </w:pP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993"/>
        <w:gridCol w:w="2305"/>
        <w:gridCol w:w="2155"/>
        <w:gridCol w:w="1258"/>
        <w:gridCol w:w="2315"/>
      </w:tblGrid>
      <w:tr w:rsidR="00335B28" w:rsidRPr="00335B28" w14:paraId="0709F739" w14:textId="77777777" w:rsidTr="007D5117">
        <w:trPr>
          <w:trHeight w:val="283"/>
          <w:tblHeader/>
          <w:tblCellSpacing w:w="15" w:type="dxa"/>
        </w:trPr>
        <w:tc>
          <w:tcPr>
            <w:tcW w:w="948" w:type="dxa"/>
            <w:tcBorders>
              <w:top w:val="nil"/>
              <w:bottom w:val="single" w:sz="4" w:space="0" w:color="auto"/>
            </w:tcBorders>
            <w:vAlign w:val="center"/>
            <w:hideMark/>
          </w:tcPr>
          <w:p w14:paraId="1FD6A632" w14:textId="77777777" w:rsidR="00335B28" w:rsidRPr="00335B28" w:rsidRDefault="00335B28" w:rsidP="00335B28">
            <w:pPr>
              <w:spacing w:line="240" w:lineRule="auto"/>
              <w:jc w:val="center"/>
              <w:rPr>
                <w:rFonts w:ascii="Times New Roman" w:hAnsi="Times New Roman" w:cs="Times New Roman"/>
                <w:b/>
                <w:bCs/>
                <w:sz w:val="22"/>
                <w:szCs w:val="22"/>
                <w:lang w:val="en-IN"/>
              </w:rPr>
            </w:pPr>
            <w:r w:rsidRPr="00335B28">
              <w:rPr>
                <w:rFonts w:ascii="Times New Roman" w:hAnsi="Times New Roman" w:cs="Times New Roman"/>
                <w:b/>
                <w:bCs/>
                <w:sz w:val="22"/>
                <w:szCs w:val="22"/>
                <w:lang w:val="en-IN"/>
              </w:rPr>
              <w:t>Risk Score</w:t>
            </w:r>
          </w:p>
        </w:tc>
        <w:tc>
          <w:tcPr>
            <w:tcW w:w="0" w:type="auto"/>
            <w:tcBorders>
              <w:top w:val="nil"/>
              <w:bottom w:val="single" w:sz="4" w:space="0" w:color="auto"/>
            </w:tcBorders>
            <w:vAlign w:val="center"/>
            <w:hideMark/>
          </w:tcPr>
          <w:p w14:paraId="08B2A1E3" w14:textId="77777777" w:rsidR="00335B28" w:rsidRPr="00335B28" w:rsidRDefault="00335B28" w:rsidP="00335B28">
            <w:pPr>
              <w:spacing w:line="240" w:lineRule="auto"/>
              <w:jc w:val="center"/>
              <w:rPr>
                <w:rFonts w:ascii="Times New Roman" w:hAnsi="Times New Roman" w:cs="Times New Roman"/>
                <w:b/>
                <w:bCs/>
                <w:sz w:val="22"/>
                <w:szCs w:val="22"/>
                <w:lang w:val="en-IN"/>
              </w:rPr>
            </w:pPr>
            <w:r w:rsidRPr="00335B28">
              <w:rPr>
                <w:rFonts w:ascii="Times New Roman" w:hAnsi="Times New Roman" w:cs="Times New Roman"/>
                <w:b/>
                <w:bCs/>
                <w:sz w:val="22"/>
                <w:szCs w:val="22"/>
                <w:lang w:val="en-IN"/>
              </w:rPr>
              <w:t>Dysphagia Cases (Positive)</w:t>
            </w:r>
          </w:p>
        </w:tc>
        <w:tc>
          <w:tcPr>
            <w:tcW w:w="0" w:type="auto"/>
            <w:tcBorders>
              <w:top w:val="nil"/>
              <w:bottom w:val="single" w:sz="4" w:space="0" w:color="auto"/>
            </w:tcBorders>
            <w:vAlign w:val="center"/>
            <w:hideMark/>
          </w:tcPr>
          <w:p w14:paraId="47F92D26" w14:textId="77777777" w:rsidR="00335B28" w:rsidRPr="00335B28" w:rsidRDefault="00335B28" w:rsidP="00335B28">
            <w:pPr>
              <w:spacing w:line="240" w:lineRule="auto"/>
              <w:jc w:val="center"/>
              <w:rPr>
                <w:rFonts w:ascii="Times New Roman" w:hAnsi="Times New Roman" w:cs="Times New Roman"/>
                <w:b/>
                <w:bCs/>
                <w:sz w:val="22"/>
                <w:szCs w:val="22"/>
                <w:lang w:val="en-IN"/>
              </w:rPr>
            </w:pPr>
            <w:r w:rsidRPr="00335B28">
              <w:rPr>
                <w:rFonts w:ascii="Times New Roman" w:hAnsi="Times New Roman" w:cs="Times New Roman"/>
                <w:b/>
                <w:bCs/>
                <w:sz w:val="22"/>
                <w:szCs w:val="22"/>
                <w:lang w:val="en-IN"/>
              </w:rPr>
              <w:t>No Dysphagia (Negative)</w:t>
            </w:r>
          </w:p>
        </w:tc>
        <w:tc>
          <w:tcPr>
            <w:tcW w:w="0" w:type="auto"/>
            <w:tcBorders>
              <w:top w:val="nil"/>
              <w:bottom w:val="single" w:sz="4" w:space="0" w:color="auto"/>
            </w:tcBorders>
            <w:vAlign w:val="center"/>
            <w:hideMark/>
          </w:tcPr>
          <w:p w14:paraId="3D45E0AC" w14:textId="77777777" w:rsidR="00335B28" w:rsidRPr="00335B28" w:rsidRDefault="00335B28" w:rsidP="00335B28">
            <w:pPr>
              <w:spacing w:line="240" w:lineRule="auto"/>
              <w:jc w:val="center"/>
              <w:rPr>
                <w:rFonts w:ascii="Times New Roman" w:hAnsi="Times New Roman" w:cs="Times New Roman"/>
                <w:b/>
                <w:bCs/>
                <w:sz w:val="22"/>
                <w:szCs w:val="22"/>
                <w:lang w:val="en-IN"/>
              </w:rPr>
            </w:pPr>
            <w:r w:rsidRPr="00335B28">
              <w:rPr>
                <w:rFonts w:ascii="Times New Roman" w:hAnsi="Times New Roman" w:cs="Times New Roman"/>
                <w:b/>
                <w:bCs/>
                <w:sz w:val="22"/>
                <w:szCs w:val="22"/>
                <w:lang w:val="en-IN"/>
              </w:rPr>
              <w:t>Total Patients</w:t>
            </w:r>
          </w:p>
        </w:tc>
        <w:tc>
          <w:tcPr>
            <w:tcW w:w="0" w:type="auto"/>
            <w:tcBorders>
              <w:top w:val="nil"/>
              <w:bottom w:val="single" w:sz="4" w:space="0" w:color="auto"/>
            </w:tcBorders>
            <w:vAlign w:val="center"/>
            <w:hideMark/>
          </w:tcPr>
          <w:p w14:paraId="3CC90678" w14:textId="77777777" w:rsidR="00335B28" w:rsidRPr="00335B28" w:rsidRDefault="00335B28" w:rsidP="00335B28">
            <w:pPr>
              <w:spacing w:line="240" w:lineRule="auto"/>
              <w:jc w:val="center"/>
              <w:rPr>
                <w:rFonts w:ascii="Times New Roman" w:hAnsi="Times New Roman" w:cs="Times New Roman"/>
                <w:b/>
                <w:bCs/>
                <w:sz w:val="22"/>
                <w:szCs w:val="22"/>
                <w:lang w:val="en-IN"/>
              </w:rPr>
            </w:pPr>
            <w:r w:rsidRPr="00335B28">
              <w:rPr>
                <w:rFonts w:ascii="Times New Roman" w:hAnsi="Times New Roman" w:cs="Times New Roman"/>
                <w:b/>
                <w:bCs/>
                <w:sz w:val="22"/>
                <w:szCs w:val="22"/>
                <w:lang w:val="en-IN"/>
              </w:rPr>
              <w:t>Proportion Dysphagia (%)</w:t>
            </w:r>
          </w:p>
        </w:tc>
      </w:tr>
      <w:tr w:rsidR="00335B28" w:rsidRPr="00335B28" w14:paraId="5D0C34E8" w14:textId="77777777" w:rsidTr="007D5117">
        <w:trPr>
          <w:trHeight w:val="283"/>
          <w:tblCellSpacing w:w="15" w:type="dxa"/>
        </w:trPr>
        <w:tc>
          <w:tcPr>
            <w:tcW w:w="948" w:type="dxa"/>
            <w:vAlign w:val="center"/>
            <w:hideMark/>
          </w:tcPr>
          <w:p w14:paraId="245E0014"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-10</w:t>
            </w:r>
          </w:p>
        </w:tc>
        <w:tc>
          <w:tcPr>
            <w:tcW w:w="0" w:type="auto"/>
            <w:vAlign w:val="center"/>
            <w:hideMark/>
          </w:tcPr>
          <w:p w14:paraId="4535C5D9"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7</w:t>
            </w:r>
          </w:p>
        </w:tc>
        <w:tc>
          <w:tcPr>
            <w:tcW w:w="0" w:type="auto"/>
            <w:vAlign w:val="center"/>
            <w:hideMark/>
          </w:tcPr>
          <w:p w14:paraId="3AF3F3B8"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4</w:t>
            </w:r>
          </w:p>
        </w:tc>
        <w:tc>
          <w:tcPr>
            <w:tcW w:w="0" w:type="auto"/>
            <w:vAlign w:val="center"/>
            <w:hideMark/>
          </w:tcPr>
          <w:p w14:paraId="3BD9A42C"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11</w:t>
            </w:r>
          </w:p>
        </w:tc>
        <w:tc>
          <w:tcPr>
            <w:tcW w:w="0" w:type="auto"/>
            <w:vAlign w:val="center"/>
            <w:hideMark/>
          </w:tcPr>
          <w:p w14:paraId="277C0D05"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63.6</w:t>
            </w:r>
          </w:p>
        </w:tc>
      </w:tr>
      <w:tr w:rsidR="00335B28" w:rsidRPr="00335B28" w14:paraId="2590073A" w14:textId="77777777" w:rsidTr="007D5117">
        <w:trPr>
          <w:trHeight w:val="283"/>
          <w:tblCellSpacing w:w="15" w:type="dxa"/>
        </w:trPr>
        <w:tc>
          <w:tcPr>
            <w:tcW w:w="948" w:type="dxa"/>
            <w:vAlign w:val="center"/>
            <w:hideMark/>
          </w:tcPr>
          <w:p w14:paraId="38569C0C"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-7</w:t>
            </w:r>
          </w:p>
        </w:tc>
        <w:tc>
          <w:tcPr>
            <w:tcW w:w="0" w:type="auto"/>
            <w:vAlign w:val="center"/>
            <w:hideMark/>
          </w:tcPr>
          <w:p w14:paraId="6DAD442F"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w:t>
            </w:r>
          </w:p>
        </w:tc>
        <w:tc>
          <w:tcPr>
            <w:tcW w:w="0" w:type="auto"/>
            <w:vAlign w:val="center"/>
            <w:hideMark/>
          </w:tcPr>
          <w:p w14:paraId="2B1DB862"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2E376470"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1E14F88D"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0.0</w:t>
            </w:r>
          </w:p>
        </w:tc>
      </w:tr>
      <w:tr w:rsidR="00335B28" w:rsidRPr="00335B28" w14:paraId="16E34C68" w14:textId="77777777" w:rsidTr="007D5117">
        <w:trPr>
          <w:trHeight w:val="283"/>
          <w:tblCellSpacing w:w="15" w:type="dxa"/>
        </w:trPr>
        <w:tc>
          <w:tcPr>
            <w:tcW w:w="948" w:type="dxa"/>
            <w:vAlign w:val="center"/>
            <w:hideMark/>
          </w:tcPr>
          <w:p w14:paraId="2171F2EC"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-5</w:t>
            </w:r>
          </w:p>
        </w:tc>
        <w:tc>
          <w:tcPr>
            <w:tcW w:w="0" w:type="auto"/>
            <w:vAlign w:val="center"/>
            <w:hideMark/>
          </w:tcPr>
          <w:p w14:paraId="2B80F9B7"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w:t>
            </w:r>
          </w:p>
        </w:tc>
        <w:tc>
          <w:tcPr>
            <w:tcW w:w="0" w:type="auto"/>
            <w:vAlign w:val="center"/>
            <w:hideMark/>
          </w:tcPr>
          <w:p w14:paraId="0DF89AE1"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3</w:t>
            </w:r>
          </w:p>
        </w:tc>
        <w:tc>
          <w:tcPr>
            <w:tcW w:w="0" w:type="auto"/>
            <w:vAlign w:val="center"/>
            <w:hideMark/>
          </w:tcPr>
          <w:p w14:paraId="155A6276"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3</w:t>
            </w:r>
          </w:p>
        </w:tc>
        <w:tc>
          <w:tcPr>
            <w:tcW w:w="0" w:type="auto"/>
            <w:vAlign w:val="center"/>
            <w:hideMark/>
          </w:tcPr>
          <w:p w14:paraId="47800F99"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0.0</w:t>
            </w:r>
          </w:p>
        </w:tc>
      </w:tr>
      <w:tr w:rsidR="00335B28" w:rsidRPr="00335B28" w14:paraId="550BA1DC" w14:textId="77777777" w:rsidTr="007D5117">
        <w:trPr>
          <w:trHeight w:val="283"/>
          <w:tblCellSpacing w:w="15" w:type="dxa"/>
        </w:trPr>
        <w:tc>
          <w:tcPr>
            <w:tcW w:w="948" w:type="dxa"/>
            <w:vAlign w:val="center"/>
            <w:hideMark/>
          </w:tcPr>
          <w:p w14:paraId="28F6F3DF"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24F66D6F"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1CD0F060"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w:t>
            </w:r>
          </w:p>
        </w:tc>
        <w:tc>
          <w:tcPr>
            <w:tcW w:w="0" w:type="auto"/>
            <w:vAlign w:val="center"/>
            <w:hideMark/>
          </w:tcPr>
          <w:p w14:paraId="16A25D6E"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6DE71488"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100.0</w:t>
            </w:r>
          </w:p>
        </w:tc>
      </w:tr>
      <w:tr w:rsidR="00335B28" w:rsidRPr="00335B28" w14:paraId="08E9AFAB" w14:textId="77777777" w:rsidTr="007D5117">
        <w:trPr>
          <w:trHeight w:val="283"/>
          <w:tblCellSpacing w:w="15" w:type="dxa"/>
        </w:trPr>
        <w:tc>
          <w:tcPr>
            <w:tcW w:w="948" w:type="dxa"/>
            <w:vAlign w:val="center"/>
            <w:hideMark/>
          </w:tcPr>
          <w:p w14:paraId="3A4D69E3"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w:t>
            </w:r>
          </w:p>
        </w:tc>
        <w:tc>
          <w:tcPr>
            <w:tcW w:w="0" w:type="auto"/>
            <w:vAlign w:val="center"/>
            <w:hideMark/>
          </w:tcPr>
          <w:p w14:paraId="46E3F1B2"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31BC1767"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w:t>
            </w:r>
          </w:p>
        </w:tc>
        <w:tc>
          <w:tcPr>
            <w:tcW w:w="0" w:type="auto"/>
            <w:vAlign w:val="center"/>
            <w:hideMark/>
          </w:tcPr>
          <w:p w14:paraId="17DA86D0"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35729C79"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100.0</w:t>
            </w:r>
          </w:p>
        </w:tc>
      </w:tr>
      <w:tr w:rsidR="00335B28" w:rsidRPr="00335B28" w14:paraId="1B78FB63" w14:textId="77777777" w:rsidTr="007D5117">
        <w:trPr>
          <w:trHeight w:val="283"/>
          <w:tblCellSpacing w:w="15" w:type="dxa"/>
        </w:trPr>
        <w:tc>
          <w:tcPr>
            <w:tcW w:w="948" w:type="dxa"/>
            <w:vAlign w:val="center"/>
            <w:hideMark/>
          </w:tcPr>
          <w:p w14:paraId="0804E135"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2</w:t>
            </w:r>
          </w:p>
        </w:tc>
        <w:tc>
          <w:tcPr>
            <w:tcW w:w="0" w:type="auto"/>
            <w:vAlign w:val="center"/>
            <w:hideMark/>
          </w:tcPr>
          <w:p w14:paraId="3E405691"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2</w:t>
            </w:r>
          </w:p>
        </w:tc>
        <w:tc>
          <w:tcPr>
            <w:tcW w:w="0" w:type="auto"/>
            <w:vAlign w:val="center"/>
            <w:hideMark/>
          </w:tcPr>
          <w:p w14:paraId="4545C7E0"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6</w:t>
            </w:r>
          </w:p>
        </w:tc>
        <w:tc>
          <w:tcPr>
            <w:tcW w:w="0" w:type="auto"/>
            <w:vAlign w:val="center"/>
            <w:hideMark/>
          </w:tcPr>
          <w:p w14:paraId="2111B5FE"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8</w:t>
            </w:r>
          </w:p>
        </w:tc>
        <w:tc>
          <w:tcPr>
            <w:tcW w:w="0" w:type="auto"/>
            <w:vAlign w:val="center"/>
            <w:hideMark/>
          </w:tcPr>
          <w:p w14:paraId="3F7F8E0A"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25.0</w:t>
            </w:r>
          </w:p>
        </w:tc>
      </w:tr>
      <w:tr w:rsidR="00335B28" w:rsidRPr="00335B28" w14:paraId="64F5139E" w14:textId="77777777" w:rsidTr="007D5117">
        <w:trPr>
          <w:trHeight w:val="283"/>
          <w:tblCellSpacing w:w="15" w:type="dxa"/>
        </w:trPr>
        <w:tc>
          <w:tcPr>
            <w:tcW w:w="948" w:type="dxa"/>
            <w:vAlign w:val="center"/>
            <w:hideMark/>
          </w:tcPr>
          <w:p w14:paraId="0B50D212"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3</w:t>
            </w:r>
          </w:p>
        </w:tc>
        <w:tc>
          <w:tcPr>
            <w:tcW w:w="0" w:type="auto"/>
            <w:vAlign w:val="center"/>
            <w:hideMark/>
          </w:tcPr>
          <w:p w14:paraId="3697AC7E"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3</w:t>
            </w:r>
          </w:p>
        </w:tc>
        <w:tc>
          <w:tcPr>
            <w:tcW w:w="0" w:type="auto"/>
            <w:vAlign w:val="center"/>
            <w:hideMark/>
          </w:tcPr>
          <w:p w14:paraId="73C14133"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57EF4327"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4</w:t>
            </w:r>
          </w:p>
        </w:tc>
        <w:tc>
          <w:tcPr>
            <w:tcW w:w="0" w:type="auto"/>
            <w:vAlign w:val="center"/>
            <w:hideMark/>
          </w:tcPr>
          <w:p w14:paraId="10F01227"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75.0</w:t>
            </w:r>
          </w:p>
        </w:tc>
      </w:tr>
      <w:tr w:rsidR="00335B28" w:rsidRPr="00335B28" w14:paraId="68E10830" w14:textId="77777777" w:rsidTr="007D5117">
        <w:trPr>
          <w:trHeight w:val="283"/>
          <w:tblCellSpacing w:w="15" w:type="dxa"/>
        </w:trPr>
        <w:tc>
          <w:tcPr>
            <w:tcW w:w="948" w:type="dxa"/>
            <w:vAlign w:val="center"/>
            <w:hideMark/>
          </w:tcPr>
          <w:p w14:paraId="28FE901B"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4</w:t>
            </w:r>
          </w:p>
        </w:tc>
        <w:tc>
          <w:tcPr>
            <w:tcW w:w="0" w:type="auto"/>
            <w:vAlign w:val="center"/>
            <w:hideMark/>
          </w:tcPr>
          <w:p w14:paraId="48EB3160"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w:t>
            </w:r>
          </w:p>
        </w:tc>
        <w:tc>
          <w:tcPr>
            <w:tcW w:w="0" w:type="auto"/>
            <w:vAlign w:val="center"/>
            <w:hideMark/>
          </w:tcPr>
          <w:p w14:paraId="01D21A5A"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5</w:t>
            </w:r>
          </w:p>
        </w:tc>
        <w:tc>
          <w:tcPr>
            <w:tcW w:w="0" w:type="auto"/>
            <w:vAlign w:val="center"/>
            <w:hideMark/>
          </w:tcPr>
          <w:p w14:paraId="7449A670"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5</w:t>
            </w:r>
          </w:p>
        </w:tc>
        <w:tc>
          <w:tcPr>
            <w:tcW w:w="0" w:type="auto"/>
            <w:vAlign w:val="center"/>
            <w:hideMark/>
          </w:tcPr>
          <w:p w14:paraId="48831C49"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0.0</w:t>
            </w:r>
          </w:p>
        </w:tc>
      </w:tr>
      <w:tr w:rsidR="00335B28" w:rsidRPr="00335B28" w14:paraId="6D0C7BFD" w14:textId="77777777" w:rsidTr="007D5117">
        <w:trPr>
          <w:trHeight w:val="283"/>
          <w:tblCellSpacing w:w="15" w:type="dxa"/>
        </w:trPr>
        <w:tc>
          <w:tcPr>
            <w:tcW w:w="948" w:type="dxa"/>
            <w:vAlign w:val="center"/>
            <w:hideMark/>
          </w:tcPr>
          <w:p w14:paraId="1C041A51"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5</w:t>
            </w:r>
          </w:p>
        </w:tc>
        <w:tc>
          <w:tcPr>
            <w:tcW w:w="0" w:type="auto"/>
            <w:vAlign w:val="center"/>
            <w:hideMark/>
          </w:tcPr>
          <w:p w14:paraId="64725916"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11D07BA9"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0624ADA2"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2</w:t>
            </w:r>
          </w:p>
        </w:tc>
        <w:tc>
          <w:tcPr>
            <w:tcW w:w="0" w:type="auto"/>
            <w:vAlign w:val="center"/>
            <w:hideMark/>
          </w:tcPr>
          <w:p w14:paraId="4825CBE9"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50.0</w:t>
            </w:r>
          </w:p>
        </w:tc>
      </w:tr>
      <w:tr w:rsidR="00335B28" w:rsidRPr="00335B28" w14:paraId="08318FEA" w14:textId="77777777" w:rsidTr="007D5117">
        <w:trPr>
          <w:trHeight w:val="283"/>
          <w:tblCellSpacing w:w="15" w:type="dxa"/>
        </w:trPr>
        <w:tc>
          <w:tcPr>
            <w:tcW w:w="948" w:type="dxa"/>
            <w:vAlign w:val="center"/>
            <w:hideMark/>
          </w:tcPr>
          <w:p w14:paraId="12FD8AA8"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7</w:t>
            </w:r>
          </w:p>
        </w:tc>
        <w:tc>
          <w:tcPr>
            <w:tcW w:w="0" w:type="auto"/>
            <w:vAlign w:val="center"/>
            <w:hideMark/>
          </w:tcPr>
          <w:p w14:paraId="23BCF82B"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238958BF"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2</w:t>
            </w:r>
          </w:p>
        </w:tc>
        <w:tc>
          <w:tcPr>
            <w:tcW w:w="0" w:type="auto"/>
            <w:vAlign w:val="center"/>
            <w:hideMark/>
          </w:tcPr>
          <w:p w14:paraId="671E6A08"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3</w:t>
            </w:r>
          </w:p>
        </w:tc>
        <w:tc>
          <w:tcPr>
            <w:tcW w:w="0" w:type="auto"/>
            <w:vAlign w:val="center"/>
            <w:hideMark/>
          </w:tcPr>
          <w:p w14:paraId="14D69C29"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33.3</w:t>
            </w:r>
          </w:p>
        </w:tc>
      </w:tr>
      <w:tr w:rsidR="00335B28" w:rsidRPr="00335B28" w14:paraId="3B590D83" w14:textId="77777777" w:rsidTr="007D5117">
        <w:trPr>
          <w:trHeight w:val="283"/>
          <w:tblCellSpacing w:w="15" w:type="dxa"/>
        </w:trPr>
        <w:tc>
          <w:tcPr>
            <w:tcW w:w="948" w:type="dxa"/>
            <w:vAlign w:val="center"/>
            <w:hideMark/>
          </w:tcPr>
          <w:p w14:paraId="706AAE44"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8</w:t>
            </w:r>
          </w:p>
        </w:tc>
        <w:tc>
          <w:tcPr>
            <w:tcW w:w="0" w:type="auto"/>
            <w:vAlign w:val="center"/>
            <w:hideMark/>
          </w:tcPr>
          <w:p w14:paraId="47AC51A0"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38C448C2"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2</w:t>
            </w:r>
          </w:p>
        </w:tc>
        <w:tc>
          <w:tcPr>
            <w:tcW w:w="0" w:type="auto"/>
            <w:vAlign w:val="center"/>
            <w:hideMark/>
          </w:tcPr>
          <w:p w14:paraId="5D2807F3"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3</w:t>
            </w:r>
          </w:p>
        </w:tc>
        <w:tc>
          <w:tcPr>
            <w:tcW w:w="0" w:type="auto"/>
            <w:vAlign w:val="center"/>
            <w:hideMark/>
          </w:tcPr>
          <w:p w14:paraId="63C5EE6F"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33.3</w:t>
            </w:r>
          </w:p>
        </w:tc>
      </w:tr>
      <w:tr w:rsidR="00335B28" w:rsidRPr="00335B28" w14:paraId="00ACC6BA" w14:textId="77777777" w:rsidTr="007D5117">
        <w:trPr>
          <w:trHeight w:val="283"/>
          <w:tblCellSpacing w:w="15" w:type="dxa"/>
        </w:trPr>
        <w:tc>
          <w:tcPr>
            <w:tcW w:w="948" w:type="dxa"/>
            <w:vAlign w:val="center"/>
            <w:hideMark/>
          </w:tcPr>
          <w:p w14:paraId="626837B9"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11</w:t>
            </w:r>
          </w:p>
        </w:tc>
        <w:tc>
          <w:tcPr>
            <w:tcW w:w="0" w:type="auto"/>
            <w:vAlign w:val="center"/>
            <w:hideMark/>
          </w:tcPr>
          <w:p w14:paraId="532EABF1"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4087206E"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12</w:t>
            </w:r>
          </w:p>
        </w:tc>
        <w:tc>
          <w:tcPr>
            <w:tcW w:w="0" w:type="auto"/>
            <w:vAlign w:val="center"/>
            <w:hideMark/>
          </w:tcPr>
          <w:p w14:paraId="1AF3FAAC"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13</w:t>
            </w:r>
          </w:p>
        </w:tc>
        <w:tc>
          <w:tcPr>
            <w:tcW w:w="0" w:type="auto"/>
            <w:vAlign w:val="center"/>
            <w:hideMark/>
          </w:tcPr>
          <w:p w14:paraId="1CE462BE"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7.7</w:t>
            </w:r>
          </w:p>
        </w:tc>
      </w:tr>
      <w:tr w:rsidR="00335B28" w:rsidRPr="00335B28" w14:paraId="2BA0EA70" w14:textId="77777777" w:rsidTr="007D5117">
        <w:trPr>
          <w:trHeight w:val="283"/>
          <w:tblCellSpacing w:w="15" w:type="dxa"/>
        </w:trPr>
        <w:tc>
          <w:tcPr>
            <w:tcW w:w="948" w:type="dxa"/>
            <w:vAlign w:val="center"/>
            <w:hideMark/>
          </w:tcPr>
          <w:p w14:paraId="7F508DC8"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12</w:t>
            </w:r>
          </w:p>
        </w:tc>
        <w:tc>
          <w:tcPr>
            <w:tcW w:w="0" w:type="auto"/>
            <w:vAlign w:val="center"/>
            <w:hideMark/>
          </w:tcPr>
          <w:p w14:paraId="505C250C"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w:t>
            </w:r>
          </w:p>
        </w:tc>
        <w:tc>
          <w:tcPr>
            <w:tcW w:w="0" w:type="auto"/>
            <w:vAlign w:val="center"/>
            <w:hideMark/>
          </w:tcPr>
          <w:p w14:paraId="7A06183F"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2</w:t>
            </w:r>
          </w:p>
        </w:tc>
        <w:tc>
          <w:tcPr>
            <w:tcW w:w="0" w:type="auto"/>
            <w:vAlign w:val="center"/>
            <w:hideMark/>
          </w:tcPr>
          <w:p w14:paraId="56DD0F63"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2</w:t>
            </w:r>
          </w:p>
        </w:tc>
        <w:tc>
          <w:tcPr>
            <w:tcW w:w="0" w:type="auto"/>
            <w:vAlign w:val="center"/>
            <w:hideMark/>
          </w:tcPr>
          <w:p w14:paraId="79A43562"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0.0</w:t>
            </w:r>
          </w:p>
        </w:tc>
      </w:tr>
      <w:tr w:rsidR="00335B28" w:rsidRPr="00335B28" w14:paraId="059D6900" w14:textId="77777777" w:rsidTr="007D5117">
        <w:trPr>
          <w:trHeight w:val="283"/>
          <w:tblCellSpacing w:w="15" w:type="dxa"/>
        </w:trPr>
        <w:tc>
          <w:tcPr>
            <w:tcW w:w="948" w:type="dxa"/>
            <w:vAlign w:val="center"/>
            <w:hideMark/>
          </w:tcPr>
          <w:p w14:paraId="574E8B80"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lastRenderedPageBreak/>
              <w:t>13</w:t>
            </w:r>
          </w:p>
        </w:tc>
        <w:tc>
          <w:tcPr>
            <w:tcW w:w="0" w:type="auto"/>
            <w:vAlign w:val="center"/>
            <w:hideMark/>
          </w:tcPr>
          <w:p w14:paraId="7B4A8BE8"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w:t>
            </w:r>
          </w:p>
        </w:tc>
        <w:tc>
          <w:tcPr>
            <w:tcW w:w="0" w:type="auto"/>
            <w:vAlign w:val="center"/>
            <w:hideMark/>
          </w:tcPr>
          <w:p w14:paraId="75E63E63"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1CF44697"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6244D49D"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0.0</w:t>
            </w:r>
          </w:p>
        </w:tc>
      </w:tr>
      <w:tr w:rsidR="00335B28" w:rsidRPr="00335B28" w14:paraId="326E270E" w14:textId="77777777" w:rsidTr="007D5117">
        <w:trPr>
          <w:trHeight w:val="283"/>
          <w:tblCellSpacing w:w="15" w:type="dxa"/>
        </w:trPr>
        <w:tc>
          <w:tcPr>
            <w:tcW w:w="948" w:type="dxa"/>
            <w:vAlign w:val="center"/>
            <w:hideMark/>
          </w:tcPr>
          <w:p w14:paraId="02D1CFF0"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14</w:t>
            </w:r>
          </w:p>
        </w:tc>
        <w:tc>
          <w:tcPr>
            <w:tcW w:w="0" w:type="auto"/>
            <w:vAlign w:val="center"/>
            <w:hideMark/>
          </w:tcPr>
          <w:p w14:paraId="4622E0BC"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w:t>
            </w:r>
          </w:p>
        </w:tc>
        <w:tc>
          <w:tcPr>
            <w:tcW w:w="0" w:type="auto"/>
            <w:vAlign w:val="center"/>
            <w:hideMark/>
          </w:tcPr>
          <w:p w14:paraId="43146F21"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01F825E0"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27D1B088"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0.0</w:t>
            </w:r>
          </w:p>
        </w:tc>
      </w:tr>
      <w:tr w:rsidR="00335B28" w:rsidRPr="00335B28" w14:paraId="2D8BBC08" w14:textId="77777777" w:rsidTr="007D5117">
        <w:trPr>
          <w:trHeight w:val="283"/>
          <w:tblCellSpacing w:w="15" w:type="dxa"/>
        </w:trPr>
        <w:tc>
          <w:tcPr>
            <w:tcW w:w="948" w:type="dxa"/>
            <w:vAlign w:val="center"/>
            <w:hideMark/>
          </w:tcPr>
          <w:p w14:paraId="46DCFFCE"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17</w:t>
            </w:r>
          </w:p>
        </w:tc>
        <w:tc>
          <w:tcPr>
            <w:tcW w:w="0" w:type="auto"/>
            <w:vAlign w:val="center"/>
            <w:hideMark/>
          </w:tcPr>
          <w:p w14:paraId="274E52C3"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2</w:t>
            </w:r>
          </w:p>
        </w:tc>
        <w:tc>
          <w:tcPr>
            <w:tcW w:w="0" w:type="auto"/>
            <w:vAlign w:val="center"/>
            <w:hideMark/>
          </w:tcPr>
          <w:p w14:paraId="02C9BCEA"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4</w:t>
            </w:r>
          </w:p>
        </w:tc>
        <w:tc>
          <w:tcPr>
            <w:tcW w:w="0" w:type="auto"/>
            <w:vAlign w:val="center"/>
            <w:hideMark/>
          </w:tcPr>
          <w:p w14:paraId="106107B8"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6</w:t>
            </w:r>
          </w:p>
        </w:tc>
        <w:tc>
          <w:tcPr>
            <w:tcW w:w="0" w:type="auto"/>
            <w:vAlign w:val="center"/>
            <w:hideMark/>
          </w:tcPr>
          <w:p w14:paraId="7571E5D9"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33.3</w:t>
            </w:r>
          </w:p>
        </w:tc>
      </w:tr>
      <w:tr w:rsidR="00335B28" w:rsidRPr="00335B28" w14:paraId="1FEE6E64" w14:textId="77777777" w:rsidTr="007D5117">
        <w:trPr>
          <w:trHeight w:val="283"/>
          <w:tblCellSpacing w:w="15" w:type="dxa"/>
        </w:trPr>
        <w:tc>
          <w:tcPr>
            <w:tcW w:w="948" w:type="dxa"/>
            <w:vAlign w:val="center"/>
            <w:hideMark/>
          </w:tcPr>
          <w:p w14:paraId="64B93EAB"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19</w:t>
            </w:r>
          </w:p>
        </w:tc>
        <w:tc>
          <w:tcPr>
            <w:tcW w:w="0" w:type="auto"/>
            <w:vAlign w:val="center"/>
            <w:hideMark/>
          </w:tcPr>
          <w:p w14:paraId="31A61611"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w:t>
            </w:r>
          </w:p>
        </w:tc>
        <w:tc>
          <w:tcPr>
            <w:tcW w:w="0" w:type="auto"/>
            <w:vAlign w:val="center"/>
            <w:hideMark/>
          </w:tcPr>
          <w:p w14:paraId="4BA94BE3"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38D128C5"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1</w:t>
            </w:r>
          </w:p>
        </w:tc>
        <w:tc>
          <w:tcPr>
            <w:tcW w:w="0" w:type="auto"/>
            <w:vAlign w:val="center"/>
            <w:hideMark/>
          </w:tcPr>
          <w:p w14:paraId="4B15D738" w14:textId="77777777" w:rsidR="00335B28" w:rsidRPr="00335B28" w:rsidRDefault="00335B28" w:rsidP="00335B28">
            <w:pPr>
              <w:spacing w:line="240" w:lineRule="auto"/>
              <w:jc w:val="center"/>
              <w:rPr>
                <w:rFonts w:ascii="Times New Roman" w:hAnsi="Times New Roman" w:cs="Times New Roman"/>
                <w:sz w:val="22"/>
                <w:szCs w:val="22"/>
                <w:lang w:val="en-IN"/>
              </w:rPr>
            </w:pPr>
            <w:r w:rsidRPr="00335B28">
              <w:rPr>
                <w:rFonts w:ascii="Times New Roman" w:hAnsi="Times New Roman" w:cs="Times New Roman"/>
                <w:sz w:val="22"/>
                <w:szCs w:val="22"/>
                <w:lang w:val="en-IN"/>
              </w:rPr>
              <w:t>0.0</w:t>
            </w:r>
          </w:p>
        </w:tc>
      </w:tr>
    </w:tbl>
    <w:p w14:paraId="69262C38" w14:textId="4E917873" w:rsidR="00335B28" w:rsidRDefault="00335B28" w:rsidP="00686107">
      <w:pPr>
        <w:rPr>
          <w:rFonts w:ascii="Times New Roman" w:hAnsi="Times New Roman" w:cs="Times New Roman"/>
          <w:sz w:val="22"/>
          <w:szCs w:val="22"/>
        </w:rPr>
      </w:pPr>
      <w:r w:rsidRPr="00335B28">
        <w:rPr>
          <w:rFonts w:ascii="Times New Roman" w:hAnsi="Times New Roman" w:cs="Times New Roman"/>
          <w:b/>
          <w:bCs/>
          <w:i/>
          <w:iCs/>
          <w:sz w:val="22"/>
          <w:szCs w:val="22"/>
        </w:rPr>
        <w:t>Supplementary Table S3.</w:t>
      </w:r>
      <w:r w:rsidRPr="00335B28">
        <w:rPr>
          <w:rFonts w:ascii="Times New Roman" w:hAnsi="Times New Roman" w:cs="Times New Roman"/>
          <w:sz w:val="22"/>
          <w:szCs w:val="22"/>
        </w:rPr>
        <w:t xml:space="preserve"> Distribution of postoperative dysphagia outcomes across cumulative risk score categories in the independent </w:t>
      </w:r>
      <w:r>
        <w:rPr>
          <w:rFonts w:ascii="Times New Roman" w:hAnsi="Times New Roman" w:cs="Times New Roman"/>
          <w:sz w:val="22"/>
          <w:szCs w:val="22"/>
        </w:rPr>
        <w:t xml:space="preserve">validation </w:t>
      </w:r>
      <w:r w:rsidRPr="00335B28">
        <w:rPr>
          <w:rFonts w:ascii="Times New Roman" w:hAnsi="Times New Roman" w:cs="Times New Roman"/>
          <w:sz w:val="22"/>
          <w:szCs w:val="22"/>
        </w:rPr>
        <w:t>cohort. The proportion dysphagia (%) represents the percentage of patients within each score category who developed new-onset postoperative dysphagia following anti-reflux surgery.</w:t>
      </w:r>
    </w:p>
    <w:p w14:paraId="09921CFD" w14:textId="77777777" w:rsidR="00335B28" w:rsidRDefault="00335B28" w:rsidP="00686107">
      <w:pPr>
        <w:rPr>
          <w:rFonts w:ascii="Times New Roman" w:hAnsi="Times New Roman" w:cs="Times New Roman"/>
          <w:sz w:val="22"/>
          <w:szCs w:val="22"/>
        </w:rPr>
      </w:pPr>
    </w:p>
    <w:p w14:paraId="33396245" w14:textId="053E2E28" w:rsidR="00335B28" w:rsidRDefault="00D10541" w:rsidP="00686107">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3D7D6F6D" wp14:editId="458AB3A0">
            <wp:extent cx="5731510" cy="3820795"/>
            <wp:effectExtent l="0" t="0" r="0" b="1905"/>
            <wp:docPr id="9356978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697842" name="Picture 93569784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40689" cy="3826914"/>
                    </a:xfrm>
                    <a:prstGeom prst="rect">
                      <a:avLst/>
                    </a:prstGeom>
                  </pic:spPr>
                </pic:pic>
              </a:graphicData>
            </a:graphic>
          </wp:inline>
        </w:drawing>
      </w:r>
    </w:p>
    <w:p w14:paraId="2B621F8E" w14:textId="7BE22174" w:rsidR="00D10541" w:rsidRPr="00D10541" w:rsidRDefault="00D10541" w:rsidP="00686107">
      <w:pPr>
        <w:rPr>
          <w:rFonts w:ascii="Times New Roman" w:hAnsi="Times New Roman" w:cs="Times New Roman"/>
          <w:sz w:val="22"/>
          <w:szCs w:val="22"/>
        </w:rPr>
      </w:pPr>
      <w:r w:rsidRPr="00D10541">
        <w:rPr>
          <w:rFonts w:ascii="Times New Roman" w:hAnsi="Times New Roman" w:cs="Times New Roman"/>
          <w:b/>
          <w:bCs/>
          <w:i/>
          <w:iCs/>
          <w:sz w:val="22"/>
          <w:szCs w:val="22"/>
        </w:rPr>
        <w:t>Supplementary Figure S1.</w:t>
      </w:r>
      <w:r w:rsidRPr="00D10541">
        <w:rPr>
          <w:rFonts w:ascii="Times New Roman" w:hAnsi="Times New Roman" w:cs="Times New Roman"/>
          <w:i/>
          <w:iCs/>
          <w:sz w:val="22"/>
          <w:szCs w:val="22"/>
        </w:rPr>
        <w:br/>
      </w:r>
      <w:r w:rsidRPr="00D10541">
        <w:rPr>
          <w:rFonts w:ascii="Times New Roman" w:hAnsi="Times New Roman" w:cs="Times New Roman"/>
          <w:sz w:val="22"/>
          <w:szCs w:val="22"/>
        </w:rPr>
        <w:t>Overview of study design and workflow for development of the interpretable machine learning</w:t>
      </w:r>
      <w:r w:rsidR="00135277">
        <w:rPr>
          <w:rFonts w:ascii="Times New Roman" w:hAnsi="Times New Roman" w:cs="Times New Roman"/>
          <w:sz w:val="22"/>
          <w:szCs w:val="22"/>
        </w:rPr>
        <w:t xml:space="preserve"> </w:t>
      </w:r>
      <w:r w:rsidRPr="00D10541">
        <w:rPr>
          <w:rFonts w:ascii="Times New Roman" w:hAnsi="Times New Roman" w:cs="Times New Roman"/>
          <w:sz w:val="22"/>
          <w:szCs w:val="22"/>
        </w:rPr>
        <w:t>derived dysphagia risk score. A total of 878 patients undergoing anti-reflux surgery were screened, of whom 428 patients met inclusion criteria and were divided into derivation (n=362) and independent validation (n=66) cohorts. Preoperative physiologic assessment included Bravo pH impedance monitoring, high-resolution manometry (HRM), impedance planimetry (EndoFLIP), and GERD-HRQL symptom assessment. Multivariable modeling and interaction analysis were performed in the derivation cohort to construct a threshold-based point scoring system, which was subsequently applied for postoperative dysphagia risk stratification.</w:t>
      </w:r>
    </w:p>
    <w:p w14:paraId="01153C3F" w14:textId="77777777" w:rsidR="00D10541" w:rsidRPr="00686107" w:rsidRDefault="00D10541" w:rsidP="00686107">
      <w:pPr>
        <w:rPr>
          <w:rFonts w:ascii="Times New Roman" w:hAnsi="Times New Roman" w:cs="Times New Roman"/>
          <w:sz w:val="22"/>
          <w:szCs w:val="22"/>
        </w:rPr>
      </w:pPr>
    </w:p>
    <w:p w14:paraId="0CB75CC6" w14:textId="6548336C" w:rsidR="00D432AC" w:rsidRDefault="00D432AC" w:rsidP="00A61EC2">
      <w:pPr>
        <w:rPr>
          <w:rFonts w:ascii="Times New Roman" w:hAnsi="Times New Roman" w:cs="Times New Roman"/>
          <w:sz w:val="22"/>
          <w:szCs w:val="22"/>
        </w:rPr>
      </w:pPr>
      <w:r>
        <w:rPr>
          <w:rFonts w:ascii="Arial" w:hAnsi="Arial" w:cs="Arial"/>
          <w:noProof/>
          <w:color w:val="000000"/>
          <w:sz w:val="22"/>
          <w:szCs w:val="22"/>
          <w:bdr w:val="none" w:sz="0" w:space="0" w:color="auto" w:frame="1"/>
        </w:rPr>
        <w:lastRenderedPageBreak/>
        <w:drawing>
          <wp:inline distT="0" distB="0" distL="0" distR="0" wp14:anchorId="4E79CFFF" wp14:editId="50419D07">
            <wp:extent cx="5731510" cy="5598160"/>
            <wp:effectExtent l="0" t="0" r="0" b="2540"/>
            <wp:docPr id="729293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5598160"/>
                    </a:xfrm>
                    <a:prstGeom prst="rect">
                      <a:avLst/>
                    </a:prstGeom>
                    <a:noFill/>
                    <a:ln>
                      <a:noFill/>
                    </a:ln>
                  </pic:spPr>
                </pic:pic>
              </a:graphicData>
            </a:graphic>
          </wp:inline>
        </w:drawing>
      </w:r>
      <w:r>
        <w:rPr>
          <w:rFonts w:ascii="Times New Roman" w:hAnsi="Times New Roman" w:cs="Times New Roman"/>
        </w:rPr>
        <w:br/>
      </w:r>
      <w:r w:rsidR="00C1151D" w:rsidRPr="00A61EC2">
        <w:rPr>
          <w:rFonts w:ascii="Times New Roman" w:hAnsi="Times New Roman" w:cs="Times New Roman"/>
          <w:b/>
          <w:bCs/>
          <w:i/>
          <w:iCs/>
          <w:sz w:val="22"/>
          <w:szCs w:val="22"/>
        </w:rPr>
        <w:t>Supplementary Figure S</w:t>
      </w:r>
      <w:r w:rsidR="007C0CEE">
        <w:rPr>
          <w:rFonts w:ascii="Times New Roman" w:hAnsi="Times New Roman" w:cs="Times New Roman"/>
          <w:b/>
          <w:bCs/>
          <w:i/>
          <w:iCs/>
          <w:sz w:val="22"/>
          <w:szCs w:val="22"/>
        </w:rPr>
        <w:t>2</w:t>
      </w:r>
      <w:r w:rsidR="00C1151D" w:rsidRPr="00A61EC2">
        <w:rPr>
          <w:rFonts w:ascii="Times New Roman" w:hAnsi="Times New Roman" w:cs="Times New Roman"/>
          <w:b/>
          <w:bCs/>
          <w:i/>
          <w:iCs/>
          <w:sz w:val="22"/>
          <w:szCs w:val="22"/>
        </w:rPr>
        <w:t>.</w:t>
      </w:r>
      <w:r w:rsidR="00A61EC2">
        <w:rPr>
          <w:rFonts w:ascii="Times New Roman" w:hAnsi="Times New Roman" w:cs="Times New Roman"/>
          <w:sz w:val="22"/>
          <w:szCs w:val="22"/>
        </w:rPr>
        <w:br/>
      </w:r>
      <w:r w:rsidR="00C1151D" w:rsidRPr="00C1151D">
        <w:rPr>
          <w:rFonts w:ascii="Times New Roman" w:hAnsi="Times New Roman" w:cs="Times New Roman"/>
          <w:sz w:val="22"/>
          <w:szCs w:val="22"/>
        </w:rPr>
        <w:t>Distribution histograms demonstrating model-derived thresholds for key physiologic and interaction-based predictors incorporated into the dysphagia risk score. Blue distributions represent patients without postoperative dysphagia (class 0), whereas orange distributions represent patients who developed postoperative dysphagia (class 1). Red dashed lines indicate optimized classification thresholds derived during model development. Features shown include interaction terms between reflux burden, esophageal contractility, body mass index, age, and EndoFLIP-derived distensibility metrics.</w:t>
      </w:r>
    </w:p>
    <w:p w14:paraId="5420E862" w14:textId="77777777" w:rsidR="001E2432" w:rsidRDefault="001E2432" w:rsidP="00A61EC2">
      <w:pPr>
        <w:rPr>
          <w:rFonts w:ascii="Times New Roman" w:hAnsi="Times New Roman" w:cs="Times New Roman"/>
          <w:b/>
          <w:bCs/>
          <w:i/>
          <w:iCs/>
          <w:sz w:val="22"/>
          <w:szCs w:val="22"/>
        </w:rPr>
      </w:pPr>
    </w:p>
    <w:p w14:paraId="5CD89577" w14:textId="29BDFBB9" w:rsidR="001E2432" w:rsidRDefault="001E2432" w:rsidP="00A61EC2">
      <w:pPr>
        <w:rPr>
          <w:rFonts w:ascii="Times New Roman" w:hAnsi="Times New Roman" w:cs="Times New Roman"/>
          <w:sz w:val="22"/>
          <w:szCs w:val="22"/>
        </w:rPr>
      </w:pPr>
      <w:r>
        <w:rPr>
          <w:rFonts w:ascii="Arial" w:hAnsi="Arial" w:cs="Arial"/>
          <w:b/>
          <w:bCs/>
          <w:noProof/>
          <w:color w:val="000000"/>
          <w:sz w:val="22"/>
          <w:szCs w:val="22"/>
          <w:bdr w:val="none" w:sz="0" w:space="0" w:color="auto" w:frame="1"/>
        </w:rPr>
        <w:lastRenderedPageBreak/>
        <w:drawing>
          <wp:inline distT="0" distB="0" distL="0" distR="0" wp14:anchorId="127AFB52" wp14:editId="785CA106">
            <wp:extent cx="3891280" cy="3164377"/>
            <wp:effectExtent l="0" t="0" r="0" b="0"/>
            <wp:docPr id="663682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13107" cy="3182127"/>
                    </a:xfrm>
                    <a:prstGeom prst="rect">
                      <a:avLst/>
                    </a:prstGeom>
                    <a:noFill/>
                    <a:ln>
                      <a:noFill/>
                    </a:ln>
                  </pic:spPr>
                </pic:pic>
              </a:graphicData>
            </a:graphic>
          </wp:inline>
        </w:drawing>
      </w:r>
      <w:r w:rsidR="00F967A4">
        <w:rPr>
          <w:rFonts w:ascii="Times New Roman" w:hAnsi="Times New Roman" w:cs="Times New Roman"/>
          <w:b/>
          <w:bCs/>
          <w:i/>
          <w:iCs/>
          <w:sz w:val="22"/>
          <w:szCs w:val="22"/>
        </w:rPr>
        <w:br/>
      </w:r>
      <w:r w:rsidRPr="001E2432">
        <w:rPr>
          <w:rFonts w:ascii="Times New Roman" w:hAnsi="Times New Roman" w:cs="Times New Roman"/>
          <w:b/>
          <w:bCs/>
          <w:i/>
          <w:iCs/>
          <w:sz w:val="22"/>
          <w:szCs w:val="22"/>
        </w:rPr>
        <w:t>Supplementary Figure S</w:t>
      </w:r>
      <w:r w:rsidR="007C0CEE">
        <w:rPr>
          <w:rFonts w:ascii="Times New Roman" w:hAnsi="Times New Roman" w:cs="Times New Roman"/>
          <w:b/>
          <w:bCs/>
          <w:i/>
          <w:iCs/>
          <w:sz w:val="22"/>
          <w:szCs w:val="22"/>
        </w:rPr>
        <w:t>3</w:t>
      </w:r>
      <w:r w:rsidRPr="001E2432">
        <w:rPr>
          <w:rFonts w:ascii="Times New Roman" w:hAnsi="Times New Roman" w:cs="Times New Roman"/>
          <w:b/>
          <w:bCs/>
          <w:i/>
          <w:iCs/>
          <w:sz w:val="22"/>
          <w:szCs w:val="22"/>
        </w:rPr>
        <w:t>.</w:t>
      </w:r>
      <w:r w:rsidRPr="001E2432">
        <w:rPr>
          <w:rFonts w:ascii="Times New Roman" w:hAnsi="Times New Roman" w:cs="Times New Roman"/>
          <w:i/>
          <w:iCs/>
          <w:sz w:val="22"/>
          <w:szCs w:val="22"/>
        </w:rPr>
        <w:br/>
      </w:r>
      <w:r w:rsidRPr="001E2432">
        <w:rPr>
          <w:rFonts w:ascii="Times New Roman" w:hAnsi="Times New Roman" w:cs="Times New Roman"/>
          <w:sz w:val="22"/>
          <w:szCs w:val="22"/>
        </w:rPr>
        <w:t>Bar plot demonstrating the distribution of postoperative dysphagia outcomes across cumulative risk score categories in the derivation cohort. Blue bars represent patients without postoperative dysphagia (Bazaz score negative), whereas orange bars represent patients who developed new-onset postoperative dysphagia (Bazaz score positive). Increasing risk scores were associated with progressive enrichment of dysphagia cases, supporting the discriminatory capacity of the interpretable scoring framework.</w:t>
      </w:r>
    </w:p>
    <w:p w14:paraId="1854C720" w14:textId="77777777" w:rsidR="00910F16" w:rsidRPr="001E2432" w:rsidRDefault="00910F16" w:rsidP="00A61EC2">
      <w:pPr>
        <w:rPr>
          <w:rFonts w:ascii="Times New Roman" w:hAnsi="Times New Roman" w:cs="Times New Roman"/>
          <w:b/>
          <w:bCs/>
          <w:i/>
          <w:iCs/>
          <w:sz w:val="22"/>
          <w:szCs w:val="22"/>
        </w:rPr>
      </w:pPr>
    </w:p>
    <w:p w14:paraId="4F84058E" w14:textId="4AD52684" w:rsidR="001E2432" w:rsidRPr="00910F16" w:rsidRDefault="001E2432" w:rsidP="00A61EC2">
      <w:pPr>
        <w:rPr>
          <w:rFonts w:ascii="Times New Roman" w:hAnsi="Times New Roman" w:cs="Times New Roman"/>
          <w:b/>
          <w:bCs/>
          <w:i/>
          <w:iCs/>
          <w:sz w:val="22"/>
          <w:szCs w:val="22"/>
        </w:rPr>
      </w:pPr>
      <w:r>
        <w:rPr>
          <w:rFonts w:ascii="Arial" w:hAnsi="Arial" w:cs="Arial"/>
          <w:b/>
          <w:bCs/>
          <w:noProof/>
          <w:color w:val="000000"/>
          <w:sz w:val="22"/>
          <w:szCs w:val="22"/>
          <w:bdr w:val="none" w:sz="0" w:space="0" w:color="auto" w:frame="1"/>
        </w:rPr>
        <w:drawing>
          <wp:inline distT="0" distB="0" distL="0" distR="0" wp14:anchorId="1744916F" wp14:editId="725F3A26">
            <wp:extent cx="4008474" cy="3256604"/>
            <wp:effectExtent l="0" t="0" r="5080" b="0"/>
            <wp:docPr id="11368273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27161" cy="3271786"/>
                    </a:xfrm>
                    <a:prstGeom prst="rect">
                      <a:avLst/>
                    </a:prstGeom>
                    <a:noFill/>
                    <a:ln>
                      <a:noFill/>
                    </a:ln>
                  </pic:spPr>
                </pic:pic>
              </a:graphicData>
            </a:graphic>
          </wp:inline>
        </w:drawing>
      </w:r>
      <w:r w:rsidR="00910F16">
        <w:rPr>
          <w:rFonts w:ascii="Times New Roman" w:hAnsi="Times New Roman" w:cs="Times New Roman"/>
          <w:b/>
          <w:bCs/>
          <w:i/>
          <w:iCs/>
          <w:sz w:val="22"/>
          <w:szCs w:val="22"/>
        </w:rPr>
        <w:br/>
      </w:r>
      <w:r w:rsidRPr="001E2432">
        <w:rPr>
          <w:rFonts w:ascii="Times New Roman" w:hAnsi="Times New Roman" w:cs="Times New Roman"/>
          <w:b/>
          <w:bCs/>
          <w:i/>
          <w:iCs/>
          <w:sz w:val="22"/>
          <w:szCs w:val="22"/>
        </w:rPr>
        <w:t>Supplementary Figure S</w:t>
      </w:r>
      <w:r w:rsidR="007C0CEE">
        <w:rPr>
          <w:rFonts w:ascii="Times New Roman" w:hAnsi="Times New Roman" w:cs="Times New Roman"/>
          <w:b/>
          <w:bCs/>
          <w:i/>
          <w:iCs/>
          <w:sz w:val="22"/>
          <w:szCs w:val="22"/>
        </w:rPr>
        <w:t>4</w:t>
      </w:r>
      <w:r w:rsidRPr="001E2432">
        <w:rPr>
          <w:rFonts w:ascii="Times New Roman" w:hAnsi="Times New Roman" w:cs="Times New Roman"/>
          <w:b/>
          <w:bCs/>
          <w:i/>
          <w:iCs/>
          <w:sz w:val="22"/>
          <w:szCs w:val="22"/>
        </w:rPr>
        <w:t>.</w:t>
      </w:r>
      <w:r w:rsidRPr="001E2432">
        <w:rPr>
          <w:rFonts w:ascii="Times New Roman" w:hAnsi="Times New Roman" w:cs="Times New Roman"/>
          <w:sz w:val="22"/>
          <w:szCs w:val="22"/>
        </w:rPr>
        <w:br/>
        <w:t xml:space="preserve">Bar plot demonstrating the distribution of postoperative dysphagia outcomes across cumulative risk score categories in the independent validation cohort. Blue bars represent patients without </w:t>
      </w:r>
      <w:r w:rsidRPr="001E2432">
        <w:rPr>
          <w:rFonts w:ascii="Times New Roman" w:hAnsi="Times New Roman" w:cs="Times New Roman"/>
          <w:sz w:val="22"/>
          <w:szCs w:val="22"/>
        </w:rPr>
        <w:lastRenderedPageBreak/>
        <w:t>postoperative dysphagia (Bazaz score negative), whereas orange bars represent patients who developed new-onset postoperative dysphagia (Bazaz score positive). Despite reduced cohort size, higher cumulative risk scores remained associated with enrichment of dysphagia cases, supporting preservation of risk stratification performance in the holdout dataset.</w:t>
      </w:r>
    </w:p>
    <w:p w14:paraId="2034C3AD" w14:textId="77777777" w:rsidR="001E2432" w:rsidRPr="00A61EC2" w:rsidRDefault="001E2432" w:rsidP="00A61EC2">
      <w:pPr>
        <w:rPr>
          <w:rFonts w:ascii="Times New Roman" w:hAnsi="Times New Roman" w:cs="Times New Roman"/>
          <w:sz w:val="22"/>
          <w:szCs w:val="22"/>
        </w:rPr>
      </w:pPr>
    </w:p>
    <w:sectPr w:rsidR="001E2432" w:rsidRPr="00A61E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35"/>
    <w:rsid w:val="00046605"/>
    <w:rsid w:val="00046A52"/>
    <w:rsid w:val="000D3170"/>
    <w:rsid w:val="00135277"/>
    <w:rsid w:val="00137BB0"/>
    <w:rsid w:val="001D7B28"/>
    <w:rsid w:val="001E2432"/>
    <w:rsid w:val="002127A2"/>
    <w:rsid w:val="002234DB"/>
    <w:rsid w:val="002D580C"/>
    <w:rsid w:val="002E1885"/>
    <w:rsid w:val="003103DA"/>
    <w:rsid w:val="00335B28"/>
    <w:rsid w:val="0035478A"/>
    <w:rsid w:val="00464FEE"/>
    <w:rsid w:val="00485E7B"/>
    <w:rsid w:val="005234BE"/>
    <w:rsid w:val="005E3570"/>
    <w:rsid w:val="00686107"/>
    <w:rsid w:val="006B5133"/>
    <w:rsid w:val="007027B9"/>
    <w:rsid w:val="00724BB5"/>
    <w:rsid w:val="007753FF"/>
    <w:rsid w:val="00793F87"/>
    <w:rsid w:val="00796827"/>
    <w:rsid w:val="007C0CEE"/>
    <w:rsid w:val="007D5117"/>
    <w:rsid w:val="0080037D"/>
    <w:rsid w:val="00910F16"/>
    <w:rsid w:val="009166A7"/>
    <w:rsid w:val="00A16988"/>
    <w:rsid w:val="00A61EC2"/>
    <w:rsid w:val="00A900DF"/>
    <w:rsid w:val="00AC5CB7"/>
    <w:rsid w:val="00BC186B"/>
    <w:rsid w:val="00BE7335"/>
    <w:rsid w:val="00C0437A"/>
    <w:rsid w:val="00C1151D"/>
    <w:rsid w:val="00D10541"/>
    <w:rsid w:val="00D432AC"/>
    <w:rsid w:val="00E2109A"/>
    <w:rsid w:val="00F06EA6"/>
    <w:rsid w:val="00F705AD"/>
    <w:rsid w:val="00F967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C8A6"/>
  <w15:chartTrackingRefBased/>
  <w15:docId w15:val="{80468A7F-604C-9740-AA6B-8DF813A8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BE73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73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73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73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73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73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3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3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3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335"/>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BE7335"/>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BE7335"/>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BE7335"/>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BE7335"/>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BE7335"/>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E7335"/>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BE7335"/>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E7335"/>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BE73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335"/>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E73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335"/>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BE7335"/>
    <w:pPr>
      <w:spacing w:before="160"/>
      <w:jc w:val="center"/>
    </w:pPr>
    <w:rPr>
      <w:i/>
      <w:iCs/>
      <w:color w:val="404040" w:themeColor="text1" w:themeTint="BF"/>
    </w:rPr>
  </w:style>
  <w:style w:type="character" w:customStyle="1" w:styleId="QuoteChar">
    <w:name w:val="Quote Char"/>
    <w:basedOn w:val="DefaultParagraphFont"/>
    <w:link w:val="Quote"/>
    <w:uiPriority w:val="29"/>
    <w:rsid w:val="00BE7335"/>
    <w:rPr>
      <w:i/>
      <w:iCs/>
      <w:color w:val="404040" w:themeColor="text1" w:themeTint="BF"/>
      <w:lang w:val="en-US"/>
    </w:rPr>
  </w:style>
  <w:style w:type="paragraph" w:styleId="ListParagraph">
    <w:name w:val="List Paragraph"/>
    <w:basedOn w:val="Normal"/>
    <w:uiPriority w:val="34"/>
    <w:qFormat/>
    <w:rsid w:val="00BE7335"/>
    <w:pPr>
      <w:ind w:left="720"/>
      <w:contextualSpacing/>
    </w:pPr>
  </w:style>
  <w:style w:type="character" w:styleId="IntenseEmphasis">
    <w:name w:val="Intense Emphasis"/>
    <w:basedOn w:val="DefaultParagraphFont"/>
    <w:uiPriority w:val="21"/>
    <w:qFormat/>
    <w:rsid w:val="00BE7335"/>
    <w:rPr>
      <w:i/>
      <w:iCs/>
      <w:color w:val="0F4761" w:themeColor="accent1" w:themeShade="BF"/>
    </w:rPr>
  </w:style>
  <w:style w:type="paragraph" w:styleId="IntenseQuote">
    <w:name w:val="Intense Quote"/>
    <w:basedOn w:val="Normal"/>
    <w:next w:val="Normal"/>
    <w:link w:val="IntenseQuoteChar"/>
    <w:uiPriority w:val="30"/>
    <w:qFormat/>
    <w:rsid w:val="00BE73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7335"/>
    <w:rPr>
      <w:i/>
      <w:iCs/>
      <w:color w:val="0F4761" w:themeColor="accent1" w:themeShade="BF"/>
      <w:lang w:val="en-US"/>
    </w:rPr>
  </w:style>
  <w:style w:type="character" w:styleId="IntenseReference">
    <w:name w:val="Intense Reference"/>
    <w:basedOn w:val="DefaultParagraphFont"/>
    <w:uiPriority w:val="32"/>
    <w:qFormat/>
    <w:rsid w:val="00BE73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Anjani Turaga</dc:creator>
  <cp:keywords/>
  <dc:description/>
  <cp:lastModifiedBy>Anjani Turaga</cp:lastModifiedBy>
  <cp:revision>21</cp:revision>
  <dcterms:created xsi:type="dcterms:W3CDTF">2026-05-25T01:56:00Z</dcterms:created>
  <dcterms:modified xsi:type="dcterms:W3CDTF">2026-05-25T02:25:00Z</dcterms:modified>
</cp:coreProperties>
</file>