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Georgia" w:cs="Georgia" w:eastAsia="Georgia" w:hAnsi="Georgia"/>
          <w:b w:val="1"/>
          <w:bCs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4"/>
          <w:szCs w:val="24"/>
          <w:rtl w:val="0"/>
        </w:rPr>
        <w:t xml:space="preserve">Additional File 3</w:t>
      </w:r>
    </w:p>
    <w:p w:rsidR="00000000" w:rsidDel="00000000" w:rsidP="00000000" w:rsidRDefault="00000000" w:rsidRPr="00000000" w14:paraId="00000002">
      <w:pPr>
        <w:jc w:val="center"/>
        <w:rPr>
          <w:rFonts w:ascii="Georgia" w:cs="Georgia" w:eastAsia="Georgia" w:hAnsi="Georgia"/>
          <w:b w:val="1"/>
          <w:bCs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4"/>
          <w:szCs w:val="24"/>
          <w:rtl w:val="0"/>
        </w:rPr>
        <w:t xml:space="preserve">Factor Structure </w:t>
      </w:r>
    </w:p>
    <w:p w:rsidR="00000000" w:rsidDel="00000000" w:rsidP="00000000" w:rsidRDefault="00000000" w:rsidRPr="00000000" w14:paraId="00000003">
      <w:pPr>
        <w:rPr>
          <w:rFonts w:ascii="Georgia" w:cs="Georgia" w:eastAsia="Georgia" w:hAnsi="Georgi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Georgia" w:cs="Georgia" w:eastAsia="Georgia" w:hAnsi="Georgia"/>
          <w:b w:val="1"/>
          <w:bCs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4"/>
          <w:szCs w:val="24"/>
          <w:rtl w:val="0"/>
        </w:rPr>
        <w:t xml:space="preserve">Table: Multilevel Confirmatory Factor Analysis Model Fit Indices and Diagnostics - Study I</w:t>
      </w:r>
    </w:p>
    <w:tbl>
      <w:tblPr>
        <w:tblStyle w:val="Table1"/>
        <w:tblW w:w="93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05"/>
        <w:gridCol w:w="1245"/>
        <w:gridCol w:w="480"/>
        <w:gridCol w:w="795"/>
        <w:gridCol w:w="735"/>
        <w:gridCol w:w="915"/>
        <w:gridCol w:w="960"/>
        <w:gridCol w:w="1200"/>
        <w:gridCol w:w="1995"/>
        <w:tblGridChange w:id="0">
          <w:tblGrid>
            <w:gridCol w:w="1005"/>
            <w:gridCol w:w="1245"/>
            <w:gridCol w:w="480"/>
            <w:gridCol w:w="795"/>
            <w:gridCol w:w="735"/>
            <w:gridCol w:w="915"/>
            <w:gridCol w:w="960"/>
            <w:gridCol w:w="1200"/>
            <w:gridCol w:w="1995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Model 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Chi</w:t>
            </w: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df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CFI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TLI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RMSEA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SRMR (Within)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SRMR (Between)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Comments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Model 1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752.290***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52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0.924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0.894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0.080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0.067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0.070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Heywood case for Item 10 at between- level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Model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752.828***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0.924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0.896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0.079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0.067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0.071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High MI and EPC between Item 3 and 4. Massive residual variance and weak loadings of Item 6.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Model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204.675***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0.981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0.971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0.046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0.038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0.046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Heywood case for Item 5 at between- level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Model 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210.558***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0.980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0.971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0.046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0.038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0.050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Excellent fit </w:t>
            </w:r>
          </w:p>
        </w:tc>
      </w:tr>
    </w:tbl>
    <w:p w:rsidR="00000000" w:rsidDel="00000000" w:rsidP="00000000" w:rsidRDefault="00000000" w:rsidRPr="00000000" w14:paraId="00000032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Georgia" w:cs="Georgia" w:eastAsia="Georgia" w:hAnsi="Georgia"/>
          <w:b w:val="1"/>
          <w:bCs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4"/>
          <w:szCs w:val="24"/>
          <w:rtl w:val="0"/>
        </w:rPr>
        <w:t xml:space="preserve">Table: Within- and Between-Person Standardized Factor Loadings and Factor Correlations - Study I</w:t>
      </w:r>
    </w:p>
    <w:tbl>
      <w:tblPr>
        <w:tblStyle w:val="Table2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2"/>
        <w:gridCol w:w="1805.2"/>
        <w:gridCol w:w="1805.2"/>
        <w:gridCol w:w="1805.2"/>
        <w:gridCol w:w="1805.2"/>
        <w:tblGridChange w:id="0">
          <w:tblGrid>
            <w:gridCol w:w="1805.2"/>
            <w:gridCol w:w="1805.2"/>
            <w:gridCol w:w="1805.2"/>
            <w:gridCol w:w="1805.2"/>
            <w:gridCol w:w="1805.2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vMerge w:val="restart"/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Within-Person </w:t>
            </w:r>
          </w:p>
        </w:tc>
        <w:tc>
          <w:tcPr>
            <w:gridSpan w:val="2"/>
            <w:tcBorders>
              <w:lef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Between-Person 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1f1f1f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Factor 1 </w:t>
            </w:r>
          </w:p>
        </w:tc>
        <w:tc>
          <w:tcPr>
            <w:tcBorders>
              <w:left w:color="000000" w:space="0" w:sz="0" w:val="nil"/>
              <w:bottom w:color="1f1f1f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Factor 2</w:t>
            </w:r>
          </w:p>
        </w:tc>
        <w:tc>
          <w:tcPr>
            <w:tcBorders>
              <w:left w:color="000000" w:space="0" w:sz="0" w:val="nil"/>
              <w:bottom w:color="1f1f1f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Factor 1 </w:t>
            </w:r>
          </w:p>
        </w:tc>
        <w:tc>
          <w:tcPr>
            <w:tcBorders>
              <w:left w:color="000000" w:space="0" w:sz="0" w:val="nil"/>
              <w:bottom w:color="1f1f1f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Factor 2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Item 3</w:t>
            </w:r>
          </w:p>
        </w:tc>
        <w:tc>
          <w:tcPr>
            <w:tcBorders>
              <w:top w:color="1f1f1f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0.606</w:t>
            </w:r>
          </w:p>
        </w:tc>
        <w:tc>
          <w:tcPr>
            <w:tcBorders>
              <w:top w:color="1f1f1f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—</w:t>
            </w:r>
          </w:p>
        </w:tc>
        <w:tc>
          <w:tcPr>
            <w:tcBorders>
              <w:top w:color="1f1f1f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0.910</w:t>
            </w:r>
          </w:p>
        </w:tc>
        <w:tc>
          <w:tcPr>
            <w:tcBorders>
              <w:top w:color="1f1f1f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—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Item 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0.666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—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0.926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—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Item 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0.915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—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—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Item 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0.581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—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0.864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—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Item 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—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0.649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—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0.909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Item 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—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0.789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—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0.977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Item 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—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0.908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—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1.000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Item 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f1f1f" w:space="0" w:sz="8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—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f1f1f" w:space="0" w:sz="8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0.782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f1f1f" w:space="0" w:sz="8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—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f1f1f" w:space="0" w:sz="8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0.961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Factor 1 - Factor 2 Correlation</w:t>
            </w:r>
          </w:p>
        </w:tc>
        <w:tc>
          <w:tcPr>
            <w:gridSpan w:val="2"/>
            <w:tcBorders>
              <w:top w:color="1f1f1f" w:space="0" w:sz="8" w:val="single"/>
              <w:lef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0.522</w:t>
            </w:r>
          </w:p>
        </w:tc>
        <w:tc>
          <w:tcPr>
            <w:gridSpan w:val="2"/>
            <w:tcBorders>
              <w:top w:color="1f1f1f" w:space="0" w:sz="8" w:val="single"/>
              <w:lef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0.574</w:t>
            </w:r>
          </w:p>
        </w:tc>
      </w:tr>
    </w:tbl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