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7831E" w14:textId="140CE3A2" w:rsidR="00E02B25" w:rsidRPr="001D295C" w:rsidRDefault="00E02B25" w:rsidP="00E02B25">
      <w:pPr>
        <w:jc w:val="both"/>
        <w:rPr>
          <w:rFonts w:ascii="Arial" w:hAnsi="Arial" w:cs="Arial"/>
          <w:b/>
          <w:bCs/>
          <w:sz w:val="20"/>
          <w:szCs w:val="20"/>
        </w:rPr>
      </w:pPr>
      <w:r w:rsidRPr="001D295C">
        <w:rPr>
          <w:rFonts w:ascii="Arial" w:hAnsi="Arial" w:cs="Arial"/>
          <w:b/>
          <w:bCs/>
          <w:sz w:val="20"/>
          <w:szCs w:val="20"/>
          <w:lang w:val="en-GB"/>
        </w:rPr>
        <w:t>Supplementary Information for “</w:t>
      </w:r>
      <w:r w:rsidRPr="001D295C">
        <w:rPr>
          <w:rFonts w:ascii="Arial" w:hAnsi="Arial" w:cs="Arial"/>
          <w:b/>
          <w:bCs/>
          <w:sz w:val="20"/>
          <w:szCs w:val="20"/>
        </w:rPr>
        <w:t xml:space="preserve">Nature-dependent lifeways are widely exposed to ecological novelty” </w:t>
      </w:r>
    </w:p>
    <w:p w14:paraId="6DACD234" w14:textId="1F5B6BE9" w:rsidR="00E02B25" w:rsidRPr="001D295C" w:rsidRDefault="00E02B25" w:rsidP="00E02B25">
      <w:pPr>
        <w:jc w:val="both"/>
        <w:rPr>
          <w:rFonts w:ascii="Arial" w:hAnsi="Arial" w:cs="Arial"/>
          <w:b/>
          <w:bCs/>
          <w:sz w:val="20"/>
          <w:szCs w:val="20"/>
          <w:lang w:val="en-GB"/>
        </w:rPr>
      </w:pPr>
      <w:r w:rsidRPr="001D295C">
        <w:rPr>
          <w:rFonts w:ascii="Arial" w:hAnsi="Arial" w:cs="Arial"/>
          <w:b/>
          <w:bCs/>
          <w:noProof/>
          <w:sz w:val="20"/>
          <w:szCs w:val="20"/>
          <w:lang w:val="en-GB"/>
        </w:rPr>
        <w:drawing>
          <wp:inline distT="0" distB="0" distL="0" distR="0" wp14:anchorId="5B288B65" wp14:editId="3D787F47">
            <wp:extent cx="6120765" cy="6120765"/>
            <wp:effectExtent l="0" t="0" r="0" b="0"/>
            <wp:docPr id="895721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21486"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p w14:paraId="1A08FEEB" w14:textId="77777777" w:rsidR="00E02B25" w:rsidRPr="001D295C" w:rsidRDefault="00E02B25" w:rsidP="00E02B25">
      <w:pPr>
        <w:jc w:val="both"/>
        <w:rPr>
          <w:rFonts w:ascii="Arial" w:hAnsi="Arial" w:cs="Arial"/>
          <w:b/>
          <w:bCs/>
          <w:sz w:val="20"/>
          <w:szCs w:val="20"/>
          <w:lang w:val="en-GB"/>
        </w:rPr>
      </w:pPr>
      <w:r w:rsidRPr="001D295C">
        <w:rPr>
          <w:rFonts w:ascii="Arial" w:hAnsi="Arial" w:cs="Arial"/>
          <w:b/>
          <w:bCs/>
          <w:sz w:val="20"/>
          <w:szCs w:val="20"/>
          <w:lang w:val="en-GB"/>
        </w:rPr>
        <w:t>Supplementary Figure 1 | Rural populations are differentially exposed to ecological novelty. a</w:t>
      </w:r>
      <w:r w:rsidRPr="001D295C">
        <w:rPr>
          <w:rFonts w:ascii="Arial" w:hAnsi="Arial" w:cs="Arial"/>
          <w:sz w:val="20"/>
          <w:szCs w:val="20"/>
          <w:lang w:val="en-GB"/>
        </w:rPr>
        <w:t xml:space="preserve">, the total rural population exposed to different levels of total ecological novelty is shown for the total population and two different levels of human modification, “moderate” (&lt;0.4 human modification index) and “low” (&lt;0.1 human modification index). </w:t>
      </w:r>
      <w:r w:rsidRPr="001D295C">
        <w:rPr>
          <w:rFonts w:ascii="Arial" w:hAnsi="Arial" w:cs="Arial"/>
          <w:b/>
          <w:bCs/>
          <w:sz w:val="20"/>
          <w:szCs w:val="20"/>
          <w:lang w:val="en-GB"/>
        </w:rPr>
        <w:t>b</w:t>
      </w:r>
      <w:r w:rsidRPr="001D295C">
        <w:rPr>
          <w:rFonts w:ascii="Arial" w:hAnsi="Arial" w:cs="Arial"/>
          <w:sz w:val="20"/>
          <w:szCs w:val="20"/>
          <w:lang w:val="en-GB"/>
        </w:rPr>
        <w:t xml:space="preserve">, the number of rural people exposed at different levels of three different novelty-generating processes: climate, mammal defaunation, and floristic disruption. Populations are highly exposed to climate and defaunation novelty at all levels, with disruption novelty falling more quickly, reflecting the global distribution of novelty-generating processes. </w:t>
      </w:r>
    </w:p>
    <w:p w14:paraId="662831BE" w14:textId="77777777" w:rsidR="00E02B25" w:rsidRPr="001D295C" w:rsidRDefault="00E02B25" w:rsidP="00E02B25">
      <w:pPr>
        <w:jc w:val="both"/>
        <w:rPr>
          <w:rFonts w:ascii="Arial" w:hAnsi="Arial" w:cs="Arial"/>
          <w:sz w:val="20"/>
          <w:szCs w:val="20"/>
          <w:lang w:val="en-GB"/>
        </w:rPr>
      </w:pPr>
      <w:r w:rsidRPr="001D295C">
        <w:rPr>
          <w:rFonts w:ascii="Arial" w:hAnsi="Arial" w:cs="Arial"/>
          <w:b/>
          <w:bCs/>
          <w:noProof/>
          <w:sz w:val="20"/>
          <w:szCs w:val="20"/>
          <w:lang w:val="en-GB"/>
        </w:rPr>
        <w:lastRenderedPageBreak/>
        <w:drawing>
          <wp:inline distT="0" distB="0" distL="0" distR="0" wp14:anchorId="52B79B9C" wp14:editId="68D9A130">
            <wp:extent cx="5731510" cy="3439160"/>
            <wp:effectExtent l="0" t="0" r="2540" b="8890"/>
            <wp:docPr id="574172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F0944F4" w14:textId="74E7C18E" w:rsidR="00B42726" w:rsidRPr="001D295C" w:rsidRDefault="00E02B25" w:rsidP="00E02B25">
      <w:pPr>
        <w:jc w:val="both"/>
        <w:rPr>
          <w:rFonts w:ascii="Arial" w:hAnsi="Arial" w:cs="Arial"/>
          <w:sz w:val="20"/>
          <w:szCs w:val="20"/>
          <w:lang w:val="en-GB"/>
        </w:rPr>
      </w:pPr>
      <w:r w:rsidRPr="001D295C">
        <w:rPr>
          <w:rFonts w:ascii="Arial" w:hAnsi="Arial" w:cs="Arial"/>
          <w:b/>
          <w:bCs/>
          <w:sz w:val="20"/>
          <w:szCs w:val="20"/>
          <w:lang w:val="en-GB"/>
        </w:rPr>
        <w:t xml:space="preserve">Supplementary Figure 2 | The human modification index (HMI) has a weak relationship with ecological novelty. </w:t>
      </w:r>
      <w:r w:rsidRPr="001D295C">
        <w:rPr>
          <w:rFonts w:ascii="Arial" w:hAnsi="Arial" w:cs="Arial"/>
          <w:sz w:val="20"/>
          <w:szCs w:val="20"/>
          <w:lang w:val="en-GB"/>
        </w:rPr>
        <w:t xml:space="preserve">Ecological novelty is most concentrated in areas with low human modification index, highlighted by the density plot. Levels in the density plot show the number of cells out of a 10x10km resolution global map of terrestrial novelty (see Figure 1). The fitted line is the result of a generalised additive model with the formula </w:t>
      </w:r>
      <w:r w:rsidRPr="001D295C">
        <w:rPr>
          <w:rFonts w:ascii="Arial" w:hAnsi="Arial" w:cs="Arial"/>
          <w:i/>
          <w:iCs/>
          <w:sz w:val="20"/>
          <w:szCs w:val="20"/>
          <w:lang w:val="en-GB"/>
        </w:rPr>
        <w:t>HMI ~ Novelty</w:t>
      </w:r>
      <w:r w:rsidRPr="001D295C">
        <w:rPr>
          <w:rFonts w:ascii="Arial" w:hAnsi="Arial" w:cs="Arial"/>
          <w:sz w:val="20"/>
          <w:szCs w:val="20"/>
          <w:lang w:val="en-GB"/>
        </w:rPr>
        <w:t>, where novelty is smoothed using a cubic spline.</w:t>
      </w:r>
    </w:p>
    <w:p w14:paraId="79F9508E" w14:textId="77777777" w:rsidR="00B42726" w:rsidRPr="001D295C" w:rsidRDefault="00B42726">
      <w:pPr>
        <w:spacing w:after="160" w:line="259" w:lineRule="auto"/>
        <w:rPr>
          <w:rFonts w:ascii="Arial" w:hAnsi="Arial" w:cs="Arial"/>
          <w:sz w:val="20"/>
          <w:szCs w:val="20"/>
          <w:lang w:val="en-GB"/>
        </w:rPr>
      </w:pPr>
      <w:r w:rsidRPr="001D295C">
        <w:rPr>
          <w:rFonts w:ascii="Arial" w:hAnsi="Arial" w:cs="Arial"/>
          <w:sz w:val="20"/>
          <w:szCs w:val="20"/>
          <w:lang w:val="en-GB"/>
        </w:rPr>
        <w:br w:type="page"/>
      </w:r>
    </w:p>
    <w:p w14:paraId="6C944E0C" w14:textId="77777777" w:rsidR="00B42726" w:rsidRPr="001D295C" w:rsidRDefault="00B42726" w:rsidP="00B42726">
      <w:pPr>
        <w:rPr>
          <w:rFonts w:ascii="Arial" w:hAnsi="Arial" w:cs="Arial"/>
          <w:sz w:val="20"/>
          <w:szCs w:val="20"/>
        </w:rPr>
      </w:pPr>
      <w:r w:rsidRPr="001D295C">
        <w:rPr>
          <w:rFonts w:ascii="Arial" w:hAnsi="Arial" w:cs="Arial"/>
          <w:noProof/>
          <w:sz w:val="20"/>
          <w:szCs w:val="20"/>
        </w:rPr>
        <w:lastRenderedPageBreak/>
        <w:drawing>
          <wp:inline distT="0" distB="0" distL="0" distR="0" wp14:anchorId="3016210A" wp14:editId="5BFE53EC">
            <wp:extent cx="5181600" cy="2552700"/>
            <wp:effectExtent l="0" t="0" r="0" b="0"/>
            <wp:docPr id="734777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484" t="26433" b="24029"/>
                    <a:stretch>
                      <a:fillRect/>
                    </a:stretch>
                  </pic:blipFill>
                  <pic:spPr bwMode="auto">
                    <a:xfrm>
                      <a:off x="0" y="0"/>
                      <a:ext cx="518160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108302F2" w14:textId="58DFEBE8" w:rsidR="00B42726" w:rsidRPr="001D295C" w:rsidRDefault="00B42726" w:rsidP="00B42726">
      <w:pPr>
        <w:rPr>
          <w:rFonts w:ascii="Arial" w:hAnsi="Arial" w:cs="Arial"/>
          <w:sz w:val="20"/>
          <w:szCs w:val="20"/>
        </w:rPr>
      </w:pPr>
      <w:r w:rsidRPr="001D295C">
        <w:rPr>
          <w:rFonts w:ascii="Arial" w:hAnsi="Arial" w:cs="Arial"/>
          <w:b/>
          <w:bCs/>
          <w:sz w:val="20"/>
          <w:szCs w:val="20"/>
        </w:rPr>
        <w:t xml:space="preserve">Supplementary </w:t>
      </w:r>
      <w:r w:rsidRPr="001D295C">
        <w:rPr>
          <w:rFonts w:ascii="Arial" w:hAnsi="Arial" w:cs="Arial"/>
          <w:b/>
          <w:bCs/>
          <w:sz w:val="20"/>
          <w:szCs w:val="20"/>
        </w:rPr>
        <w:t>F</w:t>
      </w:r>
      <w:r w:rsidRPr="001D295C">
        <w:rPr>
          <w:rFonts w:ascii="Arial" w:hAnsi="Arial" w:cs="Arial"/>
          <w:b/>
          <w:bCs/>
          <w:sz w:val="20"/>
          <w:szCs w:val="20"/>
        </w:rPr>
        <w:t xml:space="preserve">igure </w:t>
      </w:r>
      <w:r w:rsidRPr="001D295C">
        <w:rPr>
          <w:rFonts w:ascii="Arial" w:hAnsi="Arial" w:cs="Arial"/>
          <w:b/>
          <w:bCs/>
          <w:sz w:val="20"/>
          <w:szCs w:val="20"/>
        </w:rPr>
        <w:t>3</w:t>
      </w:r>
      <w:r w:rsidRPr="001D295C">
        <w:rPr>
          <w:rFonts w:ascii="Arial" w:hAnsi="Arial" w:cs="Arial"/>
          <w:b/>
          <w:bCs/>
          <w:sz w:val="20"/>
          <w:szCs w:val="20"/>
        </w:rPr>
        <w:t xml:space="preserve"> | Rural populations are widely exposed to novel climate conditions. </w:t>
      </w:r>
      <w:r w:rsidRPr="001D295C">
        <w:rPr>
          <w:rFonts w:ascii="Arial" w:hAnsi="Arial" w:cs="Arial"/>
          <w:sz w:val="20"/>
          <w:szCs w:val="20"/>
        </w:rPr>
        <w:t xml:space="preserve">The degree to which modern climates are novel is plotted alongside the total rural population, shown on a log scale. The </w:t>
      </w:r>
      <w:proofErr w:type="spellStart"/>
      <w:r w:rsidRPr="001D295C">
        <w:rPr>
          <w:rFonts w:ascii="Arial" w:hAnsi="Arial" w:cs="Arial"/>
          <w:sz w:val="20"/>
          <w:szCs w:val="20"/>
        </w:rPr>
        <w:t>colour</w:t>
      </w:r>
      <w:proofErr w:type="spellEnd"/>
      <w:r w:rsidRPr="001D295C">
        <w:rPr>
          <w:rFonts w:ascii="Arial" w:hAnsi="Arial" w:cs="Arial"/>
          <w:sz w:val="20"/>
          <w:szCs w:val="20"/>
        </w:rPr>
        <w:t xml:space="preserve"> scheme (legend) is divided into four quadrants: low novelty-low rural population (blue </w:t>
      </w:r>
      <w:proofErr w:type="spellStart"/>
      <w:r w:rsidRPr="001D295C">
        <w:rPr>
          <w:rFonts w:ascii="Arial" w:hAnsi="Arial" w:cs="Arial"/>
          <w:sz w:val="20"/>
          <w:szCs w:val="20"/>
        </w:rPr>
        <w:t>colours</w:t>
      </w:r>
      <w:proofErr w:type="spellEnd"/>
      <w:r w:rsidRPr="001D295C">
        <w:rPr>
          <w:rFonts w:ascii="Arial" w:hAnsi="Arial" w:cs="Arial"/>
          <w:sz w:val="20"/>
          <w:szCs w:val="20"/>
        </w:rPr>
        <w:t>), high novelty-low rural population (purple), low novelty-high rural population (orange), and high novelty-high rural population (red). There are 742 million rural people in the two high novelty quadrants, representing 21.8% of the total rural population.</w:t>
      </w:r>
    </w:p>
    <w:p w14:paraId="28F1C3D9" w14:textId="77777777" w:rsidR="00B42726" w:rsidRPr="001D295C" w:rsidRDefault="00B42726">
      <w:pPr>
        <w:spacing w:after="160" w:line="259" w:lineRule="auto"/>
        <w:rPr>
          <w:rFonts w:ascii="Arial" w:hAnsi="Arial" w:cs="Arial"/>
          <w:sz w:val="20"/>
          <w:szCs w:val="20"/>
        </w:rPr>
      </w:pPr>
      <w:r w:rsidRPr="001D295C">
        <w:rPr>
          <w:rFonts w:ascii="Arial" w:hAnsi="Arial" w:cs="Arial"/>
          <w:sz w:val="20"/>
          <w:szCs w:val="20"/>
        </w:rPr>
        <w:br w:type="page"/>
      </w:r>
    </w:p>
    <w:p w14:paraId="50FEE3E7" w14:textId="77777777" w:rsidR="00B42726" w:rsidRPr="001D295C" w:rsidRDefault="00B42726" w:rsidP="00B42726">
      <w:pPr>
        <w:rPr>
          <w:rFonts w:ascii="Arial" w:hAnsi="Arial" w:cs="Arial"/>
          <w:b/>
          <w:bCs/>
          <w:sz w:val="20"/>
          <w:szCs w:val="20"/>
        </w:rPr>
      </w:pPr>
    </w:p>
    <w:p w14:paraId="0D14B6A3" w14:textId="77777777" w:rsidR="00B42726" w:rsidRPr="001D295C" w:rsidRDefault="00B42726" w:rsidP="00B42726">
      <w:pPr>
        <w:rPr>
          <w:rFonts w:ascii="Arial" w:hAnsi="Arial" w:cs="Arial"/>
          <w:b/>
          <w:bCs/>
          <w:sz w:val="20"/>
          <w:szCs w:val="20"/>
        </w:rPr>
      </w:pPr>
      <w:r w:rsidRPr="001D295C">
        <w:rPr>
          <w:rFonts w:ascii="Arial" w:hAnsi="Arial" w:cs="Arial"/>
          <w:b/>
          <w:bCs/>
          <w:noProof/>
          <w:sz w:val="20"/>
          <w:szCs w:val="20"/>
        </w:rPr>
        <w:drawing>
          <wp:inline distT="0" distB="0" distL="0" distR="0" wp14:anchorId="46E67607" wp14:editId="124AB699">
            <wp:extent cx="5252451" cy="2533650"/>
            <wp:effectExtent l="0" t="0" r="5715" b="0"/>
            <wp:docPr id="13937203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316" t="27357" b="24584"/>
                    <a:stretch>
                      <a:fillRect/>
                    </a:stretch>
                  </pic:blipFill>
                  <pic:spPr bwMode="auto">
                    <a:xfrm>
                      <a:off x="0" y="0"/>
                      <a:ext cx="5255024" cy="2534891"/>
                    </a:xfrm>
                    <a:prstGeom prst="rect">
                      <a:avLst/>
                    </a:prstGeom>
                    <a:noFill/>
                    <a:ln>
                      <a:noFill/>
                    </a:ln>
                    <a:extLst>
                      <a:ext uri="{53640926-AAD7-44D8-BBD7-CCE9431645EC}">
                        <a14:shadowObscured xmlns:a14="http://schemas.microsoft.com/office/drawing/2010/main"/>
                      </a:ext>
                    </a:extLst>
                  </pic:spPr>
                </pic:pic>
              </a:graphicData>
            </a:graphic>
          </wp:inline>
        </w:drawing>
      </w:r>
    </w:p>
    <w:p w14:paraId="6EAF51F2" w14:textId="7A9EDA3D" w:rsidR="00B42726" w:rsidRPr="001D295C" w:rsidRDefault="00B42726" w:rsidP="00B42726">
      <w:pPr>
        <w:rPr>
          <w:rFonts w:ascii="Arial" w:hAnsi="Arial" w:cs="Arial"/>
          <w:sz w:val="20"/>
          <w:szCs w:val="20"/>
        </w:rPr>
      </w:pPr>
      <w:r w:rsidRPr="001D295C">
        <w:rPr>
          <w:rFonts w:ascii="Arial" w:hAnsi="Arial" w:cs="Arial"/>
          <w:b/>
          <w:bCs/>
          <w:sz w:val="20"/>
          <w:szCs w:val="20"/>
        </w:rPr>
        <w:t xml:space="preserve">Supplementary </w:t>
      </w:r>
      <w:r w:rsidRPr="001D295C">
        <w:rPr>
          <w:rFonts w:ascii="Arial" w:hAnsi="Arial" w:cs="Arial"/>
          <w:b/>
          <w:bCs/>
          <w:sz w:val="20"/>
          <w:szCs w:val="20"/>
        </w:rPr>
        <w:t>F</w:t>
      </w:r>
      <w:r w:rsidRPr="001D295C">
        <w:rPr>
          <w:rFonts w:ascii="Arial" w:hAnsi="Arial" w:cs="Arial"/>
          <w:b/>
          <w:bCs/>
          <w:sz w:val="20"/>
          <w:szCs w:val="20"/>
        </w:rPr>
        <w:t xml:space="preserve">igure </w:t>
      </w:r>
      <w:r w:rsidRPr="001D295C">
        <w:rPr>
          <w:rFonts w:ascii="Arial" w:hAnsi="Arial" w:cs="Arial"/>
          <w:b/>
          <w:bCs/>
          <w:sz w:val="20"/>
          <w:szCs w:val="20"/>
        </w:rPr>
        <w:t>4</w:t>
      </w:r>
      <w:r w:rsidRPr="001D295C">
        <w:rPr>
          <w:rFonts w:ascii="Arial" w:hAnsi="Arial" w:cs="Arial"/>
          <w:b/>
          <w:bCs/>
          <w:sz w:val="20"/>
          <w:szCs w:val="20"/>
        </w:rPr>
        <w:t xml:space="preserve"> | Rural populations are widely exposed to highly </w:t>
      </w:r>
      <w:proofErr w:type="spellStart"/>
      <w:r w:rsidRPr="001D295C">
        <w:rPr>
          <w:rFonts w:ascii="Arial" w:hAnsi="Arial" w:cs="Arial"/>
          <w:b/>
          <w:bCs/>
          <w:sz w:val="20"/>
          <w:szCs w:val="20"/>
        </w:rPr>
        <w:t>defaunated</w:t>
      </w:r>
      <w:proofErr w:type="spellEnd"/>
      <w:r w:rsidRPr="001D295C">
        <w:rPr>
          <w:rFonts w:ascii="Arial" w:hAnsi="Arial" w:cs="Arial"/>
          <w:b/>
          <w:bCs/>
          <w:sz w:val="20"/>
          <w:szCs w:val="20"/>
        </w:rPr>
        <w:t xml:space="preserve"> conditions. </w:t>
      </w:r>
      <w:r w:rsidRPr="001D295C">
        <w:rPr>
          <w:rFonts w:ascii="Arial" w:hAnsi="Arial" w:cs="Arial"/>
          <w:sz w:val="20"/>
          <w:szCs w:val="20"/>
        </w:rPr>
        <w:t xml:space="preserve">The degree to which mammals have been locally </w:t>
      </w:r>
      <w:proofErr w:type="spellStart"/>
      <w:r w:rsidRPr="001D295C">
        <w:rPr>
          <w:rFonts w:ascii="Arial" w:hAnsi="Arial" w:cs="Arial"/>
          <w:sz w:val="20"/>
          <w:szCs w:val="20"/>
        </w:rPr>
        <w:t>defaunated</w:t>
      </w:r>
      <w:proofErr w:type="spellEnd"/>
      <w:r w:rsidRPr="001D295C">
        <w:rPr>
          <w:rFonts w:ascii="Arial" w:hAnsi="Arial" w:cs="Arial"/>
          <w:sz w:val="20"/>
          <w:szCs w:val="20"/>
        </w:rPr>
        <w:t xml:space="preserve"> is plotted alongside the total rural population, shown on a log scale. The </w:t>
      </w:r>
      <w:proofErr w:type="spellStart"/>
      <w:r w:rsidRPr="001D295C">
        <w:rPr>
          <w:rFonts w:ascii="Arial" w:hAnsi="Arial" w:cs="Arial"/>
          <w:sz w:val="20"/>
          <w:szCs w:val="20"/>
        </w:rPr>
        <w:t>colour</w:t>
      </w:r>
      <w:proofErr w:type="spellEnd"/>
      <w:r w:rsidRPr="001D295C">
        <w:rPr>
          <w:rFonts w:ascii="Arial" w:hAnsi="Arial" w:cs="Arial"/>
          <w:sz w:val="20"/>
          <w:szCs w:val="20"/>
        </w:rPr>
        <w:t xml:space="preserve"> scheme (legend) is divided into four quadrants: low novelty-low rural population (blue </w:t>
      </w:r>
      <w:proofErr w:type="spellStart"/>
      <w:r w:rsidRPr="001D295C">
        <w:rPr>
          <w:rFonts w:ascii="Arial" w:hAnsi="Arial" w:cs="Arial"/>
          <w:sz w:val="20"/>
          <w:szCs w:val="20"/>
        </w:rPr>
        <w:t>colours</w:t>
      </w:r>
      <w:proofErr w:type="spellEnd"/>
      <w:r w:rsidRPr="001D295C">
        <w:rPr>
          <w:rFonts w:ascii="Arial" w:hAnsi="Arial" w:cs="Arial"/>
          <w:sz w:val="20"/>
          <w:szCs w:val="20"/>
        </w:rPr>
        <w:t>), high novelty-low rural population (purple), low novelty-high rural population (orange), and high novelty-high rural population (red). There are 690 million rural people in the two high novelty quadrants, representing 20% of the total rural population.</w:t>
      </w:r>
    </w:p>
    <w:p w14:paraId="1B09D7F6" w14:textId="77777777" w:rsidR="00B42726" w:rsidRPr="001D295C" w:rsidRDefault="00B42726">
      <w:pPr>
        <w:spacing w:after="160" w:line="259" w:lineRule="auto"/>
        <w:rPr>
          <w:rFonts w:ascii="Arial" w:hAnsi="Arial" w:cs="Arial"/>
          <w:sz w:val="20"/>
          <w:szCs w:val="20"/>
        </w:rPr>
      </w:pPr>
      <w:r w:rsidRPr="001D295C">
        <w:rPr>
          <w:rFonts w:ascii="Arial" w:hAnsi="Arial" w:cs="Arial"/>
          <w:sz w:val="20"/>
          <w:szCs w:val="20"/>
        </w:rPr>
        <w:br w:type="page"/>
      </w:r>
    </w:p>
    <w:p w14:paraId="467ADCA0" w14:textId="77777777" w:rsidR="00B42726" w:rsidRPr="001D295C" w:rsidRDefault="00B42726" w:rsidP="00B42726">
      <w:pPr>
        <w:rPr>
          <w:rFonts w:ascii="Arial" w:hAnsi="Arial" w:cs="Arial"/>
          <w:b/>
          <w:bCs/>
          <w:sz w:val="20"/>
          <w:szCs w:val="20"/>
        </w:rPr>
      </w:pPr>
    </w:p>
    <w:p w14:paraId="56E79CBC" w14:textId="77777777" w:rsidR="00B42726" w:rsidRPr="001D295C" w:rsidRDefault="00B42726" w:rsidP="00B42726">
      <w:pPr>
        <w:rPr>
          <w:rFonts w:ascii="Arial" w:hAnsi="Arial" w:cs="Arial"/>
          <w:b/>
          <w:bCs/>
          <w:sz w:val="20"/>
          <w:szCs w:val="20"/>
        </w:rPr>
      </w:pPr>
      <w:r w:rsidRPr="001D295C">
        <w:rPr>
          <w:rFonts w:ascii="Arial" w:hAnsi="Arial" w:cs="Arial"/>
          <w:b/>
          <w:bCs/>
          <w:noProof/>
          <w:sz w:val="20"/>
          <w:szCs w:val="20"/>
        </w:rPr>
        <w:drawing>
          <wp:inline distT="0" distB="0" distL="0" distR="0" wp14:anchorId="574BCD11" wp14:editId="1206FBF1">
            <wp:extent cx="5289349" cy="2781300"/>
            <wp:effectExtent l="0" t="0" r="6985" b="0"/>
            <wp:docPr id="16224220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17" t="22920" b="24399"/>
                    <a:stretch>
                      <a:fillRect/>
                    </a:stretch>
                  </pic:blipFill>
                  <pic:spPr bwMode="auto">
                    <a:xfrm>
                      <a:off x="0" y="0"/>
                      <a:ext cx="5290741" cy="2782032"/>
                    </a:xfrm>
                    <a:prstGeom prst="rect">
                      <a:avLst/>
                    </a:prstGeom>
                    <a:noFill/>
                    <a:ln>
                      <a:noFill/>
                    </a:ln>
                    <a:extLst>
                      <a:ext uri="{53640926-AAD7-44D8-BBD7-CCE9431645EC}">
                        <a14:shadowObscured xmlns:a14="http://schemas.microsoft.com/office/drawing/2010/main"/>
                      </a:ext>
                    </a:extLst>
                  </pic:spPr>
                </pic:pic>
              </a:graphicData>
            </a:graphic>
          </wp:inline>
        </w:drawing>
      </w:r>
    </w:p>
    <w:p w14:paraId="0E74C0D3" w14:textId="70AA2E33" w:rsidR="00B42726" w:rsidRPr="001D295C" w:rsidRDefault="00B42726" w:rsidP="00B42726">
      <w:pPr>
        <w:rPr>
          <w:rFonts w:ascii="Arial" w:hAnsi="Arial" w:cs="Arial"/>
          <w:b/>
          <w:bCs/>
          <w:sz w:val="20"/>
          <w:szCs w:val="20"/>
        </w:rPr>
      </w:pPr>
      <w:r w:rsidRPr="001D295C">
        <w:rPr>
          <w:rFonts w:ascii="Arial" w:hAnsi="Arial" w:cs="Arial"/>
          <w:b/>
          <w:bCs/>
          <w:sz w:val="20"/>
          <w:szCs w:val="20"/>
        </w:rPr>
        <w:t xml:space="preserve">Supplementary </w:t>
      </w:r>
      <w:r w:rsidRPr="001D295C">
        <w:rPr>
          <w:rFonts w:ascii="Arial" w:hAnsi="Arial" w:cs="Arial"/>
          <w:b/>
          <w:bCs/>
          <w:sz w:val="20"/>
          <w:szCs w:val="20"/>
        </w:rPr>
        <w:t>F</w:t>
      </w:r>
      <w:r w:rsidRPr="001D295C">
        <w:rPr>
          <w:rFonts w:ascii="Arial" w:hAnsi="Arial" w:cs="Arial"/>
          <w:b/>
          <w:bCs/>
          <w:sz w:val="20"/>
          <w:szCs w:val="20"/>
        </w:rPr>
        <w:t xml:space="preserve">igure </w:t>
      </w:r>
      <w:r w:rsidRPr="001D295C">
        <w:rPr>
          <w:rFonts w:ascii="Arial" w:hAnsi="Arial" w:cs="Arial"/>
          <w:b/>
          <w:bCs/>
          <w:sz w:val="20"/>
          <w:szCs w:val="20"/>
        </w:rPr>
        <w:t>5</w:t>
      </w:r>
      <w:r w:rsidRPr="001D295C">
        <w:rPr>
          <w:rFonts w:ascii="Arial" w:hAnsi="Arial" w:cs="Arial"/>
          <w:b/>
          <w:bCs/>
          <w:sz w:val="20"/>
          <w:szCs w:val="20"/>
        </w:rPr>
        <w:t xml:space="preserve"> | Rural populations are exposed to low levels of floristic disruption. </w:t>
      </w:r>
      <w:r w:rsidRPr="001D295C">
        <w:rPr>
          <w:rFonts w:ascii="Arial" w:hAnsi="Arial" w:cs="Arial"/>
          <w:sz w:val="20"/>
          <w:szCs w:val="20"/>
        </w:rPr>
        <w:t xml:space="preserve">The degree of floristic disruption is plotted alongside the total rural population, shown on a log scale. The </w:t>
      </w:r>
      <w:proofErr w:type="spellStart"/>
      <w:r w:rsidRPr="001D295C">
        <w:rPr>
          <w:rFonts w:ascii="Arial" w:hAnsi="Arial" w:cs="Arial"/>
          <w:sz w:val="20"/>
          <w:szCs w:val="20"/>
        </w:rPr>
        <w:t>colour</w:t>
      </w:r>
      <w:proofErr w:type="spellEnd"/>
      <w:r w:rsidRPr="001D295C">
        <w:rPr>
          <w:rFonts w:ascii="Arial" w:hAnsi="Arial" w:cs="Arial"/>
          <w:sz w:val="20"/>
          <w:szCs w:val="20"/>
        </w:rPr>
        <w:t xml:space="preserve"> scheme (legend) is divided into four quadrants: low novelty-low rural population (blue </w:t>
      </w:r>
      <w:proofErr w:type="spellStart"/>
      <w:r w:rsidRPr="001D295C">
        <w:rPr>
          <w:rFonts w:ascii="Arial" w:hAnsi="Arial" w:cs="Arial"/>
          <w:sz w:val="20"/>
          <w:szCs w:val="20"/>
        </w:rPr>
        <w:t>colours</w:t>
      </w:r>
      <w:proofErr w:type="spellEnd"/>
      <w:r w:rsidRPr="001D295C">
        <w:rPr>
          <w:rFonts w:ascii="Arial" w:hAnsi="Arial" w:cs="Arial"/>
          <w:sz w:val="20"/>
          <w:szCs w:val="20"/>
        </w:rPr>
        <w:t>), high novelty-low rural population (purple), low novelty-high rural population (orange), and high novelty-high rural population (red). There are 10.4 million rural people in the two high novelty quadrants, representing &lt;1% of the total rural population.</w:t>
      </w:r>
    </w:p>
    <w:p w14:paraId="2BE114CD" w14:textId="77777777" w:rsidR="00E02B25" w:rsidRPr="001D295C" w:rsidRDefault="00E02B25" w:rsidP="00E02B25">
      <w:pPr>
        <w:jc w:val="both"/>
        <w:rPr>
          <w:rFonts w:ascii="Arial" w:hAnsi="Arial" w:cs="Arial"/>
          <w:sz w:val="20"/>
          <w:szCs w:val="20"/>
        </w:rPr>
      </w:pPr>
    </w:p>
    <w:p w14:paraId="11A712F2" w14:textId="77777777" w:rsidR="00E02B25" w:rsidRPr="001D295C" w:rsidRDefault="00E02B25" w:rsidP="00E02B25">
      <w:pPr>
        <w:jc w:val="both"/>
        <w:rPr>
          <w:rFonts w:ascii="Arial" w:hAnsi="Arial" w:cs="Arial"/>
          <w:sz w:val="20"/>
          <w:szCs w:val="20"/>
          <w:lang w:val="en-GB"/>
        </w:rPr>
      </w:pPr>
      <w:r w:rsidRPr="001D295C">
        <w:rPr>
          <w:rFonts w:ascii="Arial" w:hAnsi="Arial" w:cs="Arial"/>
          <w:noProof/>
          <w:sz w:val="20"/>
          <w:szCs w:val="20"/>
          <w:lang w:val="en-GB"/>
        </w:rPr>
        <w:lastRenderedPageBreak/>
        <w:drawing>
          <wp:inline distT="0" distB="0" distL="0" distR="0" wp14:anchorId="00098F66" wp14:editId="09CEF12F">
            <wp:extent cx="5731510" cy="7472656"/>
            <wp:effectExtent l="0" t="0" r="2540" b="0"/>
            <wp:docPr id="2053531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31688"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2161" r="2161"/>
                    <a:stretch>
                      <a:fillRect/>
                    </a:stretch>
                  </pic:blipFill>
                  <pic:spPr bwMode="auto">
                    <a:xfrm>
                      <a:off x="0" y="0"/>
                      <a:ext cx="5731510" cy="7472656"/>
                    </a:xfrm>
                    <a:prstGeom prst="rect">
                      <a:avLst/>
                    </a:prstGeom>
                    <a:noFill/>
                    <a:ln>
                      <a:noFill/>
                    </a:ln>
                    <a:extLst>
                      <a:ext uri="{53640926-AAD7-44D8-BBD7-CCE9431645EC}">
                        <a14:shadowObscured xmlns:a14="http://schemas.microsoft.com/office/drawing/2010/main"/>
                      </a:ext>
                    </a:extLst>
                  </pic:spPr>
                </pic:pic>
              </a:graphicData>
            </a:graphic>
          </wp:inline>
        </w:drawing>
      </w:r>
    </w:p>
    <w:p w14:paraId="518E7A45" w14:textId="0C70EE34" w:rsidR="000C4AA2" w:rsidRPr="001D295C" w:rsidRDefault="00E02B25" w:rsidP="00E02B25">
      <w:pPr>
        <w:jc w:val="both"/>
        <w:rPr>
          <w:rFonts w:ascii="Arial" w:hAnsi="Arial" w:cs="Arial"/>
          <w:sz w:val="20"/>
          <w:szCs w:val="20"/>
          <w:lang w:val="en-GB"/>
        </w:rPr>
      </w:pPr>
      <w:r w:rsidRPr="001D295C">
        <w:rPr>
          <w:rFonts w:ascii="Arial" w:hAnsi="Arial" w:cs="Arial"/>
          <w:b/>
          <w:bCs/>
          <w:sz w:val="20"/>
          <w:szCs w:val="20"/>
          <w:lang w:val="en-GB"/>
        </w:rPr>
        <w:t xml:space="preserve">Supplementary Figure </w:t>
      </w:r>
      <w:r w:rsidR="00AA4712" w:rsidRPr="001D295C">
        <w:rPr>
          <w:rFonts w:ascii="Arial" w:hAnsi="Arial" w:cs="Arial"/>
          <w:b/>
          <w:bCs/>
          <w:sz w:val="20"/>
          <w:szCs w:val="20"/>
          <w:lang w:val="en-GB"/>
        </w:rPr>
        <w:t>6</w:t>
      </w:r>
      <w:r w:rsidRPr="001D295C">
        <w:rPr>
          <w:rFonts w:ascii="Arial" w:hAnsi="Arial" w:cs="Arial"/>
          <w:b/>
          <w:bCs/>
          <w:sz w:val="20"/>
          <w:szCs w:val="20"/>
          <w:lang w:val="en-GB"/>
        </w:rPr>
        <w:t xml:space="preserve"> | Basic needs derived from nature are exposed to highly novel ecological conditions. </w:t>
      </w:r>
      <w:r w:rsidRPr="001D295C">
        <w:rPr>
          <w:rFonts w:ascii="Arial" w:hAnsi="Arial" w:cs="Arial"/>
          <w:sz w:val="20"/>
          <w:szCs w:val="20"/>
          <w:lang w:val="en-GB"/>
        </w:rPr>
        <w:t xml:space="preserve">The percentage of people in an area who rely on nature for one of four basic needs are shown, plotted against total novelty exposure. The four basic needs are: </w:t>
      </w:r>
      <w:proofErr w:type="gramStart"/>
      <w:r w:rsidRPr="001D295C">
        <w:rPr>
          <w:rFonts w:ascii="Arial" w:hAnsi="Arial" w:cs="Arial"/>
          <w:b/>
          <w:bCs/>
          <w:sz w:val="20"/>
          <w:szCs w:val="20"/>
          <w:lang w:val="en-GB"/>
        </w:rPr>
        <w:t>a</w:t>
      </w:r>
      <w:r w:rsidRPr="001D295C">
        <w:rPr>
          <w:rFonts w:ascii="Arial" w:hAnsi="Arial" w:cs="Arial"/>
          <w:sz w:val="20"/>
          <w:szCs w:val="20"/>
          <w:lang w:val="en-GB"/>
        </w:rPr>
        <w:t>,</w:t>
      </w:r>
      <w:proofErr w:type="gramEnd"/>
      <w:r w:rsidRPr="001D295C">
        <w:rPr>
          <w:rFonts w:ascii="Arial" w:hAnsi="Arial" w:cs="Arial"/>
          <w:sz w:val="20"/>
          <w:szCs w:val="20"/>
          <w:lang w:val="en-GB"/>
        </w:rPr>
        <w:t xml:space="preserve"> natural housing materials (e.g. wood or bamboo); </w:t>
      </w:r>
      <w:r w:rsidRPr="001D295C">
        <w:rPr>
          <w:rFonts w:ascii="Arial" w:hAnsi="Arial" w:cs="Arial"/>
          <w:b/>
          <w:bCs/>
          <w:sz w:val="20"/>
          <w:szCs w:val="20"/>
          <w:lang w:val="en-GB"/>
        </w:rPr>
        <w:t>b</w:t>
      </w:r>
      <w:r w:rsidRPr="001D295C">
        <w:rPr>
          <w:rFonts w:ascii="Arial" w:hAnsi="Arial" w:cs="Arial"/>
          <w:sz w:val="20"/>
          <w:szCs w:val="20"/>
          <w:lang w:val="en-GB"/>
        </w:rPr>
        <w:t xml:space="preserve">, water from a local natural source (e.g. rivers or springs); </w:t>
      </w:r>
      <w:r w:rsidRPr="001D295C">
        <w:rPr>
          <w:rFonts w:ascii="Arial" w:hAnsi="Arial" w:cs="Arial"/>
          <w:b/>
          <w:bCs/>
          <w:sz w:val="20"/>
          <w:szCs w:val="20"/>
          <w:lang w:val="en-GB"/>
        </w:rPr>
        <w:t>c</w:t>
      </w:r>
      <w:r w:rsidRPr="001D295C">
        <w:rPr>
          <w:rFonts w:ascii="Arial" w:hAnsi="Arial" w:cs="Arial"/>
          <w:sz w:val="20"/>
          <w:szCs w:val="20"/>
          <w:lang w:val="en-GB"/>
        </w:rPr>
        <w:t xml:space="preserve">, energy from a local natural source (e.g. wood or straw); </w:t>
      </w:r>
      <w:r w:rsidRPr="001D295C">
        <w:rPr>
          <w:rFonts w:ascii="Arial" w:hAnsi="Arial" w:cs="Arial"/>
          <w:b/>
          <w:bCs/>
          <w:sz w:val="20"/>
          <w:szCs w:val="20"/>
          <w:lang w:val="en-GB"/>
        </w:rPr>
        <w:t>d</w:t>
      </w:r>
      <w:r w:rsidRPr="001D295C">
        <w:rPr>
          <w:rFonts w:ascii="Arial" w:hAnsi="Arial" w:cs="Arial"/>
          <w:sz w:val="20"/>
          <w:szCs w:val="20"/>
          <w:lang w:val="en-GB"/>
        </w:rPr>
        <w:t xml:space="preserve">, an occupation which directly involves nature (e.g. agriculture or fishing). Individual novelty-generating processes are shown in </w:t>
      </w:r>
      <w:r w:rsidR="000C4AA2" w:rsidRPr="001D295C">
        <w:rPr>
          <w:rFonts w:ascii="Arial" w:hAnsi="Arial" w:cs="Arial"/>
          <w:sz w:val="20"/>
          <w:szCs w:val="20"/>
          <w:lang w:val="en-GB"/>
        </w:rPr>
        <w:t>the following figures</w:t>
      </w:r>
      <w:r w:rsidRPr="001D295C">
        <w:rPr>
          <w:rFonts w:ascii="Arial" w:hAnsi="Arial" w:cs="Arial"/>
          <w:sz w:val="20"/>
          <w:szCs w:val="20"/>
          <w:lang w:val="en-GB"/>
        </w:rPr>
        <w:t xml:space="preserve"> (Supplementary Figures </w:t>
      </w:r>
      <w:r w:rsidR="00C85211" w:rsidRPr="001D295C">
        <w:rPr>
          <w:rFonts w:ascii="Arial" w:hAnsi="Arial" w:cs="Arial"/>
          <w:sz w:val="20"/>
          <w:szCs w:val="20"/>
          <w:lang w:val="en-GB"/>
        </w:rPr>
        <w:t>7</w:t>
      </w:r>
      <w:r w:rsidRPr="001D295C">
        <w:rPr>
          <w:rFonts w:ascii="Arial" w:hAnsi="Arial" w:cs="Arial"/>
          <w:sz w:val="20"/>
          <w:szCs w:val="20"/>
          <w:lang w:val="en-GB"/>
        </w:rPr>
        <w:t>-</w:t>
      </w:r>
      <w:r w:rsidR="00C85211" w:rsidRPr="001D295C">
        <w:rPr>
          <w:rFonts w:ascii="Arial" w:hAnsi="Arial" w:cs="Arial"/>
          <w:sz w:val="20"/>
          <w:szCs w:val="20"/>
          <w:lang w:val="en-GB"/>
        </w:rPr>
        <w:t>9</w:t>
      </w:r>
      <w:r w:rsidRPr="001D295C">
        <w:rPr>
          <w:rFonts w:ascii="Arial" w:hAnsi="Arial" w:cs="Arial"/>
          <w:sz w:val="20"/>
          <w:szCs w:val="20"/>
          <w:lang w:val="en-GB"/>
        </w:rPr>
        <w:t>).</w:t>
      </w:r>
    </w:p>
    <w:p w14:paraId="613F3183" w14:textId="77707411" w:rsidR="000C4AA2" w:rsidRPr="001D295C" w:rsidRDefault="000C4AA2" w:rsidP="000C4AA2">
      <w:pPr>
        <w:spacing w:after="160" w:line="259" w:lineRule="auto"/>
        <w:rPr>
          <w:rFonts w:ascii="Arial" w:hAnsi="Arial" w:cs="Arial"/>
          <w:sz w:val="20"/>
          <w:szCs w:val="20"/>
          <w:lang w:val="en-GB"/>
        </w:rPr>
      </w:pPr>
      <w:r w:rsidRPr="001D295C">
        <w:rPr>
          <w:rFonts w:ascii="Arial" w:hAnsi="Arial" w:cs="Arial"/>
          <w:sz w:val="20"/>
          <w:szCs w:val="20"/>
          <w:lang w:val="en-GB"/>
        </w:rPr>
        <w:br w:type="page"/>
      </w:r>
      <w:r w:rsidRPr="001D295C">
        <w:rPr>
          <w:rFonts w:ascii="Arial" w:hAnsi="Arial" w:cs="Arial"/>
          <w:noProof/>
          <w:sz w:val="20"/>
          <w:szCs w:val="20"/>
          <w:lang w:val="da-DK"/>
        </w:rPr>
        <w:lastRenderedPageBreak/>
        <w:drawing>
          <wp:inline distT="0" distB="0" distL="0" distR="0" wp14:anchorId="321878C3" wp14:editId="6FDD9F70">
            <wp:extent cx="5731510" cy="7164705"/>
            <wp:effectExtent l="0" t="0" r="2540" b="0"/>
            <wp:docPr id="2930580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505B5A1C" w14:textId="3142DB99" w:rsidR="000C4AA2" w:rsidRPr="001D295C" w:rsidRDefault="000C4AA2" w:rsidP="000C4AA2">
      <w:pPr>
        <w:rPr>
          <w:rFonts w:ascii="Arial" w:hAnsi="Arial" w:cs="Arial"/>
          <w:sz w:val="20"/>
          <w:szCs w:val="20"/>
        </w:rPr>
      </w:pPr>
      <w:r w:rsidRPr="001D295C">
        <w:rPr>
          <w:rFonts w:ascii="Arial" w:hAnsi="Arial" w:cs="Arial"/>
          <w:b/>
          <w:bCs/>
          <w:sz w:val="20"/>
          <w:szCs w:val="20"/>
        </w:rPr>
        <w:t xml:space="preserve">Supplementary figure </w:t>
      </w:r>
      <w:r w:rsidR="00C85211" w:rsidRPr="001D295C">
        <w:rPr>
          <w:rFonts w:ascii="Arial" w:hAnsi="Arial" w:cs="Arial"/>
          <w:b/>
          <w:bCs/>
          <w:sz w:val="20"/>
          <w:szCs w:val="20"/>
        </w:rPr>
        <w:t>7</w:t>
      </w:r>
      <w:r w:rsidRPr="001D295C">
        <w:rPr>
          <w:rFonts w:ascii="Arial" w:hAnsi="Arial" w:cs="Arial"/>
          <w:b/>
          <w:bCs/>
          <w:sz w:val="20"/>
          <w:szCs w:val="20"/>
        </w:rPr>
        <w:t xml:space="preserve"> | Nature dependent people across the tropics are living in novel climates. </w:t>
      </w:r>
      <w:r w:rsidRPr="001D295C">
        <w:rPr>
          <w:rFonts w:ascii="Arial" w:hAnsi="Arial" w:cs="Arial"/>
          <w:sz w:val="20"/>
          <w:szCs w:val="20"/>
        </w:rPr>
        <w:t xml:space="preserve"> The percentage of people in an area who rely on nature for one of four basic needs are shown, plotted against climate novelty. The four basic needs are: </w:t>
      </w:r>
      <w:proofErr w:type="gramStart"/>
      <w:r w:rsidRPr="001D295C">
        <w:rPr>
          <w:rFonts w:ascii="Arial" w:hAnsi="Arial" w:cs="Arial"/>
          <w:b/>
          <w:bCs/>
          <w:sz w:val="20"/>
          <w:szCs w:val="20"/>
        </w:rPr>
        <w:t>a</w:t>
      </w:r>
      <w:r w:rsidRPr="001D295C">
        <w:rPr>
          <w:rFonts w:ascii="Arial" w:hAnsi="Arial" w:cs="Arial"/>
          <w:sz w:val="20"/>
          <w:szCs w:val="20"/>
        </w:rPr>
        <w:t>,</w:t>
      </w:r>
      <w:proofErr w:type="gramEnd"/>
      <w:r w:rsidRPr="001D295C">
        <w:rPr>
          <w:rFonts w:ascii="Arial" w:hAnsi="Arial" w:cs="Arial"/>
          <w:sz w:val="20"/>
          <w:szCs w:val="20"/>
        </w:rPr>
        <w:t xml:space="preserve"> natural housing materials (e.g. wood or bamboo); </w:t>
      </w:r>
      <w:r w:rsidRPr="001D295C">
        <w:rPr>
          <w:rFonts w:ascii="Arial" w:hAnsi="Arial" w:cs="Arial"/>
          <w:b/>
          <w:bCs/>
          <w:sz w:val="20"/>
          <w:szCs w:val="20"/>
        </w:rPr>
        <w:t>b</w:t>
      </w:r>
      <w:r w:rsidRPr="001D295C">
        <w:rPr>
          <w:rFonts w:ascii="Arial" w:hAnsi="Arial" w:cs="Arial"/>
          <w:sz w:val="20"/>
          <w:szCs w:val="20"/>
        </w:rPr>
        <w:t xml:space="preserve">, water from a local natural source (e.g. rivers or springs); </w:t>
      </w:r>
      <w:r w:rsidRPr="001D295C">
        <w:rPr>
          <w:rFonts w:ascii="Arial" w:hAnsi="Arial" w:cs="Arial"/>
          <w:b/>
          <w:bCs/>
          <w:sz w:val="20"/>
          <w:szCs w:val="20"/>
        </w:rPr>
        <w:t>c</w:t>
      </w:r>
      <w:r w:rsidRPr="001D295C">
        <w:rPr>
          <w:rFonts w:ascii="Arial" w:hAnsi="Arial" w:cs="Arial"/>
          <w:sz w:val="20"/>
          <w:szCs w:val="20"/>
        </w:rPr>
        <w:t>, energy from a local natural source (e.g. wood or straw)</w:t>
      </w:r>
      <w:proofErr w:type="gramStart"/>
      <w:r w:rsidRPr="001D295C">
        <w:rPr>
          <w:rFonts w:ascii="Arial" w:hAnsi="Arial" w:cs="Arial"/>
          <w:sz w:val="20"/>
          <w:szCs w:val="20"/>
        </w:rPr>
        <w:t xml:space="preserve">; </w:t>
      </w:r>
      <w:r w:rsidRPr="001D295C">
        <w:rPr>
          <w:rFonts w:ascii="Arial" w:hAnsi="Arial" w:cs="Arial"/>
          <w:b/>
          <w:bCs/>
          <w:sz w:val="20"/>
          <w:szCs w:val="20"/>
        </w:rPr>
        <w:t>d</w:t>
      </w:r>
      <w:r w:rsidRPr="001D295C">
        <w:rPr>
          <w:rFonts w:ascii="Arial" w:hAnsi="Arial" w:cs="Arial"/>
          <w:sz w:val="20"/>
          <w:szCs w:val="20"/>
        </w:rPr>
        <w:t>,</w:t>
      </w:r>
      <w:proofErr w:type="gramEnd"/>
      <w:r w:rsidRPr="001D295C">
        <w:rPr>
          <w:rFonts w:ascii="Arial" w:hAnsi="Arial" w:cs="Arial"/>
          <w:sz w:val="20"/>
          <w:szCs w:val="20"/>
        </w:rPr>
        <w:t xml:space="preserve"> an occupation which directly involves nature (e.g. agriculture or fishing). </w:t>
      </w:r>
    </w:p>
    <w:p w14:paraId="5B9CD71C" w14:textId="77777777" w:rsidR="000C4AA2" w:rsidRPr="001D295C" w:rsidRDefault="000C4AA2" w:rsidP="000C4AA2">
      <w:pPr>
        <w:rPr>
          <w:rFonts w:ascii="Arial" w:hAnsi="Arial" w:cs="Arial"/>
          <w:sz w:val="20"/>
          <w:szCs w:val="20"/>
          <w:lang w:val="da-DK"/>
        </w:rPr>
      </w:pPr>
      <w:r w:rsidRPr="001D295C">
        <w:rPr>
          <w:rFonts w:ascii="Arial" w:hAnsi="Arial" w:cs="Arial"/>
          <w:noProof/>
          <w:sz w:val="20"/>
          <w:szCs w:val="20"/>
          <w:lang w:val="da-DK"/>
        </w:rPr>
        <w:lastRenderedPageBreak/>
        <w:drawing>
          <wp:inline distT="0" distB="0" distL="0" distR="0" wp14:anchorId="243A7A49" wp14:editId="7271F9E4">
            <wp:extent cx="5731510" cy="7164705"/>
            <wp:effectExtent l="0" t="0" r="2540" b="0"/>
            <wp:docPr id="2140216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2AF53F70" w14:textId="355D38B3" w:rsidR="000C4AA2" w:rsidRPr="001D295C" w:rsidRDefault="000C4AA2" w:rsidP="000C4AA2">
      <w:pPr>
        <w:rPr>
          <w:rFonts w:ascii="Arial" w:hAnsi="Arial" w:cs="Arial"/>
          <w:b/>
          <w:bCs/>
          <w:sz w:val="20"/>
          <w:szCs w:val="20"/>
        </w:rPr>
      </w:pPr>
      <w:r w:rsidRPr="001D295C">
        <w:rPr>
          <w:rFonts w:ascii="Arial" w:hAnsi="Arial" w:cs="Arial"/>
          <w:b/>
          <w:bCs/>
          <w:sz w:val="20"/>
          <w:szCs w:val="20"/>
        </w:rPr>
        <w:t xml:space="preserve">Supplementary figure </w:t>
      </w:r>
      <w:r w:rsidR="00C85211" w:rsidRPr="001D295C">
        <w:rPr>
          <w:rFonts w:ascii="Arial" w:hAnsi="Arial" w:cs="Arial"/>
          <w:b/>
          <w:bCs/>
          <w:sz w:val="20"/>
          <w:szCs w:val="20"/>
        </w:rPr>
        <w:t>8</w:t>
      </w:r>
      <w:r w:rsidRPr="001D295C">
        <w:rPr>
          <w:rFonts w:ascii="Arial" w:hAnsi="Arial" w:cs="Arial"/>
          <w:b/>
          <w:bCs/>
          <w:sz w:val="20"/>
          <w:szCs w:val="20"/>
        </w:rPr>
        <w:t xml:space="preserve"> | Nature dependent people across the tropics are living in </w:t>
      </w:r>
      <w:proofErr w:type="spellStart"/>
      <w:r w:rsidRPr="001D295C">
        <w:rPr>
          <w:rFonts w:ascii="Arial" w:hAnsi="Arial" w:cs="Arial"/>
          <w:b/>
          <w:bCs/>
          <w:sz w:val="20"/>
          <w:szCs w:val="20"/>
        </w:rPr>
        <w:t>defaunated</w:t>
      </w:r>
      <w:proofErr w:type="spellEnd"/>
      <w:r w:rsidRPr="001D295C">
        <w:rPr>
          <w:rFonts w:ascii="Arial" w:hAnsi="Arial" w:cs="Arial"/>
          <w:b/>
          <w:bCs/>
          <w:sz w:val="20"/>
          <w:szCs w:val="20"/>
        </w:rPr>
        <w:t xml:space="preserve"> nature. </w:t>
      </w:r>
      <w:r w:rsidRPr="001D295C">
        <w:rPr>
          <w:rFonts w:ascii="Arial" w:hAnsi="Arial" w:cs="Arial"/>
          <w:sz w:val="20"/>
          <w:szCs w:val="20"/>
        </w:rPr>
        <w:t xml:space="preserve"> The percentage of people in an area who rely on nature for one of four basic needs are shown, plotted against historic mammal defaunation. The four basic needs are: </w:t>
      </w:r>
      <w:proofErr w:type="gramStart"/>
      <w:r w:rsidRPr="001D295C">
        <w:rPr>
          <w:rFonts w:ascii="Arial" w:hAnsi="Arial" w:cs="Arial"/>
          <w:b/>
          <w:bCs/>
          <w:sz w:val="20"/>
          <w:szCs w:val="20"/>
        </w:rPr>
        <w:t>a</w:t>
      </w:r>
      <w:r w:rsidRPr="001D295C">
        <w:rPr>
          <w:rFonts w:ascii="Arial" w:hAnsi="Arial" w:cs="Arial"/>
          <w:sz w:val="20"/>
          <w:szCs w:val="20"/>
        </w:rPr>
        <w:t>,</w:t>
      </w:r>
      <w:proofErr w:type="gramEnd"/>
      <w:r w:rsidRPr="001D295C">
        <w:rPr>
          <w:rFonts w:ascii="Arial" w:hAnsi="Arial" w:cs="Arial"/>
          <w:sz w:val="20"/>
          <w:szCs w:val="20"/>
        </w:rPr>
        <w:t xml:space="preserve"> natural housing materials (e.g. wood or bamboo); </w:t>
      </w:r>
      <w:r w:rsidRPr="001D295C">
        <w:rPr>
          <w:rFonts w:ascii="Arial" w:hAnsi="Arial" w:cs="Arial"/>
          <w:b/>
          <w:bCs/>
          <w:sz w:val="20"/>
          <w:szCs w:val="20"/>
        </w:rPr>
        <w:t>b</w:t>
      </w:r>
      <w:r w:rsidRPr="001D295C">
        <w:rPr>
          <w:rFonts w:ascii="Arial" w:hAnsi="Arial" w:cs="Arial"/>
          <w:sz w:val="20"/>
          <w:szCs w:val="20"/>
        </w:rPr>
        <w:t xml:space="preserve">, water from a local natural source (e.g. rivers or springs); </w:t>
      </w:r>
      <w:r w:rsidRPr="001D295C">
        <w:rPr>
          <w:rFonts w:ascii="Arial" w:hAnsi="Arial" w:cs="Arial"/>
          <w:b/>
          <w:bCs/>
          <w:sz w:val="20"/>
          <w:szCs w:val="20"/>
        </w:rPr>
        <w:t>c</w:t>
      </w:r>
      <w:r w:rsidRPr="001D295C">
        <w:rPr>
          <w:rFonts w:ascii="Arial" w:hAnsi="Arial" w:cs="Arial"/>
          <w:sz w:val="20"/>
          <w:szCs w:val="20"/>
        </w:rPr>
        <w:t>, energy from a local natural source (e.g. wood or straw)</w:t>
      </w:r>
      <w:proofErr w:type="gramStart"/>
      <w:r w:rsidRPr="001D295C">
        <w:rPr>
          <w:rFonts w:ascii="Arial" w:hAnsi="Arial" w:cs="Arial"/>
          <w:sz w:val="20"/>
          <w:szCs w:val="20"/>
        </w:rPr>
        <w:t xml:space="preserve">; </w:t>
      </w:r>
      <w:r w:rsidRPr="001D295C">
        <w:rPr>
          <w:rFonts w:ascii="Arial" w:hAnsi="Arial" w:cs="Arial"/>
          <w:b/>
          <w:bCs/>
          <w:sz w:val="20"/>
          <w:szCs w:val="20"/>
        </w:rPr>
        <w:t>d</w:t>
      </w:r>
      <w:r w:rsidRPr="001D295C">
        <w:rPr>
          <w:rFonts w:ascii="Arial" w:hAnsi="Arial" w:cs="Arial"/>
          <w:sz w:val="20"/>
          <w:szCs w:val="20"/>
        </w:rPr>
        <w:t>,</w:t>
      </w:r>
      <w:proofErr w:type="gramEnd"/>
      <w:r w:rsidRPr="001D295C">
        <w:rPr>
          <w:rFonts w:ascii="Arial" w:hAnsi="Arial" w:cs="Arial"/>
          <w:sz w:val="20"/>
          <w:szCs w:val="20"/>
        </w:rPr>
        <w:t xml:space="preserve"> an occupation which directly involves nature (e.g. agriculture or fishing). </w:t>
      </w:r>
    </w:p>
    <w:p w14:paraId="1D8F859B" w14:textId="77777777" w:rsidR="000C4AA2" w:rsidRPr="001D295C" w:rsidRDefault="000C4AA2" w:rsidP="000C4AA2">
      <w:pPr>
        <w:rPr>
          <w:rFonts w:ascii="Arial" w:hAnsi="Arial" w:cs="Arial"/>
          <w:sz w:val="20"/>
          <w:szCs w:val="20"/>
          <w:lang w:val="da-DK"/>
        </w:rPr>
      </w:pPr>
      <w:r w:rsidRPr="001D295C">
        <w:rPr>
          <w:rFonts w:ascii="Arial" w:hAnsi="Arial" w:cs="Arial"/>
          <w:noProof/>
          <w:sz w:val="20"/>
          <w:szCs w:val="20"/>
          <w:lang w:val="da-DK"/>
        </w:rPr>
        <w:lastRenderedPageBreak/>
        <w:drawing>
          <wp:inline distT="0" distB="0" distL="0" distR="0" wp14:anchorId="198C8296" wp14:editId="3E7A778E">
            <wp:extent cx="5731510" cy="7164705"/>
            <wp:effectExtent l="0" t="0" r="2540" b="0"/>
            <wp:docPr id="118268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26053D96" w14:textId="5BB7152F" w:rsidR="000C4AA2" w:rsidRPr="001D295C" w:rsidRDefault="000C4AA2" w:rsidP="000C4AA2">
      <w:pPr>
        <w:rPr>
          <w:rFonts w:ascii="Arial" w:hAnsi="Arial" w:cs="Arial"/>
          <w:b/>
          <w:bCs/>
          <w:sz w:val="20"/>
          <w:szCs w:val="20"/>
        </w:rPr>
      </w:pPr>
      <w:r w:rsidRPr="001D295C">
        <w:rPr>
          <w:rFonts w:ascii="Arial" w:hAnsi="Arial" w:cs="Arial"/>
          <w:b/>
          <w:bCs/>
          <w:sz w:val="20"/>
          <w:szCs w:val="20"/>
        </w:rPr>
        <w:t xml:space="preserve">Supplementary Figure </w:t>
      </w:r>
      <w:r w:rsidR="00C85211" w:rsidRPr="001D295C">
        <w:rPr>
          <w:rFonts w:ascii="Arial" w:hAnsi="Arial" w:cs="Arial"/>
          <w:b/>
          <w:bCs/>
          <w:sz w:val="20"/>
          <w:szCs w:val="20"/>
        </w:rPr>
        <w:t>9</w:t>
      </w:r>
      <w:r w:rsidRPr="001D295C">
        <w:rPr>
          <w:rFonts w:ascii="Arial" w:hAnsi="Arial" w:cs="Arial"/>
          <w:b/>
          <w:bCs/>
          <w:sz w:val="20"/>
          <w:szCs w:val="20"/>
        </w:rPr>
        <w:t xml:space="preserve"> | Nature dependent people across the tropics are living in disrupted nature. </w:t>
      </w:r>
      <w:r w:rsidRPr="001D295C">
        <w:rPr>
          <w:rFonts w:ascii="Arial" w:hAnsi="Arial" w:cs="Arial"/>
          <w:sz w:val="20"/>
          <w:szCs w:val="20"/>
        </w:rPr>
        <w:t xml:space="preserve"> The percentage of people in an area who rely on nature for one of four basic needs are shown, plotted against floristic disruption. The four basic needs are: </w:t>
      </w:r>
      <w:proofErr w:type="gramStart"/>
      <w:r w:rsidRPr="001D295C">
        <w:rPr>
          <w:rFonts w:ascii="Arial" w:hAnsi="Arial" w:cs="Arial"/>
          <w:b/>
          <w:bCs/>
          <w:sz w:val="20"/>
          <w:szCs w:val="20"/>
        </w:rPr>
        <w:t>a</w:t>
      </w:r>
      <w:r w:rsidRPr="001D295C">
        <w:rPr>
          <w:rFonts w:ascii="Arial" w:hAnsi="Arial" w:cs="Arial"/>
          <w:sz w:val="20"/>
          <w:szCs w:val="20"/>
        </w:rPr>
        <w:t>,</w:t>
      </w:r>
      <w:proofErr w:type="gramEnd"/>
      <w:r w:rsidRPr="001D295C">
        <w:rPr>
          <w:rFonts w:ascii="Arial" w:hAnsi="Arial" w:cs="Arial"/>
          <w:sz w:val="20"/>
          <w:szCs w:val="20"/>
        </w:rPr>
        <w:t xml:space="preserve"> natural housing materials (e.g. wood or bamboo); </w:t>
      </w:r>
      <w:r w:rsidRPr="001D295C">
        <w:rPr>
          <w:rFonts w:ascii="Arial" w:hAnsi="Arial" w:cs="Arial"/>
          <w:b/>
          <w:bCs/>
          <w:sz w:val="20"/>
          <w:szCs w:val="20"/>
        </w:rPr>
        <w:t>b</w:t>
      </w:r>
      <w:r w:rsidRPr="001D295C">
        <w:rPr>
          <w:rFonts w:ascii="Arial" w:hAnsi="Arial" w:cs="Arial"/>
          <w:sz w:val="20"/>
          <w:szCs w:val="20"/>
        </w:rPr>
        <w:t xml:space="preserve">, water from a local natural source (e.g. rivers or springs); </w:t>
      </w:r>
      <w:r w:rsidRPr="001D295C">
        <w:rPr>
          <w:rFonts w:ascii="Arial" w:hAnsi="Arial" w:cs="Arial"/>
          <w:b/>
          <w:bCs/>
          <w:sz w:val="20"/>
          <w:szCs w:val="20"/>
        </w:rPr>
        <w:t>c</w:t>
      </w:r>
      <w:r w:rsidRPr="001D295C">
        <w:rPr>
          <w:rFonts w:ascii="Arial" w:hAnsi="Arial" w:cs="Arial"/>
          <w:sz w:val="20"/>
          <w:szCs w:val="20"/>
        </w:rPr>
        <w:t>, energy from a local natural source (e.g. wood or straw)</w:t>
      </w:r>
      <w:proofErr w:type="gramStart"/>
      <w:r w:rsidRPr="001D295C">
        <w:rPr>
          <w:rFonts w:ascii="Arial" w:hAnsi="Arial" w:cs="Arial"/>
          <w:sz w:val="20"/>
          <w:szCs w:val="20"/>
        </w:rPr>
        <w:t xml:space="preserve">; </w:t>
      </w:r>
      <w:r w:rsidRPr="001D295C">
        <w:rPr>
          <w:rFonts w:ascii="Arial" w:hAnsi="Arial" w:cs="Arial"/>
          <w:b/>
          <w:bCs/>
          <w:sz w:val="20"/>
          <w:szCs w:val="20"/>
        </w:rPr>
        <w:t>d</w:t>
      </w:r>
      <w:r w:rsidRPr="001D295C">
        <w:rPr>
          <w:rFonts w:ascii="Arial" w:hAnsi="Arial" w:cs="Arial"/>
          <w:sz w:val="20"/>
          <w:szCs w:val="20"/>
        </w:rPr>
        <w:t>,</w:t>
      </w:r>
      <w:proofErr w:type="gramEnd"/>
      <w:r w:rsidRPr="001D295C">
        <w:rPr>
          <w:rFonts w:ascii="Arial" w:hAnsi="Arial" w:cs="Arial"/>
          <w:sz w:val="20"/>
          <w:szCs w:val="20"/>
        </w:rPr>
        <w:t xml:space="preserve"> an occupation which directly involves nature (e.g. agriculture or fishing).</w:t>
      </w:r>
    </w:p>
    <w:p w14:paraId="5C37C68E" w14:textId="77777777" w:rsidR="00E02B25" w:rsidRPr="001D295C" w:rsidRDefault="00E02B25" w:rsidP="00E02B25">
      <w:pPr>
        <w:jc w:val="both"/>
        <w:rPr>
          <w:rFonts w:ascii="Arial" w:hAnsi="Arial" w:cs="Arial"/>
          <w:sz w:val="20"/>
          <w:szCs w:val="20"/>
        </w:rPr>
      </w:pPr>
    </w:p>
    <w:p w14:paraId="25B9ACC7" w14:textId="205D7710" w:rsidR="00E02B25" w:rsidRPr="001D295C" w:rsidRDefault="00E02B25" w:rsidP="00E02B25">
      <w:pPr>
        <w:jc w:val="both"/>
        <w:rPr>
          <w:rFonts w:ascii="Arial" w:hAnsi="Arial" w:cs="Arial"/>
          <w:sz w:val="20"/>
          <w:szCs w:val="20"/>
          <w:lang w:val="en-GB"/>
        </w:rPr>
      </w:pPr>
    </w:p>
    <w:p w14:paraId="5F261F4A" w14:textId="77777777" w:rsidR="00E02B25" w:rsidRPr="001D295C" w:rsidRDefault="00E02B25" w:rsidP="00E02B25">
      <w:pPr>
        <w:jc w:val="both"/>
        <w:rPr>
          <w:rFonts w:ascii="Arial" w:hAnsi="Arial" w:cs="Arial"/>
          <w:b/>
          <w:bCs/>
          <w:sz w:val="20"/>
          <w:szCs w:val="20"/>
          <w:lang w:val="en-GB"/>
        </w:rPr>
      </w:pPr>
      <w:r w:rsidRPr="001D295C">
        <w:rPr>
          <w:rFonts w:ascii="Arial" w:hAnsi="Arial" w:cs="Arial"/>
          <w:b/>
          <w:bCs/>
          <w:noProof/>
          <w:sz w:val="20"/>
          <w:szCs w:val="20"/>
          <w:lang w:val="en-GB"/>
        </w:rPr>
        <w:lastRenderedPageBreak/>
        <w:drawing>
          <wp:inline distT="0" distB="0" distL="0" distR="0" wp14:anchorId="6307433C" wp14:editId="28AB2DE8">
            <wp:extent cx="5731510" cy="3438668"/>
            <wp:effectExtent l="0" t="0" r="2540" b="9525"/>
            <wp:docPr id="151713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38668"/>
                    </a:xfrm>
                    <a:prstGeom prst="rect">
                      <a:avLst/>
                    </a:prstGeom>
                    <a:noFill/>
                    <a:ln>
                      <a:noFill/>
                    </a:ln>
                  </pic:spPr>
                </pic:pic>
              </a:graphicData>
            </a:graphic>
          </wp:inline>
        </w:drawing>
      </w:r>
    </w:p>
    <w:p w14:paraId="548B4148" w14:textId="2B00D9CB" w:rsidR="00E02B25" w:rsidRPr="001D295C" w:rsidRDefault="00E02B25" w:rsidP="00E02B25">
      <w:pPr>
        <w:jc w:val="both"/>
        <w:rPr>
          <w:rFonts w:ascii="Arial" w:hAnsi="Arial" w:cs="Arial"/>
          <w:b/>
          <w:bCs/>
          <w:sz w:val="20"/>
          <w:szCs w:val="20"/>
          <w:lang w:val="en-GB"/>
        </w:rPr>
      </w:pPr>
      <w:r w:rsidRPr="001D295C">
        <w:rPr>
          <w:rFonts w:ascii="Arial" w:hAnsi="Arial" w:cs="Arial"/>
          <w:b/>
          <w:bCs/>
          <w:sz w:val="20"/>
          <w:szCs w:val="20"/>
          <w:lang w:val="en-GB"/>
        </w:rPr>
        <w:t xml:space="preserve">Supplementary Figure </w:t>
      </w:r>
      <w:r w:rsidR="00170C7B" w:rsidRPr="001D295C">
        <w:rPr>
          <w:rFonts w:ascii="Arial" w:hAnsi="Arial" w:cs="Arial"/>
          <w:b/>
          <w:bCs/>
          <w:sz w:val="20"/>
          <w:szCs w:val="20"/>
          <w:lang w:val="en-GB"/>
        </w:rPr>
        <w:t>10</w:t>
      </w:r>
      <w:r w:rsidRPr="001D295C">
        <w:rPr>
          <w:rFonts w:ascii="Arial" w:hAnsi="Arial" w:cs="Arial"/>
          <w:b/>
          <w:bCs/>
          <w:sz w:val="20"/>
          <w:szCs w:val="20"/>
          <w:lang w:val="en-GB"/>
        </w:rPr>
        <w:t xml:space="preserve"> | Expected ecosystem service provisioning is lower in areas with higher ecological novelty. </w:t>
      </w:r>
      <w:r w:rsidRPr="001D295C">
        <w:rPr>
          <w:rFonts w:ascii="Arial" w:hAnsi="Arial" w:cs="Arial"/>
          <w:sz w:val="20"/>
          <w:szCs w:val="20"/>
          <w:lang w:val="en-GB"/>
        </w:rPr>
        <w:t xml:space="preserve">Ecosystem service provisioning for four key ecosystem services is shown plotted against the level of total ecological novelty exposure in the same cell. </w:t>
      </w:r>
      <w:r w:rsidRPr="001D295C">
        <w:rPr>
          <w:rFonts w:ascii="Arial" w:hAnsi="Arial" w:cs="Arial"/>
          <w:sz w:val="20"/>
          <w:szCs w:val="20"/>
        </w:rPr>
        <w:t xml:space="preserve">Ecosystem service provisioning is scaled between 0-1 and is the product of an ensemble modelling approach. </w:t>
      </w:r>
      <w:r w:rsidRPr="001D295C">
        <w:rPr>
          <w:rFonts w:ascii="Arial" w:hAnsi="Arial" w:cs="Arial"/>
          <w:sz w:val="20"/>
          <w:szCs w:val="20"/>
          <w:lang w:val="en-GB"/>
        </w:rPr>
        <w:t xml:space="preserve">Levels in the density plot show the number of cells out of a 10x10km resolution global map of terrestrial novelty (see Figure 1). The fitted line is the result of a generalised additive model with the formula </w:t>
      </w:r>
      <w:proofErr w:type="spellStart"/>
      <w:r w:rsidRPr="001D295C">
        <w:rPr>
          <w:rFonts w:ascii="Arial" w:hAnsi="Arial" w:cs="Arial"/>
          <w:i/>
          <w:iCs/>
          <w:sz w:val="20"/>
          <w:szCs w:val="20"/>
          <w:lang w:val="en-GB"/>
        </w:rPr>
        <w:t>EcosystemService</w:t>
      </w:r>
      <w:proofErr w:type="spellEnd"/>
      <w:r w:rsidRPr="001D295C">
        <w:rPr>
          <w:rFonts w:ascii="Arial" w:hAnsi="Arial" w:cs="Arial"/>
          <w:i/>
          <w:iCs/>
          <w:sz w:val="20"/>
          <w:szCs w:val="20"/>
          <w:lang w:val="en-GB"/>
        </w:rPr>
        <w:t xml:space="preserve"> ~ Novelty</w:t>
      </w:r>
      <w:r w:rsidRPr="001D295C">
        <w:rPr>
          <w:rFonts w:ascii="Arial" w:hAnsi="Arial" w:cs="Arial"/>
          <w:sz w:val="20"/>
          <w:szCs w:val="20"/>
          <w:lang w:val="en-GB"/>
        </w:rPr>
        <w:t>, where novelty is smoothed using a cubic spline.</w:t>
      </w:r>
    </w:p>
    <w:p w14:paraId="7D545A78" w14:textId="77777777" w:rsidR="00E02B25" w:rsidRPr="001D295C" w:rsidRDefault="00E02B25" w:rsidP="00E02B25">
      <w:pPr>
        <w:jc w:val="both"/>
        <w:rPr>
          <w:rFonts w:ascii="Arial" w:hAnsi="Arial" w:cs="Arial"/>
          <w:b/>
          <w:bCs/>
          <w:sz w:val="20"/>
          <w:szCs w:val="20"/>
          <w:lang w:val="en-GB"/>
        </w:rPr>
      </w:pPr>
      <w:r w:rsidRPr="001D295C">
        <w:rPr>
          <w:rFonts w:ascii="Arial" w:hAnsi="Arial" w:cs="Arial"/>
          <w:noProof/>
          <w:sz w:val="20"/>
          <w:szCs w:val="20"/>
          <w:lang w:val="en-GB"/>
        </w:rPr>
        <w:lastRenderedPageBreak/>
        <w:drawing>
          <wp:inline distT="0" distB="0" distL="0" distR="0" wp14:anchorId="4A0CEE21" wp14:editId="6D184173">
            <wp:extent cx="5713866" cy="4838700"/>
            <wp:effectExtent l="0" t="0" r="1270" b="0"/>
            <wp:docPr id="1183895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9565"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18354" cy="4842501"/>
                    </a:xfrm>
                    <a:prstGeom prst="rect">
                      <a:avLst/>
                    </a:prstGeom>
                    <a:noFill/>
                    <a:ln>
                      <a:noFill/>
                    </a:ln>
                  </pic:spPr>
                </pic:pic>
              </a:graphicData>
            </a:graphic>
          </wp:inline>
        </w:drawing>
      </w:r>
    </w:p>
    <w:p w14:paraId="281F9C57" w14:textId="6B1C8A92" w:rsidR="00E02B25" w:rsidRPr="001D295C" w:rsidRDefault="00E02B25" w:rsidP="00E02B25">
      <w:pPr>
        <w:jc w:val="both"/>
        <w:rPr>
          <w:rFonts w:ascii="Arial" w:hAnsi="Arial" w:cs="Arial"/>
          <w:sz w:val="20"/>
          <w:szCs w:val="20"/>
        </w:rPr>
      </w:pPr>
      <w:r w:rsidRPr="001D295C">
        <w:rPr>
          <w:rFonts w:ascii="Arial" w:hAnsi="Arial" w:cs="Arial"/>
          <w:b/>
          <w:bCs/>
          <w:sz w:val="20"/>
          <w:szCs w:val="20"/>
          <w:lang w:val="en-GB"/>
        </w:rPr>
        <w:t xml:space="preserve">Supplementary Figure </w:t>
      </w:r>
      <w:r w:rsidR="00014DDE" w:rsidRPr="001D295C">
        <w:rPr>
          <w:rFonts w:ascii="Arial" w:hAnsi="Arial" w:cs="Arial"/>
          <w:b/>
          <w:bCs/>
          <w:sz w:val="20"/>
          <w:szCs w:val="20"/>
          <w:lang w:val="en-GB"/>
        </w:rPr>
        <w:t>11</w:t>
      </w:r>
      <w:r w:rsidRPr="001D295C">
        <w:rPr>
          <w:rFonts w:ascii="Arial" w:hAnsi="Arial" w:cs="Arial"/>
          <w:b/>
          <w:bCs/>
          <w:sz w:val="20"/>
          <w:szCs w:val="20"/>
          <w:lang w:val="en-GB"/>
        </w:rPr>
        <w:t xml:space="preserve"> | Expected ecosystem service provisioning, weighted by the rural population, is lower in highly novel areas. </w:t>
      </w:r>
      <w:r w:rsidRPr="001D295C">
        <w:rPr>
          <w:rFonts w:ascii="Arial" w:hAnsi="Arial" w:cs="Arial"/>
          <w:sz w:val="20"/>
          <w:szCs w:val="20"/>
          <w:lang w:val="en-GB"/>
        </w:rPr>
        <w:t xml:space="preserve">Ecosystem service provisioning, weighted by the rural population present in the same cell, for four key ecosystem services is shown for areas that are considered </w:t>
      </w:r>
      <w:r w:rsidRPr="001D295C">
        <w:rPr>
          <w:rFonts w:ascii="Arial" w:hAnsi="Arial" w:cs="Arial"/>
          <w:sz w:val="20"/>
          <w:szCs w:val="20"/>
        </w:rPr>
        <w:t>“highly novel” (a novelty score of 0.33 or above) and “lower novelty” (a novelty score below 0.33). Ecosystem service provisioning is the product of an ensemble modelling approach and is originally scaled 0-1 before being multiplied by the logged rural population in the cell. Horizontal lines on each plot mark the 95</w:t>
      </w:r>
      <w:r w:rsidRPr="001D295C">
        <w:rPr>
          <w:rFonts w:ascii="Arial" w:hAnsi="Arial" w:cs="Arial"/>
          <w:sz w:val="20"/>
          <w:szCs w:val="20"/>
          <w:vertAlign w:val="superscript"/>
        </w:rPr>
        <w:t>th</w:t>
      </w:r>
      <w:r w:rsidRPr="001D295C">
        <w:rPr>
          <w:rFonts w:ascii="Arial" w:hAnsi="Arial" w:cs="Arial"/>
          <w:sz w:val="20"/>
          <w:szCs w:val="20"/>
        </w:rPr>
        <w:t>, 50</w:t>
      </w:r>
      <w:r w:rsidRPr="001D295C">
        <w:rPr>
          <w:rFonts w:ascii="Arial" w:hAnsi="Arial" w:cs="Arial"/>
          <w:sz w:val="20"/>
          <w:szCs w:val="20"/>
          <w:vertAlign w:val="superscript"/>
        </w:rPr>
        <w:t>th</w:t>
      </w:r>
      <w:r w:rsidRPr="001D295C">
        <w:rPr>
          <w:rFonts w:ascii="Arial" w:hAnsi="Arial" w:cs="Arial"/>
          <w:sz w:val="20"/>
          <w:szCs w:val="20"/>
        </w:rPr>
        <w:t>, and 5</w:t>
      </w:r>
      <w:r w:rsidRPr="001D295C">
        <w:rPr>
          <w:rFonts w:ascii="Arial" w:hAnsi="Arial" w:cs="Arial"/>
          <w:sz w:val="20"/>
          <w:szCs w:val="20"/>
          <w:vertAlign w:val="superscript"/>
        </w:rPr>
        <w:t>th</w:t>
      </w:r>
      <w:r w:rsidRPr="001D295C">
        <w:rPr>
          <w:rFonts w:ascii="Arial" w:hAnsi="Arial" w:cs="Arial"/>
          <w:sz w:val="20"/>
          <w:szCs w:val="20"/>
        </w:rPr>
        <w:t xml:space="preserve"> quantile. Labels at the top of each panel show the effect size (Hedge’s </w:t>
      </w:r>
      <w:r w:rsidRPr="001D295C">
        <w:rPr>
          <w:rFonts w:ascii="Arial" w:hAnsi="Arial" w:cs="Arial"/>
          <w:i/>
          <w:iCs/>
          <w:sz w:val="20"/>
          <w:szCs w:val="20"/>
        </w:rPr>
        <w:t>G</w:t>
      </w:r>
      <w:r w:rsidRPr="001D295C">
        <w:rPr>
          <w:rFonts w:ascii="Arial" w:hAnsi="Arial" w:cs="Arial"/>
          <w:sz w:val="20"/>
          <w:szCs w:val="20"/>
        </w:rPr>
        <w:t>) for each comparison (not novel against novel). Violin plots for individual novelty-generating processes are shown as supplemental information (Supplementary Figures 10-12).</w:t>
      </w:r>
    </w:p>
    <w:p w14:paraId="5FBD7B10" w14:textId="77777777" w:rsidR="00E02B25" w:rsidRPr="001D295C" w:rsidRDefault="00E02B25" w:rsidP="00E02B25">
      <w:pPr>
        <w:jc w:val="both"/>
        <w:rPr>
          <w:rFonts w:ascii="Arial" w:hAnsi="Arial" w:cs="Arial"/>
          <w:b/>
          <w:bCs/>
          <w:sz w:val="20"/>
          <w:szCs w:val="20"/>
          <w:lang w:val="en-GB"/>
        </w:rPr>
      </w:pPr>
      <w:r w:rsidRPr="001D295C">
        <w:rPr>
          <w:rFonts w:ascii="Arial" w:hAnsi="Arial" w:cs="Arial"/>
          <w:b/>
          <w:bCs/>
          <w:noProof/>
          <w:sz w:val="20"/>
          <w:szCs w:val="20"/>
          <w:lang w:val="en-GB"/>
        </w:rPr>
        <w:lastRenderedPageBreak/>
        <w:drawing>
          <wp:inline distT="0" distB="0" distL="0" distR="0" wp14:anchorId="5693D455" wp14:editId="0045AEF4">
            <wp:extent cx="6120765" cy="3672205"/>
            <wp:effectExtent l="0" t="0" r="0" b="4445"/>
            <wp:docPr id="3059581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14:paraId="0326FD44" w14:textId="2D590F7F" w:rsidR="00140361" w:rsidRPr="001D295C" w:rsidRDefault="00E02B25" w:rsidP="00E02B25">
      <w:pPr>
        <w:jc w:val="both"/>
        <w:rPr>
          <w:rFonts w:ascii="Arial" w:hAnsi="Arial" w:cs="Arial"/>
          <w:sz w:val="20"/>
          <w:szCs w:val="20"/>
          <w:lang w:val="en-GB"/>
        </w:rPr>
      </w:pPr>
      <w:r w:rsidRPr="001D295C">
        <w:rPr>
          <w:rFonts w:ascii="Arial" w:hAnsi="Arial" w:cs="Arial"/>
          <w:b/>
          <w:bCs/>
          <w:sz w:val="20"/>
          <w:szCs w:val="20"/>
          <w:lang w:val="en-GB"/>
        </w:rPr>
        <w:t xml:space="preserve">Supplementary Figure </w:t>
      </w:r>
      <w:r w:rsidR="00014DDE" w:rsidRPr="001D295C">
        <w:rPr>
          <w:rFonts w:ascii="Arial" w:hAnsi="Arial" w:cs="Arial"/>
          <w:b/>
          <w:bCs/>
          <w:sz w:val="20"/>
          <w:szCs w:val="20"/>
          <w:lang w:val="en-GB"/>
        </w:rPr>
        <w:t>12</w:t>
      </w:r>
      <w:r w:rsidRPr="001D295C">
        <w:rPr>
          <w:rFonts w:ascii="Arial" w:hAnsi="Arial" w:cs="Arial"/>
          <w:b/>
          <w:bCs/>
          <w:sz w:val="20"/>
          <w:szCs w:val="20"/>
          <w:lang w:val="en-GB"/>
        </w:rPr>
        <w:t xml:space="preserve"> | Expected ecosystem service provisioning, weighted by the rural population, is lower in areas with higher ecological novelty. </w:t>
      </w:r>
      <w:r w:rsidRPr="001D295C">
        <w:rPr>
          <w:rFonts w:ascii="Arial" w:hAnsi="Arial" w:cs="Arial"/>
          <w:sz w:val="20"/>
          <w:szCs w:val="20"/>
          <w:lang w:val="en-GB"/>
        </w:rPr>
        <w:t xml:space="preserve">Ecosystem service provisioning, weighted by the rural population present in the same </w:t>
      </w:r>
      <w:proofErr w:type="spellStart"/>
      <w:proofErr w:type="gramStart"/>
      <w:r w:rsidRPr="001D295C">
        <w:rPr>
          <w:rFonts w:ascii="Arial" w:hAnsi="Arial" w:cs="Arial"/>
          <w:sz w:val="20"/>
          <w:szCs w:val="20"/>
          <w:lang w:val="en-GB"/>
        </w:rPr>
        <w:t>cell,m</w:t>
      </w:r>
      <w:proofErr w:type="spellEnd"/>
      <w:proofErr w:type="gramEnd"/>
      <w:r w:rsidRPr="001D295C">
        <w:rPr>
          <w:rFonts w:ascii="Arial" w:hAnsi="Arial" w:cs="Arial"/>
          <w:sz w:val="20"/>
          <w:szCs w:val="20"/>
          <w:lang w:val="en-GB"/>
        </w:rPr>
        <w:t xml:space="preserve"> for four key ecosystem services is shown plotted against the level of total ecological novelty exposure in the same cell. </w:t>
      </w:r>
      <w:r w:rsidRPr="001D295C">
        <w:rPr>
          <w:rFonts w:ascii="Arial" w:hAnsi="Arial" w:cs="Arial"/>
          <w:sz w:val="20"/>
          <w:szCs w:val="20"/>
        </w:rPr>
        <w:t xml:space="preserve">Ecosystem service provisioning is the product of an ensemble modelling approach and is originally scaled 0-1 before being multiplied by the logged rural population in the cell. </w:t>
      </w:r>
      <w:r w:rsidRPr="001D295C">
        <w:rPr>
          <w:rFonts w:ascii="Arial" w:hAnsi="Arial" w:cs="Arial"/>
          <w:sz w:val="20"/>
          <w:szCs w:val="20"/>
          <w:lang w:val="en-GB"/>
        </w:rPr>
        <w:t xml:space="preserve">Levels in the density plot show the number of cells out of a 10x10km resolution global map of terrestrial novelty (see Figure 1). The fitted line is the result of a generalised additive model with the formula </w:t>
      </w:r>
      <w:proofErr w:type="spellStart"/>
      <w:r w:rsidRPr="001D295C">
        <w:rPr>
          <w:rFonts w:ascii="Arial" w:hAnsi="Arial" w:cs="Arial"/>
          <w:i/>
          <w:iCs/>
          <w:sz w:val="20"/>
          <w:szCs w:val="20"/>
          <w:lang w:val="en-GB"/>
        </w:rPr>
        <w:t>EcosystemService</w:t>
      </w:r>
      <w:proofErr w:type="spellEnd"/>
      <w:r w:rsidRPr="001D295C">
        <w:rPr>
          <w:rFonts w:ascii="Arial" w:hAnsi="Arial" w:cs="Arial"/>
          <w:i/>
          <w:iCs/>
          <w:sz w:val="20"/>
          <w:szCs w:val="20"/>
          <w:lang w:val="en-GB"/>
        </w:rPr>
        <w:t xml:space="preserve"> ~ Novelty</w:t>
      </w:r>
      <w:r w:rsidRPr="001D295C">
        <w:rPr>
          <w:rFonts w:ascii="Arial" w:hAnsi="Arial" w:cs="Arial"/>
          <w:sz w:val="20"/>
          <w:szCs w:val="20"/>
          <w:lang w:val="en-GB"/>
        </w:rPr>
        <w:t>, where novelty is smoothed using a cubic spline.</w:t>
      </w:r>
    </w:p>
    <w:p w14:paraId="4CB455CD" w14:textId="77777777" w:rsidR="00140361" w:rsidRPr="001D295C" w:rsidRDefault="00140361">
      <w:pPr>
        <w:spacing w:after="160" w:line="259" w:lineRule="auto"/>
        <w:rPr>
          <w:rFonts w:ascii="Arial" w:hAnsi="Arial" w:cs="Arial"/>
          <w:sz w:val="20"/>
          <w:szCs w:val="20"/>
          <w:lang w:val="en-GB"/>
        </w:rPr>
      </w:pPr>
      <w:r w:rsidRPr="001D295C">
        <w:rPr>
          <w:rFonts w:ascii="Arial" w:hAnsi="Arial" w:cs="Arial"/>
          <w:sz w:val="20"/>
          <w:szCs w:val="20"/>
          <w:lang w:val="en-GB"/>
        </w:rPr>
        <w:br w:type="page"/>
      </w:r>
    </w:p>
    <w:p w14:paraId="3D4C6B12" w14:textId="77777777" w:rsidR="00140361" w:rsidRPr="001D295C" w:rsidRDefault="00140361" w:rsidP="00140361">
      <w:pPr>
        <w:rPr>
          <w:rFonts w:ascii="Arial" w:hAnsi="Arial" w:cs="Arial"/>
          <w:b/>
          <w:bCs/>
          <w:sz w:val="20"/>
          <w:szCs w:val="20"/>
        </w:rPr>
      </w:pPr>
      <w:r w:rsidRPr="001D295C">
        <w:rPr>
          <w:rFonts w:ascii="Arial" w:hAnsi="Arial" w:cs="Arial"/>
          <w:b/>
          <w:bCs/>
          <w:noProof/>
          <w:sz w:val="20"/>
          <w:szCs w:val="20"/>
        </w:rPr>
        <w:lastRenderedPageBreak/>
        <w:drawing>
          <wp:inline distT="0" distB="0" distL="0" distR="0" wp14:anchorId="300F056E" wp14:editId="4B500BFA">
            <wp:extent cx="5724525" cy="4847725"/>
            <wp:effectExtent l="0" t="0" r="0" b="0"/>
            <wp:docPr id="10849512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51275"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24525" cy="4847725"/>
                    </a:xfrm>
                    <a:prstGeom prst="rect">
                      <a:avLst/>
                    </a:prstGeom>
                    <a:noFill/>
                    <a:ln>
                      <a:noFill/>
                    </a:ln>
                  </pic:spPr>
                </pic:pic>
              </a:graphicData>
            </a:graphic>
          </wp:inline>
        </w:drawing>
      </w:r>
    </w:p>
    <w:p w14:paraId="37B463F6" w14:textId="1D359E66" w:rsidR="00140361" w:rsidRPr="001D295C" w:rsidRDefault="00140361" w:rsidP="00140361">
      <w:pPr>
        <w:rPr>
          <w:rFonts w:ascii="Arial" w:hAnsi="Arial" w:cs="Arial"/>
          <w:b/>
          <w:bCs/>
          <w:sz w:val="20"/>
          <w:szCs w:val="20"/>
        </w:rPr>
      </w:pPr>
      <w:r w:rsidRPr="001D295C">
        <w:rPr>
          <w:rFonts w:ascii="Arial" w:hAnsi="Arial" w:cs="Arial"/>
          <w:b/>
          <w:bCs/>
          <w:sz w:val="20"/>
          <w:szCs w:val="20"/>
        </w:rPr>
        <w:t xml:space="preserve">Supplementary figure </w:t>
      </w:r>
      <w:r w:rsidRPr="001D295C">
        <w:rPr>
          <w:rFonts w:ascii="Arial" w:hAnsi="Arial" w:cs="Arial"/>
          <w:b/>
          <w:bCs/>
          <w:sz w:val="20"/>
          <w:szCs w:val="20"/>
        </w:rPr>
        <w:t>13</w:t>
      </w:r>
      <w:r w:rsidRPr="001D295C">
        <w:rPr>
          <w:rFonts w:ascii="Arial" w:hAnsi="Arial" w:cs="Arial"/>
          <w:b/>
          <w:bCs/>
          <w:sz w:val="20"/>
          <w:szCs w:val="20"/>
        </w:rPr>
        <w:t xml:space="preserve"> | Some expected ecosystem services provisioning is higher in areas with very high climate novelty. </w:t>
      </w:r>
      <w:r w:rsidRPr="001D295C">
        <w:rPr>
          <w:rFonts w:ascii="Arial" w:hAnsi="Arial" w:cs="Arial"/>
          <w:sz w:val="20"/>
          <w:szCs w:val="20"/>
        </w:rPr>
        <w:t>Ecosystem service provisioning for four key ecosystem services is shown for areas that are considered “highly novel” (a novelty score of 0.66 or above) and “lower novelty” (a novelty score below 0.66) with respect to climate novelty only. Ecosystem service provisioning is scaled between 0-1 and is the product of an ensemble modelling approach. Horizontal lines on each plot mark the 95</w:t>
      </w:r>
      <w:r w:rsidRPr="001D295C">
        <w:rPr>
          <w:rFonts w:ascii="Arial" w:hAnsi="Arial" w:cs="Arial"/>
          <w:sz w:val="20"/>
          <w:szCs w:val="20"/>
          <w:vertAlign w:val="superscript"/>
        </w:rPr>
        <w:t>th</w:t>
      </w:r>
      <w:r w:rsidRPr="001D295C">
        <w:rPr>
          <w:rFonts w:ascii="Arial" w:hAnsi="Arial" w:cs="Arial"/>
          <w:sz w:val="20"/>
          <w:szCs w:val="20"/>
        </w:rPr>
        <w:t>, 50</w:t>
      </w:r>
      <w:r w:rsidRPr="001D295C">
        <w:rPr>
          <w:rFonts w:ascii="Arial" w:hAnsi="Arial" w:cs="Arial"/>
          <w:sz w:val="20"/>
          <w:szCs w:val="20"/>
          <w:vertAlign w:val="superscript"/>
        </w:rPr>
        <w:t>th</w:t>
      </w:r>
      <w:r w:rsidRPr="001D295C">
        <w:rPr>
          <w:rFonts w:ascii="Arial" w:hAnsi="Arial" w:cs="Arial"/>
          <w:sz w:val="20"/>
          <w:szCs w:val="20"/>
        </w:rPr>
        <w:t>, and 5</w:t>
      </w:r>
      <w:r w:rsidRPr="001D295C">
        <w:rPr>
          <w:rFonts w:ascii="Arial" w:hAnsi="Arial" w:cs="Arial"/>
          <w:sz w:val="20"/>
          <w:szCs w:val="20"/>
          <w:vertAlign w:val="superscript"/>
        </w:rPr>
        <w:t>th</w:t>
      </w:r>
      <w:r w:rsidRPr="001D295C">
        <w:rPr>
          <w:rFonts w:ascii="Arial" w:hAnsi="Arial" w:cs="Arial"/>
          <w:sz w:val="20"/>
          <w:szCs w:val="20"/>
        </w:rPr>
        <w:t xml:space="preserve"> quantile. Labels at the top of each panel show the effect size (Hedge’s </w:t>
      </w:r>
      <w:r w:rsidRPr="001D295C">
        <w:rPr>
          <w:rFonts w:ascii="Arial" w:hAnsi="Arial" w:cs="Arial"/>
          <w:i/>
          <w:iCs/>
          <w:sz w:val="20"/>
          <w:szCs w:val="20"/>
        </w:rPr>
        <w:t>G</w:t>
      </w:r>
      <w:r w:rsidRPr="001D295C">
        <w:rPr>
          <w:rFonts w:ascii="Arial" w:hAnsi="Arial" w:cs="Arial"/>
          <w:sz w:val="20"/>
          <w:szCs w:val="20"/>
        </w:rPr>
        <w:t>) for each comparison (not novel against novel).</w:t>
      </w:r>
    </w:p>
    <w:p w14:paraId="1E6BA6B7" w14:textId="77777777" w:rsidR="00140361" w:rsidRPr="001D295C" w:rsidRDefault="00140361" w:rsidP="00140361">
      <w:pPr>
        <w:rPr>
          <w:rFonts w:ascii="Arial" w:hAnsi="Arial" w:cs="Arial"/>
          <w:b/>
          <w:bCs/>
          <w:sz w:val="20"/>
          <w:szCs w:val="20"/>
        </w:rPr>
      </w:pPr>
      <w:r w:rsidRPr="001D295C">
        <w:rPr>
          <w:rFonts w:ascii="Arial" w:hAnsi="Arial" w:cs="Arial"/>
          <w:b/>
          <w:bCs/>
          <w:noProof/>
          <w:sz w:val="20"/>
          <w:szCs w:val="20"/>
        </w:rPr>
        <w:lastRenderedPageBreak/>
        <w:drawing>
          <wp:inline distT="0" distB="0" distL="0" distR="0" wp14:anchorId="58E84671" wp14:editId="61E347F9">
            <wp:extent cx="5724525" cy="4847725"/>
            <wp:effectExtent l="0" t="0" r="0" b="0"/>
            <wp:docPr id="21324606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60624"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24525" cy="4847725"/>
                    </a:xfrm>
                    <a:prstGeom prst="rect">
                      <a:avLst/>
                    </a:prstGeom>
                    <a:noFill/>
                    <a:ln>
                      <a:noFill/>
                    </a:ln>
                  </pic:spPr>
                </pic:pic>
              </a:graphicData>
            </a:graphic>
          </wp:inline>
        </w:drawing>
      </w:r>
    </w:p>
    <w:p w14:paraId="22E785DC" w14:textId="0877A304" w:rsidR="00140361" w:rsidRPr="001D295C" w:rsidRDefault="00140361" w:rsidP="00140361">
      <w:pPr>
        <w:rPr>
          <w:rFonts w:ascii="Arial" w:hAnsi="Arial" w:cs="Arial"/>
          <w:b/>
          <w:bCs/>
          <w:sz w:val="20"/>
          <w:szCs w:val="20"/>
        </w:rPr>
      </w:pPr>
      <w:r w:rsidRPr="001D295C">
        <w:rPr>
          <w:rFonts w:ascii="Arial" w:hAnsi="Arial" w:cs="Arial"/>
          <w:b/>
          <w:bCs/>
          <w:sz w:val="20"/>
          <w:szCs w:val="20"/>
        </w:rPr>
        <w:t xml:space="preserve">Supplementary figure </w:t>
      </w:r>
      <w:r w:rsidRPr="001D295C">
        <w:rPr>
          <w:rFonts w:ascii="Arial" w:hAnsi="Arial" w:cs="Arial"/>
          <w:b/>
          <w:bCs/>
          <w:sz w:val="20"/>
          <w:szCs w:val="20"/>
        </w:rPr>
        <w:t>14</w:t>
      </w:r>
      <w:r w:rsidRPr="001D295C">
        <w:rPr>
          <w:rFonts w:ascii="Arial" w:hAnsi="Arial" w:cs="Arial"/>
          <w:b/>
          <w:bCs/>
          <w:sz w:val="20"/>
          <w:szCs w:val="20"/>
        </w:rPr>
        <w:t xml:space="preserve"> | Expected ecosystem services provisioning is lower in areas with very high mammal defaunation novelty. </w:t>
      </w:r>
      <w:r w:rsidRPr="001D295C">
        <w:rPr>
          <w:rFonts w:ascii="Arial" w:hAnsi="Arial" w:cs="Arial"/>
          <w:sz w:val="20"/>
          <w:szCs w:val="20"/>
        </w:rPr>
        <w:t>Ecosystem service provisioning for four key ecosystem services is shown for areas that are considered “highly novel” (a novelty score of 0.5 or above) and “lower novelty” (a novelty score below 0.5) with respect to defaunation novelty only. Ecosystem service provisioning is scaled between 0-1 and is the product of an ensemble modelling approach. Horizontal lines on each plot mark the 95</w:t>
      </w:r>
      <w:r w:rsidRPr="001D295C">
        <w:rPr>
          <w:rFonts w:ascii="Arial" w:hAnsi="Arial" w:cs="Arial"/>
          <w:sz w:val="20"/>
          <w:szCs w:val="20"/>
          <w:vertAlign w:val="superscript"/>
        </w:rPr>
        <w:t>th</w:t>
      </w:r>
      <w:r w:rsidRPr="001D295C">
        <w:rPr>
          <w:rFonts w:ascii="Arial" w:hAnsi="Arial" w:cs="Arial"/>
          <w:sz w:val="20"/>
          <w:szCs w:val="20"/>
        </w:rPr>
        <w:t>, 50</w:t>
      </w:r>
      <w:r w:rsidRPr="001D295C">
        <w:rPr>
          <w:rFonts w:ascii="Arial" w:hAnsi="Arial" w:cs="Arial"/>
          <w:sz w:val="20"/>
          <w:szCs w:val="20"/>
          <w:vertAlign w:val="superscript"/>
        </w:rPr>
        <w:t>th</w:t>
      </w:r>
      <w:r w:rsidRPr="001D295C">
        <w:rPr>
          <w:rFonts w:ascii="Arial" w:hAnsi="Arial" w:cs="Arial"/>
          <w:sz w:val="20"/>
          <w:szCs w:val="20"/>
        </w:rPr>
        <w:t>, and 5</w:t>
      </w:r>
      <w:r w:rsidRPr="001D295C">
        <w:rPr>
          <w:rFonts w:ascii="Arial" w:hAnsi="Arial" w:cs="Arial"/>
          <w:sz w:val="20"/>
          <w:szCs w:val="20"/>
          <w:vertAlign w:val="superscript"/>
        </w:rPr>
        <w:t>th</w:t>
      </w:r>
      <w:r w:rsidRPr="001D295C">
        <w:rPr>
          <w:rFonts w:ascii="Arial" w:hAnsi="Arial" w:cs="Arial"/>
          <w:sz w:val="20"/>
          <w:szCs w:val="20"/>
        </w:rPr>
        <w:t xml:space="preserve"> quantile. Labels at the top of each panel show the effect size (Hedge’s </w:t>
      </w:r>
      <w:r w:rsidRPr="001D295C">
        <w:rPr>
          <w:rFonts w:ascii="Arial" w:hAnsi="Arial" w:cs="Arial"/>
          <w:i/>
          <w:iCs/>
          <w:sz w:val="20"/>
          <w:szCs w:val="20"/>
        </w:rPr>
        <w:t>G</w:t>
      </w:r>
      <w:r w:rsidRPr="001D295C">
        <w:rPr>
          <w:rFonts w:ascii="Arial" w:hAnsi="Arial" w:cs="Arial"/>
          <w:sz w:val="20"/>
          <w:szCs w:val="20"/>
        </w:rPr>
        <w:t>) for each comparison (not novel against novel).</w:t>
      </w:r>
    </w:p>
    <w:p w14:paraId="2707186C" w14:textId="77777777" w:rsidR="00140361" w:rsidRPr="001D295C" w:rsidRDefault="00140361" w:rsidP="00140361">
      <w:pPr>
        <w:rPr>
          <w:rFonts w:ascii="Arial" w:hAnsi="Arial" w:cs="Arial"/>
          <w:b/>
          <w:bCs/>
          <w:sz w:val="20"/>
          <w:szCs w:val="20"/>
        </w:rPr>
      </w:pPr>
    </w:p>
    <w:p w14:paraId="5640B65C" w14:textId="77777777" w:rsidR="00140361" w:rsidRPr="001D295C" w:rsidRDefault="00140361" w:rsidP="00140361">
      <w:pPr>
        <w:rPr>
          <w:rFonts w:ascii="Arial" w:hAnsi="Arial" w:cs="Arial"/>
          <w:b/>
          <w:bCs/>
          <w:sz w:val="20"/>
          <w:szCs w:val="20"/>
        </w:rPr>
      </w:pPr>
      <w:r w:rsidRPr="001D295C">
        <w:rPr>
          <w:rFonts w:ascii="Arial" w:hAnsi="Arial" w:cs="Arial"/>
          <w:b/>
          <w:bCs/>
          <w:noProof/>
          <w:sz w:val="20"/>
          <w:szCs w:val="20"/>
        </w:rPr>
        <w:lastRenderedPageBreak/>
        <w:drawing>
          <wp:inline distT="0" distB="0" distL="0" distR="0" wp14:anchorId="674CFD03" wp14:editId="0F9348F7">
            <wp:extent cx="5724525" cy="4847725"/>
            <wp:effectExtent l="0" t="0" r="0" b="0"/>
            <wp:docPr id="5979182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18248"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24525" cy="4847725"/>
                    </a:xfrm>
                    <a:prstGeom prst="rect">
                      <a:avLst/>
                    </a:prstGeom>
                    <a:noFill/>
                    <a:ln>
                      <a:noFill/>
                    </a:ln>
                  </pic:spPr>
                </pic:pic>
              </a:graphicData>
            </a:graphic>
          </wp:inline>
        </w:drawing>
      </w:r>
    </w:p>
    <w:p w14:paraId="0BA0BA12" w14:textId="7C8EFA7F" w:rsidR="00140361" w:rsidRPr="001D295C" w:rsidRDefault="00140361" w:rsidP="00140361">
      <w:pPr>
        <w:rPr>
          <w:rFonts w:ascii="Arial" w:hAnsi="Arial" w:cs="Arial"/>
          <w:b/>
          <w:bCs/>
          <w:sz w:val="20"/>
          <w:szCs w:val="20"/>
        </w:rPr>
      </w:pPr>
      <w:r w:rsidRPr="001D295C">
        <w:rPr>
          <w:rFonts w:ascii="Arial" w:hAnsi="Arial" w:cs="Arial"/>
          <w:b/>
          <w:bCs/>
          <w:sz w:val="20"/>
          <w:szCs w:val="20"/>
        </w:rPr>
        <w:t xml:space="preserve">Supplementary figure </w:t>
      </w:r>
      <w:r w:rsidRPr="001D295C">
        <w:rPr>
          <w:rFonts w:ascii="Arial" w:hAnsi="Arial" w:cs="Arial"/>
          <w:b/>
          <w:bCs/>
          <w:sz w:val="20"/>
          <w:szCs w:val="20"/>
        </w:rPr>
        <w:t>15</w:t>
      </w:r>
      <w:r w:rsidRPr="001D295C">
        <w:rPr>
          <w:rFonts w:ascii="Arial" w:hAnsi="Arial" w:cs="Arial"/>
          <w:b/>
          <w:bCs/>
          <w:sz w:val="20"/>
          <w:szCs w:val="20"/>
        </w:rPr>
        <w:t xml:space="preserve"> | Expected ecosystem services provisioning is lower in areas with very high floristic disruption novelty. </w:t>
      </w:r>
      <w:r w:rsidRPr="001D295C">
        <w:rPr>
          <w:rFonts w:ascii="Arial" w:hAnsi="Arial" w:cs="Arial"/>
          <w:sz w:val="20"/>
          <w:szCs w:val="20"/>
        </w:rPr>
        <w:t>Ecosystem service provisioning for four key ecosystem services is shown for areas that are considered “highly novel” (a novelty score of 0.25 or above) and “lower novelty” (a novelty score below 0.25) with respect to floristic disruption novelty only. Ecosystem service provisioning is scaled between 0-1 and is the product of an ensemble modelling approach. Horizontal lines on each plot mark the 95</w:t>
      </w:r>
      <w:r w:rsidRPr="001D295C">
        <w:rPr>
          <w:rFonts w:ascii="Arial" w:hAnsi="Arial" w:cs="Arial"/>
          <w:sz w:val="20"/>
          <w:szCs w:val="20"/>
          <w:vertAlign w:val="superscript"/>
        </w:rPr>
        <w:t>th</w:t>
      </w:r>
      <w:r w:rsidRPr="001D295C">
        <w:rPr>
          <w:rFonts w:ascii="Arial" w:hAnsi="Arial" w:cs="Arial"/>
          <w:sz w:val="20"/>
          <w:szCs w:val="20"/>
        </w:rPr>
        <w:t>, 50</w:t>
      </w:r>
      <w:r w:rsidRPr="001D295C">
        <w:rPr>
          <w:rFonts w:ascii="Arial" w:hAnsi="Arial" w:cs="Arial"/>
          <w:sz w:val="20"/>
          <w:szCs w:val="20"/>
          <w:vertAlign w:val="superscript"/>
        </w:rPr>
        <w:t>th</w:t>
      </w:r>
      <w:r w:rsidRPr="001D295C">
        <w:rPr>
          <w:rFonts w:ascii="Arial" w:hAnsi="Arial" w:cs="Arial"/>
          <w:sz w:val="20"/>
          <w:szCs w:val="20"/>
        </w:rPr>
        <w:t>, and 5</w:t>
      </w:r>
      <w:r w:rsidRPr="001D295C">
        <w:rPr>
          <w:rFonts w:ascii="Arial" w:hAnsi="Arial" w:cs="Arial"/>
          <w:sz w:val="20"/>
          <w:szCs w:val="20"/>
          <w:vertAlign w:val="superscript"/>
        </w:rPr>
        <w:t>th</w:t>
      </w:r>
      <w:r w:rsidRPr="001D295C">
        <w:rPr>
          <w:rFonts w:ascii="Arial" w:hAnsi="Arial" w:cs="Arial"/>
          <w:sz w:val="20"/>
          <w:szCs w:val="20"/>
        </w:rPr>
        <w:t xml:space="preserve"> quantile. Labels at the top of each panel show the effect size (Hedge’s </w:t>
      </w:r>
      <w:r w:rsidRPr="001D295C">
        <w:rPr>
          <w:rFonts w:ascii="Arial" w:hAnsi="Arial" w:cs="Arial"/>
          <w:i/>
          <w:iCs/>
          <w:sz w:val="20"/>
          <w:szCs w:val="20"/>
        </w:rPr>
        <w:t>G</w:t>
      </w:r>
      <w:r w:rsidRPr="001D295C">
        <w:rPr>
          <w:rFonts w:ascii="Arial" w:hAnsi="Arial" w:cs="Arial"/>
          <w:sz w:val="20"/>
          <w:szCs w:val="20"/>
        </w:rPr>
        <w:t>) for each comparison (not novel against novel).</w:t>
      </w:r>
    </w:p>
    <w:p w14:paraId="699251CD" w14:textId="348FF8B9" w:rsidR="00181F01" w:rsidRPr="001D295C" w:rsidRDefault="00181F01">
      <w:pPr>
        <w:spacing w:after="160" w:line="259" w:lineRule="auto"/>
        <w:rPr>
          <w:rFonts w:ascii="Arial" w:hAnsi="Arial" w:cs="Arial"/>
          <w:b/>
          <w:bCs/>
          <w:sz w:val="20"/>
          <w:szCs w:val="20"/>
        </w:rPr>
      </w:pPr>
      <w:r w:rsidRPr="001D295C">
        <w:rPr>
          <w:rFonts w:ascii="Arial" w:hAnsi="Arial" w:cs="Arial"/>
          <w:b/>
          <w:bCs/>
          <w:sz w:val="20"/>
          <w:szCs w:val="20"/>
        </w:rPr>
        <w:br w:type="page"/>
      </w:r>
    </w:p>
    <w:p w14:paraId="1577E044" w14:textId="77777777" w:rsidR="00181F01" w:rsidRPr="001D295C" w:rsidRDefault="00181F01" w:rsidP="00181F01">
      <w:pPr>
        <w:rPr>
          <w:rFonts w:ascii="Arial" w:hAnsi="Arial" w:cs="Arial"/>
          <w:b/>
          <w:bCs/>
          <w:sz w:val="20"/>
          <w:szCs w:val="20"/>
        </w:rPr>
      </w:pPr>
      <w:r w:rsidRPr="001D295C">
        <w:rPr>
          <w:rFonts w:ascii="Arial" w:hAnsi="Arial" w:cs="Arial"/>
          <w:b/>
          <w:bCs/>
          <w:noProof/>
          <w:sz w:val="20"/>
          <w:szCs w:val="20"/>
        </w:rPr>
        <w:lastRenderedPageBreak/>
        <w:drawing>
          <wp:inline distT="0" distB="0" distL="0" distR="0" wp14:anchorId="2C8D6FEB" wp14:editId="490B51ED">
            <wp:extent cx="5724525" cy="4847725"/>
            <wp:effectExtent l="0" t="0" r="0" b="0"/>
            <wp:docPr id="11226307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3073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24525" cy="4847725"/>
                    </a:xfrm>
                    <a:prstGeom prst="rect">
                      <a:avLst/>
                    </a:prstGeom>
                    <a:noFill/>
                    <a:ln>
                      <a:noFill/>
                    </a:ln>
                  </pic:spPr>
                </pic:pic>
              </a:graphicData>
            </a:graphic>
          </wp:inline>
        </w:drawing>
      </w:r>
    </w:p>
    <w:p w14:paraId="32E35E08" w14:textId="5F8DD17C" w:rsidR="00181F01" w:rsidRPr="001D295C" w:rsidRDefault="00181F01" w:rsidP="00181F01">
      <w:pPr>
        <w:rPr>
          <w:rFonts w:ascii="Arial" w:hAnsi="Arial" w:cs="Arial"/>
          <w:b/>
          <w:bCs/>
          <w:sz w:val="20"/>
          <w:szCs w:val="20"/>
        </w:rPr>
      </w:pPr>
      <w:r w:rsidRPr="001D295C">
        <w:rPr>
          <w:rFonts w:ascii="Arial" w:hAnsi="Arial" w:cs="Arial"/>
          <w:b/>
          <w:bCs/>
          <w:sz w:val="20"/>
          <w:szCs w:val="20"/>
        </w:rPr>
        <w:t>Supplementary figure 1</w:t>
      </w:r>
      <w:r w:rsidRPr="001D295C">
        <w:rPr>
          <w:rFonts w:ascii="Arial" w:hAnsi="Arial" w:cs="Arial"/>
          <w:b/>
          <w:bCs/>
          <w:sz w:val="20"/>
          <w:szCs w:val="20"/>
        </w:rPr>
        <w:t>6</w:t>
      </w:r>
      <w:r w:rsidRPr="001D295C">
        <w:rPr>
          <w:rFonts w:ascii="Arial" w:hAnsi="Arial" w:cs="Arial"/>
          <w:b/>
          <w:bCs/>
          <w:sz w:val="20"/>
          <w:szCs w:val="20"/>
        </w:rPr>
        <w:t xml:space="preserve"> | Expected ecosystem services provisioning varies between areas with and without very high climate novelty. </w:t>
      </w:r>
      <w:r w:rsidRPr="001D295C">
        <w:rPr>
          <w:rFonts w:ascii="Arial" w:hAnsi="Arial" w:cs="Arial"/>
          <w:sz w:val="20"/>
          <w:szCs w:val="20"/>
        </w:rPr>
        <w:t xml:space="preserve">Ecosystem service provisioning for four key ecosystem services is shown for areas that are considered “highly novel” (a novelty score of 0.66 or above) and “lower novelty” (a novelty score below 0.66) with respect to climate novelty only. Ecosystem service provisioning is scaled between 0-1, before being multiplied by the logged rural population to create a weighted </w:t>
      </w:r>
      <w:proofErr w:type="gramStart"/>
      <w:r w:rsidRPr="001D295C">
        <w:rPr>
          <w:rFonts w:ascii="Arial" w:hAnsi="Arial" w:cs="Arial"/>
          <w:sz w:val="20"/>
          <w:szCs w:val="20"/>
        </w:rPr>
        <w:t>value, and</w:t>
      </w:r>
      <w:proofErr w:type="gramEnd"/>
      <w:r w:rsidRPr="001D295C">
        <w:rPr>
          <w:rFonts w:ascii="Arial" w:hAnsi="Arial" w:cs="Arial"/>
          <w:sz w:val="20"/>
          <w:szCs w:val="20"/>
        </w:rPr>
        <w:t xml:space="preserve"> is the product of an ensemble modelling approach. Horizontal lines on each plot mark the 95</w:t>
      </w:r>
      <w:r w:rsidRPr="001D295C">
        <w:rPr>
          <w:rFonts w:ascii="Arial" w:hAnsi="Arial" w:cs="Arial"/>
          <w:sz w:val="20"/>
          <w:szCs w:val="20"/>
          <w:vertAlign w:val="superscript"/>
        </w:rPr>
        <w:t>th</w:t>
      </w:r>
      <w:r w:rsidRPr="001D295C">
        <w:rPr>
          <w:rFonts w:ascii="Arial" w:hAnsi="Arial" w:cs="Arial"/>
          <w:sz w:val="20"/>
          <w:szCs w:val="20"/>
        </w:rPr>
        <w:t>, 50</w:t>
      </w:r>
      <w:r w:rsidRPr="001D295C">
        <w:rPr>
          <w:rFonts w:ascii="Arial" w:hAnsi="Arial" w:cs="Arial"/>
          <w:sz w:val="20"/>
          <w:szCs w:val="20"/>
          <w:vertAlign w:val="superscript"/>
        </w:rPr>
        <w:t>th</w:t>
      </w:r>
      <w:r w:rsidRPr="001D295C">
        <w:rPr>
          <w:rFonts w:ascii="Arial" w:hAnsi="Arial" w:cs="Arial"/>
          <w:sz w:val="20"/>
          <w:szCs w:val="20"/>
        </w:rPr>
        <w:t>, and 5</w:t>
      </w:r>
      <w:r w:rsidRPr="001D295C">
        <w:rPr>
          <w:rFonts w:ascii="Arial" w:hAnsi="Arial" w:cs="Arial"/>
          <w:sz w:val="20"/>
          <w:szCs w:val="20"/>
          <w:vertAlign w:val="superscript"/>
        </w:rPr>
        <w:t>th</w:t>
      </w:r>
      <w:r w:rsidRPr="001D295C">
        <w:rPr>
          <w:rFonts w:ascii="Arial" w:hAnsi="Arial" w:cs="Arial"/>
          <w:sz w:val="20"/>
          <w:szCs w:val="20"/>
        </w:rPr>
        <w:t xml:space="preserve"> quantile. Labels at the top of each panel show the effect size (Hedge’s </w:t>
      </w:r>
      <w:r w:rsidRPr="001D295C">
        <w:rPr>
          <w:rFonts w:ascii="Arial" w:hAnsi="Arial" w:cs="Arial"/>
          <w:i/>
          <w:iCs/>
          <w:sz w:val="20"/>
          <w:szCs w:val="20"/>
        </w:rPr>
        <w:t>G</w:t>
      </w:r>
      <w:r w:rsidRPr="001D295C">
        <w:rPr>
          <w:rFonts w:ascii="Arial" w:hAnsi="Arial" w:cs="Arial"/>
          <w:sz w:val="20"/>
          <w:szCs w:val="20"/>
        </w:rPr>
        <w:t>) for each comparison (not novel against novel).</w:t>
      </w:r>
    </w:p>
    <w:p w14:paraId="579B1DC4" w14:textId="77777777" w:rsidR="00181F01" w:rsidRPr="001D295C" w:rsidRDefault="00181F01" w:rsidP="00181F01">
      <w:pPr>
        <w:rPr>
          <w:rFonts w:ascii="Arial" w:hAnsi="Arial" w:cs="Arial"/>
          <w:b/>
          <w:bCs/>
          <w:sz w:val="20"/>
          <w:szCs w:val="20"/>
        </w:rPr>
      </w:pPr>
      <w:r w:rsidRPr="001D295C">
        <w:rPr>
          <w:rFonts w:ascii="Arial" w:hAnsi="Arial" w:cs="Arial"/>
          <w:b/>
          <w:bCs/>
          <w:noProof/>
          <w:sz w:val="20"/>
          <w:szCs w:val="20"/>
        </w:rPr>
        <w:lastRenderedPageBreak/>
        <w:drawing>
          <wp:inline distT="0" distB="0" distL="0" distR="0" wp14:anchorId="5252DCD8" wp14:editId="4FEF2BF3">
            <wp:extent cx="5724525" cy="4847725"/>
            <wp:effectExtent l="0" t="0" r="0" b="0"/>
            <wp:docPr id="431041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1488"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24525" cy="4847725"/>
                    </a:xfrm>
                    <a:prstGeom prst="rect">
                      <a:avLst/>
                    </a:prstGeom>
                    <a:noFill/>
                    <a:ln>
                      <a:noFill/>
                    </a:ln>
                  </pic:spPr>
                </pic:pic>
              </a:graphicData>
            </a:graphic>
          </wp:inline>
        </w:drawing>
      </w:r>
    </w:p>
    <w:p w14:paraId="74D1BF44" w14:textId="4B9082BC" w:rsidR="00181F01" w:rsidRPr="001D295C" w:rsidRDefault="00181F01" w:rsidP="00181F01">
      <w:pPr>
        <w:rPr>
          <w:rFonts w:ascii="Arial" w:hAnsi="Arial" w:cs="Arial"/>
          <w:b/>
          <w:bCs/>
          <w:sz w:val="20"/>
          <w:szCs w:val="20"/>
        </w:rPr>
      </w:pPr>
      <w:r w:rsidRPr="001D295C">
        <w:rPr>
          <w:rFonts w:ascii="Arial" w:hAnsi="Arial" w:cs="Arial"/>
          <w:b/>
          <w:bCs/>
          <w:sz w:val="20"/>
          <w:szCs w:val="20"/>
        </w:rPr>
        <w:t>Supplementary figure 1</w:t>
      </w:r>
      <w:r w:rsidRPr="001D295C">
        <w:rPr>
          <w:rFonts w:ascii="Arial" w:hAnsi="Arial" w:cs="Arial"/>
          <w:b/>
          <w:bCs/>
          <w:sz w:val="20"/>
          <w:szCs w:val="20"/>
        </w:rPr>
        <w:t>7</w:t>
      </w:r>
      <w:r w:rsidRPr="001D295C">
        <w:rPr>
          <w:rFonts w:ascii="Arial" w:hAnsi="Arial" w:cs="Arial"/>
          <w:b/>
          <w:bCs/>
          <w:sz w:val="20"/>
          <w:szCs w:val="20"/>
        </w:rPr>
        <w:t xml:space="preserve"> | Expected ecosystem services provisioning </w:t>
      </w:r>
      <w:proofErr w:type="gramStart"/>
      <w:r w:rsidRPr="001D295C">
        <w:rPr>
          <w:rFonts w:ascii="Arial" w:hAnsi="Arial" w:cs="Arial"/>
          <w:b/>
          <w:bCs/>
          <w:sz w:val="20"/>
          <w:szCs w:val="20"/>
        </w:rPr>
        <w:t>is varies</w:t>
      </w:r>
      <w:proofErr w:type="gramEnd"/>
      <w:r w:rsidRPr="001D295C">
        <w:rPr>
          <w:rFonts w:ascii="Arial" w:hAnsi="Arial" w:cs="Arial"/>
          <w:b/>
          <w:bCs/>
          <w:sz w:val="20"/>
          <w:szCs w:val="20"/>
        </w:rPr>
        <w:t xml:space="preserve"> between areas with and without very high mammal defaunation novelty. </w:t>
      </w:r>
      <w:r w:rsidRPr="001D295C">
        <w:rPr>
          <w:rFonts w:ascii="Arial" w:hAnsi="Arial" w:cs="Arial"/>
          <w:sz w:val="20"/>
          <w:szCs w:val="20"/>
        </w:rPr>
        <w:t xml:space="preserve">Ecosystem service provisioning for four key ecosystem services is shown for areas that are considered “highly novel” (a novelty score of 0.5 or above) and “lower novelty” (a novelty score below 0.5) with respect to defaunation novelty only. Ecosystem service provisioning is scaled between 0-1, before being multiplied by the logged rural population to create a weighted </w:t>
      </w:r>
      <w:proofErr w:type="gramStart"/>
      <w:r w:rsidRPr="001D295C">
        <w:rPr>
          <w:rFonts w:ascii="Arial" w:hAnsi="Arial" w:cs="Arial"/>
          <w:sz w:val="20"/>
          <w:szCs w:val="20"/>
        </w:rPr>
        <w:t>value, and</w:t>
      </w:r>
      <w:proofErr w:type="gramEnd"/>
      <w:r w:rsidRPr="001D295C">
        <w:rPr>
          <w:rFonts w:ascii="Arial" w:hAnsi="Arial" w:cs="Arial"/>
          <w:sz w:val="20"/>
          <w:szCs w:val="20"/>
        </w:rPr>
        <w:t xml:space="preserve"> is the product of an ensemble modelling approach. Horizontal lines on each plot mark the 95</w:t>
      </w:r>
      <w:r w:rsidRPr="001D295C">
        <w:rPr>
          <w:rFonts w:ascii="Arial" w:hAnsi="Arial" w:cs="Arial"/>
          <w:sz w:val="20"/>
          <w:szCs w:val="20"/>
          <w:vertAlign w:val="superscript"/>
        </w:rPr>
        <w:t>th</w:t>
      </w:r>
      <w:r w:rsidRPr="001D295C">
        <w:rPr>
          <w:rFonts w:ascii="Arial" w:hAnsi="Arial" w:cs="Arial"/>
          <w:sz w:val="20"/>
          <w:szCs w:val="20"/>
        </w:rPr>
        <w:t>, 50</w:t>
      </w:r>
      <w:r w:rsidRPr="001D295C">
        <w:rPr>
          <w:rFonts w:ascii="Arial" w:hAnsi="Arial" w:cs="Arial"/>
          <w:sz w:val="20"/>
          <w:szCs w:val="20"/>
          <w:vertAlign w:val="superscript"/>
        </w:rPr>
        <w:t>th</w:t>
      </w:r>
      <w:r w:rsidRPr="001D295C">
        <w:rPr>
          <w:rFonts w:ascii="Arial" w:hAnsi="Arial" w:cs="Arial"/>
          <w:sz w:val="20"/>
          <w:szCs w:val="20"/>
        </w:rPr>
        <w:t>, and 5</w:t>
      </w:r>
      <w:r w:rsidRPr="001D295C">
        <w:rPr>
          <w:rFonts w:ascii="Arial" w:hAnsi="Arial" w:cs="Arial"/>
          <w:sz w:val="20"/>
          <w:szCs w:val="20"/>
          <w:vertAlign w:val="superscript"/>
        </w:rPr>
        <w:t>th</w:t>
      </w:r>
      <w:r w:rsidRPr="001D295C">
        <w:rPr>
          <w:rFonts w:ascii="Arial" w:hAnsi="Arial" w:cs="Arial"/>
          <w:sz w:val="20"/>
          <w:szCs w:val="20"/>
        </w:rPr>
        <w:t xml:space="preserve"> quantile. Labels at the top of each panel show the effect size (Hedge’s </w:t>
      </w:r>
      <w:r w:rsidRPr="001D295C">
        <w:rPr>
          <w:rFonts w:ascii="Arial" w:hAnsi="Arial" w:cs="Arial"/>
          <w:i/>
          <w:iCs/>
          <w:sz w:val="20"/>
          <w:szCs w:val="20"/>
        </w:rPr>
        <w:t>G</w:t>
      </w:r>
      <w:r w:rsidRPr="001D295C">
        <w:rPr>
          <w:rFonts w:ascii="Arial" w:hAnsi="Arial" w:cs="Arial"/>
          <w:sz w:val="20"/>
          <w:szCs w:val="20"/>
        </w:rPr>
        <w:t>) for each comparison (not novel against novel).</w:t>
      </w:r>
    </w:p>
    <w:p w14:paraId="2DA39674" w14:textId="77777777" w:rsidR="00181F01" w:rsidRPr="001D295C" w:rsidRDefault="00181F01" w:rsidP="00181F01">
      <w:pPr>
        <w:rPr>
          <w:rFonts w:ascii="Arial" w:hAnsi="Arial" w:cs="Arial"/>
          <w:b/>
          <w:bCs/>
          <w:sz w:val="20"/>
          <w:szCs w:val="20"/>
        </w:rPr>
      </w:pPr>
      <w:r w:rsidRPr="001D295C">
        <w:rPr>
          <w:rFonts w:ascii="Arial" w:hAnsi="Arial" w:cs="Arial"/>
          <w:b/>
          <w:bCs/>
          <w:noProof/>
          <w:sz w:val="20"/>
          <w:szCs w:val="20"/>
        </w:rPr>
        <w:lastRenderedPageBreak/>
        <w:drawing>
          <wp:inline distT="0" distB="0" distL="0" distR="0" wp14:anchorId="2575EF2F" wp14:editId="386592C0">
            <wp:extent cx="5724525" cy="4847725"/>
            <wp:effectExtent l="0" t="0" r="0" b="0"/>
            <wp:docPr id="7108647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64728"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24525" cy="4847725"/>
                    </a:xfrm>
                    <a:prstGeom prst="rect">
                      <a:avLst/>
                    </a:prstGeom>
                    <a:noFill/>
                    <a:ln>
                      <a:noFill/>
                    </a:ln>
                  </pic:spPr>
                </pic:pic>
              </a:graphicData>
            </a:graphic>
          </wp:inline>
        </w:drawing>
      </w:r>
    </w:p>
    <w:p w14:paraId="77CFB8A1" w14:textId="14AEB4F9" w:rsidR="00181F01" w:rsidRPr="001D295C" w:rsidRDefault="00181F01" w:rsidP="00181F01">
      <w:pPr>
        <w:rPr>
          <w:rFonts w:ascii="Arial" w:hAnsi="Arial" w:cs="Arial"/>
          <w:b/>
          <w:bCs/>
          <w:sz w:val="20"/>
          <w:szCs w:val="20"/>
        </w:rPr>
      </w:pPr>
      <w:r w:rsidRPr="001D295C">
        <w:rPr>
          <w:rFonts w:ascii="Arial" w:hAnsi="Arial" w:cs="Arial"/>
          <w:b/>
          <w:bCs/>
          <w:sz w:val="20"/>
          <w:szCs w:val="20"/>
        </w:rPr>
        <w:t>Supplementary figure 1</w:t>
      </w:r>
      <w:r w:rsidRPr="001D295C">
        <w:rPr>
          <w:rFonts w:ascii="Arial" w:hAnsi="Arial" w:cs="Arial"/>
          <w:b/>
          <w:bCs/>
          <w:sz w:val="20"/>
          <w:szCs w:val="20"/>
        </w:rPr>
        <w:t>8</w:t>
      </w:r>
      <w:r w:rsidRPr="001D295C">
        <w:rPr>
          <w:rFonts w:ascii="Arial" w:hAnsi="Arial" w:cs="Arial"/>
          <w:b/>
          <w:bCs/>
          <w:sz w:val="20"/>
          <w:szCs w:val="20"/>
        </w:rPr>
        <w:t xml:space="preserve"> | Expected ecosystem services provisioning varies between areas with and without very high floristic disruption novelty. </w:t>
      </w:r>
      <w:r w:rsidRPr="001D295C">
        <w:rPr>
          <w:rFonts w:ascii="Arial" w:hAnsi="Arial" w:cs="Arial"/>
          <w:sz w:val="20"/>
          <w:szCs w:val="20"/>
        </w:rPr>
        <w:t xml:space="preserve">Ecosystem service provisioning for four key ecosystem services is shown for areas that are considered “highly novel” (a novelty score of 0.25 or above) and “lower novelty” (a novelty score below 0.25) with respect to floristic disruption novelty only. Ecosystem service provisioning is scaled between 0-1, before being multiplied by the logged rural population to create a weighted </w:t>
      </w:r>
      <w:proofErr w:type="gramStart"/>
      <w:r w:rsidRPr="001D295C">
        <w:rPr>
          <w:rFonts w:ascii="Arial" w:hAnsi="Arial" w:cs="Arial"/>
          <w:sz w:val="20"/>
          <w:szCs w:val="20"/>
        </w:rPr>
        <w:t>value, and</w:t>
      </w:r>
      <w:proofErr w:type="gramEnd"/>
      <w:r w:rsidRPr="001D295C">
        <w:rPr>
          <w:rFonts w:ascii="Arial" w:hAnsi="Arial" w:cs="Arial"/>
          <w:sz w:val="20"/>
          <w:szCs w:val="20"/>
        </w:rPr>
        <w:t xml:space="preserve"> is the product of an ensemble modelling approach. Horizontal lines on each plot mark the 95</w:t>
      </w:r>
      <w:r w:rsidRPr="001D295C">
        <w:rPr>
          <w:rFonts w:ascii="Arial" w:hAnsi="Arial" w:cs="Arial"/>
          <w:sz w:val="20"/>
          <w:szCs w:val="20"/>
          <w:vertAlign w:val="superscript"/>
        </w:rPr>
        <w:t>th</w:t>
      </w:r>
      <w:r w:rsidRPr="001D295C">
        <w:rPr>
          <w:rFonts w:ascii="Arial" w:hAnsi="Arial" w:cs="Arial"/>
          <w:sz w:val="20"/>
          <w:szCs w:val="20"/>
        </w:rPr>
        <w:t>, 50</w:t>
      </w:r>
      <w:r w:rsidRPr="001D295C">
        <w:rPr>
          <w:rFonts w:ascii="Arial" w:hAnsi="Arial" w:cs="Arial"/>
          <w:sz w:val="20"/>
          <w:szCs w:val="20"/>
          <w:vertAlign w:val="superscript"/>
        </w:rPr>
        <w:t>th</w:t>
      </w:r>
      <w:r w:rsidRPr="001D295C">
        <w:rPr>
          <w:rFonts w:ascii="Arial" w:hAnsi="Arial" w:cs="Arial"/>
          <w:sz w:val="20"/>
          <w:szCs w:val="20"/>
        </w:rPr>
        <w:t>, and 5</w:t>
      </w:r>
      <w:r w:rsidRPr="001D295C">
        <w:rPr>
          <w:rFonts w:ascii="Arial" w:hAnsi="Arial" w:cs="Arial"/>
          <w:sz w:val="20"/>
          <w:szCs w:val="20"/>
          <w:vertAlign w:val="superscript"/>
        </w:rPr>
        <w:t>th</w:t>
      </w:r>
      <w:r w:rsidRPr="001D295C">
        <w:rPr>
          <w:rFonts w:ascii="Arial" w:hAnsi="Arial" w:cs="Arial"/>
          <w:sz w:val="20"/>
          <w:szCs w:val="20"/>
        </w:rPr>
        <w:t xml:space="preserve"> quantile. Labels at the top of each panel show the effect size (Hedge’s </w:t>
      </w:r>
      <w:r w:rsidRPr="001D295C">
        <w:rPr>
          <w:rFonts w:ascii="Arial" w:hAnsi="Arial" w:cs="Arial"/>
          <w:i/>
          <w:iCs/>
          <w:sz w:val="20"/>
          <w:szCs w:val="20"/>
        </w:rPr>
        <w:t>G</w:t>
      </w:r>
      <w:r w:rsidRPr="001D295C">
        <w:rPr>
          <w:rFonts w:ascii="Arial" w:hAnsi="Arial" w:cs="Arial"/>
          <w:sz w:val="20"/>
          <w:szCs w:val="20"/>
        </w:rPr>
        <w:t>) for each comparison (not novel against novel).</w:t>
      </w:r>
    </w:p>
    <w:p w14:paraId="76EAE62E" w14:textId="77777777" w:rsidR="00181F01" w:rsidRPr="001D295C" w:rsidRDefault="00181F01" w:rsidP="00181F01">
      <w:pPr>
        <w:rPr>
          <w:rFonts w:ascii="Arial" w:hAnsi="Arial" w:cs="Arial"/>
          <w:b/>
          <w:bCs/>
          <w:sz w:val="20"/>
          <w:szCs w:val="20"/>
        </w:rPr>
      </w:pPr>
    </w:p>
    <w:p w14:paraId="1245A92D" w14:textId="77777777" w:rsidR="00E02B25" w:rsidRPr="001D295C" w:rsidRDefault="00E02B25" w:rsidP="00E02B25">
      <w:pPr>
        <w:jc w:val="both"/>
        <w:rPr>
          <w:rFonts w:ascii="Arial" w:hAnsi="Arial" w:cs="Arial"/>
          <w:b/>
          <w:bCs/>
          <w:sz w:val="20"/>
          <w:szCs w:val="20"/>
        </w:rPr>
      </w:pPr>
    </w:p>
    <w:p w14:paraId="09CED520" w14:textId="77777777" w:rsidR="00E02B25" w:rsidRPr="001D295C" w:rsidRDefault="00E02B25" w:rsidP="00E02B25">
      <w:pPr>
        <w:jc w:val="both"/>
        <w:rPr>
          <w:rFonts w:ascii="Arial" w:hAnsi="Arial" w:cs="Arial"/>
          <w:b/>
          <w:bCs/>
          <w:sz w:val="20"/>
          <w:szCs w:val="20"/>
          <w:lang w:val="en-GB"/>
        </w:rPr>
      </w:pPr>
      <w:r w:rsidRPr="001D295C">
        <w:rPr>
          <w:rFonts w:ascii="Arial" w:hAnsi="Arial" w:cs="Arial"/>
          <w:b/>
          <w:bCs/>
          <w:noProof/>
          <w:sz w:val="20"/>
          <w:szCs w:val="20"/>
          <w:lang w:val="en-GB"/>
        </w:rPr>
        <w:lastRenderedPageBreak/>
        <w:drawing>
          <wp:inline distT="0" distB="0" distL="0" distR="0" wp14:anchorId="0C55739A" wp14:editId="45408DD3">
            <wp:extent cx="4879975" cy="4879975"/>
            <wp:effectExtent l="0" t="0" r="0" b="0"/>
            <wp:docPr id="9242874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87469"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879975" cy="4879975"/>
                    </a:xfrm>
                    <a:prstGeom prst="rect">
                      <a:avLst/>
                    </a:prstGeom>
                    <a:noFill/>
                    <a:ln>
                      <a:noFill/>
                    </a:ln>
                  </pic:spPr>
                </pic:pic>
              </a:graphicData>
            </a:graphic>
          </wp:inline>
        </w:drawing>
      </w:r>
    </w:p>
    <w:p w14:paraId="5ED2E1AD" w14:textId="7EAA111A" w:rsidR="00E02B25" w:rsidRPr="001D295C" w:rsidRDefault="00E02B25" w:rsidP="00E02B25">
      <w:pPr>
        <w:jc w:val="both"/>
        <w:rPr>
          <w:rFonts w:ascii="Arial" w:hAnsi="Arial" w:cs="Arial"/>
          <w:sz w:val="20"/>
          <w:szCs w:val="20"/>
          <w:lang w:val="en-GB"/>
        </w:rPr>
      </w:pPr>
      <w:r w:rsidRPr="001D295C">
        <w:rPr>
          <w:rFonts w:ascii="Arial" w:hAnsi="Arial" w:cs="Arial"/>
          <w:b/>
          <w:bCs/>
          <w:sz w:val="20"/>
          <w:szCs w:val="20"/>
          <w:lang w:val="en-GB"/>
        </w:rPr>
        <w:t xml:space="preserve">Supplementary Figure </w:t>
      </w:r>
      <w:r w:rsidR="00AF3B07" w:rsidRPr="001D295C">
        <w:rPr>
          <w:rFonts w:ascii="Arial" w:hAnsi="Arial" w:cs="Arial"/>
          <w:b/>
          <w:bCs/>
          <w:sz w:val="20"/>
          <w:szCs w:val="20"/>
          <w:lang w:val="en-GB"/>
        </w:rPr>
        <w:t>19</w:t>
      </w:r>
      <w:r w:rsidRPr="001D295C">
        <w:rPr>
          <w:rFonts w:ascii="Arial" w:hAnsi="Arial" w:cs="Arial"/>
          <w:b/>
          <w:bCs/>
          <w:sz w:val="20"/>
          <w:szCs w:val="20"/>
          <w:lang w:val="en-GB"/>
        </w:rPr>
        <w:t xml:space="preserve"> | Ecosystem service provisioning within highly novel areas is different than expected by random. </w:t>
      </w:r>
      <w:r w:rsidRPr="001D295C">
        <w:rPr>
          <w:rFonts w:ascii="Arial" w:hAnsi="Arial" w:cs="Arial"/>
          <w:sz w:val="20"/>
          <w:szCs w:val="20"/>
          <w:lang w:val="en-GB"/>
        </w:rPr>
        <w:t xml:space="preserve">Shown on each plot is the observed mean (red vertical line) within novel cells (novelty score &gt;0.33) compared to a randomised null distribution (blue histogram), where the novelty value of cells was randomly shuffled. </w:t>
      </w:r>
      <w:r w:rsidR="001D295C" w:rsidRPr="001D295C">
        <w:rPr>
          <w:rFonts w:ascii="Arial" w:hAnsi="Arial" w:cs="Arial"/>
          <w:sz w:val="20"/>
          <w:szCs w:val="20"/>
        </w:rPr>
        <w:t>Ecosystem service provisioning is scaled between 0-</w:t>
      </w:r>
      <w:r w:rsidR="001D295C" w:rsidRPr="001D295C">
        <w:rPr>
          <w:rFonts w:ascii="Arial" w:hAnsi="Arial" w:cs="Arial"/>
          <w:sz w:val="20"/>
          <w:szCs w:val="20"/>
        </w:rPr>
        <w:t>1</w:t>
      </w:r>
      <w:r w:rsidR="001D295C" w:rsidRPr="001D295C">
        <w:rPr>
          <w:rFonts w:ascii="Arial" w:hAnsi="Arial" w:cs="Arial"/>
          <w:sz w:val="20"/>
          <w:szCs w:val="20"/>
        </w:rPr>
        <w:t xml:space="preserve"> and is the product of an ensemble modelling approach. </w:t>
      </w:r>
      <w:r w:rsidR="001D295C" w:rsidRPr="001D295C">
        <w:rPr>
          <w:rFonts w:ascii="Arial" w:hAnsi="Arial" w:cs="Arial"/>
          <w:sz w:val="20"/>
          <w:szCs w:val="20"/>
        </w:rPr>
        <w:t xml:space="preserve"> </w:t>
      </w:r>
      <w:r w:rsidRPr="001D295C">
        <w:rPr>
          <w:rFonts w:ascii="Arial" w:hAnsi="Arial" w:cs="Arial"/>
          <w:sz w:val="20"/>
          <w:szCs w:val="20"/>
          <w:lang w:val="en-GB"/>
        </w:rPr>
        <w:t xml:space="preserve">Four ecosystem services are shown: </w:t>
      </w:r>
      <w:r w:rsidRPr="001D295C">
        <w:rPr>
          <w:rFonts w:ascii="Arial" w:hAnsi="Arial" w:cs="Arial"/>
          <w:b/>
          <w:bCs/>
          <w:sz w:val="20"/>
          <w:szCs w:val="20"/>
          <w:lang w:val="en-GB"/>
        </w:rPr>
        <w:t>a</w:t>
      </w:r>
      <w:r w:rsidRPr="001D295C">
        <w:rPr>
          <w:rFonts w:ascii="Arial" w:hAnsi="Arial" w:cs="Arial"/>
          <w:sz w:val="20"/>
          <w:szCs w:val="20"/>
          <w:lang w:val="en-GB"/>
        </w:rPr>
        <w:t xml:space="preserve">, aboveground carbon, </w:t>
      </w:r>
      <w:r w:rsidRPr="001D295C">
        <w:rPr>
          <w:rFonts w:ascii="Arial" w:hAnsi="Arial" w:cs="Arial"/>
          <w:b/>
          <w:bCs/>
          <w:sz w:val="20"/>
          <w:szCs w:val="20"/>
          <w:lang w:val="en-GB"/>
        </w:rPr>
        <w:t>b</w:t>
      </w:r>
      <w:r w:rsidRPr="001D295C">
        <w:rPr>
          <w:rFonts w:ascii="Arial" w:hAnsi="Arial" w:cs="Arial"/>
          <w:sz w:val="20"/>
          <w:szCs w:val="20"/>
          <w:lang w:val="en-GB"/>
        </w:rPr>
        <w:t xml:space="preserve">, forage production, </w:t>
      </w:r>
      <w:r w:rsidRPr="001D295C">
        <w:rPr>
          <w:rFonts w:ascii="Arial" w:hAnsi="Arial" w:cs="Arial"/>
          <w:b/>
          <w:bCs/>
          <w:sz w:val="20"/>
          <w:szCs w:val="20"/>
          <w:lang w:val="en-GB"/>
        </w:rPr>
        <w:t>c</w:t>
      </w:r>
      <w:r w:rsidRPr="001D295C">
        <w:rPr>
          <w:rFonts w:ascii="Arial" w:hAnsi="Arial" w:cs="Arial"/>
          <w:sz w:val="20"/>
          <w:szCs w:val="20"/>
          <w:lang w:val="en-GB"/>
        </w:rPr>
        <w:t xml:space="preserve">, fuelwood, and </w:t>
      </w:r>
      <w:r w:rsidRPr="001D295C">
        <w:rPr>
          <w:rFonts w:ascii="Arial" w:hAnsi="Arial" w:cs="Arial"/>
          <w:b/>
          <w:bCs/>
          <w:sz w:val="20"/>
          <w:szCs w:val="20"/>
          <w:lang w:val="en-GB"/>
        </w:rPr>
        <w:t>d</w:t>
      </w:r>
      <w:r w:rsidRPr="001D295C">
        <w:rPr>
          <w:rFonts w:ascii="Arial" w:hAnsi="Arial" w:cs="Arial"/>
          <w:sz w:val="20"/>
          <w:szCs w:val="20"/>
          <w:lang w:val="en-GB"/>
        </w:rPr>
        <w:t xml:space="preserve">, recreation. For all but </w:t>
      </w:r>
      <w:proofErr w:type="spellStart"/>
      <w:r w:rsidRPr="001D295C">
        <w:rPr>
          <w:rFonts w:ascii="Arial" w:hAnsi="Arial" w:cs="Arial"/>
          <w:sz w:val="20"/>
          <w:szCs w:val="20"/>
          <w:lang w:val="en-GB"/>
        </w:rPr>
        <w:t>forgaging</w:t>
      </w:r>
      <w:proofErr w:type="spellEnd"/>
      <w:r w:rsidRPr="001D295C">
        <w:rPr>
          <w:rFonts w:ascii="Arial" w:hAnsi="Arial" w:cs="Arial"/>
          <w:sz w:val="20"/>
          <w:szCs w:val="20"/>
          <w:lang w:val="en-GB"/>
        </w:rPr>
        <w:t xml:space="preserve"> production, the global mean is to the left and outside the null distribution, showing that it is significantly lower than expected by random. Note, however, the small range on the x-axis, reflecting the small effect size.</w:t>
      </w:r>
    </w:p>
    <w:p w14:paraId="16BFDA10" w14:textId="3BBBCE69" w:rsidR="00311239" w:rsidRPr="001D295C" w:rsidRDefault="00311239" w:rsidP="00311239">
      <w:pPr>
        <w:jc w:val="both"/>
        <w:rPr>
          <w:rFonts w:ascii="Arial" w:hAnsi="Arial" w:cs="Arial"/>
          <w:sz w:val="20"/>
          <w:szCs w:val="20"/>
          <w:lang w:val="da-DK"/>
        </w:rPr>
      </w:pPr>
      <w:r w:rsidRPr="001D295C">
        <w:rPr>
          <w:rFonts w:ascii="Arial" w:hAnsi="Arial" w:cs="Arial"/>
          <w:sz w:val="20"/>
          <w:szCs w:val="20"/>
          <w:lang w:val="da-DK"/>
        </w:rPr>
        <w:lastRenderedPageBreak/>
        <w:drawing>
          <wp:inline distT="0" distB="0" distL="0" distR="0" wp14:anchorId="35F86ECF" wp14:editId="03788517">
            <wp:extent cx="5041900" cy="5041900"/>
            <wp:effectExtent l="0" t="0" r="6350" b="6350"/>
            <wp:docPr id="696643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1900" cy="5041900"/>
                    </a:xfrm>
                    <a:prstGeom prst="rect">
                      <a:avLst/>
                    </a:prstGeom>
                    <a:noFill/>
                    <a:ln>
                      <a:noFill/>
                    </a:ln>
                  </pic:spPr>
                </pic:pic>
              </a:graphicData>
            </a:graphic>
          </wp:inline>
        </w:drawing>
      </w:r>
    </w:p>
    <w:p w14:paraId="489A2A7E" w14:textId="132E5B61" w:rsidR="00311239" w:rsidRPr="001D295C" w:rsidRDefault="00311239" w:rsidP="00311239">
      <w:pPr>
        <w:jc w:val="both"/>
        <w:rPr>
          <w:rFonts w:ascii="Arial" w:hAnsi="Arial" w:cs="Arial"/>
          <w:sz w:val="20"/>
          <w:szCs w:val="20"/>
          <w:lang w:val="en-GB"/>
        </w:rPr>
      </w:pPr>
      <w:r w:rsidRPr="001D295C">
        <w:rPr>
          <w:rFonts w:ascii="Arial" w:hAnsi="Arial" w:cs="Arial"/>
          <w:b/>
          <w:bCs/>
          <w:sz w:val="20"/>
          <w:szCs w:val="20"/>
          <w:lang w:val="en-GB"/>
        </w:rPr>
        <w:t xml:space="preserve">Supplementary Figure </w:t>
      </w:r>
      <w:r w:rsidRPr="001D295C">
        <w:rPr>
          <w:rFonts w:ascii="Arial" w:hAnsi="Arial" w:cs="Arial"/>
          <w:b/>
          <w:bCs/>
          <w:sz w:val="20"/>
          <w:szCs w:val="20"/>
          <w:lang w:val="en-GB"/>
        </w:rPr>
        <w:t>20</w:t>
      </w:r>
      <w:r w:rsidRPr="001D295C">
        <w:rPr>
          <w:rFonts w:ascii="Arial" w:hAnsi="Arial" w:cs="Arial"/>
          <w:b/>
          <w:bCs/>
          <w:sz w:val="20"/>
          <w:szCs w:val="20"/>
          <w:lang w:val="en-GB"/>
        </w:rPr>
        <w:t xml:space="preserve"> | Ecosystem service provisioning within highly novel areas is different than expected by random. </w:t>
      </w:r>
      <w:r w:rsidRPr="001D295C">
        <w:rPr>
          <w:rFonts w:ascii="Arial" w:hAnsi="Arial" w:cs="Arial"/>
          <w:sz w:val="20"/>
          <w:szCs w:val="20"/>
          <w:lang w:val="en-GB"/>
        </w:rPr>
        <w:t>Shown on each plot is the observed mean (red vertical line) within novel cells (novelty score &gt;0.33) compared to a randomised null distribution (blue histogram), where the novelty value of cells was randomly shuffled.</w:t>
      </w:r>
      <w:r w:rsidR="001D295C" w:rsidRPr="001D295C">
        <w:rPr>
          <w:rFonts w:ascii="Arial" w:hAnsi="Arial" w:cs="Arial"/>
          <w:sz w:val="20"/>
          <w:szCs w:val="20"/>
        </w:rPr>
        <w:t xml:space="preserve"> </w:t>
      </w:r>
      <w:r w:rsidR="001D295C" w:rsidRPr="001D295C">
        <w:rPr>
          <w:rFonts w:ascii="Arial" w:hAnsi="Arial" w:cs="Arial"/>
          <w:sz w:val="20"/>
          <w:szCs w:val="20"/>
        </w:rPr>
        <w:t xml:space="preserve">Ecosystem service provisioning is scaled between 0-1, before being multiplied by the logged rural population to create a weighted </w:t>
      </w:r>
      <w:r w:rsidR="001D295C" w:rsidRPr="001D295C">
        <w:rPr>
          <w:rFonts w:ascii="Arial" w:hAnsi="Arial" w:cs="Arial"/>
          <w:sz w:val="20"/>
          <w:szCs w:val="20"/>
        </w:rPr>
        <w:t>value and</w:t>
      </w:r>
      <w:r w:rsidR="001D295C" w:rsidRPr="001D295C">
        <w:rPr>
          <w:rFonts w:ascii="Arial" w:hAnsi="Arial" w:cs="Arial"/>
          <w:sz w:val="20"/>
          <w:szCs w:val="20"/>
        </w:rPr>
        <w:t xml:space="preserve"> is the product of an ensemble modelling approach. </w:t>
      </w:r>
      <w:r w:rsidRPr="001D295C">
        <w:rPr>
          <w:rFonts w:ascii="Arial" w:hAnsi="Arial" w:cs="Arial"/>
          <w:sz w:val="20"/>
          <w:szCs w:val="20"/>
          <w:lang w:val="en-GB"/>
        </w:rPr>
        <w:t xml:space="preserve">Four ecosystem services are shown: </w:t>
      </w:r>
      <w:r w:rsidRPr="001D295C">
        <w:rPr>
          <w:rFonts w:ascii="Arial" w:hAnsi="Arial" w:cs="Arial"/>
          <w:b/>
          <w:bCs/>
          <w:sz w:val="20"/>
          <w:szCs w:val="20"/>
          <w:lang w:val="en-GB"/>
        </w:rPr>
        <w:t>a</w:t>
      </w:r>
      <w:r w:rsidRPr="001D295C">
        <w:rPr>
          <w:rFonts w:ascii="Arial" w:hAnsi="Arial" w:cs="Arial"/>
          <w:sz w:val="20"/>
          <w:szCs w:val="20"/>
          <w:lang w:val="en-GB"/>
        </w:rPr>
        <w:t xml:space="preserve">, aboveground carbon, </w:t>
      </w:r>
      <w:r w:rsidRPr="001D295C">
        <w:rPr>
          <w:rFonts w:ascii="Arial" w:hAnsi="Arial" w:cs="Arial"/>
          <w:b/>
          <w:bCs/>
          <w:sz w:val="20"/>
          <w:szCs w:val="20"/>
          <w:lang w:val="en-GB"/>
        </w:rPr>
        <w:t>b</w:t>
      </w:r>
      <w:r w:rsidRPr="001D295C">
        <w:rPr>
          <w:rFonts w:ascii="Arial" w:hAnsi="Arial" w:cs="Arial"/>
          <w:sz w:val="20"/>
          <w:szCs w:val="20"/>
          <w:lang w:val="en-GB"/>
        </w:rPr>
        <w:t xml:space="preserve">, forage production, </w:t>
      </w:r>
      <w:r w:rsidRPr="001D295C">
        <w:rPr>
          <w:rFonts w:ascii="Arial" w:hAnsi="Arial" w:cs="Arial"/>
          <w:b/>
          <w:bCs/>
          <w:sz w:val="20"/>
          <w:szCs w:val="20"/>
          <w:lang w:val="en-GB"/>
        </w:rPr>
        <w:t>c</w:t>
      </w:r>
      <w:r w:rsidRPr="001D295C">
        <w:rPr>
          <w:rFonts w:ascii="Arial" w:hAnsi="Arial" w:cs="Arial"/>
          <w:sz w:val="20"/>
          <w:szCs w:val="20"/>
          <w:lang w:val="en-GB"/>
        </w:rPr>
        <w:t xml:space="preserve">, fuelwood, and </w:t>
      </w:r>
      <w:r w:rsidRPr="001D295C">
        <w:rPr>
          <w:rFonts w:ascii="Arial" w:hAnsi="Arial" w:cs="Arial"/>
          <w:b/>
          <w:bCs/>
          <w:sz w:val="20"/>
          <w:szCs w:val="20"/>
          <w:lang w:val="en-GB"/>
        </w:rPr>
        <w:t>d</w:t>
      </w:r>
      <w:r w:rsidRPr="001D295C">
        <w:rPr>
          <w:rFonts w:ascii="Arial" w:hAnsi="Arial" w:cs="Arial"/>
          <w:sz w:val="20"/>
          <w:szCs w:val="20"/>
          <w:lang w:val="en-GB"/>
        </w:rPr>
        <w:t xml:space="preserve">, recreation. For all </w:t>
      </w:r>
      <w:r w:rsidRPr="001D295C">
        <w:rPr>
          <w:rFonts w:ascii="Arial" w:hAnsi="Arial" w:cs="Arial"/>
          <w:sz w:val="20"/>
          <w:szCs w:val="20"/>
          <w:lang w:val="en-GB"/>
        </w:rPr>
        <w:t>ecosystem services</w:t>
      </w:r>
      <w:r w:rsidRPr="001D295C">
        <w:rPr>
          <w:rFonts w:ascii="Arial" w:hAnsi="Arial" w:cs="Arial"/>
          <w:sz w:val="20"/>
          <w:szCs w:val="20"/>
          <w:lang w:val="en-GB"/>
        </w:rPr>
        <w:t>, the global mean is to the left and outside the null distribution, showing that it is significantly lower than expected by random. Note, however, the small range on the x-axis, reflecting the small effect size.</w:t>
      </w:r>
    </w:p>
    <w:p w14:paraId="28551BA5" w14:textId="77777777" w:rsidR="00311239" w:rsidRPr="001D295C" w:rsidRDefault="00311239" w:rsidP="00E02B25">
      <w:pPr>
        <w:jc w:val="both"/>
        <w:rPr>
          <w:rFonts w:ascii="Arial" w:hAnsi="Arial" w:cs="Arial"/>
          <w:sz w:val="20"/>
          <w:szCs w:val="20"/>
          <w:lang w:val="en-GB"/>
        </w:rPr>
      </w:pPr>
    </w:p>
    <w:p w14:paraId="58074725" w14:textId="77777777" w:rsidR="003D2373" w:rsidRPr="001D295C" w:rsidRDefault="003D2373" w:rsidP="00E02B25">
      <w:pPr>
        <w:jc w:val="both"/>
        <w:rPr>
          <w:rFonts w:ascii="Arial" w:hAnsi="Arial" w:cs="Arial"/>
          <w:sz w:val="20"/>
          <w:szCs w:val="20"/>
          <w:lang w:val="en-GB"/>
        </w:rPr>
      </w:pPr>
    </w:p>
    <w:sectPr w:rsidR="003D2373" w:rsidRPr="001D29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B25"/>
    <w:rsid w:val="0000208A"/>
    <w:rsid w:val="00014DDE"/>
    <w:rsid w:val="000C4AA2"/>
    <w:rsid w:val="00103A01"/>
    <w:rsid w:val="00140361"/>
    <w:rsid w:val="00170C7B"/>
    <w:rsid w:val="00181F01"/>
    <w:rsid w:val="001D295C"/>
    <w:rsid w:val="00311239"/>
    <w:rsid w:val="003D2373"/>
    <w:rsid w:val="004F1E7D"/>
    <w:rsid w:val="00A1416A"/>
    <w:rsid w:val="00AA4712"/>
    <w:rsid w:val="00AF3B07"/>
    <w:rsid w:val="00B42726"/>
    <w:rsid w:val="00C66E99"/>
    <w:rsid w:val="00C85211"/>
    <w:rsid w:val="00CD0584"/>
    <w:rsid w:val="00E02B25"/>
    <w:rsid w:val="00ED4D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A0D6"/>
  <w15:chartTrackingRefBased/>
  <w15:docId w15:val="{9795CC28-80FC-49BE-8DF0-1C2F0C9D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239"/>
    <w:pPr>
      <w:spacing w:after="200" w:line="240" w:lineRule="auto"/>
    </w:pPr>
    <w:rPr>
      <w:kern w:val="0"/>
      <w:lang w:val="en-US"/>
      <w14:ligatures w14:val="none"/>
    </w:rPr>
  </w:style>
  <w:style w:type="paragraph" w:styleId="Heading1">
    <w:name w:val="heading 1"/>
    <w:basedOn w:val="Normal"/>
    <w:next w:val="Normal"/>
    <w:link w:val="Heading1Char"/>
    <w:uiPriority w:val="9"/>
    <w:qFormat/>
    <w:rsid w:val="00E02B2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E02B2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E02B25"/>
    <w:pPr>
      <w:keepNext/>
      <w:keepLines/>
      <w:spacing w:before="160" w:after="80" w:line="259" w:lineRule="auto"/>
      <w:outlineLvl w:val="2"/>
    </w:pPr>
    <w:rPr>
      <w:rFonts w:eastAsiaTheme="majorEastAsia"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E02B25"/>
    <w:pPr>
      <w:keepNext/>
      <w:keepLines/>
      <w:spacing w:before="80" w:after="40" w:line="259" w:lineRule="auto"/>
      <w:outlineLvl w:val="3"/>
    </w:pPr>
    <w:rPr>
      <w:rFonts w:eastAsiaTheme="majorEastAsia"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E02B25"/>
    <w:pPr>
      <w:keepNext/>
      <w:keepLines/>
      <w:spacing w:before="80" w:after="40" w:line="259" w:lineRule="auto"/>
      <w:outlineLvl w:val="4"/>
    </w:pPr>
    <w:rPr>
      <w:rFonts w:eastAsiaTheme="majorEastAsia"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E02B25"/>
    <w:pPr>
      <w:keepNext/>
      <w:keepLines/>
      <w:spacing w:before="40" w:after="0" w:line="259" w:lineRule="auto"/>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E02B25"/>
    <w:pPr>
      <w:keepNext/>
      <w:keepLines/>
      <w:spacing w:before="40" w:after="0" w:line="259" w:lineRule="auto"/>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E02B25"/>
    <w:pPr>
      <w:keepNext/>
      <w:keepLines/>
      <w:spacing w:after="0" w:line="259" w:lineRule="auto"/>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E02B25"/>
    <w:pPr>
      <w:keepNext/>
      <w:keepLines/>
      <w:spacing w:after="0" w:line="259" w:lineRule="auto"/>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B25"/>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E02B25"/>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E02B25"/>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E02B25"/>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E02B25"/>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E02B25"/>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02B25"/>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02B25"/>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02B25"/>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02B25"/>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E02B25"/>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02B25"/>
    <w:pPr>
      <w:numPr>
        <w:ilvl w:val="1"/>
      </w:numPr>
      <w:spacing w:after="160" w:line="259" w:lineRule="auto"/>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E02B25"/>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02B25"/>
    <w:pPr>
      <w:spacing w:before="160" w:after="160" w:line="259" w:lineRule="auto"/>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E02B25"/>
    <w:rPr>
      <w:i/>
      <w:iCs/>
      <w:color w:val="404040" w:themeColor="text1" w:themeTint="BF"/>
      <w:lang w:val="en-GB"/>
    </w:rPr>
  </w:style>
  <w:style w:type="paragraph" w:styleId="ListParagraph">
    <w:name w:val="List Paragraph"/>
    <w:basedOn w:val="Normal"/>
    <w:uiPriority w:val="34"/>
    <w:qFormat/>
    <w:rsid w:val="00E02B25"/>
    <w:pPr>
      <w:spacing w:after="160" w:line="259" w:lineRule="auto"/>
      <w:ind w:left="720"/>
      <w:contextualSpacing/>
    </w:pPr>
    <w:rPr>
      <w:kern w:val="2"/>
      <w:lang w:val="en-GB"/>
      <w14:ligatures w14:val="standardContextual"/>
    </w:rPr>
  </w:style>
  <w:style w:type="character" w:styleId="IntenseEmphasis">
    <w:name w:val="Intense Emphasis"/>
    <w:basedOn w:val="DefaultParagraphFont"/>
    <w:uiPriority w:val="21"/>
    <w:qFormat/>
    <w:rsid w:val="00E02B25"/>
    <w:rPr>
      <w:i/>
      <w:iCs/>
      <w:color w:val="0F4761" w:themeColor="accent1" w:themeShade="BF"/>
    </w:rPr>
  </w:style>
  <w:style w:type="paragraph" w:styleId="IntenseQuote">
    <w:name w:val="Intense Quote"/>
    <w:basedOn w:val="Normal"/>
    <w:next w:val="Normal"/>
    <w:link w:val="IntenseQuoteChar"/>
    <w:uiPriority w:val="30"/>
    <w:qFormat/>
    <w:rsid w:val="00E02B25"/>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E02B25"/>
    <w:rPr>
      <w:i/>
      <w:iCs/>
      <w:color w:val="0F4761" w:themeColor="accent1" w:themeShade="BF"/>
      <w:lang w:val="en-GB"/>
    </w:rPr>
  </w:style>
  <w:style w:type="character" w:styleId="IntenseReference">
    <w:name w:val="Intense Reference"/>
    <w:basedOn w:val="DefaultParagraphFont"/>
    <w:uiPriority w:val="32"/>
    <w:qFormat/>
    <w:rsid w:val="00E02B2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1907</Words>
  <Characters>11636</Characters>
  <Application>Microsoft Office Word</Application>
  <DocSecurity>0</DocSecurity>
  <Lines>96</Lines>
  <Paragraphs>27</Paragraphs>
  <ScaleCrop>false</ScaleCrop>
  <Company>Aarhus University</Company>
  <LinksUpToDate>false</LinksUpToDate>
  <CharactersWithSpaces>13516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Roy Kerr</dc:creator>
  <cp:keywords/>
  <dc:description/>
  <cp:lastModifiedBy>Matthew Roy Kerr</cp:lastModifiedBy>
  <cp:revision>14</cp:revision>
  <dcterms:created xsi:type="dcterms:W3CDTF">2026-07-04T10:29:00Z</dcterms:created>
  <dcterms:modified xsi:type="dcterms:W3CDTF">2026-07-04T11:10:00Z</dcterms:modified>
</cp:coreProperties>
</file>