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D6E1F" w14:textId="77777777" w:rsidR="009B3994" w:rsidRPr="009B3994" w:rsidRDefault="009B3994" w:rsidP="009B3994">
      <w:pPr>
        <w:spacing w:before="240" w:after="240"/>
        <w:jc w:val="both"/>
        <w:rPr>
          <w:rFonts w:ascii="Times New Roman" w:hAnsi="Times New Roman" w:cs="Times New Roman"/>
          <w:sz w:val="22"/>
          <w:szCs w:val="22"/>
        </w:rPr>
      </w:pPr>
      <w:r w:rsidRPr="009B3994">
        <w:rPr>
          <w:rFonts w:ascii="Times New Roman" w:hAnsi="Times New Roman" w:cs="Times New Roman"/>
          <w:b/>
          <w:bCs/>
          <w:sz w:val="22"/>
          <w:szCs w:val="22"/>
        </w:rPr>
        <w:t>Engineering Paediatric Formulations: A Systematic Review of Process Systems Methods, Sectoral Gaps, and the PPES Framework</w:t>
      </w:r>
    </w:p>
    <w:p w14:paraId="74868163" w14:textId="77777777" w:rsidR="009B3994" w:rsidRPr="009B3994" w:rsidRDefault="009B3994" w:rsidP="009B3994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9B399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Josephine Adu</w:t>
      </w:r>
      <w:r w:rsidRPr="009B3994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vertAlign w:val="superscript"/>
        </w:rPr>
        <w:t>1</w:t>
      </w:r>
      <w:r w:rsidRPr="009B399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and Gabriel Osei Forkuo</w:t>
      </w:r>
      <w:r w:rsidRPr="009B3994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vertAlign w:val="superscript"/>
        </w:rPr>
        <w:t>2, *</w:t>
      </w:r>
    </w:p>
    <w:p w14:paraId="671EA2E8" w14:textId="77777777" w:rsidR="009B3994" w:rsidRPr="009B3994" w:rsidRDefault="009B3994" w:rsidP="009B3994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B3994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>1</w:t>
      </w:r>
      <w:r w:rsidRPr="009B3994">
        <w:rPr>
          <w:rFonts w:ascii="Times New Roman" w:hAnsi="Times New Roman" w:cs="Times New Roman"/>
          <w:color w:val="000000" w:themeColor="text1"/>
          <w:sz w:val="22"/>
          <w:szCs w:val="22"/>
        </w:rPr>
        <w:t>Kwame Nkrumah University of Science and Technology, Kumasi, Ghana;</w:t>
      </w:r>
      <w:r w:rsidRPr="009B3994">
        <w:rPr>
          <w:rFonts w:ascii="Times New Roman" w:hAnsi="Times New Roman" w:cs="Times New Roman"/>
          <w:sz w:val="22"/>
          <w:szCs w:val="22"/>
        </w:rPr>
        <w:t xml:space="preserve"> </w:t>
      </w:r>
      <w:r w:rsidRPr="009B3994">
        <w:rPr>
          <w:rFonts w:ascii="Times New Roman" w:hAnsi="Times New Roman" w:cs="Times New Roman"/>
          <w:color w:val="000000" w:themeColor="text1"/>
          <w:sz w:val="22"/>
          <w:szCs w:val="22"/>
        </w:rPr>
        <w:t>https://orcid.org/0009-0004-4298-9264 (J.A.)</w:t>
      </w:r>
    </w:p>
    <w:p w14:paraId="1D5C8682" w14:textId="77777777" w:rsidR="009B3994" w:rsidRPr="009B3994" w:rsidRDefault="009B3994" w:rsidP="009B3994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B3994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>2</w:t>
      </w:r>
      <w:r w:rsidRPr="009B399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Department of Forest Engineering, Forest Management Planning and Terrestrial Measurements, </w:t>
      </w:r>
      <w:proofErr w:type="spellStart"/>
      <w:r w:rsidRPr="009B3994">
        <w:rPr>
          <w:rFonts w:ascii="Times New Roman" w:hAnsi="Times New Roman" w:cs="Times New Roman"/>
          <w:color w:val="000000" w:themeColor="text1"/>
          <w:sz w:val="22"/>
          <w:szCs w:val="22"/>
        </w:rPr>
        <w:t>Transilvania</w:t>
      </w:r>
      <w:proofErr w:type="spellEnd"/>
      <w:r w:rsidRPr="009B399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University of Brasov, Brasov, Romania; https://orcid.org/0000-0001-8478-8066 (G.O.F).</w:t>
      </w:r>
    </w:p>
    <w:p w14:paraId="01A0F61B" w14:textId="77777777" w:rsidR="009B3994" w:rsidRPr="009B3994" w:rsidRDefault="009B3994" w:rsidP="009B3994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  <w:r w:rsidRPr="009B399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* Corresponding author: </w:t>
      </w:r>
      <w:r w:rsidRPr="009B3994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gabriel.forkuo@unitbv.ro</w:t>
      </w:r>
    </w:p>
    <w:p w14:paraId="170E2B39" w14:textId="77777777" w:rsidR="009B3994" w:rsidRPr="009B3994" w:rsidRDefault="009B3994" w:rsidP="009B3994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33FDFBA" w14:textId="77777777" w:rsidR="009B3994" w:rsidRPr="009B3994" w:rsidRDefault="009B3994" w:rsidP="009B399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735F18CC" w14:textId="1B6A2CA8" w:rsidR="009B3994" w:rsidRPr="009B3994" w:rsidRDefault="009B3994" w:rsidP="009B3994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B399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Supplementary Material</w:t>
      </w:r>
    </w:p>
    <w:p w14:paraId="22473555" w14:textId="77777777" w:rsidR="009B3994" w:rsidRPr="009B3994" w:rsidRDefault="009B3994" w:rsidP="009B3994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B399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Full Search Strategy: 110 Structured Search Strings Across 13 Thematic Blocks</w:t>
      </w:r>
    </w:p>
    <w:p w14:paraId="20D5D506" w14:textId="77777777" w:rsidR="009B3994" w:rsidRPr="009B3994" w:rsidRDefault="009B3994" w:rsidP="009B3994">
      <w:pPr>
        <w:spacing w:after="30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B399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 systematic search combined population, product, methodological, and outcome terms across five automated bibliographic platforms (</w:t>
      </w:r>
      <w:proofErr w:type="spellStart"/>
      <w:r w:rsidRPr="009B399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OpenAlex</w:t>
      </w:r>
      <w:proofErr w:type="spellEnd"/>
      <w:r w:rsidRPr="009B399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9B399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CrossRef</w:t>
      </w:r>
      <w:proofErr w:type="spellEnd"/>
      <w:r w:rsidRPr="009B399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Semantic Scholar, </w:t>
      </w:r>
      <w:proofErr w:type="spellStart"/>
      <w:r w:rsidRPr="009B399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EconBiz</w:t>
      </w:r>
      <w:proofErr w:type="spellEnd"/>
      <w:r w:rsidRPr="009B399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/</w:t>
      </w:r>
      <w:proofErr w:type="spellStart"/>
      <w:r w:rsidRPr="009B399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EconLit</w:t>
      </w:r>
      <w:proofErr w:type="spellEnd"/>
      <w:r w:rsidRPr="009B399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and IDEAS/</w:t>
      </w:r>
      <w:proofErr w:type="spellStart"/>
      <w:r w:rsidRPr="009B399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RePEC</w:t>
      </w:r>
      <w:proofErr w:type="spellEnd"/>
      <w:r w:rsidRPr="009B399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). A total of 110 structured queries, </w:t>
      </w:r>
      <w:proofErr w:type="spellStart"/>
      <w:r w:rsidRPr="009B399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organised</w:t>
      </w:r>
      <w:proofErr w:type="spellEnd"/>
      <w:r w:rsidRPr="009B399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into 13 thematic blocks, were used to comprehensively capture the literature on Process Systems Engineering (PSE) applications in </w:t>
      </w:r>
      <w:proofErr w:type="spellStart"/>
      <w:r w:rsidRPr="009B399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paediatric</w:t>
      </w:r>
      <w:proofErr w:type="spellEnd"/>
      <w:r w:rsidRPr="009B399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consumer goods formulation. Searches were restricted to the period 2000–2026. Each query is identified by a unique code (PS·01–PS·110) that corresponds to the query identifiers used in the accompanying search script.</w:t>
      </w:r>
    </w:p>
    <w:p w14:paraId="465A042C" w14:textId="77777777" w:rsidR="009B3994" w:rsidRPr="009B3994" w:rsidRDefault="009B3994" w:rsidP="009B3994">
      <w:pPr>
        <w:keepNext/>
        <w:spacing w:before="200" w:after="12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B399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Block 1: PSE Core Methods — Broad (PS·01–PS·10)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0"/>
        <w:gridCol w:w="8060"/>
      </w:tblGrid>
      <w:tr w:rsidR="009B3994" w:rsidRPr="009B3994" w14:paraId="1D162AA3" w14:textId="77777777" w:rsidTr="009B399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3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5EE048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Query ID</w:t>
            </w:r>
          </w:p>
        </w:tc>
        <w:tc>
          <w:tcPr>
            <w:tcW w:w="806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CEEAE6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Search String</w:t>
            </w:r>
          </w:p>
        </w:tc>
      </w:tr>
      <w:tr w:rsidR="009B3994" w:rsidRPr="009B3994" w14:paraId="50919287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66E61B7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PS·01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3A79F29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process systems engineering formulation design </w:t>
            </w: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optimisation</w:t>
            </w:r>
            <w:proofErr w:type="spellEnd"/>
          </w:p>
        </w:tc>
      </w:tr>
      <w:tr w:rsidR="009B3994" w:rsidRPr="009B3994" w14:paraId="2887849B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BAF2C71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PS·02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A48DE5E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quality by </w:t>
            </w:r>
            <w:proofErr w:type="gram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design</w:t>
            </w:r>
            <w:proofErr w:type="gramEnd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QbD</w:t>
            </w:r>
            <w:proofErr w:type="spellEnd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pharmaceutical formulation</w:t>
            </w:r>
          </w:p>
        </w:tc>
      </w:tr>
      <w:tr w:rsidR="009B3994" w:rsidRPr="009B3994" w14:paraId="0C5F2294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1F6FA95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PS·03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2AF822E3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process analytical technology PAT drug formulation manufacturing</w:t>
            </w:r>
          </w:p>
        </w:tc>
      </w:tr>
      <w:tr w:rsidR="009B3994" w:rsidRPr="009B3994" w14:paraId="4BDD6A52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8BE3F83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PS·04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59763D2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digital twin formulation pharmaceutical manufacturing</w:t>
            </w:r>
          </w:p>
        </w:tc>
      </w:tr>
      <w:tr w:rsidR="009B3994" w:rsidRPr="009B3994" w14:paraId="16700EDB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844AF86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PS·05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E0E5217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process modelling simulation consumer goods formulation</w:t>
            </w:r>
          </w:p>
        </w:tc>
      </w:tr>
      <w:tr w:rsidR="009B3994" w:rsidRPr="009B3994" w14:paraId="37B406B5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63F69A82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PS·06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6925ADA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process </w:t>
            </w: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optimisation</w:t>
            </w:r>
            <w:proofErr w:type="spellEnd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formulation design product quality</w:t>
            </w:r>
          </w:p>
        </w:tc>
      </w:tr>
      <w:tr w:rsidR="009B3994" w:rsidRPr="009B3994" w14:paraId="30D643FE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072195C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PS·07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4439C77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process intensification formulation manufacturing scale-up</w:t>
            </w:r>
          </w:p>
        </w:tc>
      </w:tr>
      <w:tr w:rsidR="009B3994" w:rsidRPr="009B3994" w14:paraId="31889480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26FB3B0C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PS·08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F14F1B0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multiscale modelling formulation drug product development</w:t>
            </w:r>
          </w:p>
        </w:tc>
      </w:tr>
      <w:tr w:rsidR="009B3994" w:rsidRPr="009B3994" w14:paraId="2E235D6F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FB5C8BE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PS·09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BE2FD7C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mechanistic modelling pharmaceutical formulation process</w:t>
            </w:r>
          </w:p>
        </w:tc>
      </w:tr>
      <w:tr w:rsidR="009B3994" w:rsidRPr="009B3994" w14:paraId="61AF7A09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DC42792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PS·10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92EC104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gram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computational</w:t>
            </w:r>
            <w:proofErr w:type="gramEnd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formulation </w:t>
            </w:r>
            <w:proofErr w:type="gram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design</w:t>
            </w:r>
            <w:proofErr w:type="gramEnd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optimisation</w:t>
            </w:r>
            <w:proofErr w:type="spellEnd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product development</w:t>
            </w:r>
          </w:p>
        </w:tc>
      </w:tr>
    </w:tbl>
    <w:p w14:paraId="23E9A554" w14:textId="77777777" w:rsidR="009B3994" w:rsidRPr="009B3994" w:rsidRDefault="009B3994" w:rsidP="009B3994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5785D3C" w14:textId="77777777" w:rsidR="009B3994" w:rsidRPr="009B3994" w:rsidRDefault="009B3994" w:rsidP="009B3994">
      <w:pPr>
        <w:keepNext/>
        <w:spacing w:before="200" w:after="12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B399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lastRenderedPageBreak/>
        <w:t>Block 2: PSE × Paediatric Pharmaceuticals (PS·11–PS·22)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0"/>
        <w:gridCol w:w="8060"/>
      </w:tblGrid>
      <w:tr w:rsidR="009B3994" w:rsidRPr="009B3994" w14:paraId="5A31FF39" w14:textId="77777777" w:rsidTr="009B399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3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9D98D9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Query ID</w:t>
            </w:r>
          </w:p>
        </w:tc>
        <w:tc>
          <w:tcPr>
            <w:tcW w:w="806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FD6C57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Search String</w:t>
            </w:r>
          </w:p>
        </w:tc>
      </w:tr>
      <w:tr w:rsidR="009B3994" w:rsidRPr="009B3994" w14:paraId="7A8031A2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B1921B2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PS·11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E2E8A66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paediatric</w:t>
            </w:r>
            <w:proofErr w:type="spellEnd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formulation process systems engineering </w:t>
            </w: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optimisation</w:t>
            </w:r>
            <w:proofErr w:type="spellEnd"/>
          </w:p>
        </w:tc>
      </w:tr>
      <w:tr w:rsidR="009B3994" w:rsidRPr="009B3994" w14:paraId="25A6D7D6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22FD181A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PS·12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629267D9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pediatric drug formulation quality by design </w:t>
            </w: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QbD</w:t>
            </w:r>
            <w:proofErr w:type="spellEnd"/>
          </w:p>
        </w:tc>
      </w:tr>
      <w:tr w:rsidR="009B3994" w:rsidRPr="009B3994" w14:paraId="1818C249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CB2E4B8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PS·13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5FD0E42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paediatric</w:t>
            </w:r>
            <w:proofErr w:type="spellEnd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formulation process analytical technology PAT</w:t>
            </w:r>
          </w:p>
        </w:tc>
      </w:tr>
      <w:tr w:rsidR="009B3994" w:rsidRPr="009B3994" w14:paraId="11A6573D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8E228DD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PS·14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67465E8E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child-friendly dosage forms process modelling design</w:t>
            </w:r>
          </w:p>
        </w:tc>
      </w:tr>
      <w:tr w:rsidR="009B3994" w:rsidRPr="009B3994" w14:paraId="48F6E383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56D76FC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PS·15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37A6163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paediatric</w:t>
            </w:r>
            <w:proofErr w:type="spellEnd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oral formulation computational design </w:t>
            </w: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optimisation</w:t>
            </w:r>
            <w:proofErr w:type="spellEnd"/>
          </w:p>
        </w:tc>
      </w:tr>
      <w:tr w:rsidR="009B3994" w:rsidRPr="009B3994" w14:paraId="68D3F27A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282FC8B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PS·16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61F462D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orodispersible</w:t>
            </w:r>
            <w:proofErr w:type="spellEnd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tablets </w:t>
            </w: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paediatric</w:t>
            </w:r>
            <w:proofErr w:type="spellEnd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formulation design</w:t>
            </w:r>
          </w:p>
        </w:tc>
      </w:tr>
      <w:tr w:rsidR="009B3994" w:rsidRPr="009B3994" w14:paraId="7D507535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260A3320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PS·17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0580F50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mini-tablets </w:t>
            </w: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paediatric</w:t>
            </w:r>
            <w:proofErr w:type="spellEnd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formulation process </w:t>
            </w: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optimisation</w:t>
            </w:r>
            <w:proofErr w:type="spellEnd"/>
          </w:p>
        </w:tc>
      </w:tr>
      <w:tr w:rsidR="009B3994" w:rsidRPr="009B3994" w14:paraId="20768413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2AD69EB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PS·18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21C512FF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liquid formulation </w:t>
            </w: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paediatric</w:t>
            </w:r>
            <w:proofErr w:type="spellEnd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process modelling stability</w:t>
            </w:r>
          </w:p>
        </w:tc>
      </w:tr>
      <w:tr w:rsidR="009B3994" w:rsidRPr="009B3994" w14:paraId="5199E381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DB592A8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PS·19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9C83B5B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paediatric</w:t>
            </w:r>
            <w:proofErr w:type="spellEnd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excipient safety suitability formulation design</w:t>
            </w:r>
          </w:p>
        </w:tc>
      </w:tr>
      <w:tr w:rsidR="009B3994" w:rsidRPr="009B3994" w14:paraId="73A97061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7B9B6B7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PS·20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AA33EB5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paediatric</w:t>
            </w:r>
            <w:proofErr w:type="spellEnd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pharmaceutical manufacturing </w:t>
            </w: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QbD</w:t>
            </w:r>
            <w:proofErr w:type="spellEnd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PAT scale-up</w:t>
            </w:r>
          </w:p>
        </w:tc>
      </w:tr>
      <w:tr w:rsidR="009B3994" w:rsidRPr="009B3994" w14:paraId="30F2C047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6493625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PS·21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1AEFB7E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digital twin </w:t>
            </w: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paediatric</w:t>
            </w:r>
            <w:proofErr w:type="spellEnd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drug product development</w:t>
            </w:r>
          </w:p>
        </w:tc>
      </w:tr>
      <w:tr w:rsidR="009B3994" w:rsidRPr="009B3994" w14:paraId="09A2EE7B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6BC743C7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PS·22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6800DEC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paediatric</w:t>
            </w:r>
            <w:proofErr w:type="spellEnd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dosage form design regulatory EMA FDA guidelines</w:t>
            </w:r>
          </w:p>
        </w:tc>
      </w:tr>
    </w:tbl>
    <w:p w14:paraId="4AA38CB2" w14:textId="77777777" w:rsidR="009B3994" w:rsidRPr="009B3994" w:rsidRDefault="009B3994" w:rsidP="009B3994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F59625A" w14:textId="77777777" w:rsidR="009B3994" w:rsidRPr="009B3994" w:rsidRDefault="009B3994" w:rsidP="009B3994">
      <w:pPr>
        <w:keepNext/>
        <w:spacing w:before="200" w:after="12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B399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Block 3: PSE × Paediatric Nutrition &amp; Food Products (PS·23–PS·33)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0"/>
        <w:gridCol w:w="8060"/>
      </w:tblGrid>
      <w:tr w:rsidR="009B3994" w:rsidRPr="009B3994" w14:paraId="5D9B4FB6" w14:textId="77777777" w:rsidTr="009B399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3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1F00CC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Query ID</w:t>
            </w:r>
          </w:p>
        </w:tc>
        <w:tc>
          <w:tcPr>
            <w:tcW w:w="806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6E4D60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Search String</w:t>
            </w:r>
          </w:p>
        </w:tc>
      </w:tr>
      <w:tr w:rsidR="009B3994" w:rsidRPr="009B3994" w14:paraId="1AFECA51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2A4DF26E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PS·23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B5A1C5D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infant formula process modelling </w:t>
            </w: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optimisation</w:t>
            </w:r>
            <w:proofErr w:type="spellEnd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quality</w:t>
            </w:r>
          </w:p>
        </w:tc>
      </w:tr>
      <w:tr w:rsidR="009B3994" w:rsidRPr="009B3994" w14:paraId="0D9FF288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BA4578C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PS·24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2ABF72B2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paediatric</w:t>
            </w:r>
            <w:proofErr w:type="spellEnd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nutrition food formulation process systems engineering</w:t>
            </w:r>
          </w:p>
        </w:tc>
      </w:tr>
      <w:tr w:rsidR="009B3994" w:rsidRPr="009B3994" w14:paraId="2D912B99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C27F30B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PS·25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3A3CA35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baby food formulation process </w:t>
            </w: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optimisation</w:t>
            </w:r>
            <w:proofErr w:type="spellEnd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quality safety</w:t>
            </w:r>
          </w:p>
        </w:tc>
      </w:tr>
      <w:tr w:rsidR="009B3994" w:rsidRPr="009B3994" w14:paraId="2E0F9904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54245FA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PS·26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A8366E7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fortified food </w:t>
            </w: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paediatric</w:t>
            </w:r>
            <w:proofErr w:type="spellEnd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process modelling digital twin</w:t>
            </w:r>
          </w:p>
        </w:tc>
      </w:tr>
      <w:tr w:rsidR="009B3994" w:rsidRPr="009B3994" w14:paraId="037CEC81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276DF3EA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PS·27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0331A18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infant formula manufacturing quality by design</w:t>
            </w:r>
          </w:p>
        </w:tc>
      </w:tr>
      <w:tr w:rsidR="009B3994" w:rsidRPr="009B3994" w14:paraId="6DA39FE2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6A89C5E9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PS·28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27A6C90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paediatric</w:t>
            </w:r>
            <w:proofErr w:type="spellEnd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food product computational formulation design</w:t>
            </w:r>
          </w:p>
        </w:tc>
      </w:tr>
      <w:tr w:rsidR="009B3994" w:rsidRPr="009B3994" w14:paraId="259EFA75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9399D8F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PS·29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25E458C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infant formula spray drying process </w:t>
            </w: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optimisation</w:t>
            </w:r>
            <w:proofErr w:type="spellEnd"/>
          </w:p>
        </w:tc>
      </w:tr>
      <w:tr w:rsidR="009B3994" w:rsidRPr="009B3994" w14:paraId="7DD75842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EFB11E0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PS·30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60E9A121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paediatric</w:t>
            </w:r>
            <w:proofErr w:type="spellEnd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nutraceutical formulation process modelling</w:t>
            </w:r>
          </w:p>
        </w:tc>
      </w:tr>
      <w:tr w:rsidR="009B3994" w:rsidRPr="009B3994" w14:paraId="1A6BD183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961E40C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PS·31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B7674CE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children food product stability safety formulation</w:t>
            </w:r>
          </w:p>
        </w:tc>
      </w:tr>
      <w:tr w:rsidR="009B3994" w:rsidRPr="009B3994" w14:paraId="31DC04C5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5515DCA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PS·32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D87E800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infant weaning food formulation process intensification</w:t>
            </w:r>
          </w:p>
        </w:tc>
      </w:tr>
      <w:tr w:rsidR="009B3994" w:rsidRPr="009B3994" w14:paraId="42754E20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60AFB8F4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PS·33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0575C1B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paediatric</w:t>
            </w:r>
            <w:proofErr w:type="spellEnd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functional food formulation design </w:t>
            </w: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optimisation</w:t>
            </w:r>
            <w:proofErr w:type="spellEnd"/>
          </w:p>
        </w:tc>
      </w:tr>
    </w:tbl>
    <w:p w14:paraId="2943050E" w14:textId="77777777" w:rsidR="009B3994" w:rsidRPr="009B3994" w:rsidRDefault="009B3994" w:rsidP="009B3994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B25C55A" w14:textId="77777777" w:rsidR="009B3994" w:rsidRPr="009B3994" w:rsidRDefault="009B3994" w:rsidP="009B3994">
      <w:pPr>
        <w:keepNext/>
        <w:spacing w:before="200" w:after="12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B399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Block 4: PSE × Paediatric Cosmetics &amp; Skincare (PS·34–PS·42)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0"/>
        <w:gridCol w:w="8060"/>
      </w:tblGrid>
      <w:tr w:rsidR="009B3994" w:rsidRPr="009B3994" w14:paraId="65FC2B14" w14:textId="77777777" w:rsidTr="009B399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3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10CA50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Query ID</w:t>
            </w:r>
          </w:p>
        </w:tc>
        <w:tc>
          <w:tcPr>
            <w:tcW w:w="806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2E36E0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Search String</w:t>
            </w:r>
          </w:p>
        </w:tc>
      </w:tr>
      <w:tr w:rsidR="009B3994" w:rsidRPr="009B3994" w14:paraId="28A56738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60D9A46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PS·34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22E43A83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paediatric</w:t>
            </w:r>
            <w:proofErr w:type="spellEnd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skincare formulation process </w:t>
            </w: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optimisation</w:t>
            </w:r>
            <w:proofErr w:type="spellEnd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design</w:t>
            </w:r>
          </w:p>
        </w:tc>
      </w:tr>
      <w:tr w:rsidR="009B3994" w:rsidRPr="009B3994" w14:paraId="1F89276A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6C758896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PS·35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405DA00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baby lotion cosmetic formulation computational design</w:t>
            </w:r>
          </w:p>
        </w:tc>
      </w:tr>
      <w:tr w:rsidR="009B3994" w:rsidRPr="009B3994" w14:paraId="07492376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6BB9D942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PS·36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3D0AB51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infant skincare safety formulation process modelling</w:t>
            </w:r>
          </w:p>
        </w:tc>
      </w:tr>
      <w:tr w:rsidR="009B3994" w:rsidRPr="009B3994" w14:paraId="5159FC65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BE221F6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PS·37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D3DA7C5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paediatric</w:t>
            </w:r>
            <w:proofErr w:type="spellEnd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cosmetic formulation quality safety regulatory</w:t>
            </w:r>
          </w:p>
        </w:tc>
      </w:tr>
      <w:tr w:rsidR="009B3994" w:rsidRPr="009B3994" w14:paraId="500A19B7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43481A4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PS·38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6D5E26F9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children topical formulation process systems engineering</w:t>
            </w:r>
          </w:p>
        </w:tc>
      </w:tr>
      <w:tr w:rsidR="009B3994" w:rsidRPr="009B3994" w14:paraId="14389969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2E8953AE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lastRenderedPageBreak/>
              <w:t>PS·39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655BF7A6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paediatric</w:t>
            </w:r>
            <w:proofErr w:type="spellEnd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cosmetic excipient safety computational assessment</w:t>
            </w:r>
          </w:p>
        </w:tc>
      </w:tr>
      <w:tr w:rsidR="009B3994" w:rsidRPr="009B3994" w14:paraId="5C930F76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A621F85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PS·40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1600B02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baby sunscreen formulation process </w:t>
            </w: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optimisation</w:t>
            </w:r>
            <w:proofErr w:type="spellEnd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stability</w:t>
            </w:r>
          </w:p>
        </w:tc>
      </w:tr>
      <w:tr w:rsidR="009B3994" w:rsidRPr="009B3994" w14:paraId="11B09FD5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0C50381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PS·41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1241E70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infant skin barrier topical formulation design</w:t>
            </w:r>
          </w:p>
        </w:tc>
      </w:tr>
      <w:tr w:rsidR="009B3994" w:rsidRPr="009B3994" w14:paraId="52D0A114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FF06CA5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PS·42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584CD9D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paediatric</w:t>
            </w:r>
            <w:proofErr w:type="spellEnd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cosmetic safety-by-design risk assessment formulation</w:t>
            </w:r>
          </w:p>
        </w:tc>
      </w:tr>
    </w:tbl>
    <w:p w14:paraId="28C05A14" w14:textId="77777777" w:rsidR="009B3994" w:rsidRPr="009B3994" w:rsidRDefault="009B3994" w:rsidP="009B3994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64C74A0" w14:textId="77777777" w:rsidR="009B3994" w:rsidRPr="009B3994" w:rsidRDefault="009B3994" w:rsidP="009B3994">
      <w:pPr>
        <w:keepNext/>
        <w:spacing w:before="200" w:after="12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B399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Block 5: PSE × Paediatric Hygiene Products (PS·43–PS·49)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0"/>
        <w:gridCol w:w="8060"/>
      </w:tblGrid>
      <w:tr w:rsidR="009B3994" w:rsidRPr="009B3994" w14:paraId="0031CE1E" w14:textId="77777777" w:rsidTr="009B399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3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230347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Query ID</w:t>
            </w:r>
          </w:p>
        </w:tc>
        <w:tc>
          <w:tcPr>
            <w:tcW w:w="806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419D06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Search String</w:t>
            </w:r>
          </w:p>
        </w:tc>
      </w:tr>
      <w:tr w:rsidR="009B3994" w:rsidRPr="009B3994" w14:paraId="07966CDB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1BD0DB2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PS·43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CC3335E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paediatric</w:t>
            </w:r>
            <w:proofErr w:type="spellEnd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hygiene product formulation process modelling</w:t>
            </w:r>
          </w:p>
        </w:tc>
      </w:tr>
      <w:tr w:rsidR="009B3994" w:rsidRPr="009B3994" w14:paraId="351A7197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0DAD318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PS·44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5E108C6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baby hygiene product safety formulation design</w:t>
            </w:r>
          </w:p>
        </w:tc>
      </w:tr>
      <w:tr w:rsidR="009B3994" w:rsidRPr="009B3994" w14:paraId="630642C9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28489A4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PS·45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1A145F9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children hygiene formulation process </w:t>
            </w: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optimisation</w:t>
            </w:r>
            <w:proofErr w:type="spellEnd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quality</w:t>
            </w:r>
          </w:p>
        </w:tc>
      </w:tr>
      <w:tr w:rsidR="009B3994" w:rsidRPr="009B3994" w14:paraId="5D13185D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23D175A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PS·46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CB5949C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paediatric</w:t>
            </w:r>
            <w:proofErr w:type="spellEnd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oral hygiene toothpaste formulation design</w:t>
            </w:r>
          </w:p>
        </w:tc>
      </w:tr>
      <w:tr w:rsidR="009B3994" w:rsidRPr="009B3994" w14:paraId="06EB0871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09A83B9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PS·47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2BC252E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infant hygiene product excipient safety assessment</w:t>
            </w:r>
          </w:p>
        </w:tc>
      </w:tr>
      <w:tr w:rsidR="009B3994" w:rsidRPr="009B3994" w14:paraId="4CF8E3D3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1AF8969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PS·48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63727A6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nappy diaper rash product formulation process </w:t>
            </w: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optimisation</w:t>
            </w:r>
            <w:proofErr w:type="spellEnd"/>
          </w:p>
        </w:tc>
      </w:tr>
      <w:tr w:rsidR="009B3994" w:rsidRPr="009B3994" w14:paraId="65A6616B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348FB69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PS·49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21E191E2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paediatric</w:t>
            </w:r>
            <w:proofErr w:type="spellEnd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hygiene product safety-by-design regulatory</w:t>
            </w:r>
          </w:p>
        </w:tc>
      </w:tr>
    </w:tbl>
    <w:p w14:paraId="3AF4404E" w14:textId="77777777" w:rsidR="009B3994" w:rsidRPr="009B3994" w:rsidRDefault="009B3994" w:rsidP="009B3994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753C288" w14:textId="77777777" w:rsidR="009B3994" w:rsidRPr="009B3994" w:rsidRDefault="009B3994" w:rsidP="009B3994">
      <w:pPr>
        <w:keepNext/>
        <w:spacing w:before="200" w:after="12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B399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Block 6: Safety-by-Design &amp; Risk Assessment (PS·50–PS·59)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0"/>
        <w:gridCol w:w="8060"/>
      </w:tblGrid>
      <w:tr w:rsidR="009B3994" w:rsidRPr="009B3994" w14:paraId="1F7261E0" w14:textId="77777777" w:rsidTr="009B399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3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5ABF35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Query ID</w:t>
            </w:r>
          </w:p>
        </w:tc>
        <w:tc>
          <w:tcPr>
            <w:tcW w:w="806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66525B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Search String</w:t>
            </w:r>
          </w:p>
        </w:tc>
      </w:tr>
      <w:tr w:rsidR="009B3994" w:rsidRPr="009B3994" w14:paraId="03F580FC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22188C0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PS·50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B87CDF8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safety by design </w:t>
            </w: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paediatric</w:t>
            </w:r>
            <w:proofErr w:type="spellEnd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formulation risk assessment</w:t>
            </w:r>
          </w:p>
        </w:tc>
      </w:tr>
      <w:tr w:rsidR="009B3994" w:rsidRPr="009B3994" w14:paraId="511A4BCD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C61FE83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PS·51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66DE5EB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paediatric</w:t>
            </w:r>
            <w:proofErr w:type="spellEnd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excipient safety toxicity formulation</w:t>
            </w:r>
          </w:p>
        </w:tc>
      </w:tr>
      <w:tr w:rsidR="009B3994" w:rsidRPr="009B3994" w14:paraId="3014D0AF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8DAD2BB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PS·52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DD35946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risk assessment children consumer product formulation</w:t>
            </w:r>
          </w:p>
        </w:tc>
      </w:tr>
      <w:tr w:rsidR="009B3994" w:rsidRPr="009B3994" w14:paraId="57302D62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2996A5F6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PS·53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369A6C9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biocompatibility </w:t>
            </w: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paediatric</w:t>
            </w:r>
            <w:proofErr w:type="spellEnd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formulation computational assessment</w:t>
            </w:r>
          </w:p>
        </w:tc>
      </w:tr>
      <w:tr w:rsidR="009B3994" w:rsidRPr="009B3994" w14:paraId="1773F909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6E49E390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PS·54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23ABF8C9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paediatric</w:t>
            </w:r>
            <w:proofErr w:type="spellEnd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drug safety excipient dose formulation </w:t>
            </w: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optimisation</w:t>
            </w:r>
            <w:proofErr w:type="spellEnd"/>
          </w:p>
        </w:tc>
      </w:tr>
      <w:tr w:rsidR="009B3994" w:rsidRPr="009B3994" w14:paraId="1525CF6C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72582B8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PS·55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514AC60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acceptable daily intake </w:t>
            </w: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paediatric</w:t>
            </w:r>
            <w:proofErr w:type="spellEnd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excipient safety formulation</w:t>
            </w:r>
          </w:p>
        </w:tc>
      </w:tr>
      <w:tr w:rsidR="009B3994" w:rsidRPr="009B3994" w14:paraId="7260BC9C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66930EF7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PS·56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2B2046E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regulatory risk assessment </w:t>
            </w: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paediatric</w:t>
            </w:r>
            <w:proofErr w:type="spellEnd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consumer goods formulation</w:t>
            </w:r>
          </w:p>
        </w:tc>
      </w:tr>
      <w:tr w:rsidR="009B3994" w:rsidRPr="009B3994" w14:paraId="5B3EF0A8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430A5E9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PS·57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9598B39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safety-by-design computational toxicology </w:t>
            </w: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paediatric</w:t>
            </w:r>
            <w:proofErr w:type="spellEnd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formulation</w:t>
            </w:r>
          </w:p>
        </w:tc>
      </w:tr>
      <w:tr w:rsidR="009B3994" w:rsidRPr="009B3994" w14:paraId="1DBBE0D2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8A34CE7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PS·58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BC9F4A9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paediatric</w:t>
            </w:r>
            <w:proofErr w:type="spellEnd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pharmaceutical excipient database safety assessment</w:t>
            </w:r>
          </w:p>
        </w:tc>
      </w:tr>
      <w:tr w:rsidR="009B3994" w:rsidRPr="009B3994" w14:paraId="18C45BF3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BACA192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PS·59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8BF2A3E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children product ingredient safety risk modelling</w:t>
            </w:r>
          </w:p>
        </w:tc>
      </w:tr>
    </w:tbl>
    <w:p w14:paraId="4008416F" w14:textId="77777777" w:rsidR="009B3994" w:rsidRPr="009B3994" w:rsidRDefault="009B3994" w:rsidP="009B3994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7C31618" w14:textId="77777777" w:rsidR="009B3994" w:rsidRPr="009B3994" w:rsidRDefault="009B3994" w:rsidP="009B3994">
      <w:pPr>
        <w:keepNext/>
        <w:spacing w:before="200" w:after="12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B399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Block 7: Regulatory Frameworks &amp; Compliance (PS·60–PS·67)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0"/>
        <w:gridCol w:w="8060"/>
      </w:tblGrid>
      <w:tr w:rsidR="009B3994" w:rsidRPr="009B3994" w14:paraId="670AB11B" w14:textId="77777777" w:rsidTr="009B399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3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33573C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Query ID</w:t>
            </w:r>
          </w:p>
        </w:tc>
        <w:tc>
          <w:tcPr>
            <w:tcW w:w="806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A65B55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Search String</w:t>
            </w:r>
          </w:p>
        </w:tc>
      </w:tr>
      <w:tr w:rsidR="009B3994" w:rsidRPr="009B3994" w14:paraId="451840E8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203941EF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PS·60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FA34198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EMA </w:t>
            </w: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paediatric</w:t>
            </w:r>
            <w:proofErr w:type="spellEnd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regulation formulation development guidelines</w:t>
            </w:r>
          </w:p>
        </w:tc>
      </w:tr>
      <w:tr w:rsidR="009B3994" w:rsidRPr="009B3994" w14:paraId="77D31198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E7ED235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PS·61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253117E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FDA </w:t>
            </w: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paediatric</w:t>
            </w:r>
            <w:proofErr w:type="spellEnd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drug formulation regulatory guidelines </w:t>
            </w: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QbD</w:t>
            </w:r>
            <w:proofErr w:type="spellEnd"/>
          </w:p>
        </w:tc>
      </w:tr>
      <w:tr w:rsidR="009B3994" w:rsidRPr="009B3994" w14:paraId="710C814E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756FA1D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PS·62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EC61B27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ICH Q8 Q9 Q10 </w:t>
            </w: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paediatric</w:t>
            </w:r>
            <w:proofErr w:type="spellEnd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formulation development</w:t>
            </w:r>
          </w:p>
        </w:tc>
      </w:tr>
      <w:tr w:rsidR="009B3994" w:rsidRPr="009B3994" w14:paraId="4A125131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7C97AE3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PS·63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77BF928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paediatric</w:t>
            </w:r>
            <w:proofErr w:type="spellEnd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regulation EMA PUMA PDCO formulation development</w:t>
            </w:r>
          </w:p>
        </w:tc>
      </w:tr>
      <w:tr w:rsidR="009B3994" w:rsidRPr="009B3994" w14:paraId="767BF0CB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BC1A097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lastRenderedPageBreak/>
              <w:t>PS·64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E3A87E4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regulatory compliance </w:t>
            </w: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paediatric</w:t>
            </w:r>
            <w:proofErr w:type="spellEnd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food cosmetic formulation</w:t>
            </w:r>
          </w:p>
        </w:tc>
      </w:tr>
      <w:tr w:rsidR="009B3994" w:rsidRPr="009B3994" w14:paraId="31FCCE25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BD19A14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PS·65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310AE56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GMP manufacturing </w:t>
            </w: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paediatric</w:t>
            </w:r>
            <w:proofErr w:type="spellEnd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pharmaceutical formulation quality</w:t>
            </w:r>
          </w:p>
        </w:tc>
      </w:tr>
      <w:tr w:rsidR="009B3994" w:rsidRPr="009B3994" w14:paraId="6DD16757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A7D1E0F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PS·66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CF71445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paediatric</w:t>
            </w:r>
            <w:proofErr w:type="spellEnd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investigation plan PIP formulation development EMA</w:t>
            </w:r>
          </w:p>
        </w:tc>
      </w:tr>
      <w:tr w:rsidR="009B3994" w:rsidRPr="009B3994" w14:paraId="04DFEF4E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576715D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PS·67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BE7C0E4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paediatric</w:t>
            </w:r>
            <w:proofErr w:type="spellEnd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drug development regulatory challenge formulation</w:t>
            </w:r>
          </w:p>
        </w:tc>
      </w:tr>
    </w:tbl>
    <w:p w14:paraId="1DEC3C35" w14:textId="77777777" w:rsidR="009B3994" w:rsidRPr="009B3994" w:rsidRDefault="009B3994" w:rsidP="009B3994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ACE91ED" w14:textId="77777777" w:rsidR="009B3994" w:rsidRPr="009B3994" w:rsidRDefault="009B3994" w:rsidP="009B3994">
      <w:pPr>
        <w:keepNext/>
        <w:spacing w:before="200" w:after="12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B399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Block 8: Machine Learning &amp; AI in Formulation Design (PS·68–PS·76)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0"/>
        <w:gridCol w:w="8060"/>
      </w:tblGrid>
      <w:tr w:rsidR="009B3994" w:rsidRPr="009B3994" w14:paraId="37775114" w14:textId="77777777" w:rsidTr="009B399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3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C0EE51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Query ID</w:t>
            </w:r>
          </w:p>
        </w:tc>
        <w:tc>
          <w:tcPr>
            <w:tcW w:w="806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835C43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Search String</w:t>
            </w:r>
          </w:p>
        </w:tc>
      </w:tr>
      <w:tr w:rsidR="009B3994" w:rsidRPr="009B3994" w14:paraId="07A37F03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76E44D4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PS·68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C536DAD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machine learning </w:t>
            </w: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paediatric</w:t>
            </w:r>
            <w:proofErr w:type="spellEnd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formulation design prediction</w:t>
            </w:r>
          </w:p>
        </w:tc>
      </w:tr>
      <w:tr w:rsidR="009B3994" w:rsidRPr="009B3994" w14:paraId="1FCA8ECC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264C3E8E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PS·69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608845C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artificial intelligence drug formulation </w:t>
            </w: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optimisation</w:t>
            </w:r>
            <w:proofErr w:type="spellEnd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prediction</w:t>
            </w:r>
          </w:p>
        </w:tc>
      </w:tr>
      <w:tr w:rsidR="009B3994" w:rsidRPr="009B3994" w14:paraId="16D82100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8D4E5A0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PS·70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A7A09D5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deep learning formulation process </w:t>
            </w: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optimisation</w:t>
            </w:r>
            <w:proofErr w:type="spellEnd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quality</w:t>
            </w:r>
          </w:p>
        </w:tc>
      </w:tr>
      <w:tr w:rsidR="009B3994" w:rsidRPr="009B3994" w14:paraId="07286C6A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C76B0B2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PS·71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065A99A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neural network pharmaceutical formulation design prediction</w:t>
            </w:r>
          </w:p>
        </w:tc>
      </w:tr>
      <w:tr w:rsidR="009B3994" w:rsidRPr="009B3994" w14:paraId="788870C2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4D3CE8A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PS·72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CA7482B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machine learning excipient selection formulation design</w:t>
            </w:r>
          </w:p>
        </w:tc>
      </w:tr>
      <w:tr w:rsidR="009B3994" w:rsidRPr="009B3994" w14:paraId="0698255A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255ACC32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PS·73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27586E9C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AI-driven formulation </w:t>
            </w: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optimisation</w:t>
            </w:r>
            <w:proofErr w:type="spellEnd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consumer goods</w:t>
            </w:r>
          </w:p>
        </w:tc>
      </w:tr>
      <w:tr w:rsidR="009B3994" w:rsidRPr="009B3994" w14:paraId="119AD7F3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5DD9689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PS·74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0E4B905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data-driven formulation design pharmaceutical process</w:t>
            </w:r>
          </w:p>
        </w:tc>
      </w:tr>
      <w:tr w:rsidR="009B3994" w:rsidRPr="009B3994" w14:paraId="5B5BC810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C5B44BD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PS·75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4690118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predictive modelling formulation stability quality</w:t>
            </w:r>
          </w:p>
        </w:tc>
      </w:tr>
      <w:tr w:rsidR="009B3994" w:rsidRPr="009B3994" w14:paraId="562DAD31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6B16FF8D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PS·76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6C56BA15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machine learning sensory acceptability </w:t>
            </w: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paediatric</w:t>
            </w:r>
            <w:proofErr w:type="spellEnd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product</w:t>
            </w:r>
          </w:p>
        </w:tc>
      </w:tr>
    </w:tbl>
    <w:p w14:paraId="315A0A7E" w14:textId="77777777" w:rsidR="009B3994" w:rsidRPr="009B3994" w:rsidRDefault="009B3994" w:rsidP="009B3994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6514782" w14:textId="77777777" w:rsidR="009B3994" w:rsidRPr="009B3994" w:rsidRDefault="009B3994" w:rsidP="009B3994">
      <w:pPr>
        <w:keepNext/>
        <w:spacing w:before="200" w:after="12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B399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Block 9: Sensory Acceptability &amp; Patient-Centric Design (PS·77–PS·84)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0"/>
        <w:gridCol w:w="8060"/>
      </w:tblGrid>
      <w:tr w:rsidR="009B3994" w:rsidRPr="009B3994" w14:paraId="1E5D4BDA" w14:textId="77777777" w:rsidTr="009B399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3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3127DB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Query ID</w:t>
            </w:r>
          </w:p>
        </w:tc>
        <w:tc>
          <w:tcPr>
            <w:tcW w:w="806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D2F067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Search String</w:t>
            </w:r>
          </w:p>
        </w:tc>
      </w:tr>
      <w:tr w:rsidR="009B3994" w:rsidRPr="009B3994" w14:paraId="2F7C4F17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C33B904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PS·77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674DD1F3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paediatric</w:t>
            </w:r>
            <w:proofErr w:type="spellEnd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sensory acceptability oral formulation taste masking</w:t>
            </w:r>
          </w:p>
        </w:tc>
      </w:tr>
      <w:tr w:rsidR="009B3994" w:rsidRPr="009B3994" w14:paraId="54F0F24B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EF2E9D7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PS·78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801B7B1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taste masking </w:t>
            </w: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paediatric</w:t>
            </w:r>
            <w:proofErr w:type="spellEnd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formulation process </w:t>
            </w: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optimisation</w:t>
            </w:r>
            <w:proofErr w:type="spellEnd"/>
          </w:p>
        </w:tc>
      </w:tr>
      <w:tr w:rsidR="009B3994" w:rsidRPr="009B3994" w14:paraId="73DE71F5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A8BFDCA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PS·79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2794005B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palatability </w:t>
            </w: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paediatric</w:t>
            </w:r>
            <w:proofErr w:type="spellEnd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oral drug formulation design</w:t>
            </w:r>
          </w:p>
        </w:tc>
      </w:tr>
      <w:tr w:rsidR="009B3994" w:rsidRPr="009B3994" w14:paraId="43259E7D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7C6A81C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PS·80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B2C076C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patient-centric </w:t>
            </w: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paediatric</w:t>
            </w:r>
            <w:proofErr w:type="spellEnd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formulation design development</w:t>
            </w:r>
          </w:p>
        </w:tc>
      </w:tr>
      <w:tr w:rsidR="009B3994" w:rsidRPr="009B3994" w14:paraId="3BB08428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53DFC9A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PS·81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6105599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sensory </w:t>
            </w:r>
            <w:proofErr w:type="gram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evaluation</w:t>
            </w:r>
            <w:proofErr w:type="gramEnd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children food product formulation</w:t>
            </w:r>
          </w:p>
        </w:tc>
      </w:tr>
      <w:tr w:rsidR="009B3994" w:rsidRPr="009B3994" w14:paraId="28F143A6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DCAC77F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PS·82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67545296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organoleptic properties </w:t>
            </w: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paediatric</w:t>
            </w:r>
            <w:proofErr w:type="spellEnd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formulation process</w:t>
            </w:r>
          </w:p>
        </w:tc>
      </w:tr>
      <w:tr w:rsidR="009B3994" w:rsidRPr="009B3994" w14:paraId="6918403C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ABCF425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PS·83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DEF1C29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texture acceptability </w:t>
            </w: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paediatric</w:t>
            </w:r>
            <w:proofErr w:type="spellEnd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food cosmetic formulation</w:t>
            </w:r>
          </w:p>
        </w:tc>
      </w:tr>
      <w:tr w:rsidR="009B3994" w:rsidRPr="009B3994" w14:paraId="008ADB78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62653ADA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PS·84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608F9D1A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gram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mouthfeel</w:t>
            </w:r>
            <w:proofErr w:type="gramEnd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viscosity </w:t>
            </w: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paediatric</w:t>
            </w:r>
            <w:proofErr w:type="spellEnd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oral liquid formulation</w:t>
            </w:r>
          </w:p>
        </w:tc>
      </w:tr>
    </w:tbl>
    <w:p w14:paraId="6A124915" w14:textId="77777777" w:rsidR="009B3994" w:rsidRPr="009B3994" w:rsidRDefault="009B3994" w:rsidP="009B3994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A8A9733" w14:textId="77777777" w:rsidR="009B3994" w:rsidRPr="009B3994" w:rsidRDefault="009B3994" w:rsidP="009B3994">
      <w:pPr>
        <w:keepNext/>
        <w:spacing w:before="200" w:after="12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B399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Block 10: Process Intensification &amp; Scale-Up (PS·85–PS·91)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0"/>
        <w:gridCol w:w="8060"/>
      </w:tblGrid>
      <w:tr w:rsidR="009B3994" w:rsidRPr="009B3994" w14:paraId="41E32DE8" w14:textId="77777777" w:rsidTr="009B399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3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D76C67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Query ID</w:t>
            </w:r>
          </w:p>
        </w:tc>
        <w:tc>
          <w:tcPr>
            <w:tcW w:w="806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665BFA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Search String</w:t>
            </w:r>
          </w:p>
        </w:tc>
      </w:tr>
      <w:tr w:rsidR="009B3994" w:rsidRPr="009B3994" w14:paraId="78B51B43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364FDF0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PS·85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46EC62B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process intensification pharmaceutical formulation scale-up</w:t>
            </w:r>
          </w:p>
        </w:tc>
      </w:tr>
      <w:tr w:rsidR="009B3994" w:rsidRPr="009B3994" w14:paraId="79BE290F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6E3C9A8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PS·86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BBC16A8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continuous manufacturing pharmaceutical formulation </w:t>
            </w: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QbD</w:t>
            </w:r>
            <w:proofErr w:type="spellEnd"/>
          </w:p>
        </w:tc>
      </w:tr>
      <w:tr w:rsidR="009B3994" w:rsidRPr="009B3994" w14:paraId="3809918B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F3A125F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PS·87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1DF8BF8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spray drying microencapsulation </w:t>
            </w: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paediatric</w:t>
            </w:r>
            <w:proofErr w:type="spellEnd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formulation</w:t>
            </w:r>
          </w:p>
        </w:tc>
      </w:tr>
      <w:tr w:rsidR="009B3994" w:rsidRPr="009B3994" w14:paraId="7EC599CE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62216347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PS·88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5EA7635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hot melt extrusion </w:t>
            </w: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paediatric</w:t>
            </w:r>
            <w:proofErr w:type="spellEnd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formulation process </w:t>
            </w: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optimisation</w:t>
            </w:r>
            <w:proofErr w:type="spellEnd"/>
          </w:p>
        </w:tc>
      </w:tr>
      <w:tr w:rsidR="009B3994" w:rsidRPr="009B3994" w14:paraId="1A221F86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DAA69C5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lastRenderedPageBreak/>
              <w:t>PS·89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DA8A72D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granulation </w:t>
            </w: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paediatric</w:t>
            </w:r>
            <w:proofErr w:type="spellEnd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formulation process modelling</w:t>
            </w:r>
          </w:p>
        </w:tc>
      </w:tr>
      <w:tr w:rsidR="009B3994" w:rsidRPr="009B3994" w14:paraId="1C00EB06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2A2017AC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PS·90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2C38D99B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process scale-up </w:t>
            </w: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paediatric</w:t>
            </w:r>
            <w:proofErr w:type="spellEnd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pharmaceutical formulation</w:t>
            </w:r>
          </w:p>
        </w:tc>
      </w:tr>
      <w:tr w:rsidR="009B3994" w:rsidRPr="009B3994" w14:paraId="5D1D4E69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6A45053E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PS·91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4E700F9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nano formulation </w:t>
            </w: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paediatric</w:t>
            </w:r>
            <w:proofErr w:type="spellEnd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drug delivery process design</w:t>
            </w:r>
          </w:p>
        </w:tc>
      </w:tr>
    </w:tbl>
    <w:p w14:paraId="4855F905" w14:textId="77777777" w:rsidR="009B3994" w:rsidRPr="009B3994" w:rsidRDefault="009B3994" w:rsidP="009B3994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53F1DB8" w14:textId="77777777" w:rsidR="009B3994" w:rsidRPr="009B3994" w:rsidRDefault="009B3994" w:rsidP="009B3994">
      <w:pPr>
        <w:keepNext/>
        <w:spacing w:before="200" w:after="12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B399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Block 11: Quality &amp; Stability (PS·92–PS·98)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0"/>
        <w:gridCol w:w="8060"/>
      </w:tblGrid>
      <w:tr w:rsidR="009B3994" w:rsidRPr="009B3994" w14:paraId="5F3EBDA3" w14:textId="77777777" w:rsidTr="009B399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3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63DAB6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Query ID</w:t>
            </w:r>
          </w:p>
        </w:tc>
        <w:tc>
          <w:tcPr>
            <w:tcW w:w="806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CA3ACD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Search String</w:t>
            </w:r>
          </w:p>
        </w:tc>
      </w:tr>
      <w:tr w:rsidR="009B3994" w:rsidRPr="009B3994" w14:paraId="7018F2BF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4FE02A4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PS·92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FB7FAB0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formulation stability </w:t>
            </w: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paediatric</w:t>
            </w:r>
            <w:proofErr w:type="spellEnd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pharmaceutical prediction modelling</w:t>
            </w:r>
          </w:p>
        </w:tc>
      </w:tr>
      <w:tr w:rsidR="009B3994" w:rsidRPr="009B3994" w14:paraId="53524AC3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8258E2A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PS·93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23CB8FA4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gram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shelf life</w:t>
            </w:r>
            <w:proofErr w:type="gramEnd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prediction </w:t>
            </w: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paediatric</w:t>
            </w:r>
            <w:proofErr w:type="spellEnd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food formulation modelling</w:t>
            </w:r>
          </w:p>
        </w:tc>
      </w:tr>
      <w:tr w:rsidR="009B3994" w:rsidRPr="009B3994" w14:paraId="15272B18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70AFFEC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PS·94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C08B57D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accelerated stability testing formulation computational prediction</w:t>
            </w:r>
          </w:p>
        </w:tc>
      </w:tr>
      <w:tr w:rsidR="009B3994" w:rsidRPr="009B3994" w14:paraId="265F760F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AACF16B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PS·95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7B64419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product quality attributes </w:t>
            </w: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paediatric</w:t>
            </w:r>
            <w:proofErr w:type="spellEnd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formulation </w:t>
            </w: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QbD</w:t>
            </w:r>
            <w:proofErr w:type="spellEnd"/>
          </w:p>
        </w:tc>
      </w:tr>
      <w:tr w:rsidR="009B3994" w:rsidRPr="009B3994" w14:paraId="134E1B88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740E468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PS·96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F874425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gram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critical</w:t>
            </w:r>
            <w:proofErr w:type="gramEnd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quality attributes CQA </w:t>
            </w: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paediatric</w:t>
            </w:r>
            <w:proofErr w:type="spellEnd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formulation process</w:t>
            </w:r>
          </w:p>
        </w:tc>
      </w:tr>
      <w:tr w:rsidR="009B3994" w:rsidRPr="009B3994" w14:paraId="53BD6017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682ECF3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PS·97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7C8F720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design space </w:t>
            </w: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paediatric</w:t>
            </w:r>
            <w:proofErr w:type="spellEnd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formulation </w:t>
            </w: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QbD</w:t>
            </w:r>
            <w:proofErr w:type="spellEnd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optimisation</w:t>
            </w:r>
            <w:proofErr w:type="spellEnd"/>
          </w:p>
        </w:tc>
      </w:tr>
      <w:tr w:rsidR="009B3994" w:rsidRPr="009B3994" w14:paraId="71D484E8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231C278D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PS·98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A2613DC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robust formulation design </w:t>
            </w: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paediatric</w:t>
            </w:r>
            <w:proofErr w:type="spellEnd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product quality</w:t>
            </w:r>
          </w:p>
        </w:tc>
      </w:tr>
    </w:tbl>
    <w:p w14:paraId="00FBBC02" w14:textId="77777777" w:rsidR="009B3994" w:rsidRPr="009B3994" w:rsidRDefault="009B3994" w:rsidP="009B3994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46858CA" w14:textId="77777777" w:rsidR="009B3994" w:rsidRPr="009B3994" w:rsidRDefault="009B3994" w:rsidP="009B3994">
      <w:pPr>
        <w:keepNext/>
        <w:spacing w:before="200" w:after="12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B399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Block 12: Systematic Reviews &amp; Meta-Analyses (PS·99–PS·104)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0"/>
        <w:gridCol w:w="8060"/>
      </w:tblGrid>
      <w:tr w:rsidR="009B3994" w:rsidRPr="009B3994" w14:paraId="6267C6E4" w14:textId="77777777" w:rsidTr="009B399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3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2322D6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Query ID</w:t>
            </w:r>
          </w:p>
        </w:tc>
        <w:tc>
          <w:tcPr>
            <w:tcW w:w="806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FC4ECC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Search String</w:t>
            </w:r>
          </w:p>
        </w:tc>
      </w:tr>
      <w:tr w:rsidR="009B3994" w:rsidRPr="009B3994" w14:paraId="6AAF8ABA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246106A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PS·99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4F08874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systematic review </w:t>
            </w: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paediatric</w:t>
            </w:r>
            <w:proofErr w:type="spellEnd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formulation development challenges</w:t>
            </w:r>
          </w:p>
        </w:tc>
      </w:tr>
      <w:tr w:rsidR="009B3994" w:rsidRPr="009B3994" w14:paraId="3822F32C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6B69F170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PS·100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A6036CB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review process systems engineering pharmaceutical formulation</w:t>
            </w:r>
          </w:p>
        </w:tc>
      </w:tr>
      <w:tr w:rsidR="009B3994" w:rsidRPr="009B3994" w14:paraId="7B4C07B4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2FD7A844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PS·101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F5F04E7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meta-analysis </w:t>
            </w: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QbD</w:t>
            </w:r>
            <w:proofErr w:type="spellEnd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quality by design formulation outcomes</w:t>
            </w:r>
          </w:p>
        </w:tc>
      </w:tr>
      <w:tr w:rsidR="009B3994" w:rsidRPr="009B3994" w14:paraId="45F221E4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2ED072E9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PS·102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DD52B7D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scoping review </w:t>
            </w: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paediatric</w:t>
            </w:r>
            <w:proofErr w:type="spellEnd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consumer goods formulation design</w:t>
            </w:r>
          </w:p>
        </w:tc>
      </w:tr>
      <w:tr w:rsidR="009B3994" w:rsidRPr="009B3994" w14:paraId="55717F2C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50B0C9B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PS·103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3EF7BE9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gram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literature review</w:t>
            </w:r>
            <w:proofErr w:type="gramEnd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PSE process modelling formulation</w:t>
            </w:r>
          </w:p>
        </w:tc>
      </w:tr>
      <w:tr w:rsidR="009B3994" w:rsidRPr="009B3994" w14:paraId="25523CBB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E28998A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PS·104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6974C2C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bibliometric analysis </w:t>
            </w: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paediatric</w:t>
            </w:r>
            <w:proofErr w:type="spellEnd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pharmaceutical formulation</w:t>
            </w:r>
          </w:p>
        </w:tc>
      </w:tr>
    </w:tbl>
    <w:p w14:paraId="5EF09871" w14:textId="77777777" w:rsidR="009B3994" w:rsidRPr="009B3994" w:rsidRDefault="009B3994" w:rsidP="009B3994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F14FDF8" w14:textId="77777777" w:rsidR="009B3994" w:rsidRPr="009B3994" w:rsidRDefault="009B3994" w:rsidP="009B3994">
      <w:pPr>
        <w:keepNext/>
        <w:spacing w:before="200" w:after="12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B399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Block 13: Emerging &amp; </w:t>
      </w:r>
      <w:proofErr w:type="gramStart"/>
      <w:r w:rsidRPr="009B399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Cross-Cutting</w:t>
      </w:r>
      <w:proofErr w:type="gramEnd"/>
      <w:r w:rsidRPr="009B399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Topics (PS·105–PS·110)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0"/>
        <w:gridCol w:w="8060"/>
      </w:tblGrid>
      <w:tr w:rsidR="009B3994" w:rsidRPr="009B3994" w14:paraId="3594284C" w14:textId="77777777" w:rsidTr="009B399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3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5FE18A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Query ID</w:t>
            </w:r>
          </w:p>
        </w:tc>
        <w:tc>
          <w:tcPr>
            <w:tcW w:w="806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5C7227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Search String</w:t>
            </w:r>
          </w:p>
        </w:tc>
      </w:tr>
      <w:tr w:rsidR="009B3994" w:rsidRPr="009B3994" w14:paraId="627CB8E4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FDAB531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PS·105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465DA83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3D printing </w:t>
            </w: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paediatric</w:t>
            </w:r>
            <w:proofErr w:type="spellEnd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formulation </w:t>
            </w: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personalised</w:t>
            </w:r>
            <w:proofErr w:type="spellEnd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dosing</w:t>
            </w:r>
          </w:p>
        </w:tc>
      </w:tr>
      <w:tr w:rsidR="009B3994" w:rsidRPr="009B3994" w14:paraId="3C607DC6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65CDF2D8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PS·106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28EA3784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personalised</w:t>
            </w:r>
            <w:proofErr w:type="spellEnd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medicine </w:t>
            </w: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paediatric</w:t>
            </w:r>
            <w:proofErr w:type="spellEnd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formulation computational</w:t>
            </w:r>
          </w:p>
        </w:tc>
      </w:tr>
      <w:tr w:rsidR="009B3994" w:rsidRPr="009B3994" w14:paraId="68762F9E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CC5DEF5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PS·107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2E074887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gram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green</w:t>
            </w:r>
            <w:proofErr w:type="gramEnd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formulation sustainable </w:t>
            </w: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paediatric</w:t>
            </w:r>
            <w:proofErr w:type="spellEnd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consumer goods process</w:t>
            </w:r>
          </w:p>
        </w:tc>
      </w:tr>
      <w:tr w:rsidR="009B3994" w:rsidRPr="009B3994" w14:paraId="3E8F8820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90DB2AB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PS·108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D8BFDAC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microbiome </w:t>
            </w: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paediatric</w:t>
            </w:r>
            <w:proofErr w:type="spellEnd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consumer goods formulation safety</w:t>
            </w:r>
          </w:p>
        </w:tc>
      </w:tr>
      <w:tr w:rsidR="009B3994" w:rsidRPr="009B3994" w14:paraId="10E7BEFB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236608E5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PS·109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C7007CB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nanoparticle </w:t>
            </w: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paediatric</w:t>
            </w:r>
            <w:proofErr w:type="spellEnd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drug formulation safety design</w:t>
            </w:r>
          </w:p>
        </w:tc>
      </w:tr>
      <w:tr w:rsidR="009B3994" w:rsidRPr="009B3994" w14:paraId="323DDEE2" w14:textId="77777777" w:rsidTr="009B3994">
        <w:tblPrEx>
          <w:tblCellMar>
            <w:top w:w="0" w:type="dxa"/>
            <w:bottom w:w="0" w:type="dxa"/>
          </w:tblCellMar>
        </w:tblPrEx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25965A8F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PS·110</w:t>
            </w:r>
          </w:p>
        </w:tc>
        <w:tc>
          <w:tcPr>
            <w:tcW w:w="80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41CDC58" w14:textId="77777777" w:rsidR="009B3994" w:rsidRPr="009B3994" w:rsidRDefault="009B3994" w:rsidP="009B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excipient innovation </w:t>
            </w:r>
            <w:proofErr w:type="spellStart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paediatric</w:t>
            </w:r>
            <w:proofErr w:type="spellEnd"/>
            <w:r w:rsidRPr="009B39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formulation process development</w:t>
            </w:r>
          </w:p>
        </w:tc>
      </w:tr>
    </w:tbl>
    <w:p w14:paraId="0A9C3F73" w14:textId="77777777" w:rsidR="009B3994" w:rsidRPr="009B3994" w:rsidRDefault="009B3994" w:rsidP="009B3994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58AFAEC" w14:textId="77777777" w:rsidR="009B3994" w:rsidRPr="009B3994" w:rsidRDefault="009B3994" w:rsidP="009B3994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9B3994" w:rsidRPr="009B3994" w:rsidSect="009B3994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ACE23" w14:textId="77777777" w:rsidR="006158D8" w:rsidRDefault="006158D8" w:rsidP="009B3994">
      <w:pPr>
        <w:spacing w:after="0" w:line="240" w:lineRule="auto"/>
      </w:pPr>
      <w:r>
        <w:separator/>
      </w:r>
    </w:p>
  </w:endnote>
  <w:endnote w:type="continuationSeparator" w:id="0">
    <w:p w14:paraId="36082140" w14:textId="77777777" w:rsidR="006158D8" w:rsidRDefault="006158D8" w:rsidP="009B3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D6BBD" w14:textId="77777777" w:rsidR="006158D8" w:rsidRDefault="006158D8" w:rsidP="009B3994">
      <w:pPr>
        <w:spacing w:after="0" w:line="240" w:lineRule="auto"/>
      </w:pPr>
      <w:r>
        <w:separator/>
      </w:r>
    </w:p>
  </w:footnote>
  <w:footnote w:type="continuationSeparator" w:id="0">
    <w:p w14:paraId="52A6EC6F" w14:textId="77777777" w:rsidR="006158D8" w:rsidRDefault="006158D8" w:rsidP="009B39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994"/>
    <w:rsid w:val="00151941"/>
    <w:rsid w:val="006158D8"/>
    <w:rsid w:val="00812382"/>
    <w:rsid w:val="009B3994"/>
    <w:rsid w:val="00C3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C197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39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3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39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39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39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39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39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39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39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39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39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39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39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39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39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39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39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39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39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3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9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39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39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39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39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39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39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39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3994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9B3994"/>
  </w:style>
  <w:style w:type="paragraph" w:styleId="Header">
    <w:name w:val="header"/>
    <w:basedOn w:val="Normal"/>
    <w:link w:val="HeaderChar"/>
    <w:uiPriority w:val="99"/>
    <w:unhideWhenUsed/>
    <w:rsid w:val="009B3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994"/>
  </w:style>
  <w:style w:type="paragraph" w:styleId="Footer">
    <w:name w:val="footer"/>
    <w:basedOn w:val="Normal"/>
    <w:link w:val="FooterChar"/>
    <w:uiPriority w:val="99"/>
    <w:unhideWhenUsed/>
    <w:rsid w:val="009B3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1405</Words>
  <Characters>8013</Characters>
  <DocSecurity>0</DocSecurity>
  <Lines>66</Lines>
  <Paragraphs>18</Paragraphs>
  <ScaleCrop>false</ScaleCrop>
  <Company/>
  <LinksUpToDate>false</LinksUpToDate>
  <CharactersWithSpaces>9400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2026-07-04T10:06:00Z</dcterms:created>
  <dcterms:modified xsi:type="dcterms:W3CDTF">2026-07-04T10:06:00Z</dcterms:modified>
</cp:coreProperties>
</file>