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2AD1" w14:textId="77777777" w:rsidR="000F6897" w:rsidRDefault="000F6897" w:rsidP="000F6897">
      <w:pPr>
        <w:spacing w:line="360" w:lineRule="auto"/>
        <w:ind w:firstLineChars="0" w:firstLine="0"/>
        <w:jc w:val="center"/>
        <w:rPr>
          <w:sz w:val="20"/>
          <w:szCs w:val="21"/>
        </w:rPr>
      </w:pPr>
      <w:r>
        <w:rPr>
          <w:noProof/>
          <w:sz w:val="20"/>
          <w:szCs w:val="21"/>
        </w:rPr>
        <w:drawing>
          <wp:inline distT="0" distB="0" distL="0" distR="0" wp14:anchorId="2F5A5727" wp14:editId="37CE43A4">
            <wp:extent cx="2990850" cy="4359910"/>
            <wp:effectExtent l="0" t="0" r="0" b="2540"/>
            <wp:docPr id="812819255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19255" name="图形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184" cy="438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68D3" w14:textId="77777777" w:rsidR="000F6897" w:rsidRDefault="000F6897" w:rsidP="000F6897">
      <w:pPr>
        <w:spacing w:line="360" w:lineRule="auto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Supplementary Figure S1. Bootstrap 95% confidence intervals (grey areas) for edge weights in the contemporaneous networks at T1-T5. Red lines indicate estimated edge weights.</w:t>
      </w:r>
    </w:p>
    <w:p w14:paraId="20D4126A" w14:textId="77777777" w:rsidR="000F6897" w:rsidRDefault="000F6897" w:rsidP="000F6897">
      <w:pPr>
        <w:spacing w:line="360" w:lineRule="auto"/>
        <w:ind w:firstLineChars="0" w:firstLine="0"/>
        <w:jc w:val="center"/>
        <w:rPr>
          <w:sz w:val="20"/>
          <w:szCs w:val="21"/>
        </w:rPr>
      </w:pPr>
      <w:r>
        <w:rPr>
          <w:noProof/>
          <w:sz w:val="20"/>
          <w:szCs w:val="21"/>
        </w:rPr>
        <w:lastRenderedPageBreak/>
        <w:drawing>
          <wp:inline distT="0" distB="0" distL="0" distR="0" wp14:anchorId="7F05C790" wp14:editId="1BC5C91D">
            <wp:extent cx="3439795" cy="5134610"/>
            <wp:effectExtent l="0" t="0" r="8255" b="8890"/>
            <wp:docPr id="116749109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91099" name="图形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638" cy="514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22FC" w14:textId="77777777" w:rsidR="000F6897" w:rsidRDefault="000F6897" w:rsidP="000F6897">
      <w:pPr>
        <w:spacing w:line="360" w:lineRule="auto"/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t>Supplementary Figure S2. Difference tests for strength centrality in the contemporaneous networks at T1-T5.</w:t>
      </w:r>
    </w:p>
    <w:p w14:paraId="78F1D30B" w14:textId="77777777" w:rsidR="000F6897" w:rsidRDefault="000F6897" w:rsidP="000F6897">
      <w:pPr>
        <w:spacing w:line="360" w:lineRule="auto"/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t>Black squares indicate statistically significant differences between nodes (two-sided alpha = 0.05).</w:t>
      </w:r>
    </w:p>
    <w:p w14:paraId="703A415C" w14:textId="77777777" w:rsidR="000F6897" w:rsidRDefault="000F6897" w:rsidP="000F6897">
      <w:pPr>
        <w:spacing w:line="360" w:lineRule="auto"/>
        <w:ind w:firstLineChars="0" w:firstLine="0"/>
        <w:jc w:val="center"/>
        <w:rPr>
          <w:sz w:val="20"/>
          <w:szCs w:val="21"/>
        </w:rPr>
      </w:pPr>
      <w:r>
        <w:rPr>
          <w:noProof/>
          <w:sz w:val="20"/>
          <w:szCs w:val="21"/>
        </w:rPr>
        <w:lastRenderedPageBreak/>
        <w:drawing>
          <wp:inline distT="0" distB="0" distL="0" distR="0" wp14:anchorId="0DC1234C" wp14:editId="4573D235">
            <wp:extent cx="3700780" cy="5561965"/>
            <wp:effectExtent l="0" t="0" r="0" b="635"/>
            <wp:docPr id="14934117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1170" name="图形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329" cy="55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5AA4" w14:textId="77777777" w:rsidR="000F6897" w:rsidRDefault="000F6897" w:rsidP="000F6897">
      <w:pPr>
        <w:pStyle w:val="a"/>
        <w:spacing w:beforeLines="0" w:before="0" w:line="360" w:lineRule="auto"/>
        <w:jc w:val="both"/>
        <w:rPr>
          <w:rFonts w:cs="Times New Roman"/>
        </w:rPr>
      </w:pPr>
      <w:r>
        <w:rPr>
          <w:rFonts w:cs="Times New Roman"/>
        </w:rPr>
        <w:t>Supplementary Figure S3. Difference tests for expected influence (EI) in the contemporaneous networks at T1-T5.</w:t>
      </w:r>
    </w:p>
    <w:p w14:paraId="0AA3EE91" w14:textId="77777777" w:rsidR="000F6897" w:rsidRDefault="000F6897" w:rsidP="000F6897">
      <w:pPr>
        <w:pStyle w:val="a"/>
        <w:spacing w:beforeLines="0" w:before="0" w:line="360" w:lineRule="auto"/>
        <w:jc w:val="both"/>
        <w:rPr>
          <w:rFonts w:cs="Times New Roman"/>
        </w:rPr>
      </w:pPr>
      <w:r>
        <w:rPr>
          <w:rFonts w:cs="Times New Roman"/>
        </w:rPr>
        <w:t>Black squares indicate statistically significant differences between nodes (two-sided alpha = 0.05).</w:t>
      </w:r>
    </w:p>
    <w:p w14:paraId="4E03F1DD" w14:textId="77777777" w:rsidR="000F6897" w:rsidRDefault="000F6897" w:rsidP="000F6897">
      <w:pPr>
        <w:pStyle w:val="a"/>
        <w:spacing w:beforeLines="0" w:before="0" w:line="360" w:lineRule="auto"/>
      </w:pPr>
      <w:r>
        <w:rPr>
          <w:noProof/>
          <w:sz w:val="20"/>
          <w:szCs w:val="21"/>
        </w:rPr>
        <w:lastRenderedPageBreak/>
        <w:drawing>
          <wp:inline distT="0" distB="0" distL="0" distR="0" wp14:anchorId="07540C8E" wp14:editId="3E725A22">
            <wp:extent cx="3707130" cy="5637530"/>
            <wp:effectExtent l="0" t="0" r="7620" b="1270"/>
            <wp:docPr id="105729986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99862" name="图形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251" cy="565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2862D" w14:textId="77777777" w:rsidR="000F6897" w:rsidRDefault="000F6897" w:rsidP="000F6897">
      <w:pPr>
        <w:spacing w:line="360" w:lineRule="auto"/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t>Supplementary Figure S4. Difference tests for bridge expected influence (bEI) in the contemporaneous networks at T1-T5.</w:t>
      </w:r>
    </w:p>
    <w:p w14:paraId="46C22C7C" w14:textId="77777777" w:rsidR="000F6897" w:rsidRDefault="000F6897" w:rsidP="000F6897">
      <w:pPr>
        <w:spacing w:line="360" w:lineRule="auto"/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t>Black squares indicate statistically significant differences between nodes (two-sided alpha = 0.05).</w:t>
      </w:r>
    </w:p>
    <w:p w14:paraId="22317D78" w14:textId="77777777" w:rsidR="000F6897" w:rsidRDefault="000F6897" w:rsidP="000F6897">
      <w:pPr>
        <w:spacing w:line="360" w:lineRule="auto"/>
        <w:ind w:firstLineChars="0" w:firstLine="0"/>
        <w:jc w:val="center"/>
        <w:rPr>
          <w:b/>
          <w:bCs/>
          <w:sz w:val="28"/>
          <w:szCs w:val="36"/>
        </w:rPr>
      </w:pPr>
    </w:p>
    <w:p w14:paraId="5FA73810" w14:textId="77777777" w:rsidR="000F6897" w:rsidRDefault="000F6897" w:rsidP="000F6897">
      <w:pPr>
        <w:spacing w:line="360" w:lineRule="auto"/>
        <w:ind w:firstLineChars="0" w:firstLine="0"/>
        <w:jc w:val="center"/>
        <w:rPr>
          <w:b/>
          <w:bCs/>
          <w:sz w:val="28"/>
          <w:szCs w:val="36"/>
        </w:rPr>
      </w:pPr>
      <w:r>
        <w:rPr>
          <w:b/>
          <w:bCs/>
          <w:noProof/>
          <w:sz w:val="28"/>
          <w:szCs w:val="36"/>
        </w:rPr>
        <w:lastRenderedPageBreak/>
        <w:drawing>
          <wp:inline distT="0" distB="0" distL="0" distR="0" wp14:anchorId="43F8AD2F" wp14:editId="3618ADF4">
            <wp:extent cx="3245485" cy="4836160"/>
            <wp:effectExtent l="0" t="0" r="0" b="2540"/>
            <wp:docPr id="19116395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3954" name="图形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430" cy="484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EA4FE" w14:textId="77777777" w:rsidR="000F6897" w:rsidRDefault="000F6897" w:rsidP="000F6897">
      <w:pPr>
        <w:spacing w:line="360" w:lineRule="auto"/>
        <w:ind w:firstLineChars="0" w:firstLine="0"/>
        <w:rPr>
          <w:sz w:val="21"/>
          <w:szCs w:val="21"/>
        </w:rPr>
      </w:pPr>
      <w:r>
        <w:rPr>
          <w:rFonts w:eastAsia="SimHei" w:cstheme="minorBidi" w:hint="eastAsia"/>
          <w:sz w:val="21"/>
          <w:szCs w:val="21"/>
        </w:rPr>
        <w:t>Supplementary Figure S5. Case-dropping bootstrap analysis of the stability of strength, expected influence, and bridge expected influence in the contemporaneous networks at T1-T5.</w:t>
      </w:r>
    </w:p>
    <w:p w14:paraId="0BAC5C53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6BD64739" wp14:editId="167750E4">
            <wp:extent cx="3447415" cy="3328670"/>
            <wp:effectExtent l="0" t="0" r="635" b="5080"/>
            <wp:docPr id="110119188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9188" name="图形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847" cy="334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8A88" w14:textId="77777777" w:rsidR="000F6897" w:rsidRDefault="000F6897" w:rsidP="000F6897">
      <w:pPr>
        <w:spacing w:line="360" w:lineRule="auto"/>
        <w:ind w:firstLineChars="0" w:firstLine="0"/>
        <w:rPr>
          <w:rFonts w:eastAsia="SimHei"/>
          <w:sz w:val="21"/>
          <w:szCs w:val="21"/>
        </w:rPr>
      </w:pPr>
      <w:r>
        <w:rPr>
          <w:rFonts w:eastAsia="SimHei"/>
          <w:sz w:val="21"/>
          <w:szCs w:val="21"/>
        </w:rPr>
        <w:t>Supplementary Figure S6. Bootstrap 95% confidence intervals (grey areas) for edge weights in the cross-lagged panel networks across the four intervals (T1 to T2, T2 to T3, T3 to T4, and T4 to T5).</w:t>
      </w:r>
    </w:p>
    <w:p w14:paraId="3BF56DF4" w14:textId="77777777" w:rsidR="000F6897" w:rsidRDefault="000F6897" w:rsidP="000F6897">
      <w:pPr>
        <w:spacing w:line="360" w:lineRule="auto"/>
        <w:ind w:firstLineChars="0" w:firstLine="0"/>
        <w:rPr>
          <w:rFonts w:eastAsia="SimHei"/>
          <w:sz w:val="21"/>
          <w:szCs w:val="21"/>
        </w:rPr>
      </w:pPr>
      <w:r>
        <w:rPr>
          <w:rFonts w:eastAsia="SimHei"/>
          <w:sz w:val="21"/>
          <w:szCs w:val="21"/>
        </w:rPr>
        <w:t>Red lines indicate estimated edge weights.</w:t>
      </w:r>
    </w:p>
    <w:p w14:paraId="51880EDE" w14:textId="77777777" w:rsidR="000F6897" w:rsidRDefault="000F6897" w:rsidP="000F6897">
      <w:pPr>
        <w:spacing w:line="360" w:lineRule="auto"/>
        <w:ind w:firstLineChars="0" w:firstLine="0"/>
        <w:rPr>
          <w:rFonts w:eastAsia="SimHei"/>
          <w:sz w:val="21"/>
          <w:szCs w:val="21"/>
        </w:rPr>
      </w:pPr>
    </w:p>
    <w:p w14:paraId="6BAF43B2" w14:textId="77777777" w:rsidR="000F6897" w:rsidRDefault="000F6897" w:rsidP="000F6897">
      <w:pPr>
        <w:spacing w:line="360" w:lineRule="auto"/>
        <w:ind w:firstLineChars="0" w:firstLine="0"/>
        <w:rPr>
          <w:rFonts w:eastAsia="SimHei"/>
          <w:sz w:val="21"/>
          <w:szCs w:val="21"/>
        </w:rPr>
      </w:pPr>
    </w:p>
    <w:p w14:paraId="3DC4F6D4" w14:textId="77777777" w:rsidR="000F6897" w:rsidRDefault="000F6897" w:rsidP="000F6897">
      <w:pPr>
        <w:spacing w:line="360" w:lineRule="auto"/>
        <w:ind w:firstLineChars="0" w:firstLine="0"/>
        <w:rPr>
          <w:rFonts w:eastAsia="SimHei"/>
          <w:sz w:val="21"/>
          <w:szCs w:val="21"/>
        </w:rPr>
      </w:pPr>
    </w:p>
    <w:p w14:paraId="483E03E6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7A6705FA" wp14:editId="5D5D4F24">
            <wp:extent cx="4042410" cy="4123055"/>
            <wp:effectExtent l="0" t="0" r="0" b="0"/>
            <wp:docPr id="1494390708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90708" name="图形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753" cy="412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86314" w14:textId="77777777" w:rsidR="000F6897" w:rsidRDefault="000F6897" w:rsidP="000F6897">
      <w:pPr>
        <w:pStyle w:val="a"/>
        <w:spacing w:beforeLines="0" w:before="0" w:line="360" w:lineRule="auto"/>
        <w:jc w:val="both"/>
        <w:rPr>
          <w:rFonts w:cs="Times New Roman"/>
        </w:rPr>
      </w:pPr>
      <w:r>
        <w:rPr>
          <w:rFonts w:cs="Times New Roman"/>
        </w:rPr>
        <w:t>Supplementary Figure S7. Difference tests for out-expected influence (out-EI) in the cross-lagged panel networks across the four intervals.</w:t>
      </w:r>
    </w:p>
    <w:p w14:paraId="3E6DA58C" w14:textId="77777777" w:rsidR="000F6897" w:rsidRDefault="000F6897" w:rsidP="000F6897">
      <w:pPr>
        <w:pStyle w:val="a"/>
        <w:spacing w:beforeLines="0" w:before="0" w:line="360" w:lineRule="auto"/>
        <w:jc w:val="both"/>
        <w:rPr>
          <w:rFonts w:cs="Times New Roman"/>
        </w:rPr>
      </w:pPr>
      <w:r>
        <w:rPr>
          <w:rFonts w:cs="Times New Roman"/>
        </w:rPr>
        <w:t>Black squares indicate statistically significant differences between nodes (two-sided alpha = 0.05).</w:t>
      </w:r>
    </w:p>
    <w:p w14:paraId="0F74B6F1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</w:p>
    <w:p w14:paraId="0B9AEF2E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</w:p>
    <w:p w14:paraId="51D670F5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</w:p>
    <w:p w14:paraId="2AB83827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5FB1F3B7" wp14:editId="48DF92F0">
            <wp:extent cx="3663950" cy="3911600"/>
            <wp:effectExtent l="0" t="0" r="0" b="0"/>
            <wp:docPr id="37447527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75274" name="图形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825" cy="39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FF24" w14:textId="77777777" w:rsidR="000F6897" w:rsidRDefault="000F6897" w:rsidP="000F6897">
      <w:pPr>
        <w:pStyle w:val="a"/>
        <w:spacing w:beforeLines="0" w:before="0" w:line="360" w:lineRule="auto"/>
        <w:jc w:val="both"/>
        <w:rPr>
          <w:rFonts w:cs="Times New Roman"/>
        </w:rPr>
      </w:pPr>
      <w:r>
        <w:rPr>
          <w:rFonts w:cs="Times New Roman"/>
        </w:rPr>
        <w:t>Supplementary Figure S8. Difference tests for in-expected influence (in-EI) in the cross-lagged panel networks across the four intervals.</w:t>
      </w:r>
    </w:p>
    <w:p w14:paraId="099EF328" w14:textId="77777777" w:rsidR="000F6897" w:rsidRDefault="000F6897" w:rsidP="000F6897">
      <w:pPr>
        <w:pStyle w:val="a"/>
        <w:spacing w:beforeLines="0" w:before="0" w:line="360" w:lineRule="auto"/>
        <w:jc w:val="both"/>
        <w:rPr>
          <w:rFonts w:cs="Times New Roman"/>
        </w:rPr>
      </w:pPr>
      <w:r>
        <w:rPr>
          <w:rFonts w:cs="Times New Roman"/>
        </w:rPr>
        <w:t>Black squares indicate statistically significant differences between nodes (two-sided alpha = 0.05).</w:t>
      </w:r>
    </w:p>
    <w:p w14:paraId="31E2E860" w14:textId="77777777" w:rsidR="000F6897" w:rsidRDefault="000F6897" w:rsidP="000F6897">
      <w:pPr>
        <w:pStyle w:val="a"/>
        <w:spacing w:beforeLines="0" w:before="0" w:line="360" w:lineRule="auto"/>
        <w:ind w:firstLine="480"/>
      </w:pPr>
    </w:p>
    <w:p w14:paraId="68F9701B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</w:p>
    <w:p w14:paraId="444EB5B8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4414EAC3" wp14:editId="717F120E">
            <wp:extent cx="3364230" cy="3505835"/>
            <wp:effectExtent l="0" t="0" r="7620" b="0"/>
            <wp:docPr id="78714729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290" name="图形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541" cy="3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E1BA1" w14:textId="77777777" w:rsidR="000F6897" w:rsidRDefault="000F6897" w:rsidP="000F6897">
      <w:pPr>
        <w:spacing w:line="360" w:lineRule="auto"/>
        <w:ind w:firstLineChars="0" w:firstLine="0"/>
        <w:jc w:val="center"/>
        <w:rPr>
          <w:szCs w:val="22"/>
        </w:rPr>
      </w:pPr>
    </w:p>
    <w:p w14:paraId="3E96A36A" w14:textId="77777777" w:rsidR="000F6897" w:rsidRDefault="000F6897" w:rsidP="000F6897">
      <w:pPr>
        <w:spacing w:line="360" w:lineRule="auto"/>
        <w:ind w:firstLineChars="0" w:firstLine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Supplementary Figure S9. Case-dropping bootstrap analysis of the stability of out-expected influence and in-expected influence in the cross-lagged panel networks across the four intervals.</w:t>
      </w:r>
    </w:p>
    <w:p w14:paraId="3407EEA1" w14:textId="77777777" w:rsidR="000F6897" w:rsidRDefault="000F6897" w:rsidP="000F6897">
      <w:pPr>
        <w:spacing w:line="360" w:lineRule="auto"/>
        <w:ind w:firstLine="480"/>
      </w:pPr>
    </w:p>
    <w:p w14:paraId="47AE2990" w14:textId="77777777" w:rsidR="00DE6AE2" w:rsidRDefault="00DE6AE2">
      <w:pPr>
        <w:ind w:firstLine="480"/>
      </w:pPr>
    </w:p>
    <w:sectPr w:rsidR="00DE6AE2" w:rsidSect="000F689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0C92" w14:textId="77777777" w:rsidR="000F6897" w:rsidRDefault="000F68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3048" w14:textId="77777777" w:rsidR="000F6897" w:rsidRDefault="000F68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C8E0" w14:textId="77777777" w:rsidR="000F6897" w:rsidRDefault="000F689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8D69" w14:textId="77777777" w:rsidR="000F6897" w:rsidRDefault="000F68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E7BC6" w14:textId="77777777" w:rsidR="000F6897" w:rsidRDefault="000F68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75EC" w14:textId="77777777" w:rsidR="000F6897" w:rsidRDefault="000F68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97"/>
    <w:rsid w:val="000F6897"/>
    <w:rsid w:val="00195413"/>
    <w:rsid w:val="003A03A7"/>
    <w:rsid w:val="003D0186"/>
    <w:rsid w:val="006C255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69BBC"/>
  <w15:chartTrackingRefBased/>
  <w15:docId w15:val="{D0721A24-969C-4469-917C-47576CA0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897"/>
    <w:pPr>
      <w:widowControl w:val="0"/>
      <w:spacing w:after="0" w:line="520" w:lineRule="exact"/>
      <w:ind w:firstLineChars="200" w:firstLine="200"/>
      <w:jc w:val="both"/>
    </w:pPr>
    <w:rPr>
      <w:rFonts w:ascii="Times New Roman" w:eastAsia="SimSun" w:hAnsi="Times New Roman" w:cs="Times New Roman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897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897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897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897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897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897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897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897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897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897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6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897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6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897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6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897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6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89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89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0F6897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F6897"/>
    <w:rPr>
      <w:rFonts w:eastAsiaTheme="minorEastAsia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0F6897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F6897"/>
    <w:rPr>
      <w:rFonts w:eastAsiaTheme="minorEastAsia"/>
      <w:sz w:val="18"/>
      <w:szCs w:val="18"/>
      <w:lang w:eastAsia="zh-CN"/>
    </w:rPr>
  </w:style>
  <w:style w:type="paragraph" w:customStyle="1" w:styleId="a">
    <w:name w:val="表标"/>
    <w:basedOn w:val="Normal"/>
    <w:qFormat/>
    <w:rsid w:val="000F6897"/>
    <w:pPr>
      <w:spacing w:beforeLines="50" w:before="156"/>
      <w:ind w:firstLineChars="0" w:firstLine="0"/>
      <w:jc w:val="center"/>
    </w:pPr>
    <w:rPr>
      <w:rFonts w:eastAsia="SimHe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footer" Target="footer1.xml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289</Words>
  <Characters>1648</Characters>
  <Application>Microsoft Office Word</Application>
  <DocSecurity>0</DocSecurity>
  <Lines>13</Lines>
  <Paragraphs>3</Paragraphs>
  <ScaleCrop>false</ScaleCrop>
  <Company>Springer Nature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2026-08-20T15:56:00Z</dcterms:created>
  <dcterms:modified xsi:type="dcterms:W3CDTF">2026-08-20T15:56:00Z</dcterms:modified>
</cp:coreProperties>
</file>