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73FE6">
      <w:pPr>
        <w:spacing w:line="48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consort table of</w:t>
      </w:r>
      <w:r>
        <w:rPr>
          <w:rFonts w:ascii="Times New Roman" w:hAnsi="Times New Roman" w:cs="Times New Roman"/>
          <w:sz w:val="24"/>
          <w:szCs w:val="24"/>
        </w:rPr>
        <w:t xml:space="preserve"> participant screening, enrollment, randomization and follow-up procedures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0483A379">
      <w:pPr>
        <w:suppressLineNumbers/>
        <w:spacing w:line="480" w:lineRule="auto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>Supplementary Figure S</w:t>
      </w:r>
      <w:r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>2</w:t>
      </w: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 xml:space="preserve">. </w:t>
      </w:r>
      <w:r>
        <w:rPr>
          <w:rFonts w:ascii="Times New Roman Regular" w:hAnsi="Times New Roman Regular" w:eastAsia="Times New Roman" w:cs="Times New Roman Regular"/>
          <w:b w:val="0"/>
          <w:sz w:val="24"/>
          <w:szCs w:val="24"/>
        </w:rPr>
        <w:t>Cumulative</w:t>
      </w:r>
      <w:r>
        <w:rPr>
          <w:rFonts w:hint="eastAsia" w:ascii="Times New Roman Regular" w:hAnsi="Times New Roman Regular" w:eastAsia="宋体" w:cs="Times New Roman Regular"/>
          <w:b w:val="0"/>
          <w:sz w:val="24"/>
          <w:szCs w:val="24"/>
          <w:lang w:val="en-US" w:eastAsia="zh-CN"/>
        </w:rPr>
        <w:t xml:space="preserve"> </w:t>
      </w:r>
      <w:r>
        <w:rPr>
          <w:rFonts w:ascii="Times New Roman Regular" w:hAnsi="Times New Roman Regular" w:eastAsia="Times New Roman" w:cs="Times New Roman Regular"/>
          <w:b w:val="0"/>
          <w:sz w:val="24"/>
          <w:szCs w:val="24"/>
        </w:rPr>
        <w:t>0-8-week clinical disease burden. Baseline-adjusted SA-minus-FA AUC differences with HC3 robust 95% CIs; negative values favor SA.</w:t>
      </w:r>
    </w:p>
    <w:p w14:paraId="677E6C48">
      <w:pPr>
        <w:suppressLineNumbers/>
        <w:spacing w:line="480" w:lineRule="auto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>Supplementary Figure S</w:t>
      </w:r>
      <w:r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>3</w:t>
      </w: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 xml:space="preserve">. </w:t>
      </w:r>
      <w:r>
        <w:rPr>
          <w:rFonts w:ascii="Times New Roman Regular" w:hAnsi="Times New Roman Regular" w:eastAsia="Times New Roman" w:cs="Times New Roman Regular"/>
          <w:b w:val="0"/>
          <w:sz w:val="24"/>
          <w:szCs w:val="24"/>
        </w:rPr>
        <w:t>Exploratory taxonomic and compositional indices. (A) CLR mixed-model effects for selected common genera. (B) Longitudinal log-ratios, Pielou evenness and genus dominance by treatment and skin site. These analyses are exploratory and should be interpreted with multiplicity caution.</w:t>
      </w:r>
    </w:p>
    <w:p w14:paraId="1877E90E">
      <w:pPr>
        <w:suppressLineNumbers/>
        <w:spacing w:line="480" w:lineRule="auto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>Supplementary Figure S</w:t>
      </w:r>
      <w:r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>4</w:t>
      </w: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 xml:space="preserve">. </w:t>
      </w:r>
      <w:r>
        <w:rPr>
          <w:rFonts w:ascii="Times New Roman Regular" w:hAnsi="Times New Roman Regular" w:eastAsia="Times New Roman" w:cs="Times New Roman Regular"/>
          <w:b w:val="0"/>
          <w:sz w:val="24"/>
          <w:szCs w:val="24"/>
        </w:rPr>
        <w:t>Exploratory baseline microbiome effect modification for Week-8 total-lesion reduction. Separate models included one standardized microbiome predictor, treatment-by-predictor interaction and baseline total lesions; CIs are based on 1,000 participant-level bootstrap resamples.</w:t>
      </w:r>
    </w:p>
    <w:p w14:paraId="6DE22B9F">
      <w:pPr>
        <w:suppressLineNumbers/>
        <w:spacing w:line="480" w:lineRule="auto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>Supplementary Figure S</w:t>
      </w:r>
      <w:r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>5</w:t>
      </w: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>.</w:t>
      </w:r>
      <w:r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 Regular" w:hAnsi="Times New Roman Regular" w:eastAsia="Times New Roman" w:cs="Times New Roman Regular"/>
          <w:b w:val="0"/>
          <w:sz w:val="24"/>
          <w:szCs w:val="24"/>
        </w:rPr>
        <w:t>Sensitivity analysis comparing treatment-by-time coefficients from ANCOM-BC2 and MaAsLin2 at genus level. Agreement in direction does not override FDR-adjusted statistical significance.</w:t>
      </w:r>
    </w:p>
    <w:p w14:paraId="5C868CF7">
      <w:pPr>
        <w:suppressLineNumbers/>
        <w:spacing w:line="480" w:lineRule="auto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18E38F3E">
      <w:pPr>
        <w:suppressLineNumbers/>
        <w:spacing w:line="480" w:lineRule="auto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2689F8EA">
      <w:pPr>
        <w:suppressLineNumbers/>
        <w:spacing w:line="480" w:lineRule="auto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408A7D6E">
      <w:pPr>
        <w:suppressLineNumbers/>
        <w:spacing w:line="480" w:lineRule="auto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520AE3CD">
      <w:pPr>
        <w:suppressLineNumbers/>
        <w:spacing w:line="480" w:lineRule="auto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3F8A8764">
      <w:pPr>
        <w:suppressLineNumbers/>
        <w:spacing w:line="480" w:lineRule="auto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6F48D965">
      <w:pPr>
        <w:keepNext w:val="0"/>
        <w:keepLines w:val="0"/>
        <w:pageBreakBefore w:val="0"/>
        <w:widowControl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360" w:lineRule="auto"/>
        <w:jc w:val="center"/>
        <w:textAlignment w:val="auto"/>
        <w:rPr>
          <w:rFonts w:hint="default" w:ascii="Times New Roman Bold" w:hAnsi="Times New Roman Bold" w:cs="Times New Roman Bold"/>
          <w:b/>
          <w:bCs/>
          <w:sz w:val="24"/>
          <w:szCs w:val="24"/>
        </w:rPr>
      </w:pPr>
      <w:r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>Supplementary Table 1</w:t>
      </w:r>
      <w:r>
        <w:rPr>
          <w:rFonts w:hint="default" w:ascii="Times New Roman Bold" w:hAnsi="Times New Roman Bold" w:eastAsia="Times New Roman" w:cs="Times New Roman Bold"/>
          <w:b/>
          <w:bCs/>
          <w:sz w:val="24"/>
          <w:szCs w:val="24"/>
          <w:lang w:bidi="ar"/>
        </w:rPr>
        <w:t>. Relative Abundance of the Top 6 Bacterial Taxa at Baseline Among Different Group</w:t>
      </w:r>
    </w:p>
    <w:tbl>
      <w:tblPr>
        <w:tblStyle w:val="3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46"/>
        <w:gridCol w:w="2603"/>
        <w:gridCol w:w="2555"/>
      </w:tblGrid>
      <w:tr w14:paraId="18329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  <w:tblHeader/>
        </w:trPr>
        <w:tc>
          <w:tcPr>
            <w:tcW w:w="1894" w:type="pct"/>
            <w:vMerge w:val="restar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397AA41">
            <w:pPr>
              <w:widowControl/>
              <w:snapToGrid w:val="0"/>
              <w:spacing w:line="480" w:lineRule="auto"/>
              <w:jc w:val="center"/>
              <w:textAlignment w:val="top"/>
              <w:rPr>
                <w:rFonts w:ascii="Times New Roman Bold" w:hAnsi="Times New Roman Bold" w:eastAsia="SimSun;汉仪书宋二KW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Bacterial Taxa</w:t>
            </w:r>
          </w:p>
          <w:p w14:paraId="1C2E4920">
            <w:pPr>
              <w:widowControl/>
              <w:snapToGrid w:val="0"/>
              <w:spacing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(Genus Level)</w:t>
            </w:r>
          </w:p>
        </w:tc>
        <w:tc>
          <w:tcPr>
            <w:tcW w:w="3105" w:type="pct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08BE8BC">
            <w:pPr>
              <w:widowControl/>
              <w:snapToGrid w:val="0"/>
              <w:spacing w:before="156" w:after="156" w:line="480" w:lineRule="auto"/>
              <w:jc w:val="center"/>
              <w:textAlignment w:val="top"/>
              <w:rPr>
                <w:rFonts w:ascii="Times New Roman Bold" w:hAnsi="Times New Roman Bold" w:eastAsia="SimSun;汉仪书宋二KW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Relative Abundance</w:t>
            </w:r>
          </w:p>
          <w:p w14:paraId="20630029">
            <w:pPr>
              <w:widowControl/>
              <w:snapToGrid w:val="0"/>
              <w:spacing w:before="156" w:after="156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b/>
                <w:color w:val="000000"/>
                <w:kern w:val="0"/>
                <w:sz w:val="24"/>
                <w:szCs w:val="24"/>
                <w:lang w:bidi="ar"/>
              </w:rPr>
              <w:t>（%，</w:t>
            </w: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drawing>
                <wp:inline distT="0" distB="0" distL="0" distR="0">
                  <wp:extent cx="85090" cy="180340"/>
                  <wp:effectExtent l="0" t="0" r="635" b="0"/>
                  <wp:docPr id="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420" t="-199" r="-420" b="-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" cy="180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 Regular" w:hAnsi="Times New Roman Regular" w:eastAsia="Times New Roman" w:cs="Times New Roman Regular"/>
                <w:b/>
                <w:color w:val="000000"/>
                <w:kern w:val="0"/>
                <w:sz w:val="24"/>
                <w:szCs w:val="24"/>
                <w:lang w:bidi="ar"/>
              </w:rPr>
              <w:t>±s）</w:t>
            </w:r>
          </w:p>
        </w:tc>
      </w:tr>
      <w:tr w14:paraId="468643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Header/>
        </w:trPr>
        <w:tc>
          <w:tcPr>
            <w:tcW w:w="1894" w:type="pct"/>
            <w:vMerge w:val="continue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313A5A8">
            <w:pPr>
              <w:snapToGrid w:val="0"/>
              <w:spacing w:line="480" w:lineRule="auto"/>
              <w:jc w:val="center"/>
              <w:rPr>
                <w:rFonts w:ascii="Times New Roman Regular" w:hAnsi="Times New Roman Regular" w:eastAsia="SimSun;汉仪书宋二KW" w:cs="Times New Roman Regular"/>
                <w:b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67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E931CF3">
            <w:pPr>
              <w:widowControl/>
              <w:snapToGrid w:val="0"/>
              <w:spacing w:before="156" w:after="0" w:line="480" w:lineRule="auto"/>
              <w:jc w:val="center"/>
              <w:textAlignment w:val="top"/>
              <w:rPr>
                <w:rFonts w:ascii="Times New Roman Bold" w:hAnsi="Times New Roman Bold" w:eastAsia="SimSun;汉仪书宋二KW" w:cs="Times New Roman Bold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FA</w:t>
            </w:r>
          </w:p>
        </w:tc>
        <w:tc>
          <w:tcPr>
            <w:tcW w:w="1538" w:type="pct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650A348">
            <w:pPr>
              <w:widowControl/>
              <w:snapToGrid w:val="0"/>
              <w:spacing w:before="156" w:after="0" w:line="480" w:lineRule="auto"/>
              <w:jc w:val="center"/>
              <w:textAlignment w:val="top"/>
              <w:rPr>
                <w:rFonts w:ascii="Times New Roman Bold" w:hAnsi="Times New Roman Bold" w:eastAsia="SimSun;汉仪书宋二KW" w:cs="Times New Roman Bold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SA</w:t>
            </w:r>
          </w:p>
        </w:tc>
      </w:tr>
      <w:tr w14:paraId="03943A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894" w:type="pct"/>
            <w:tcBorders>
              <w:top w:val="single" w:color="000000" w:sz="4" w:space="0"/>
            </w:tcBorders>
            <w:vAlign w:val="center"/>
          </w:tcPr>
          <w:p w14:paraId="1A6D40DF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Cutibacterium</w:t>
            </w:r>
          </w:p>
        </w:tc>
        <w:tc>
          <w:tcPr>
            <w:tcW w:w="1567" w:type="pct"/>
            <w:tcBorders>
              <w:top w:val="single" w:color="000000" w:sz="4" w:space="0"/>
            </w:tcBorders>
            <w:vAlign w:val="center"/>
          </w:tcPr>
          <w:p w14:paraId="29D44C86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52.53±30.84</w:t>
            </w:r>
          </w:p>
        </w:tc>
        <w:tc>
          <w:tcPr>
            <w:tcW w:w="1538" w:type="pct"/>
            <w:tcBorders>
              <w:top w:val="single" w:color="000000" w:sz="4" w:space="0"/>
            </w:tcBorders>
            <w:vAlign w:val="center"/>
          </w:tcPr>
          <w:p w14:paraId="0F37ED08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bCs/>
                <w:color w:val="000000"/>
                <w:kern w:val="0"/>
                <w:sz w:val="24"/>
                <w:szCs w:val="24"/>
                <w:lang w:bidi="ar"/>
              </w:rPr>
              <w:t>54.41±31.75</w:t>
            </w:r>
          </w:p>
        </w:tc>
      </w:tr>
      <w:tr w14:paraId="38662F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4" w:type="pct"/>
            <w:vAlign w:val="center"/>
          </w:tcPr>
          <w:p w14:paraId="734E001E">
            <w:pPr>
              <w:widowControl/>
              <w:snapToGrid w:val="0"/>
              <w:spacing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Staphylococcus</w:t>
            </w:r>
          </w:p>
        </w:tc>
        <w:tc>
          <w:tcPr>
            <w:tcW w:w="1567" w:type="pct"/>
            <w:vAlign w:val="center"/>
          </w:tcPr>
          <w:p w14:paraId="0E473850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18.65±15.73</w:t>
            </w:r>
          </w:p>
        </w:tc>
        <w:tc>
          <w:tcPr>
            <w:tcW w:w="1538" w:type="pct"/>
            <w:vAlign w:val="center"/>
          </w:tcPr>
          <w:p w14:paraId="6E8D4295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26.29±23.13</w:t>
            </w:r>
          </w:p>
        </w:tc>
      </w:tr>
      <w:tr w14:paraId="4BF89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4" w:type="pct"/>
            <w:vAlign w:val="center"/>
          </w:tcPr>
          <w:p w14:paraId="5038311E">
            <w:pPr>
              <w:widowControl/>
              <w:snapToGrid w:val="0"/>
              <w:spacing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Corynebacterium</w:t>
            </w:r>
          </w:p>
        </w:tc>
        <w:tc>
          <w:tcPr>
            <w:tcW w:w="1567" w:type="pct"/>
            <w:vAlign w:val="center"/>
          </w:tcPr>
          <w:p w14:paraId="397103F3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4.62±4.22</w:t>
            </w:r>
          </w:p>
        </w:tc>
        <w:tc>
          <w:tcPr>
            <w:tcW w:w="1538" w:type="pct"/>
            <w:vAlign w:val="center"/>
          </w:tcPr>
          <w:p w14:paraId="69984A66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4.19±5.99</w:t>
            </w:r>
          </w:p>
        </w:tc>
      </w:tr>
      <w:tr w14:paraId="3A4F6D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4" w:type="pct"/>
            <w:vAlign w:val="center"/>
          </w:tcPr>
          <w:p w14:paraId="2E301C6C">
            <w:pPr>
              <w:widowControl/>
              <w:snapToGrid w:val="0"/>
              <w:spacing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Streptococcus</w:t>
            </w:r>
          </w:p>
        </w:tc>
        <w:tc>
          <w:tcPr>
            <w:tcW w:w="1567" w:type="pct"/>
            <w:vAlign w:val="center"/>
          </w:tcPr>
          <w:p w14:paraId="05E929C9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2.49±5.11</w:t>
            </w:r>
          </w:p>
        </w:tc>
        <w:tc>
          <w:tcPr>
            <w:tcW w:w="1538" w:type="pct"/>
            <w:vAlign w:val="center"/>
          </w:tcPr>
          <w:p w14:paraId="27BBC7D8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1.97±3.31</w:t>
            </w:r>
          </w:p>
        </w:tc>
      </w:tr>
      <w:tr w14:paraId="0D6DB2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4" w:type="pct"/>
            <w:vAlign w:val="center"/>
          </w:tcPr>
          <w:p w14:paraId="1B531746">
            <w:pPr>
              <w:widowControl/>
              <w:snapToGrid w:val="0"/>
              <w:spacing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Acinetobacter</w:t>
            </w:r>
          </w:p>
        </w:tc>
        <w:tc>
          <w:tcPr>
            <w:tcW w:w="1567" w:type="pct"/>
            <w:vAlign w:val="center"/>
          </w:tcPr>
          <w:p w14:paraId="41A2B7DA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2.84±15.09</w:t>
            </w:r>
          </w:p>
        </w:tc>
        <w:tc>
          <w:tcPr>
            <w:tcW w:w="1538" w:type="pct"/>
            <w:vAlign w:val="center"/>
          </w:tcPr>
          <w:p w14:paraId="566BDCA7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1.89±7.46</w:t>
            </w:r>
          </w:p>
        </w:tc>
      </w:tr>
      <w:tr w14:paraId="2B4674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94" w:type="pct"/>
            <w:tcBorders>
              <w:bottom w:val="single" w:color="000000" w:sz="4" w:space="0"/>
            </w:tcBorders>
            <w:vAlign w:val="center"/>
          </w:tcPr>
          <w:p w14:paraId="7D6EC4E7">
            <w:pPr>
              <w:widowControl/>
              <w:snapToGrid w:val="0"/>
              <w:spacing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Lawsonella</w:t>
            </w:r>
          </w:p>
        </w:tc>
        <w:tc>
          <w:tcPr>
            <w:tcW w:w="1567" w:type="pct"/>
            <w:tcBorders>
              <w:bottom w:val="single" w:color="000000" w:sz="4" w:space="0"/>
            </w:tcBorders>
            <w:vAlign w:val="center"/>
          </w:tcPr>
          <w:p w14:paraId="6318B2D8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1.97±3.23</w:t>
            </w:r>
          </w:p>
        </w:tc>
        <w:tc>
          <w:tcPr>
            <w:tcW w:w="1538" w:type="pct"/>
            <w:tcBorders>
              <w:bottom w:val="single" w:color="000000" w:sz="4" w:space="0"/>
            </w:tcBorders>
            <w:vAlign w:val="center"/>
          </w:tcPr>
          <w:p w14:paraId="4DF80D0C">
            <w:pPr>
              <w:widowControl/>
              <w:snapToGrid w:val="0"/>
              <w:spacing w:before="93" w:after="0" w:line="480" w:lineRule="auto"/>
              <w:jc w:val="center"/>
              <w:textAlignment w:val="top"/>
              <w:rPr>
                <w:rFonts w:ascii="Times New Roman Regular" w:hAnsi="Times New Roman Regular" w:eastAsia="SimSun;汉仪书宋二KW" w:cs="Times New Roman Regular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color w:val="000000"/>
                <w:kern w:val="0"/>
                <w:sz w:val="24"/>
                <w:szCs w:val="24"/>
                <w:lang w:bidi="ar"/>
              </w:rPr>
              <w:t>2.20±3.08</w:t>
            </w:r>
          </w:p>
        </w:tc>
      </w:tr>
    </w:tbl>
    <w:p w14:paraId="53F044C2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0A70A88D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6345E2C7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4B5E215C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5106C8E9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453EF1FC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0459F527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4F9B3784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32C097A3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331654A9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427C2E20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16290E50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33F1E22B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78479C41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center"/>
        <w:textAlignment w:val="auto"/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</w:pPr>
    </w:p>
    <w:p w14:paraId="2827385C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jc w:val="center"/>
        <w:textAlignment w:val="auto"/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</w:pPr>
      <w:r>
        <w:rPr>
          <w:rFonts w:hint="eastAsia" w:ascii="Times New Roman Regular" w:hAnsi="Times New Roman Regular" w:eastAsia="宋体" w:cs="Times New Roman Regular"/>
          <w:b/>
          <w:bCs/>
          <w:sz w:val="24"/>
          <w:szCs w:val="24"/>
          <w:lang w:val="en-US" w:eastAsia="zh-CN"/>
        </w:rPr>
        <w:t>Supplementary Table 2</w:t>
      </w:r>
      <w:r>
        <w:rPr>
          <w:rFonts w:ascii="Times New Roman Regular" w:hAnsi="Times New Roman Regular" w:eastAsia="Times New Roman" w:cs="Times New Roman Regular"/>
          <w:b/>
          <w:bCs/>
          <w:sz w:val="24"/>
          <w:szCs w:val="24"/>
        </w:rPr>
        <w:t xml:space="preserve">. Descriptive relative abundances of selected bacterial genera by treatment and visit. </w:t>
      </w:r>
    </w:p>
    <w:p w14:paraId="2C58EC60">
      <w:pPr>
        <w:suppressLineNumbers/>
        <w:spacing w:before="0" w:after="156" w:line="360" w:lineRule="auto"/>
        <w:jc w:val="center"/>
        <w:rPr>
          <w:rFonts w:ascii="Times New Roman Regular" w:hAnsi="Times New Roman Regular" w:eastAsia="Times New Roman" w:cs="Times New Roman Regular"/>
          <w:b w:val="0"/>
          <w:bCs w:val="0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b w:val="0"/>
          <w:bCs w:val="0"/>
          <w:sz w:val="24"/>
          <w:szCs w:val="24"/>
        </w:rPr>
        <w:t>Formal longitudinal differential-abundance inference is provided by ANCOM-BC2 in Figure 3B.</w:t>
      </w:r>
    </w:p>
    <w:tbl>
      <w:tblPr>
        <w:tblStyle w:val="3"/>
        <w:tblW w:w="9468" w:type="dxa"/>
        <w:tblInd w:w="-194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1"/>
        <w:gridCol w:w="656"/>
        <w:gridCol w:w="1481"/>
        <w:gridCol w:w="1463"/>
        <w:gridCol w:w="1453"/>
        <w:gridCol w:w="1266"/>
        <w:gridCol w:w="1218"/>
      </w:tblGrid>
      <w:tr w14:paraId="5C72ABF6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 w:hRule="atLeast"/>
        </w:trPr>
        <w:tc>
          <w:tcPr>
            <w:tcW w:w="19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26079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/>
                <w:sz w:val="24"/>
                <w:szCs w:val="24"/>
                <w:lang w:bidi="ar"/>
              </w:rPr>
              <w:t>Bacterial Taxa</w:t>
            </w:r>
          </w:p>
          <w:p w14:paraId="624E0EEB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</w:pPr>
          </w:p>
        </w:tc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E4DCE5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/>
                <w:sz w:val="24"/>
                <w:szCs w:val="24"/>
                <w:lang w:bidi="ar"/>
              </w:rPr>
              <w:t>Group</w:t>
            </w:r>
          </w:p>
        </w:tc>
        <w:tc>
          <w:tcPr>
            <w:tcW w:w="43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59E17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ascii="Times New Roman Bold" w:hAnsi="Times New Roman Bold" w:eastAsia="SimSun;汉仪书宋二KW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Relative Abundance</w:t>
            </w:r>
          </w:p>
          <w:p w14:paraId="0667EF79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b/>
                <w:color w:val="000000"/>
                <w:kern w:val="0"/>
                <w:sz w:val="24"/>
                <w:szCs w:val="24"/>
                <w:lang w:bidi="ar"/>
              </w:rPr>
              <w:t>（%，</w:t>
            </w: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drawing>
                <wp:inline distT="0" distB="0" distL="0" distR="0">
                  <wp:extent cx="85090" cy="180340"/>
                  <wp:effectExtent l="0" t="0" r="635" b="0"/>
                  <wp:docPr id="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420" t="-199" r="-420" b="-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" cy="180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 Regular" w:hAnsi="Times New Roman Regular" w:eastAsia="Times New Roman" w:cs="Times New Roman Regular"/>
                <w:b/>
                <w:color w:val="000000"/>
                <w:kern w:val="0"/>
                <w:sz w:val="24"/>
                <w:szCs w:val="24"/>
                <w:lang w:bidi="ar"/>
              </w:rPr>
              <w:t>±s）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0BA2F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/>
                <w:sz w:val="24"/>
                <w:szCs w:val="24"/>
                <w:lang w:bidi="ar"/>
              </w:rPr>
              <w:t>Intergroup Comparison</w:t>
            </w:r>
          </w:p>
          <w:p w14:paraId="224CBD27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b/>
                <w:bCs/>
                <w:i/>
                <w:iCs/>
                <w:sz w:val="24"/>
                <w:szCs w:val="24"/>
                <w:lang w:bidi="ar"/>
              </w:rPr>
              <w:t>（adjusted, p value）</w:t>
            </w:r>
          </w:p>
        </w:tc>
      </w:tr>
      <w:tr w14:paraId="479B3AEA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2" w:hRule="atLeast"/>
        </w:trPr>
        <w:tc>
          <w:tcPr>
            <w:tcW w:w="19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F9F4CC">
            <w:pPr>
              <w:snapToGrid w:val="0"/>
              <w:spacing w:line="360" w:lineRule="auto"/>
              <w:rPr>
                <w:rFonts w:ascii="Times New Roman Regular" w:hAnsi="Times New Roman Regular" w:cs="Times New Roman Regular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405849">
            <w:pPr>
              <w:snapToGrid w:val="0"/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348E44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0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D2F959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 xml:space="preserve">Visit 2 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6FFB2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D66091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Vs. Visit 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104B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FA vs. SA</w:t>
            </w:r>
          </w:p>
        </w:tc>
      </w:tr>
      <w:tr w14:paraId="19938752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6" w:hRule="atLeast"/>
        </w:trPr>
        <w:tc>
          <w:tcPr>
            <w:tcW w:w="19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E09BA4">
            <w:pPr>
              <w:spacing w:line="360" w:lineRule="auto"/>
              <w:jc w:val="center"/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Staphylococcus</w:t>
            </w:r>
          </w:p>
          <w:p w14:paraId="4FC95CDF">
            <w:pPr>
              <w:spacing w:line="360" w:lineRule="auto"/>
              <w:jc w:val="center"/>
              <w:rPr>
                <w:rFonts w:hint="eastAsia" w:ascii="Times New Roman Regular" w:hAnsi="Times New Roman Regular" w:eastAsia="SimSun;汉仪书宋二KW" w:cs="Times New Roman Regular"/>
                <w:sz w:val="24"/>
                <w:szCs w:val="24"/>
                <w:lang w:eastAsia="zh-CN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4CEC7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FA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598007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18.65±15.73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CC409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17.85±17.96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4D6CB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28.15±23.61*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F0308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5329C67E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9504CE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7A0C594E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</w:tr>
      <w:tr w14:paraId="2653EFDE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64" w:hRule="atLeast"/>
        </w:trPr>
        <w:tc>
          <w:tcPr>
            <w:tcW w:w="193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F49BFA9">
            <w:pPr>
              <w:snapToGrid w:val="0"/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F553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SA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87720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26.29±23.13</w:t>
            </w:r>
          </w:p>
          <w:p w14:paraId="465D746D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F7BAE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24.18±20.70</w:t>
            </w:r>
          </w:p>
          <w:p w14:paraId="07D742EF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93070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25.73±22.02</w:t>
            </w:r>
          </w:p>
          <w:p w14:paraId="01EBE593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06995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6CCBC224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BA6BBD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3FBA7627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</w:tr>
      <w:tr w14:paraId="1AF9A644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00" w:hRule="atLeast"/>
        </w:trPr>
        <w:tc>
          <w:tcPr>
            <w:tcW w:w="193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236DCE">
            <w:pPr>
              <w:snapToGrid w:val="0"/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Corynebacterium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A23D85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FA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D3AE75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4.62±4.22</w:t>
            </w:r>
          </w:p>
          <w:p w14:paraId="69E9827C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****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12F2D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1.94±2.50</w:t>
            </w:r>
          </w:p>
          <w:p w14:paraId="40B31713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***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F10DCD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2.12±2.74</w:t>
            </w:r>
          </w:p>
          <w:p w14:paraId="403D9AD4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****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BB733B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 xml:space="preserve">Visit 2: </w:t>
            </w:r>
          </w:p>
          <w:p w14:paraId="0D6E1532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i/>
                <w:iCs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b/>
                <w:bCs/>
                <w:i/>
                <w:iCs/>
                <w:sz w:val="24"/>
                <w:szCs w:val="24"/>
                <w:lang w:bidi="ar"/>
              </w:rPr>
              <w:t xml:space="preserve">p </w:t>
            </w:r>
            <w:r>
              <w:rPr>
                <w:rFonts w:ascii="Times New Roman Regular" w:hAnsi="Times New Roman Regular" w:eastAsia="Times New Roman" w:cs="Times New Roman Regular"/>
                <w:b/>
                <w:bCs/>
                <w:sz w:val="24"/>
                <w:szCs w:val="24"/>
                <w:lang w:bidi="ar"/>
              </w:rPr>
              <w:t>=</w:t>
            </w:r>
            <w:r>
              <w:rPr>
                <w:rFonts w:ascii="Times New Roman Regular" w:hAnsi="Times New Roman Regular" w:eastAsia="Times New Roman" w:cs="Times New Roman Regular"/>
                <w:b/>
                <w:bCs/>
                <w:i/>
                <w:iCs/>
                <w:sz w:val="24"/>
                <w:szCs w:val="24"/>
                <w:lang w:bidi="ar"/>
              </w:rPr>
              <w:t>0.02</w:t>
            </w:r>
          </w:p>
          <w:p w14:paraId="320359BC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8D30D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3671130A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</w:tr>
      <w:tr w14:paraId="45412C7E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17" w:hRule="atLeast"/>
        </w:trPr>
        <w:tc>
          <w:tcPr>
            <w:tcW w:w="193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C1AB7D3">
            <w:pPr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F4421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SA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557EB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4.19±5.99</w:t>
            </w:r>
          </w:p>
          <w:p w14:paraId="4087CC69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****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08634B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4.77±7.24</w:t>
            </w:r>
          </w:p>
          <w:p w14:paraId="54D12BBC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****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0D6CF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3.30±4.30</w:t>
            </w:r>
          </w:p>
          <w:p w14:paraId="5BEED850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****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26F37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65E125E8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417AF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4DCA7FE5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</w:tr>
      <w:tr w14:paraId="700B6E5E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 w:hRule="atLeast"/>
        </w:trPr>
        <w:tc>
          <w:tcPr>
            <w:tcW w:w="193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F9A2AF">
            <w:pPr>
              <w:snapToGrid w:val="0"/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Cutibacterium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F03E1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FA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3CA24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52.53±30.84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32B7DF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63.10±23.90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0A096D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58.97±28.52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47543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5C07917C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7FE4A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486CC3F3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</w:tr>
      <w:tr w14:paraId="30A09DAB"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7" w:hRule="atLeast"/>
        </w:trPr>
        <w:tc>
          <w:tcPr>
            <w:tcW w:w="19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2D8E7">
            <w:pPr>
              <w:snapToGrid w:val="0"/>
              <w:spacing w:line="360" w:lineRule="auto"/>
              <w:rPr>
                <w:rFonts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0877F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SA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B794B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54.41±31.75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59D1C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55.95±24.80</w:t>
            </w:r>
          </w:p>
          <w:p w14:paraId="3F8F983B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0EF1A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56.07±27.90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857B2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46A280B3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8709F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2: -</w:t>
            </w:r>
          </w:p>
          <w:p w14:paraId="54C1CD9F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 w:val="24"/>
                <w:szCs w:val="24"/>
                <w:lang w:bidi="ar"/>
              </w:rPr>
              <w:t>Visit 4: -</w:t>
            </w:r>
          </w:p>
        </w:tc>
      </w:tr>
    </w:tbl>
    <w:p w14:paraId="4087CB8A">
      <w:pPr>
        <w:suppressLineNumbers/>
        <w:spacing w:line="360" w:lineRule="auto"/>
        <w:ind w:right="-94" w:rightChars="0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>only</w:t>
      </w:r>
      <w:r>
        <w:rPr>
          <w:rFonts w:ascii="Times New Roman Regular" w:hAnsi="Times New Roman Regular" w:eastAsia="Times New Roman" w:cs="Times New Roman Regular"/>
          <w:i/>
          <w:iCs/>
          <w:sz w:val="24"/>
          <w:szCs w:val="24"/>
          <w:lang w:bidi="ar"/>
        </w:rPr>
        <w:t xml:space="preserve"> p values</w:t>
      </w: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 xml:space="preserve"> with statistical significance (</w:t>
      </w:r>
      <w:r>
        <w:rPr>
          <w:rFonts w:ascii="Times New Roman Regular" w:hAnsi="Times New Roman Regular" w:eastAsia="Times New Roman" w:cs="Times New Roman Regular"/>
          <w:i w:val="0"/>
          <w:iCs w:val="0"/>
          <w:sz w:val="24"/>
          <w:szCs w:val="24"/>
          <w:lang w:bidi="ar"/>
        </w:rPr>
        <w:t xml:space="preserve">adjusted </w:t>
      </w:r>
      <w:r>
        <w:rPr>
          <w:rFonts w:ascii="Times New Roman Regular" w:hAnsi="Times New Roman Regular" w:eastAsia="Times New Roman" w:cs="Times New Roman Regular"/>
          <w:i/>
          <w:iCs/>
          <w:sz w:val="24"/>
          <w:szCs w:val="24"/>
          <w:lang w:bidi="ar"/>
        </w:rPr>
        <w:t>p &lt; 0.05</w:t>
      </w: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>) are labeled in the</w:t>
      </w:r>
      <w:r>
        <w:rPr>
          <w:rFonts w:hint="eastAsia" w:ascii="Times New Roman Regular" w:hAnsi="Times New Roman Regular" w:eastAsia="宋体" w:cs="Times New Roman Regular"/>
          <w:sz w:val="24"/>
          <w:szCs w:val="24"/>
          <w:lang w:val="en-US" w:eastAsia="zh-CN" w:bidi="ar"/>
        </w:rPr>
        <w:t xml:space="preserve"> </w:t>
      </w: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 xml:space="preserve">table; </w:t>
      </w:r>
    </w:p>
    <w:p w14:paraId="175E8951">
      <w:pPr>
        <w:suppressLineNumbers/>
        <w:spacing w:line="360" w:lineRule="auto"/>
        <w:ind w:right="735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>“-” indicates that p value has no significant difference (</w:t>
      </w:r>
      <w:r>
        <w:rPr>
          <w:rFonts w:ascii="Times New Roman Regular" w:hAnsi="Times New Roman Regular" w:eastAsia="Times New Roman" w:cs="Times New Roman Regular"/>
          <w:i w:val="0"/>
          <w:iCs w:val="0"/>
          <w:sz w:val="24"/>
          <w:szCs w:val="24"/>
          <w:lang w:bidi="ar"/>
        </w:rPr>
        <w:t>adjusted</w:t>
      </w:r>
      <w:r>
        <w:rPr>
          <w:rFonts w:ascii="Times New Roman Regular" w:hAnsi="Times New Roman Regular" w:eastAsia="Times New Roman" w:cs="Times New Roman Regular"/>
          <w:i/>
          <w:iCs/>
          <w:sz w:val="24"/>
          <w:szCs w:val="24"/>
          <w:lang w:bidi="ar"/>
        </w:rPr>
        <w:t xml:space="preserve"> p＞0.05</w:t>
      </w: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>)</w:t>
      </w:r>
    </w:p>
    <w:p w14:paraId="5B7972AF">
      <w:pPr>
        <w:suppressLineNumbers/>
        <w:spacing w:line="360" w:lineRule="auto"/>
        <w:ind w:right="735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>*</w:t>
      </w:r>
      <w:r>
        <w:rPr>
          <w:rFonts w:ascii="Times New Roman Regular" w:hAnsi="Times New Roman Regular" w:eastAsia="Times New Roman" w:cs="Times New Roman Regular"/>
          <w:i w:val="0"/>
          <w:iCs w:val="0"/>
          <w:sz w:val="24"/>
          <w:szCs w:val="24"/>
          <w:lang w:bidi="ar"/>
        </w:rPr>
        <w:t>adjusted</w:t>
      </w:r>
      <w:r>
        <w:rPr>
          <w:rFonts w:ascii="Times New Roman Regular" w:hAnsi="Times New Roman Regular" w:eastAsia="Times New Roman" w:cs="Times New Roman Regular"/>
          <w:i/>
          <w:iCs/>
          <w:sz w:val="24"/>
          <w:szCs w:val="24"/>
          <w:lang w:bidi="ar"/>
        </w:rPr>
        <w:t xml:space="preserve"> p &lt; 0.05 </w:t>
      </w: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 xml:space="preserve">indicates a statistically significant difference; </w:t>
      </w:r>
    </w:p>
    <w:p w14:paraId="3393B6A7">
      <w:pPr>
        <w:suppressLineNumbers/>
        <w:spacing w:line="360" w:lineRule="auto"/>
        <w:ind w:right="735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i/>
          <w:iCs/>
          <w:sz w:val="24"/>
          <w:szCs w:val="24"/>
          <w:lang w:bidi="ar"/>
        </w:rPr>
        <w:t>**</w:t>
      </w:r>
      <w:r>
        <w:rPr>
          <w:rFonts w:ascii="Times New Roman Regular" w:hAnsi="Times New Roman Regular" w:eastAsia="Times New Roman" w:cs="Times New Roman Regular"/>
          <w:i w:val="0"/>
          <w:iCs w:val="0"/>
          <w:sz w:val="24"/>
          <w:szCs w:val="24"/>
          <w:lang w:bidi="ar"/>
        </w:rPr>
        <w:t>adjusted</w:t>
      </w:r>
      <w:r>
        <w:rPr>
          <w:rFonts w:ascii="Times New Roman Regular" w:hAnsi="Times New Roman Regular" w:eastAsia="Times New Roman" w:cs="Times New Roman Regular"/>
          <w:i/>
          <w:iCs/>
          <w:sz w:val="24"/>
          <w:szCs w:val="24"/>
          <w:lang w:bidi="ar"/>
        </w:rPr>
        <w:t xml:space="preserve"> p &lt; 0.01</w:t>
      </w:r>
      <w:r>
        <w:rPr>
          <w:rFonts w:ascii="Times New Roman Regular" w:hAnsi="Times New Roman Regular" w:eastAsia="Times New Roman" w:cs="Times New Roman Regular"/>
          <w:sz w:val="24"/>
          <w:szCs w:val="24"/>
          <w:lang w:bidi="ar"/>
        </w:rPr>
        <w:t xml:space="preserve"> indicates an extremely statistically significant difference.</w:t>
      </w:r>
    </w:p>
    <w:p w14:paraId="09C3F156">
      <w:pPr>
        <w:suppressLineNumbers/>
        <w:spacing w:line="360" w:lineRule="auto"/>
        <w:ind w:right="735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b w:val="0"/>
          <w:sz w:val="24"/>
          <w:szCs w:val="24"/>
        </w:rPr>
        <w:t>Visit 0 = Baseline</w:t>
      </w:r>
    </w:p>
    <w:p w14:paraId="3B5588CE">
      <w:pPr>
        <w:suppressLineNumbers/>
        <w:spacing w:line="360" w:lineRule="auto"/>
        <w:ind w:right="735"/>
        <w:rPr>
          <w:rFonts w:ascii="Times New Roman Regular" w:hAnsi="Times New Roman Regular" w:cs="Times New Roman Regular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b w:val="0"/>
          <w:sz w:val="24"/>
          <w:szCs w:val="24"/>
        </w:rPr>
        <w:t>Visit 2 = Week 4</w:t>
      </w:r>
    </w:p>
    <w:p w14:paraId="1CAAC64C">
      <w:pPr>
        <w:suppressLineNumbers/>
        <w:spacing w:line="360" w:lineRule="auto"/>
        <w:ind w:right="735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  <w:r>
        <w:rPr>
          <w:rFonts w:ascii="Times New Roman Regular" w:hAnsi="Times New Roman Regular" w:eastAsia="Times New Roman" w:cs="Times New Roman Regular"/>
          <w:b w:val="0"/>
          <w:sz w:val="24"/>
          <w:szCs w:val="24"/>
        </w:rPr>
        <w:t>Visit 4 = Week 8</w:t>
      </w:r>
    </w:p>
    <w:p w14:paraId="0BD2FD1E">
      <w:pPr>
        <w:suppressLineNumbers/>
        <w:spacing w:line="360" w:lineRule="auto"/>
        <w:ind w:right="735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7AE3B305">
      <w:pPr>
        <w:suppressLineNumbers/>
        <w:spacing w:line="360" w:lineRule="auto"/>
        <w:ind w:right="735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20ECD1CD">
      <w:pPr>
        <w:suppressLineNumbers/>
        <w:spacing w:line="360" w:lineRule="auto"/>
        <w:ind w:right="735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22FF891F">
      <w:pPr>
        <w:suppressLineNumbers/>
        <w:spacing w:line="360" w:lineRule="auto"/>
        <w:ind w:right="735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501CDDF0">
      <w:pPr>
        <w:suppressLineNumbers/>
        <w:spacing w:line="360" w:lineRule="auto"/>
        <w:ind w:right="735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480F6B4D"/>
    <w:p w14:paraId="600BACF4">
      <w:pPr>
        <w:suppressLineNumbers/>
        <w:spacing w:line="480" w:lineRule="auto"/>
        <w:rPr>
          <w:rFonts w:ascii="Times New Roman Regular" w:hAnsi="Times New Roman Regular" w:eastAsia="Times New Roman" w:cs="Times New Roman Regular"/>
          <w:b w:val="0"/>
          <w:sz w:val="24"/>
          <w:szCs w:val="24"/>
        </w:rPr>
      </w:pPr>
    </w:p>
    <w:p w14:paraId="761F0A89">
      <w:pPr>
        <w:spacing w:line="480" w:lineRule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DA55289-0830-4F62-8D58-039CC3666110}"/>
  </w:font>
  <w:font w:name="Times New Roman Regular">
    <w:altName w:val="Times New Roman"/>
    <w:panose1 w:val="02020503050405090304"/>
    <w:charset w:val="00"/>
    <w:family w:val="roman"/>
    <w:pitch w:val="default"/>
    <w:sig w:usb0="00000000" w:usb1="00000000" w:usb2="00000001" w:usb3="00000000" w:csb0="400001BF" w:csb1="DFF70000"/>
    <w:embedRegular r:id="rId2" w:fontKey="{C10050CA-8765-4542-8D57-5E9CF29A7F7B}"/>
  </w:font>
  <w:font w:name="Calibri;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;汉仪书宋二KW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878FAD70-18CE-4062-8A7A-E224F48B8F5E}"/>
  </w:font>
  <w:font w:name="Times New Roman Bold">
    <w:panose1 w:val="02020503050405090304"/>
    <w:charset w:val="00"/>
    <w:family w:val="roman"/>
    <w:pitch w:val="default"/>
    <w:sig w:usb0="00000000" w:usb1="00000000" w:usb2="00000001" w:usb3="00000000" w:csb0="400001BF" w:csb1="DFF70000"/>
    <w:embedRegular r:id="rId4" w:fontKey="{F4DF6D9A-1CEC-48A0-931E-D2090101BD8D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44482D"/>
    <w:rsid w:val="0FCF5662"/>
    <w:rsid w:val="18137F71"/>
    <w:rsid w:val="1F2E3F7D"/>
    <w:rsid w:val="29DD4B32"/>
    <w:rsid w:val="2E2A34C6"/>
    <w:rsid w:val="408B166D"/>
    <w:rsid w:val="41F95D1A"/>
    <w:rsid w:val="44446C38"/>
    <w:rsid w:val="50A30821"/>
    <w:rsid w:val="5A1530F9"/>
    <w:rsid w:val="63A6078B"/>
    <w:rsid w:val="6DB11503"/>
    <w:rsid w:val="73724CC1"/>
    <w:rsid w:val="7621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133</Words>
  <Characters>976</Characters>
  <Lines>0</Lines>
  <Paragraphs>0</Paragraphs>
  <TotalTime>3</TotalTime>
  <ScaleCrop>false</ScaleCrop>
  <LinksUpToDate>false</LinksUpToDate>
  <CharactersWithSpaces>1104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2026-06-18T02:40:00Z</dcterms:created>
  <dc:creator>16222</dc:creator>
  <cp:lastModifiedBy>北笙</cp:lastModifiedBy>
  <dcterms:modified xsi:type="dcterms:W3CDTF">2026-08-12T04:46:25Z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eyJoZGlkIjoiMzEwNTM5NzYwMDRjMzkwZTVkZjY2ODkwMGIxNGU0OTUiLCJ1c2VySWQiOiIyNzM2NzU5OTUifQ==</vt:lpwstr>
  </property>
  <property fmtid="{D5CDD505-2E9C-101B-9397-08002B2CF9AE}" pid="4" name="ICV">
    <vt:lpwstr>3BE42D5C115A4E2B9CE490135373142E_12</vt:lpwstr>
  </property>
</Properties>
</file>