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C4FCF" w14:textId="77777777" w:rsidR="004D2EED" w:rsidRPr="004D2EED" w:rsidRDefault="004D2EED" w:rsidP="004D2EED">
      <w:pPr>
        <w:rPr>
          <w:lang w:val="en-US"/>
        </w:rPr>
      </w:pPr>
      <w:r w:rsidRPr="004D2EED">
        <w:rPr>
          <w:b/>
          <w:lang w:val="en-US"/>
        </w:rPr>
        <w:t>Supplementary Figure Legends</w:t>
      </w:r>
    </w:p>
    <w:p w14:paraId="092EAA52" w14:textId="77777777" w:rsidR="004D2EED" w:rsidRPr="004D2EED" w:rsidRDefault="004D2EED" w:rsidP="004D2EED">
      <w:pPr>
        <w:rPr>
          <w:lang w:val="en-US"/>
        </w:rPr>
      </w:pPr>
      <w:r w:rsidRPr="004D2EED">
        <w:rPr>
          <w:b/>
          <w:bCs/>
          <w:lang w:val="en-US"/>
        </w:rPr>
        <w:t xml:space="preserve">Figure S1. </w:t>
      </w:r>
      <w:r w:rsidRPr="004D2EED">
        <w:rPr>
          <w:lang w:val="en-US"/>
        </w:rPr>
        <w:t>Outcome availability by participant. Heatmap showing outcome availability at baseline (T0), Week 3 (T3w), and Week 7 (T7w), supporting the assessment of missingness patterns across follow-up time points.</w:t>
      </w:r>
    </w:p>
    <w:p w14:paraId="5E48B17A" w14:textId="77777777" w:rsidR="004D2EED" w:rsidRPr="004D2EED" w:rsidRDefault="004D2EED" w:rsidP="004D2EED">
      <w:pPr>
        <w:rPr>
          <w:lang w:val="en-US"/>
        </w:rPr>
      </w:pPr>
    </w:p>
    <w:p w14:paraId="25CD7D2C" w14:textId="77777777" w:rsidR="004D2EED" w:rsidRPr="004D2EED" w:rsidRDefault="004D2EED" w:rsidP="004D2EED">
      <w:pPr>
        <w:rPr>
          <w:lang w:val="en-US"/>
        </w:rPr>
      </w:pPr>
      <w:r w:rsidRPr="004D2EED">
        <w:rPr>
          <w:b/>
          <w:bCs/>
          <w:lang w:val="en-US"/>
        </w:rPr>
        <w:t>Figure S2.</w:t>
      </w:r>
      <w:r w:rsidRPr="004D2EED">
        <w:rPr>
          <w:lang w:val="en-US"/>
        </w:rPr>
        <w:t xml:space="preserve"> Distribution of score changes. Violin and box plots </w:t>
      </w:r>
      <w:proofErr w:type="gramStart"/>
      <w:r w:rsidRPr="004D2EED">
        <w:rPr>
          <w:lang w:val="en-US"/>
        </w:rPr>
        <w:t>showing</w:t>
      </w:r>
      <w:proofErr w:type="gramEnd"/>
      <w:r w:rsidRPr="004D2EED">
        <w:rPr>
          <w:lang w:val="en-US"/>
        </w:rPr>
        <w:t xml:space="preserve"> the distribution of knowledge score changes by study group. (A) Change in total score from baseline to Week 3 (T3w minus baseline). (B) Change in total score from baseline to Week 7 (T7w minus baseline). (C) Change in total score from Week 3 to Week 7 (T7w minus T3w). The plots display both the overall distribution and central tendency of score changes in the control and intervention groups.</w:t>
      </w:r>
    </w:p>
    <w:p w14:paraId="5747D162" w14:textId="77777777" w:rsidR="004D2EED" w:rsidRPr="004D2EED" w:rsidRDefault="004D2EED" w:rsidP="004D2EED">
      <w:pPr>
        <w:rPr>
          <w:lang w:val="en-US"/>
        </w:rPr>
      </w:pPr>
    </w:p>
    <w:p w14:paraId="7938729E" w14:textId="77777777" w:rsidR="004D2EED" w:rsidRPr="004D2EED" w:rsidRDefault="004D2EED" w:rsidP="004D2EED">
      <w:pPr>
        <w:rPr>
          <w:lang w:val="en-US"/>
        </w:rPr>
      </w:pPr>
      <w:r w:rsidRPr="004D2EED">
        <w:rPr>
          <w:b/>
          <w:bCs/>
          <w:lang w:val="en-US"/>
        </w:rPr>
        <w:t>Figure S3.</w:t>
      </w:r>
      <w:r w:rsidRPr="004D2EED">
        <w:rPr>
          <w:lang w:val="en-US"/>
        </w:rPr>
        <w:t xml:space="preserve"> Daily engagement trajectory. Daily trajectories of learning engagement during the 21-day intervention period. (A) Mean number of logins per day. (B) Mean number of micro-quiz completions per day. (C) Mean number of proactive questions per day. (D) Mean number of push responses per day. The trajectories compare daily engagement patterns between the control and intervention groups, with push responses primarily reflecting the proactive push intervention.</w:t>
      </w:r>
    </w:p>
    <w:p w14:paraId="05920552" w14:textId="77777777" w:rsidR="004D2EED" w:rsidRPr="004D2EED" w:rsidRDefault="004D2EED" w:rsidP="004D2EED">
      <w:pPr>
        <w:rPr>
          <w:lang w:val="en-US"/>
        </w:rPr>
      </w:pPr>
    </w:p>
    <w:p w14:paraId="4DE2E03F" w14:textId="77777777" w:rsidR="004D2EED" w:rsidRPr="004D2EED" w:rsidRDefault="004D2EED" w:rsidP="004D2EED">
      <w:pPr>
        <w:rPr>
          <w:lang w:val="en-US"/>
        </w:rPr>
      </w:pPr>
      <w:r w:rsidRPr="004D2EED">
        <w:rPr>
          <w:b/>
          <w:bCs/>
          <w:lang w:val="en-US"/>
        </w:rPr>
        <w:t>Figure S4.</w:t>
      </w:r>
      <w:r w:rsidRPr="004D2EED">
        <w:rPr>
          <w:lang w:val="en-US"/>
        </w:rPr>
        <w:t xml:space="preserve"> Subgroup treatment effects. Forest plot showing the adjusted treatment effects of the intervention on Week 3 total knowledge score across predefined subgroups, including PGY level, baseline knowledge level, and prior AI use frequency. Points represent adjusted effect estimates, and horizontal lines represent 95% confidence intervals. The vertical reference line indicates no between-group difference.</w:t>
      </w:r>
    </w:p>
    <w:p w14:paraId="13C1B957" w14:textId="77777777" w:rsidR="004D2EED" w:rsidRPr="004D2EED" w:rsidRDefault="004D2EED" w:rsidP="004D2EED">
      <w:pPr>
        <w:rPr>
          <w:lang w:val="en-US"/>
        </w:rPr>
      </w:pPr>
    </w:p>
    <w:p w14:paraId="09EFFA07" w14:textId="77777777" w:rsidR="004D2EED" w:rsidRPr="004D2EED" w:rsidRDefault="004D2EED" w:rsidP="004D2EED">
      <w:pPr>
        <w:rPr>
          <w:lang w:val="en-US"/>
        </w:rPr>
      </w:pPr>
      <w:r w:rsidRPr="004D2EED">
        <w:rPr>
          <w:b/>
          <w:bCs/>
          <w:lang w:val="en-US"/>
        </w:rPr>
        <w:t xml:space="preserve">Figure S5. </w:t>
      </w:r>
      <w:r w:rsidRPr="004D2EED">
        <w:rPr>
          <w:lang w:val="en-US"/>
        </w:rPr>
        <w:t xml:space="preserve">User-reported outcome distributions. Box plots with individual data points showing the distribution of user-reported outcomes by study group. (A) Change in self-efficacy score from baseline to Week 3. (B) Post-intervention UTAUT </w:t>
      </w:r>
      <w:proofErr w:type="gramStart"/>
      <w:r w:rsidRPr="004D2EED">
        <w:rPr>
          <w:lang w:val="en-US"/>
        </w:rPr>
        <w:t>mean</w:t>
      </w:r>
      <w:proofErr w:type="gramEnd"/>
      <w:r w:rsidRPr="004D2EED">
        <w:rPr>
          <w:lang w:val="en-US"/>
        </w:rPr>
        <w:t xml:space="preserve"> score. (C) Post-intervention satisfaction </w:t>
      </w:r>
      <w:proofErr w:type="gramStart"/>
      <w:r w:rsidRPr="004D2EED">
        <w:rPr>
          <w:lang w:val="en-US"/>
        </w:rPr>
        <w:t>mean</w:t>
      </w:r>
      <w:proofErr w:type="gramEnd"/>
      <w:r w:rsidRPr="004D2EED">
        <w:rPr>
          <w:lang w:val="en-US"/>
        </w:rPr>
        <w:t xml:space="preserve"> score. (D) Post-intervention personalization </w:t>
      </w:r>
      <w:proofErr w:type="gramStart"/>
      <w:r w:rsidRPr="004D2EED">
        <w:rPr>
          <w:lang w:val="en-US"/>
        </w:rPr>
        <w:t>mean</w:t>
      </w:r>
      <w:proofErr w:type="gramEnd"/>
      <w:r w:rsidRPr="004D2EED">
        <w:rPr>
          <w:lang w:val="en-US"/>
        </w:rPr>
        <w:t xml:space="preserve"> score. These plots illustrate the distribution, central tendency, and variability of self-efficacy and user-experience outcomes in </w:t>
      </w:r>
      <w:proofErr w:type="gramStart"/>
      <w:r w:rsidRPr="004D2EED">
        <w:rPr>
          <w:lang w:val="en-US"/>
        </w:rPr>
        <w:t>the control</w:t>
      </w:r>
      <w:proofErr w:type="gramEnd"/>
      <w:r w:rsidRPr="004D2EED">
        <w:rPr>
          <w:lang w:val="en-US"/>
        </w:rPr>
        <w:t xml:space="preserve"> and intervention groups.</w:t>
      </w:r>
    </w:p>
    <w:p w14:paraId="56579397" w14:textId="77777777" w:rsidR="004D2EED" w:rsidRPr="004D2EED" w:rsidRDefault="004D2EED" w:rsidP="004D2EED">
      <w:pPr>
        <w:rPr>
          <w:lang w:val="en-US"/>
        </w:rPr>
      </w:pPr>
    </w:p>
    <w:p w14:paraId="78C5F8C5" w14:textId="77777777" w:rsidR="004D2EED" w:rsidRPr="004D2EED" w:rsidRDefault="004D2EED" w:rsidP="004D2EED">
      <w:pPr>
        <w:rPr>
          <w:lang w:val="en-US"/>
        </w:rPr>
      </w:pPr>
      <w:r w:rsidRPr="004D2EED">
        <w:rPr>
          <w:b/>
          <w:bCs/>
          <w:lang w:val="en-US"/>
        </w:rPr>
        <w:t>Figure S6.</w:t>
      </w:r>
      <w:r w:rsidRPr="004D2EED">
        <w:rPr>
          <w:lang w:val="en-US"/>
        </w:rPr>
        <w:t xml:space="preserve"> Mediation framework. Mediation model evaluating whether total micro-quiz completions mediated the effect of intervention assignment on Week 3 total knowledge score. The model shows the association between group assignment and micro-quiz </w:t>
      </w:r>
      <w:r w:rsidRPr="004D2EED">
        <w:rPr>
          <w:lang w:val="en-US"/>
        </w:rPr>
        <w:lastRenderedPageBreak/>
        <w:t>completions, the association between micro-quiz completions and Week 3 total score, and the estimated direct and indirect effects.</w:t>
      </w:r>
    </w:p>
    <w:p w14:paraId="5DE59381" w14:textId="77777777" w:rsidR="004D2EED" w:rsidRPr="004D2EED" w:rsidRDefault="004D2EED" w:rsidP="004D2EED">
      <w:pPr>
        <w:rPr>
          <w:lang w:val="en-US"/>
        </w:rPr>
      </w:pPr>
    </w:p>
    <w:p w14:paraId="4B58921B" w14:textId="77777777" w:rsidR="004D2EED" w:rsidRPr="004D2EED" w:rsidRDefault="004D2EED" w:rsidP="004D2EED">
      <w:pPr>
        <w:rPr>
          <w:lang w:val="en-US"/>
        </w:rPr>
      </w:pPr>
      <w:r w:rsidRPr="004D2EED">
        <w:rPr>
          <w:b/>
          <w:bCs/>
          <w:lang w:val="en-US"/>
        </w:rPr>
        <w:t>Figure S7.</w:t>
      </w:r>
      <w:r w:rsidRPr="004D2EED">
        <w:rPr>
          <w:lang w:val="en-US"/>
        </w:rPr>
        <w:t xml:space="preserve"> Participant-level score trajectories. Spaghetti plots showing individual-level knowledge score trajectories from baseline to Week 3 and Week 7. (A) Participant-level trajectories in the control group. (B) Participant-level trajectories in the intervention group. Thin lines represent individual participants, and the bold line represents the group-level mean trajectory.</w:t>
      </w:r>
    </w:p>
    <w:p w14:paraId="1FE9F246" w14:textId="77777777" w:rsidR="004D2EED" w:rsidRPr="004D2EED" w:rsidRDefault="004D2EED" w:rsidP="004D2EED">
      <w:pPr>
        <w:rPr>
          <w:lang w:val="en-US"/>
        </w:rPr>
      </w:pPr>
    </w:p>
    <w:p w14:paraId="6F02324E" w14:textId="77777777" w:rsidR="00767E38" w:rsidRDefault="00767E38"/>
    <w:sectPr w:rsidR="00767E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EED"/>
    <w:rsid w:val="004D2EED"/>
    <w:rsid w:val="00767E38"/>
    <w:rsid w:val="00866F7D"/>
    <w:rsid w:val="00CA7B6E"/>
    <w:rsid w:val="00EE5C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5422A"/>
  <w15:chartTrackingRefBased/>
  <w15:docId w15:val="{1B1490C1-16E0-4555-B4B8-C8C539C16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2E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2E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2E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2E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2E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2E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2E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2E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2E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2E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2E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2E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2E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2E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2E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2E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2E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2EED"/>
    <w:rPr>
      <w:rFonts w:eastAsiaTheme="majorEastAsia" w:cstheme="majorBidi"/>
      <w:color w:val="272727" w:themeColor="text1" w:themeTint="D8"/>
    </w:rPr>
  </w:style>
  <w:style w:type="paragraph" w:styleId="Title">
    <w:name w:val="Title"/>
    <w:basedOn w:val="Normal"/>
    <w:next w:val="Normal"/>
    <w:link w:val="TitleChar"/>
    <w:uiPriority w:val="10"/>
    <w:qFormat/>
    <w:rsid w:val="004D2E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2E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2E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2E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2EED"/>
    <w:pPr>
      <w:spacing w:before="160"/>
      <w:jc w:val="center"/>
    </w:pPr>
    <w:rPr>
      <w:i/>
      <w:iCs/>
      <w:color w:val="404040" w:themeColor="text1" w:themeTint="BF"/>
    </w:rPr>
  </w:style>
  <w:style w:type="character" w:customStyle="1" w:styleId="QuoteChar">
    <w:name w:val="Quote Char"/>
    <w:basedOn w:val="DefaultParagraphFont"/>
    <w:link w:val="Quote"/>
    <w:uiPriority w:val="29"/>
    <w:rsid w:val="004D2EED"/>
    <w:rPr>
      <w:i/>
      <w:iCs/>
      <w:color w:val="404040" w:themeColor="text1" w:themeTint="BF"/>
    </w:rPr>
  </w:style>
  <w:style w:type="paragraph" w:styleId="ListParagraph">
    <w:name w:val="List Paragraph"/>
    <w:basedOn w:val="Normal"/>
    <w:uiPriority w:val="34"/>
    <w:qFormat/>
    <w:rsid w:val="004D2EED"/>
    <w:pPr>
      <w:ind w:left="720"/>
      <w:contextualSpacing/>
    </w:pPr>
  </w:style>
  <w:style w:type="character" w:styleId="IntenseEmphasis">
    <w:name w:val="Intense Emphasis"/>
    <w:basedOn w:val="DefaultParagraphFont"/>
    <w:uiPriority w:val="21"/>
    <w:qFormat/>
    <w:rsid w:val="004D2EED"/>
    <w:rPr>
      <w:i/>
      <w:iCs/>
      <w:color w:val="0F4761" w:themeColor="accent1" w:themeShade="BF"/>
    </w:rPr>
  </w:style>
  <w:style w:type="paragraph" w:styleId="IntenseQuote">
    <w:name w:val="Intense Quote"/>
    <w:basedOn w:val="Normal"/>
    <w:next w:val="Normal"/>
    <w:link w:val="IntenseQuoteChar"/>
    <w:uiPriority w:val="30"/>
    <w:qFormat/>
    <w:rsid w:val="004D2E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2EED"/>
    <w:rPr>
      <w:i/>
      <w:iCs/>
      <w:color w:val="0F4761" w:themeColor="accent1" w:themeShade="BF"/>
    </w:rPr>
  </w:style>
  <w:style w:type="character" w:styleId="IntenseReference">
    <w:name w:val="Intense Reference"/>
    <w:basedOn w:val="DefaultParagraphFont"/>
    <w:uiPriority w:val="32"/>
    <w:qFormat/>
    <w:rsid w:val="004D2EE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428</Words>
  <Characters>2443</Characters>
  <Application>Microsoft Office Word</Application>
  <DocSecurity>0</DocSecurity>
  <Lines>20</Lines>
  <Paragraphs>5</Paragraphs>
  <ScaleCrop>false</ScaleCrop>
  <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Bhushan Tandale</dc:creator>
  <cp:keywords/>
  <dc:description/>
  <cp:lastModifiedBy>Bhushan Tandale</cp:lastModifiedBy>
  <cp:revision>1</cp:revision>
  <dcterms:created xsi:type="dcterms:W3CDTF">2026-10-05T15:11:00Z</dcterms:created>
  <dcterms:modified xsi:type="dcterms:W3CDTF">2026-10-05T15:11:00Z</dcterms:modified>
</cp:coreProperties>
</file>