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03EBF" w14:textId="77777777" w:rsidR="00D2625F" w:rsidRPr="007F235E" w:rsidRDefault="00D2625F" w:rsidP="00D2625F">
      <w:pPr>
        <w:pStyle w:val="NormalWeb"/>
        <w:spacing w:line="480" w:lineRule="auto"/>
        <w:rPr>
          <w:rFonts w:ascii="Arial" w:hAnsi="Arial" w:cs="Arial"/>
          <w:b/>
          <w:bCs/>
          <w:color w:val="000000" w:themeColor="text1"/>
        </w:rPr>
      </w:pPr>
      <w:r w:rsidRPr="007F235E">
        <w:rPr>
          <w:rFonts w:ascii="Arial" w:hAnsi="Arial" w:cs="Arial"/>
          <w:b/>
          <w:bCs/>
          <w:color w:val="000000" w:themeColor="text1"/>
        </w:rPr>
        <w:t>Supplementary Figure legends.</w:t>
      </w:r>
    </w:p>
    <w:p w14:paraId="0834005A"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t xml:space="preserve">Supplementary figure 1 </w:t>
      </w:r>
      <w:r w:rsidRPr="007F235E">
        <w:rPr>
          <w:rFonts w:ascii="Arial" w:eastAsia="Arial" w:hAnsi="Arial" w:cs="Arial"/>
          <w:color w:val="000000" w:themeColor="text1"/>
        </w:rPr>
        <w:t>(related to figure 1). SymN differentiation protocol and improvements.</w:t>
      </w:r>
    </w:p>
    <w:p w14:paraId="4DFE43CD" w14:textId="77777777" w:rsidR="00D2625F" w:rsidRPr="007F235E" w:rsidRDefault="00D2625F" w:rsidP="00D2625F">
      <w:pPr>
        <w:pStyle w:val="NormalWeb"/>
        <w:spacing w:line="480" w:lineRule="auto"/>
        <w:rPr>
          <w:color w:val="000000" w:themeColor="text1"/>
        </w:rPr>
      </w:pPr>
      <w:r w:rsidRPr="007F235E">
        <w:rPr>
          <w:rFonts w:ascii="Arial" w:eastAsia="Arial" w:hAnsi="Arial" w:cs="Arial"/>
          <w:color w:val="000000" w:themeColor="text1"/>
        </w:rPr>
        <w:t>(</w:t>
      </w:r>
      <w:r w:rsidRPr="007F235E">
        <w:rPr>
          <w:rFonts w:ascii="Arial" w:eastAsia="Arial" w:hAnsi="Arial" w:cs="Arial"/>
          <w:b/>
          <w:bCs/>
          <w:color w:val="000000" w:themeColor="text1"/>
        </w:rPr>
        <w:t>a</w:t>
      </w:r>
      <w:r w:rsidRPr="007F235E">
        <w:rPr>
          <w:rFonts w:ascii="Arial" w:eastAsia="Arial" w:hAnsi="Arial" w:cs="Arial"/>
          <w:color w:val="000000" w:themeColor="text1"/>
        </w:rPr>
        <w:t>) Schematic illustration of the updated symN differentiation steps and experimental time points. Aphi=aphidicolin. (</w:t>
      </w:r>
      <w:r w:rsidRPr="007F235E">
        <w:rPr>
          <w:rFonts w:ascii="Arial" w:eastAsia="Arial" w:hAnsi="Arial" w:cs="Arial"/>
          <w:b/>
          <w:bCs/>
          <w:color w:val="000000" w:themeColor="text1"/>
        </w:rPr>
        <w:t>b</w:t>
      </w:r>
      <w:r w:rsidRPr="007F235E">
        <w:rPr>
          <w:rFonts w:ascii="Arial" w:eastAsia="Arial" w:hAnsi="Arial" w:cs="Arial"/>
          <w:color w:val="000000" w:themeColor="text1"/>
        </w:rPr>
        <w:t xml:space="preserve">) Sympathetic lineage markers are verified in day 14-20 </w:t>
      </w:r>
      <w:bookmarkStart w:id="0" w:name="_GoBack"/>
      <w:r w:rsidRPr="007F235E">
        <w:rPr>
          <w:rFonts w:ascii="Arial" w:eastAsia="Arial" w:hAnsi="Arial" w:cs="Arial"/>
          <w:color w:val="000000" w:themeColor="text1"/>
        </w:rPr>
        <w:t>symNs using RT-qPCR. n=3-6 biological replicates. Error bar represents the SEM. (</w:t>
      </w:r>
      <w:r w:rsidRPr="007F235E">
        <w:rPr>
          <w:rFonts w:ascii="Arial" w:eastAsia="Arial" w:hAnsi="Arial" w:cs="Arial"/>
          <w:b/>
          <w:bCs/>
          <w:color w:val="000000" w:themeColor="text1"/>
        </w:rPr>
        <w:t>c</w:t>
      </w:r>
      <w:r w:rsidRPr="007F235E">
        <w:rPr>
          <w:rFonts w:ascii="Arial" w:eastAsia="Arial" w:hAnsi="Arial" w:cs="Arial"/>
          <w:color w:val="000000" w:themeColor="text1"/>
        </w:rPr>
        <w:t xml:space="preserve">) </w:t>
      </w:r>
      <w:bookmarkEnd w:id="0"/>
      <w:r w:rsidRPr="007F235E">
        <w:rPr>
          <w:rFonts w:ascii="Arial" w:eastAsia="Arial" w:hAnsi="Arial" w:cs="Arial"/>
          <w:color w:val="000000" w:themeColor="text1"/>
        </w:rPr>
        <w:t>HOX code is also examined in day 14-20 symNs and trunk identity is defined (i.e. HOXB5</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/B7</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/C9</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n=3-8 biological replicates. Error bar represents the SEM. (</w:t>
      </w:r>
      <w:r w:rsidRPr="007F235E">
        <w:rPr>
          <w:rFonts w:ascii="Arial" w:eastAsia="Arial" w:hAnsi="Arial" w:cs="Arial"/>
          <w:b/>
          <w:bCs/>
          <w:color w:val="000000" w:themeColor="text1"/>
        </w:rPr>
        <w:t>d</w:t>
      </w:r>
      <w:r w:rsidRPr="007F235E">
        <w:rPr>
          <w:rFonts w:ascii="Arial" w:eastAsia="Arial" w:hAnsi="Arial" w:cs="Arial"/>
          <w:color w:val="000000" w:themeColor="text1"/>
        </w:rPr>
        <w:t>) PHOX2B</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symNs can be identified on day 30 using the eGFP::PHOX2B-H9 line (Oh, 2016). Scale bar represents 200 μm.  (</w:t>
      </w:r>
      <w:r w:rsidRPr="007F235E">
        <w:rPr>
          <w:rFonts w:ascii="Arial" w:eastAsia="Arial" w:hAnsi="Arial" w:cs="Arial"/>
          <w:b/>
          <w:bCs/>
          <w:color w:val="000000" w:themeColor="text1"/>
        </w:rPr>
        <w:t>e-g</w:t>
      </w:r>
      <w:r w:rsidRPr="007F235E">
        <w:rPr>
          <w:rFonts w:ascii="Arial" w:eastAsia="Arial" w:hAnsi="Arial" w:cs="Arial"/>
          <w:color w:val="000000" w:themeColor="text1"/>
        </w:rPr>
        <w:t>) Expression of genes important for symN activation (</w:t>
      </w:r>
      <w:r w:rsidRPr="007F235E">
        <w:rPr>
          <w:rFonts w:ascii="Arial" w:eastAsia="Arial" w:hAnsi="Arial" w:cs="Arial"/>
          <w:b/>
          <w:bCs/>
          <w:color w:val="000000" w:themeColor="text1"/>
        </w:rPr>
        <w:t>e</w:t>
      </w:r>
      <w:r w:rsidRPr="007F235E">
        <w:rPr>
          <w:rFonts w:ascii="Arial" w:eastAsia="Arial" w:hAnsi="Arial" w:cs="Arial"/>
          <w:color w:val="000000" w:themeColor="text1"/>
        </w:rPr>
        <w:t>), NE autoregulation (</w:t>
      </w:r>
      <w:r w:rsidRPr="007F235E">
        <w:rPr>
          <w:rFonts w:ascii="Arial" w:eastAsia="Arial" w:hAnsi="Arial" w:cs="Arial"/>
          <w:b/>
          <w:bCs/>
          <w:color w:val="000000" w:themeColor="text1"/>
        </w:rPr>
        <w:t>f</w:t>
      </w:r>
      <w:r w:rsidRPr="007F235E">
        <w:rPr>
          <w:rFonts w:ascii="Arial" w:eastAsia="Arial" w:hAnsi="Arial" w:cs="Arial"/>
          <w:color w:val="000000" w:themeColor="text1"/>
        </w:rPr>
        <w:t>) and NE production (</w:t>
      </w:r>
      <w:r w:rsidRPr="007F235E">
        <w:rPr>
          <w:rFonts w:ascii="Arial" w:eastAsia="Arial" w:hAnsi="Arial" w:cs="Arial"/>
          <w:b/>
          <w:bCs/>
          <w:color w:val="000000" w:themeColor="text1"/>
        </w:rPr>
        <w:t>g</w:t>
      </w:r>
      <w:r w:rsidRPr="007F235E">
        <w:rPr>
          <w:rFonts w:ascii="Arial" w:eastAsia="Arial" w:hAnsi="Arial" w:cs="Arial"/>
          <w:color w:val="000000" w:themeColor="text1"/>
        </w:rPr>
        <w:t>) are also confirmed by RT-qPCR in day 20-30 symNs. n=4-9 biological replicates. Error bar represents the SEM. (</w:t>
      </w:r>
      <w:r w:rsidRPr="007F235E">
        <w:rPr>
          <w:rFonts w:ascii="Arial" w:eastAsia="Arial" w:hAnsi="Arial" w:cs="Arial"/>
          <w:b/>
          <w:bCs/>
          <w:color w:val="000000" w:themeColor="text1"/>
        </w:rPr>
        <w:t>h</w:t>
      </w:r>
      <w:r w:rsidRPr="007F235E">
        <w:rPr>
          <w:rFonts w:ascii="Arial" w:eastAsia="Arial" w:hAnsi="Arial" w:cs="Arial"/>
          <w:color w:val="000000" w:themeColor="text1"/>
        </w:rPr>
        <w:t>) Immunostaining shows autoregulatory markers (ARs and NET, green) and NE (green) in day 30 symNs. Scale bars represents 100 μm. (</w:t>
      </w:r>
      <w:r w:rsidRPr="007F235E">
        <w:rPr>
          <w:rFonts w:ascii="Arial" w:eastAsia="Arial" w:hAnsi="Arial" w:cs="Arial"/>
          <w:b/>
          <w:bCs/>
          <w:color w:val="000000" w:themeColor="text1"/>
        </w:rPr>
        <w:t>i-j</w:t>
      </w:r>
      <w:r w:rsidRPr="007F235E">
        <w:rPr>
          <w:rFonts w:ascii="Arial" w:eastAsia="Arial" w:hAnsi="Arial" w:cs="Arial"/>
          <w:color w:val="000000" w:themeColor="text1"/>
        </w:rPr>
        <w:t>) Cryopreservation. Cell survival of day 10 frozen NCCs at high (8x10</w:t>
      </w:r>
      <w:r w:rsidRPr="007F235E">
        <w:rPr>
          <w:rFonts w:ascii="Arial" w:eastAsia="Arial" w:hAnsi="Arial" w:cs="Arial"/>
          <w:color w:val="000000" w:themeColor="text1"/>
          <w:vertAlign w:val="superscript"/>
        </w:rPr>
        <w:t>6</w:t>
      </w:r>
      <w:r w:rsidRPr="007F235E">
        <w:rPr>
          <w:rFonts w:ascii="Arial" w:eastAsia="Arial" w:hAnsi="Arial" w:cs="Arial"/>
          <w:color w:val="000000" w:themeColor="text1"/>
        </w:rPr>
        <w:t>/vial) or low (4x10</w:t>
      </w:r>
      <w:r w:rsidRPr="007F235E">
        <w:rPr>
          <w:rFonts w:ascii="Arial" w:eastAsia="Arial" w:hAnsi="Arial" w:cs="Arial"/>
          <w:color w:val="000000" w:themeColor="text1"/>
          <w:vertAlign w:val="superscript"/>
        </w:rPr>
        <w:t>6</w:t>
      </w:r>
      <w:r w:rsidRPr="007F235E">
        <w:rPr>
          <w:rFonts w:ascii="Arial" w:eastAsia="Arial" w:hAnsi="Arial" w:cs="Arial"/>
          <w:color w:val="000000" w:themeColor="text1"/>
        </w:rPr>
        <w:t>/vial) density from ESC or iPSC origins are calculated after thaw (</w:t>
      </w:r>
      <w:r w:rsidRPr="007F235E">
        <w:rPr>
          <w:rFonts w:ascii="Arial" w:eastAsia="Arial" w:hAnsi="Arial" w:cs="Arial"/>
          <w:b/>
          <w:bCs/>
          <w:color w:val="000000" w:themeColor="text1"/>
        </w:rPr>
        <w:t>i</w:t>
      </w:r>
      <w:r w:rsidRPr="007F235E">
        <w:rPr>
          <w:rFonts w:ascii="Arial" w:eastAsia="Arial" w:hAnsi="Arial" w:cs="Arial"/>
          <w:color w:val="000000" w:themeColor="text1"/>
        </w:rPr>
        <w:t>). n=3 biological replicates. Error bar represents the SEM. Control symN activities with or without freezing are compared on day 30 using MEA (</w:t>
      </w:r>
      <w:r w:rsidRPr="007F235E">
        <w:rPr>
          <w:rFonts w:ascii="Arial" w:eastAsia="Arial" w:hAnsi="Arial" w:cs="Arial"/>
          <w:b/>
          <w:bCs/>
          <w:color w:val="000000" w:themeColor="text1"/>
        </w:rPr>
        <w:t>j</w:t>
      </w:r>
      <w:r w:rsidRPr="007F235E">
        <w:rPr>
          <w:rFonts w:ascii="Arial" w:eastAsia="Arial" w:hAnsi="Arial" w:cs="Arial"/>
          <w:color w:val="000000" w:themeColor="text1"/>
        </w:rPr>
        <w:t>). n=3 biological replicates. Two-tailed Student’s t-test. Error bar represents the SEM.</w:t>
      </w:r>
    </w:p>
    <w:p w14:paraId="2E7BF7C6" w14:textId="77777777" w:rsidR="00D2625F" w:rsidRPr="007F235E" w:rsidRDefault="00D2625F" w:rsidP="00D2625F">
      <w:pPr>
        <w:pStyle w:val="NormalWeb"/>
        <w:spacing w:line="480" w:lineRule="auto"/>
        <w:rPr>
          <w:rFonts w:ascii="Arial" w:hAnsi="Arial" w:cs="Arial"/>
          <w:color w:val="000000" w:themeColor="text1"/>
        </w:rPr>
      </w:pPr>
    </w:p>
    <w:p w14:paraId="64DD3AC6"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lastRenderedPageBreak/>
        <w:t xml:space="preserve">Supplementary figure 2 </w:t>
      </w:r>
      <w:r w:rsidRPr="007F235E">
        <w:rPr>
          <w:rFonts w:ascii="Arial" w:eastAsia="Arial" w:hAnsi="Arial" w:cs="Arial"/>
          <w:color w:val="000000" w:themeColor="text1"/>
        </w:rPr>
        <w:t>(related to figure 1). Improved hPSC-derived symN purity, symN functionality and maturity are characterized.</w:t>
      </w:r>
    </w:p>
    <w:p w14:paraId="1624A196"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color w:val="000000" w:themeColor="text1"/>
        </w:rPr>
        <w:t>Aphidicoline (Aphi) treatment (0.5 μM) on day 20 for ten days eliminates most non-neural cells in symN differentiation. (</w:t>
      </w:r>
      <w:r w:rsidRPr="007F235E">
        <w:rPr>
          <w:rFonts w:ascii="Arial" w:eastAsia="Arial" w:hAnsi="Arial" w:cs="Arial"/>
          <w:b/>
          <w:bCs/>
          <w:color w:val="000000" w:themeColor="text1"/>
        </w:rPr>
        <w:t>a</w:t>
      </w:r>
      <w:r w:rsidRPr="007F235E">
        <w:rPr>
          <w:rFonts w:ascii="Arial" w:eastAsia="Arial" w:hAnsi="Arial" w:cs="Arial"/>
          <w:color w:val="000000" w:themeColor="text1"/>
        </w:rPr>
        <w:t>) Quantification of TH</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/DAPI</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cell percentage shows increased TH</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symN number after Aphi treatment, while neural specification calculated as TH</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/PRPH</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cell percentage is always high. n=4-9 biological replicates. Multiple unpaired Student’s t-test. Error bar represents the SEM. ****p&lt;0.0001. (</w:t>
      </w:r>
      <w:r w:rsidRPr="007F235E">
        <w:rPr>
          <w:rFonts w:ascii="Arial" w:eastAsia="Arial" w:hAnsi="Arial" w:cs="Arial"/>
          <w:b/>
          <w:bCs/>
          <w:color w:val="000000" w:themeColor="text1"/>
        </w:rPr>
        <w:t>b</w:t>
      </w:r>
      <w:r w:rsidRPr="007F235E">
        <w:rPr>
          <w:rFonts w:ascii="Arial" w:eastAsia="Arial" w:hAnsi="Arial" w:cs="Arial"/>
          <w:color w:val="000000" w:themeColor="text1"/>
        </w:rPr>
        <w:t>) SymNs are stained for TH (green) and PRPH (red), and non-neural cells are calculated as DAPI</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only cells. (</w:t>
      </w:r>
      <w:r w:rsidRPr="007F235E">
        <w:rPr>
          <w:rFonts w:ascii="Arial" w:eastAsia="Arial" w:hAnsi="Arial" w:cs="Arial"/>
          <w:b/>
          <w:bCs/>
          <w:color w:val="000000" w:themeColor="text1"/>
        </w:rPr>
        <w:t>c</w:t>
      </w:r>
      <w:r w:rsidRPr="007F235E">
        <w:rPr>
          <w:rFonts w:ascii="Arial" w:eastAsia="Arial" w:hAnsi="Arial" w:cs="Arial"/>
          <w:color w:val="000000" w:themeColor="text1"/>
        </w:rPr>
        <w:t>) Immunostaining of day 30 symNs (PRPH</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in yellow) shows eliminated proliferating cells (Ki67</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in red) and minimal remaining NCCs (SOX10</w:t>
      </w:r>
      <w:r w:rsidRPr="007F235E">
        <w:rPr>
          <w:rFonts w:ascii="Arial" w:eastAsia="Arial" w:hAnsi="Arial" w:cs="Arial"/>
          <w:color w:val="000000" w:themeColor="text1"/>
          <w:vertAlign w:val="superscript"/>
        </w:rPr>
        <w:t>+</w:t>
      </w:r>
      <w:r w:rsidRPr="007F235E">
        <w:rPr>
          <w:rFonts w:ascii="Arial" w:eastAsia="Arial" w:hAnsi="Arial" w:cs="Arial"/>
          <w:color w:val="000000" w:themeColor="text1"/>
        </w:rPr>
        <w:t xml:space="preserve"> in green) after Aphi treatment. (</w:t>
      </w:r>
      <w:r w:rsidRPr="007F235E">
        <w:rPr>
          <w:rFonts w:ascii="Arial" w:eastAsia="Arial" w:hAnsi="Arial" w:cs="Arial"/>
          <w:b/>
          <w:bCs/>
          <w:color w:val="000000" w:themeColor="text1"/>
        </w:rPr>
        <w:t>d</w:t>
      </w:r>
      <w:r w:rsidRPr="007F235E">
        <w:rPr>
          <w:rFonts w:ascii="Arial" w:eastAsia="Arial" w:hAnsi="Arial" w:cs="Arial"/>
          <w:color w:val="000000" w:themeColor="text1"/>
        </w:rPr>
        <w:t>) Representative spike rate heatmaps show firing of day 30 symNs. Day 0 hPSCs are also measured as negative controls. (</w:t>
      </w:r>
      <w:r w:rsidRPr="007F235E">
        <w:rPr>
          <w:rFonts w:ascii="Arial" w:eastAsia="Arial" w:hAnsi="Arial" w:cs="Arial"/>
          <w:b/>
          <w:bCs/>
          <w:color w:val="000000" w:themeColor="text1"/>
        </w:rPr>
        <w:t>e</w:t>
      </w:r>
      <w:r w:rsidRPr="007F235E">
        <w:rPr>
          <w:rFonts w:ascii="Arial" w:eastAsia="Arial" w:hAnsi="Arial" w:cs="Arial"/>
          <w:color w:val="000000" w:themeColor="text1"/>
        </w:rPr>
        <w:t>) Quantification of spike rate indicates neural functionality, and burst rates indicates neural maturity. n=9 biological replicates. Error bar represents the SEM.  Scale bars represent 200 μm.</w:t>
      </w:r>
    </w:p>
    <w:p w14:paraId="1657C14D" w14:textId="77777777" w:rsidR="00D2625F" w:rsidRPr="007F235E" w:rsidRDefault="00D2625F" w:rsidP="00D2625F">
      <w:pPr>
        <w:pStyle w:val="NormalWeb"/>
        <w:spacing w:line="480" w:lineRule="auto"/>
        <w:rPr>
          <w:rFonts w:ascii="Arial" w:hAnsi="Arial" w:cs="Arial"/>
          <w:color w:val="000000" w:themeColor="text1"/>
        </w:rPr>
      </w:pPr>
    </w:p>
    <w:p w14:paraId="3F9F573A"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t xml:space="preserve">Supplementary figure 3 </w:t>
      </w:r>
      <w:r w:rsidRPr="007F235E">
        <w:rPr>
          <w:rFonts w:ascii="Arial" w:eastAsia="Arial" w:hAnsi="Arial" w:cs="Arial"/>
          <w:color w:val="000000" w:themeColor="text1"/>
        </w:rPr>
        <w:t>(related to figure 1). Confirmation of pluripotency and morphology of hPSCs on the day of differentiation.</w:t>
      </w:r>
    </w:p>
    <w:p w14:paraId="5EE22502"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color w:val="000000" w:themeColor="text1"/>
        </w:rPr>
        <w:t>(</w:t>
      </w:r>
      <w:r w:rsidRPr="007F235E">
        <w:rPr>
          <w:rFonts w:ascii="Arial" w:eastAsia="Arial" w:hAnsi="Arial" w:cs="Arial"/>
          <w:b/>
          <w:bCs/>
          <w:color w:val="000000" w:themeColor="text1"/>
        </w:rPr>
        <w:t>a</w:t>
      </w:r>
      <w:r w:rsidRPr="007F235E">
        <w:rPr>
          <w:rFonts w:ascii="Arial" w:eastAsia="Arial" w:hAnsi="Arial" w:cs="Arial"/>
          <w:color w:val="000000" w:themeColor="text1"/>
        </w:rPr>
        <w:t>) Immunostaining for Nanog (green) and Oct4 (red) shows similar patterns among hPSCs. Bright field pictures (bottom row) confirm that hPSCs are at an ideal status for symN differentiation. Scale bars represent 200 μm.</w:t>
      </w:r>
    </w:p>
    <w:p w14:paraId="24B2AEDF" w14:textId="77777777" w:rsidR="00D2625F" w:rsidRPr="007F235E" w:rsidRDefault="00D2625F" w:rsidP="00D2625F">
      <w:pPr>
        <w:pStyle w:val="NormalWeb"/>
        <w:spacing w:line="480" w:lineRule="auto"/>
        <w:rPr>
          <w:rFonts w:ascii="Arial" w:hAnsi="Arial" w:cs="Arial"/>
          <w:color w:val="000000" w:themeColor="text1"/>
        </w:rPr>
      </w:pPr>
    </w:p>
    <w:p w14:paraId="75EB5F20"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lastRenderedPageBreak/>
        <w:t xml:space="preserve">Supplementary figure 4 </w:t>
      </w:r>
      <w:r w:rsidRPr="007F235E">
        <w:rPr>
          <w:rFonts w:ascii="Arial" w:eastAsia="Arial" w:hAnsi="Arial" w:cs="Arial"/>
          <w:color w:val="000000" w:themeColor="text1"/>
        </w:rPr>
        <w:t>(related to figure 1). Further characterization of day 10 NCCs.</w:t>
      </w:r>
    </w:p>
    <w:p w14:paraId="61AD3EB7"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color w:val="000000" w:themeColor="text1"/>
        </w:rPr>
        <w:t>(</w:t>
      </w:r>
      <w:r w:rsidRPr="007F235E">
        <w:rPr>
          <w:rFonts w:ascii="Arial" w:eastAsia="Arial" w:hAnsi="Arial" w:cs="Arial"/>
          <w:b/>
          <w:bCs/>
          <w:color w:val="000000" w:themeColor="text1"/>
        </w:rPr>
        <w:t>a</w:t>
      </w:r>
      <w:r w:rsidRPr="007F235E">
        <w:rPr>
          <w:rFonts w:ascii="Arial" w:eastAsia="Arial" w:hAnsi="Arial" w:cs="Arial"/>
          <w:color w:val="000000" w:themeColor="text1"/>
        </w:rPr>
        <w:t>) Day 10 NCC cell numbers in control and FD cultures. n=14-21 biological replicates. Two-tailed Student’s t-test. Error bar represents the SEM. (</w:t>
      </w:r>
      <w:r w:rsidRPr="007F235E">
        <w:rPr>
          <w:rFonts w:ascii="Arial" w:eastAsia="Arial" w:hAnsi="Arial" w:cs="Arial"/>
          <w:b/>
          <w:bCs/>
          <w:color w:val="000000" w:themeColor="text1"/>
        </w:rPr>
        <w:t>b</w:t>
      </w:r>
      <w:r w:rsidRPr="007F235E">
        <w:rPr>
          <w:rFonts w:ascii="Arial" w:eastAsia="Arial" w:hAnsi="Arial" w:cs="Arial"/>
          <w:color w:val="000000" w:themeColor="text1"/>
        </w:rPr>
        <w:t>) Day 10 NCCs immunostained for SOX10 (green) and AP2a (red) in control and FD. (</w:t>
      </w:r>
      <w:r w:rsidRPr="007F235E">
        <w:rPr>
          <w:rFonts w:ascii="Arial" w:eastAsia="Arial" w:hAnsi="Arial" w:cs="Arial"/>
          <w:b/>
          <w:bCs/>
          <w:color w:val="000000" w:themeColor="text1"/>
        </w:rPr>
        <w:t>c</w:t>
      </w:r>
      <w:r w:rsidRPr="007F235E">
        <w:rPr>
          <w:rFonts w:ascii="Arial" w:eastAsia="Arial" w:hAnsi="Arial" w:cs="Arial"/>
          <w:color w:val="000000" w:themeColor="text1"/>
        </w:rPr>
        <w:t>) RT-qPCR alanysis of day 10 control NCCs for contaminating cells. n=6 biological replicates. Error bar represents the SEM. Scale bar represents 200 μm. In a, data from hESC-ctl-H9 and iPSC-ctl-C1.2 are pooled as control; data from iPSC-FD-S2.3 and iPSC-FD-S3 are pooled as FD.</w:t>
      </w:r>
    </w:p>
    <w:p w14:paraId="4E4BE87E" w14:textId="77777777" w:rsidR="00D2625F" w:rsidRPr="007F235E" w:rsidRDefault="00D2625F" w:rsidP="00D2625F">
      <w:pPr>
        <w:pStyle w:val="NormalWeb"/>
        <w:spacing w:line="480" w:lineRule="auto"/>
        <w:rPr>
          <w:rFonts w:ascii="Arial" w:hAnsi="Arial" w:cs="Arial"/>
          <w:color w:val="000000" w:themeColor="text1"/>
        </w:rPr>
      </w:pPr>
    </w:p>
    <w:p w14:paraId="512306D5"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t>Supplementary figure 5</w:t>
      </w:r>
      <w:r w:rsidRPr="007F235E">
        <w:rPr>
          <w:rFonts w:ascii="Arial" w:eastAsia="Arial" w:hAnsi="Arial" w:cs="Arial"/>
          <w:color w:val="000000" w:themeColor="text1"/>
        </w:rPr>
        <w:t xml:space="preserve"> (related to figure 2). Establishment of the CM-symN co-culture system.</w:t>
      </w:r>
    </w:p>
    <w:p w14:paraId="47CA0A25" w14:textId="77777777" w:rsidR="00D2625F" w:rsidRPr="007F235E" w:rsidRDefault="00D2625F" w:rsidP="00D2625F">
      <w:pPr>
        <w:pStyle w:val="NormalWeb"/>
        <w:spacing w:line="480" w:lineRule="auto"/>
        <w:rPr>
          <w:color w:val="000000" w:themeColor="text1"/>
        </w:rPr>
      </w:pPr>
      <w:r w:rsidRPr="007F235E">
        <w:rPr>
          <w:rFonts w:ascii="Arial" w:eastAsia="Arial" w:hAnsi="Arial" w:cs="Arial"/>
          <w:color w:val="000000" w:themeColor="text1"/>
        </w:rPr>
        <w:t>(</w:t>
      </w:r>
      <w:r w:rsidRPr="007F235E">
        <w:rPr>
          <w:rFonts w:ascii="Arial" w:eastAsia="Arial" w:hAnsi="Arial" w:cs="Arial"/>
          <w:b/>
          <w:bCs/>
          <w:color w:val="000000" w:themeColor="text1"/>
        </w:rPr>
        <w:t>a</w:t>
      </w:r>
      <w:r w:rsidRPr="007F235E">
        <w:rPr>
          <w:rFonts w:ascii="Arial" w:eastAsia="Arial" w:hAnsi="Arial" w:cs="Arial"/>
          <w:color w:val="000000" w:themeColor="text1"/>
        </w:rPr>
        <w:t>) Bright field picture shows beating CMs on day 7. See also Supp. Movie 1. (</w:t>
      </w:r>
      <w:r w:rsidRPr="007F235E">
        <w:rPr>
          <w:rFonts w:ascii="Arial" w:eastAsia="Arial" w:hAnsi="Arial" w:cs="Arial"/>
          <w:b/>
          <w:bCs/>
          <w:color w:val="000000" w:themeColor="text1"/>
        </w:rPr>
        <w:t>b</w:t>
      </w:r>
      <w:r w:rsidRPr="007F235E">
        <w:rPr>
          <w:rFonts w:ascii="Arial" w:eastAsia="Arial" w:hAnsi="Arial" w:cs="Arial"/>
          <w:color w:val="000000" w:themeColor="text1"/>
        </w:rPr>
        <w:t>) CM beating can be measured by MEA as early as day 10. (</w:t>
      </w:r>
      <w:r w:rsidRPr="007F235E">
        <w:rPr>
          <w:rFonts w:ascii="Arial" w:eastAsia="Arial" w:hAnsi="Arial" w:cs="Arial"/>
          <w:b/>
          <w:bCs/>
          <w:color w:val="000000" w:themeColor="text1"/>
        </w:rPr>
        <w:t>c</w:t>
      </w:r>
      <w:r w:rsidRPr="007F235E">
        <w:rPr>
          <w:rFonts w:ascii="Arial" w:eastAsia="Arial" w:hAnsi="Arial" w:cs="Arial"/>
          <w:color w:val="000000" w:themeColor="text1"/>
        </w:rPr>
        <w:t>) CM gene expression is confirmed using RT-qPCR on day 15. n=4-5 biological replicates. Error bar represents the SEM. (</w:t>
      </w:r>
      <w:r w:rsidRPr="007F235E">
        <w:rPr>
          <w:rFonts w:ascii="Arial" w:eastAsia="Arial" w:hAnsi="Arial" w:cs="Arial"/>
          <w:b/>
          <w:bCs/>
          <w:color w:val="000000" w:themeColor="text1"/>
        </w:rPr>
        <w:t>d</w:t>
      </w:r>
      <w:r w:rsidRPr="007F235E">
        <w:rPr>
          <w:rFonts w:ascii="Arial" w:eastAsia="Arial" w:hAnsi="Arial" w:cs="Arial"/>
          <w:color w:val="000000" w:themeColor="text1"/>
        </w:rPr>
        <w:t>) One week after the co-culture initiation, cells are stained for CM marker α-Actinin (green) and symN marker PRPH (red). Yellow dotted rectangle gates enlarge the region where symNs innervate CM. (</w:t>
      </w:r>
      <w:r w:rsidRPr="007F235E">
        <w:rPr>
          <w:rFonts w:ascii="Arial" w:eastAsia="Arial" w:hAnsi="Arial" w:cs="Arial"/>
          <w:b/>
          <w:bCs/>
          <w:color w:val="000000" w:themeColor="text1"/>
        </w:rPr>
        <w:t>e</w:t>
      </w:r>
      <w:r w:rsidRPr="007F235E">
        <w:rPr>
          <w:rFonts w:ascii="Arial" w:eastAsia="Arial" w:hAnsi="Arial" w:cs="Arial"/>
          <w:color w:val="000000" w:themeColor="text1"/>
        </w:rPr>
        <w:t>) MEA measurements show the CM beating rate with multiple culture conditions.  n=3-4 biological replicates. One-way ANOVA followed by Tukey’s multiple comparisons. Error bars represent the SEM. *P&lt;0.05, **p&lt;0.01, ***P&lt;0.001. Scale bars represent 200 μm.</w:t>
      </w:r>
    </w:p>
    <w:p w14:paraId="2CF41572" w14:textId="77777777" w:rsidR="00D2625F" w:rsidRPr="007F235E" w:rsidRDefault="00D2625F" w:rsidP="00D2625F">
      <w:pPr>
        <w:pStyle w:val="NormalWeb"/>
        <w:spacing w:line="480" w:lineRule="auto"/>
        <w:rPr>
          <w:rFonts w:ascii="Arial" w:hAnsi="Arial" w:cs="Arial"/>
          <w:color w:val="000000" w:themeColor="text1"/>
        </w:rPr>
      </w:pPr>
    </w:p>
    <w:p w14:paraId="2AE76E63" w14:textId="77777777" w:rsidR="00D2625F"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lastRenderedPageBreak/>
        <w:t>Supplementary figure 6</w:t>
      </w:r>
      <w:r w:rsidRPr="007F235E">
        <w:rPr>
          <w:rFonts w:ascii="Arial" w:eastAsia="Arial" w:hAnsi="Arial" w:cs="Arial"/>
          <w:color w:val="000000" w:themeColor="text1"/>
        </w:rPr>
        <w:t xml:space="preserve"> (related to figure 3). FD mouse model with </w:t>
      </w:r>
      <w:r>
        <w:rPr>
          <w:rFonts w:ascii="Arial" w:eastAsia="Arial" w:hAnsi="Arial" w:cs="Arial"/>
          <w:color w:val="000000" w:themeColor="text1"/>
        </w:rPr>
        <w:t>neural crest</w:t>
      </w:r>
      <w:r w:rsidRPr="007F235E">
        <w:rPr>
          <w:rFonts w:ascii="Arial" w:eastAsia="Arial" w:hAnsi="Arial" w:cs="Arial"/>
          <w:color w:val="000000" w:themeColor="text1"/>
        </w:rPr>
        <w:t xml:space="preserve"> </w:t>
      </w:r>
      <w:r w:rsidRPr="007F235E">
        <w:rPr>
          <w:rFonts w:ascii="Arial" w:eastAsia="Arial" w:hAnsi="Arial" w:cs="Arial"/>
          <w:i/>
          <w:iCs/>
          <w:color w:val="000000" w:themeColor="text1"/>
        </w:rPr>
        <w:t>Elp1</w:t>
      </w:r>
      <w:r w:rsidRPr="007F235E">
        <w:rPr>
          <w:rFonts w:ascii="Arial" w:eastAsia="Arial" w:hAnsi="Arial" w:cs="Arial"/>
          <w:color w:val="000000" w:themeColor="text1"/>
        </w:rPr>
        <w:t>-</w:t>
      </w:r>
      <w:r>
        <w:rPr>
          <w:rFonts w:ascii="Arial" w:eastAsia="Arial" w:hAnsi="Arial" w:cs="Arial"/>
          <w:color w:val="000000" w:themeColor="text1"/>
        </w:rPr>
        <w:t>C</w:t>
      </w:r>
      <w:r w:rsidRPr="007F235E">
        <w:rPr>
          <w:rFonts w:ascii="Arial" w:eastAsia="Arial" w:hAnsi="Arial" w:cs="Arial"/>
          <w:color w:val="000000" w:themeColor="text1"/>
        </w:rPr>
        <w:t>KO.</w:t>
      </w:r>
      <w:r>
        <w:rPr>
          <w:rFonts w:ascii="Arial" w:eastAsia="Arial" w:hAnsi="Arial" w:cs="Arial"/>
          <w:color w:val="000000" w:themeColor="text1"/>
        </w:rPr>
        <w:t xml:space="preserve"> (</w:t>
      </w:r>
      <w:r w:rsidRPr="00281E6D">
        <w:rPr>
          <w:rFonts w:ascii="Arial" w:eastAsia="Arial" w:hAnsi="Arial" w:cs="Arial"/>
          <w:b/>
          <w:bCs/>
          <w:color w:val="000000" w:themeColor="text1"/>
        </w:rPr>
        <w:t>a</w:t>
      </w:r>
      <w:r>
        <w:rPr>
          <w:rFonts w:ascii="Arial" w:eastAsia="Arial" w:hAnsi="Arial" w:cs="Arial"/>
          <w:color w:val="000000" w:themeColor="text1"/>
        </w:rPr>
        <w:t xml:space="preserve">) </w:t>
      </w:r>
      <w:r w:rsidRPr="007F235E">
        <w:rPr>
          <w:rFonts w:ascii="Arial" w:eastAsia="Arial" w:hAnsi="Arial" w:cs="Arial"/>
          <w:color w:val="000000" w:themeColor="text1"/>
        </w:rPr>
        <w:t xml:space="preserve">Cartoon shows </w:t>
      </w:r>
      <w:r w:rsidRPr="00354D9C">
        <w:rPr>
          <w:rFonts w:ascii="Arial" w:eastAsia="Arial" w:hAnsi="Arial" w:cs="Arial"/>
          <w:i/>
          <w:iCs/>
          <w:color w:val="000000" w:themeColor="text1"/>
        </w:rPr>
        <w:t>Wnt1/S</w:t>
      </w:r>
      <w:r>
        <w:rPr>
          <w:rFonts w:ascii="Arial" w:eastAsia="Arial" w:hAnsi="Arial" w:cs="Arial"/>
          <w:i/>
          <w:iCs/>
          <w:color w:val="000000" w:themeColor="text1"/>
        </w:rPr>
        <w:t>ox</w:t>
      </w:r>
      <w:r w:rsidRPr="00354D9C">
        <w:rPr>
          <w:rFonts w:ascii="Arial" w:eastAsia="Arial" w:hAnsi="Arial" w:cs="Arial"/>
          <w:i/>
          <w:iCs/>
          <w:color w:val="000000" w:themeColor="text1"/>
        </w:rPr>
        <w:t>10</w:t>
      </w:r>
      <w:r>
        <w:rPr>
          <w:rFonts w:ascii="Arial" w:eastAsia="Arial" w:hAnsi="Arial" w:cs="Arial"/>
          <w:color w:val="000000" w:themeColor="text1"/>
        </w:rPr>
        <w:t>-cre; elp1</w:t>
      </w:r>
      <w:r w:rsidRPr="00354D9C">
        <w:rPr>
          <w:rFonts w:ascii="Arial" w:eastAsia="Arial" w:hAnsi="Arial" w:cs="Arial"/>
          <w:color w:val="000000" w:themeColor="text1"/>
          <w:vertAlign w:val="superscript"/>
        </w:rPr>
        <w:t xml:space="preserve">LoxP/LoxP </w:t>
      </w:r>
      <w:r w:rsidRPr="007F235E">
        <w:rPr>
          <w:rFonts w:ascii="Arial" w:eastAsia="Arial" w:hAnsi="Arial" w:cs="Arial"/>
          <w:color w:val="000000" w:themeColor="text1"/>
        </w:rPr>
        <w:t xml:space="preserve">lineage-specific </w:t>
      </w:r>
      <w:r>
        <w:rPr>
          <w:rFonts w:ascii="Arial" w:eastAsia="Arial" w:hAnsi="Arial" w:cs="Arial"/>
          <w:color w:val="000000" w:themeColor="text1"/>
        </w:rPr>
        <w:t>C</w:t>
      </w:r>
      <w:r w:rsidRPr="007F235E">
        <w:rPr>
          <w:rFonts w:ascii="Arial" w:eastAsia="Arial" w:hAnsi="Arial" w:cs="Arial"/>
          <w:color w:val="000000" w:themeColor="text1"/>
        </w:rPr>
        <w:t>KO designs. (</w:t>
      </w:r>
      <w:r w:rsidRPr="007F235E">
        <w:rPr>
          <w:rFonts w:ascii="Arial" w:eastAsia="Arial" w:hAnsi="Arial" w:cs="Arial"/>
          <w:b/>
          <w:bCs/>
          <w:color w:val="000000" w:themeColor="text1"/>
        </w:rPr>
        <w:t>b</w:t>
      </w:r>
      <w:r w:rsidRPr="007F235E">
        <w:rPr>
          <w:rFonts w:ascii="Arial" w:eastAsia="Arial" w:hAnsi="Arial" w:cs="Arial"/>
          <w:color w:val="000000" w:themeColor="text1"/>
        </w:rPr>
        <w:t>) Picture demonstrates the identification of SCG in E14.5 embryos. (</w:t>
      </w:r>
      <w:r w:rsidRPr="007F235E">
        <w:rPr>
          <w:rFonts w:ascii="Arial" w:eastAsia="Arial" w:hAnsi="Arial" w:cs="Arial"/>
          <w:b/>
          <w:bCs/>
          <w:color w:val="000000" w:themeColor="text1"/>
        </w:rPr>
        <w:t>c</w:t>
      </w:r>
      <w:r w:rsidRPr="007F235E">
        <w:rPr>
          <w:rFonts w:ascii="Arial" w:eastAsia="Arial" w:hAnsi="Arial" w:cs="Arial"/>
          <w:color w:val="000000" w:themeColor="text1"/>
        </w:rPr>
        <w:t xml:space="preserve">) Cultured WT and </w:t>
      </w:r>
      <w:r>
        <w:rPr>
          <w:rFonts w:ascii="Arial" w:eastAsia="Arial" w:hAnsi="Arial" w:cs="Arial"/>
          <w:color w:val="000000" w:themeColor="text1"/>
        </w:rPr>
        <w:t>C</w:t>
      </w:r>
      <w:r w:rsidRPr="007F235E">
        <w:rPr>
          <w:rFonts w:ascii="Arial" w:eastAsia="Arial" w:hAnsi="Arial" w:cs="Arial"/>
          <w:color w:val="000000" w:themeColor="text1"/>
        </w:rPr>
        <w:t xml:space="preserve">KO SCGs from </w:t>
      </w:r>
      <w:r w:rsidRPr="00DB146A">
        <w:rPr>
          <w:rFonts w:ascii="Arial" w:eastAsia="Arial" w:hAnsi="Arial" w:cs="Arial"/>
          <w:i/>
          <w:iCs/>
          <w:color w:val="000000" w:themeColor="text1"/>
        </w:rPr>
        <w:t>Wnt1</w:t>
      </w:r>
      <w:r w:rsidRPr="007F235E">
        <w:rPr>
          <w:rFonts w:ascii="Arial" w:eastAsia="Arial" w:hAnsi="Arial" w:cs="Arial"/>
          <w:color w:val="000000" w:themeColor="text1"/>
        </w:rPr>
        <w:t>-Cre</w:t>
      </w:r>
      <w:r>
        <w:rPr>
          <w:rFonts w:ascii="Arial" w:eastAsia="Arial" w:hAnsi="Arial" w:cs="Arial"/>
          <w:color w:val="000000" w:themeColor="text1"/>
        </w:rPr>
        <w:t>; elp1</w:t>
      </w:r>
      <w:r w:rsidRPr="00354D9C">
        <w:rPr>
          <w:rFonts w:ascii="Arial" w:eastAsia="Arial" w:hAnsi="Arial" w:cs="Arial"/>
          <w:color w:val="000000" w:themeColor="text1"/>
          <w:vertAlign w:val="superscript"/>
        </w:rPr>
        <w:t>LoxP/LoxP</w:t>
      </w:r>
      <w:r w:rsidRPr="007F235E">
        <w:rPr>
          <w:rFonts w:ascii="Arial" w:eastAsia="Arial" w:hAnsi="Arial" w:cs="Arial"/>
          <w:color w:val="000000" w:themeColor="text1"/>
        </w:rPr>
        <w:t xml:space="preserve"> mouse line after DIV10. Red rectangles highlight the neural bodies and green rectangles show the neurite morphologies. Scale bar represents 50 μm.</w:t>
      </w:r>
    </w:p>
    <w:p w14:paraId="0B8299BE" w14:textId="77777777" w:rsidR="00D2625F" w:rsidRPr="00281E6D" w:rsidRDefault="00D2625F" w:rsidP="00D2625F">
      <w:pPr>
        <w:pStyle w:val="NormalWeb"/>
        <w:spacing w:line="480" w:lineRule="auto"/>
        <w:rPr>
          <w:rFonts w:ascii="Arial" w:eastAsia="Arial" w:hAnsi="Arial" w:cs="Arial"/>
          <w:color w:val="000000" w:themeColor="text1"/>
        </w:rPr>
      </w:pPr>
    </w:p>
    <w:p w14:paraId="2C50D655" w14:textId="77777777" w:rsidR="00D2625F" w:rsidRPr="007F235E" w:rsidRDefault="00D2625F" w:rsidP="00D2625F">
      <w:pPr>
        <w:pStyle w:val="NormalWeb"/>
        <w:spacing w:line="480" w:lineRule="auto"/>
        <w:rPr>
          <w:rFonts w:ascii="Arial" w:eastAsia="Arial" w:hAnsi="Arial" w:cs="Arial"/>
          <w:color w:val="000000" w:themeColor="text1"/>
        </w:rPr>
      </w:pPr>
      <w:r w:rsidRPr="007F235E">
        <w:rPr>
          <w:rFonts w:ascii="Arial" w:eastAsia="Arial" w:hAnsi="Arial" w:cs="Arial"/>
          <w:b/>
          <w:bCs/>
          <w:color w:val="000000" w:themeColor="text1"/>
        </w:rPr>
        <w:t xml:space="preserve">Supplementary figure 7 </w:t>
      </w:r>
      <w:r w:rsidRPr="007F235E">
        <w:rPr>
          <w:rFonts w:ascii="Arial" w:eastAsia="Arial" w:hAnsi="Arial" w:cs="Arial"/>
          <w:color w:val="000000" w:themeColor="text1"/>
        </w:rPr>
        <w:t>(related to figure 5). Validation for drugs used in the mini drug screen.</w:t>
      </w:r>
      <w:r>
        <w:rPr>
          <w:rFonts w:ascii="Arial" w:eastAsia="Arial" w:hAnsi="Arial" w:cs="Arial"/>
          <w:color w:val="000000" w:themeColor="text1"/>
        </w:rPr>
        <w:t xml:space="preserve"> </w:t>
      </w:r>
      <w:r w:rsidRPr="007F235E">
        <w:rPr>
          <w:rFonts w:ascii="Arial" w:hAnsi="Arial" w:cs="Arial"/>
          <w:color w:val="000000" w:themeColor="text1"/>
        </w:rPr>
        <w:t>Tested conditions of various treating times or dosages for dexmedetomidine (</w:t>
      </w:r>
      <w:r w:rsidRPr="007F235E">
        <w:rPr>
          <w:rFonts w:ascii="Arial" w:hAnsi="Arial" w:cs="Arial"/>
          <w:b/>
          <w:bCs/>
          <w:color w:val="000000" w:themeColor="text1"/>
        </w:rPr>
        <w:t>a</w:t>
      </w:r>
      <w:r w:rsidRPr="007F235E">
        <w:rPr>
          <w:rFonts w:ascii="Arial" w:hAnsi="Arial" w:cs="Arial"/>
          <w:color w:val="000000" w:themeColor="text1"/>
        </w:rPr>
        <w:t>), clozapine (</w:t>
      </w:r>
      <w:r w:rsidRPr="007F235E">
        <w:rPr>
          <w:rFonts w:ascii="Arial" w:hAnsi="Arial" w:cs="Arial"/>
          <w:b/>
          <w:bCs/>
          <w:color w:val="000000" w:themeColor="text1"/>
        </w:rPr>
        <w:t>b</w:t>
      </w:r>
      <w:r w:rsidRPr="007F235E">
        <w:rPr>
          <w:rFonts w:ascii="Arial" w:hAnsi="Arial" w:cs="Arial"/>
          <w:color w:val="000000" w:themeColor="text1"/>
        </w:rPr>
        <w:t>), BGP-15 (</w:t>
      </w:r>
      <w:r w:rsidRPr="007F235E">
        <w:rPr>
          <w:rFonts w:ascii="Arial" w:hAnsi="Arial" w:cs="Arial"/>
          <w:b/>
          <w:bCs/>
          <w:color w:val="000000" w:themeColor="text1"/>
        </w:rPr>
        <w:t>c</w:t>
      </w:r>
      <w:r w:rsidRPr="007F235E">
        <w:rPr>
          <w:rFonts w:ascii="Arial" w:hAnsi="Arial" w:cs="Arial"/>
          <w:color w:val="000000" w:themeColor="text1"/>
        </w:rPr>
        <w:t>) and NSC-87877 (</w:t>
      </w:r>
      <w:r w:rsidRPr="007F235E">
        <w:rPr>
          <w:rFonts w:ascii="Arial" w:hAnsi="Arial" w:cs="Arial"/>
          <w:b/>
          <w:bCs/>
          <w:color w:val="000000" w:themeColor="text1"/>
        </w:rPr>
        <w:t>d</w:t>
      </w:r>
      <w:r w:rsidRPr="007F235E">
        <w:rPr>
          <w:rFonts w:ascii="Arial" w:hAnsi="Arial" w:cs="Arial"/>
          <w:color w:val="000000" w:themeColor="text1"/>
        </w:rPr>
        <w:t xml:space="preserve">). For (a), </w:t>
      </w:r>
      <w:r w:rsidRPr="007F235E">
        <w:rPr>
          <w:rFonts w:ascii="Arial" w:eastAsia="Arial" w:hAnsi="Arial" w:cs="Arial"/>
          <w:color w:val="000000" w:themeColor="text1"/>
        </w:rPr>
        <w:t>n=5 biological replicates. One-way ANOVA followed by Tukey’s multiple comparisons. Error bars represent the SEM. ****P&lt;0.0001. For (b-d), n=4-5 biological replicates. Two-way ANOVA followed by Šídák multiple comparisons. Error bar represents the SEM. **P&lt;0.01, ***P&lt;0.001.</w:t>
      </w:r>
      <w:r w:rsidRPr="007F235E">
        <w:rPr>
          <w:rFonts w:ascii="Arial" w:hAnsi="Arial" w:cs="Arial"/>
          <w:color w:val="000000" w:themeColor="text1"/>
        </w:rPr>
        <w:t xml:space="preserve"> </w:t>
      </w:r>
      <w:r w:rsidRPr="007F235E">
        <w:rPr>
          <w:rFonts w:ascii="Arial" w:eastAsia="Arial" w:hAnsi="Arial" w:cs="Arial"/>
          <w:color w:val="000000" w:themeColor="text1"/>
        </w:rPr>
        <w:t>Data from hESC-ctl-H9 and iPSC-ctl-C1.2 are pooled as control; data from iPSC-FD-S2.3 and iPSC-FD-S3 are pooled as FD.</w:t>
      </w:r>
    </w:p>
    <w:p w14:paraId="7C9B5AEC" w14:textId="77777777" w:rsidR="00D2625F" w:rsidRDefault="00D2625F"/>
    <w:sectPr w:rsidR="00D2625F" w:rsidSect="00BF74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5F"/>
    <w:rsid w:val="00BF74CD"/>
    <w:rsid w:val="00D26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EC28"/>
  <w15:chartTrackingRefBased/>
  <w15:docId w15:val="{A7F71B0E-2DD5-C346-90D2-F8E92469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625F"/>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2021-11-24T20:37:00Z</dcterms:created>
  <dcterms:modified xsi:type="dcterms:W3CDTF">2021-11-24T20:37:00Z</dcterms:modified>
</cp:coreProperties>
</file>