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B7304">
      <w:pPr>
        <w:rPr>
          <w:rFonts w:hint="eastAsia" w:ascii="Times New Roman Regular" w:hAnsi="Times New Roman Regular" w:eastAsia="微软雅黑" w:cs="Times New Roman Regular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val="en-US" w:eastAsia="zh-CN"/>
        </w:rPr>
        <w:t>Supplementary</w:t>
      </w:r>
    </w:p>
    <w:p w14:paraId="1C1236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Times New Roman Regular" w:hAnsi="Times New Roman Regular" w:eastAsia="微软雅黑" w:cs="Times New Roman Regular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Times New Roman Regular" w:hAnsi="Times New Roman Regular" w:eastAsia="微软雅黑" w:cs="Times New Roman Regular"/>
          <w:b/>
          <w:bCs/>
          <w:sz w:val="21"/>
          <w:szCs w:val="21"/>
          <w:highlight w:val="none"/>
          <w:lang w:val="en-US" w:eastAsia="zh-CN"/>
        </w:rPr>
        <w:t>Table S1 Percentage change of Groups A and B relative to Group C</w:t>
      </w:r>
    </w:p>
    <w:tbl>
      <w:tblPr>
        <w:tblStyle w:val="3"/>
        <w:tblW w:w="837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195"/>
        <w:gridCol w:w="1195"/>
        <w:gridCol w:w="1195"/>
        <w:gridCol w:w="1195"/>
        <w:gridCol w:w="1201"/>
        <w:gridCol w:w="1201"/>
      </w:tblGrid>
      <w:tr w14:paraId="478AD3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19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A43F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center"/>
              <w:textAlignment w:val="top"/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9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3338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A1 vs C1 (% change)</w:t>
            </w:r>
          </w:p>
        </w:tc>
        <w:tc>
          <w:tcPr>
            <w:tcW w:w="119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8999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B1 vs C1 (% change)</w:t>
            </w:r>
          </w:p>
        </w:tc>
        <w:tc>
          <w:tcPr>
            <w:tcW w:w="119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1166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A1 vs B1 (% change)</w:t>
            </w:r>
          </w:p>
        </w:tc>
        <w:tc>
          <w:tcPr>
            <w:tcW w:w="119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A4A2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A2 vs C2 (% change)</w:t>
            </w:r>
          </w:p>
        </w:tc>
        <w:tc>
          <w:tcPr>
            <w:tcW w:w="120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9C95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B2 vs C2 (% change)</w:t>
            </w:r>
          </w:p>
        </w:tc>
        <w:tc>
          <w:tcPr>
            <w:tcW w:w="120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FF00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A2 vs B2 (% change)</w:t>
            </w:r>
          </w:p>
        </w:tc>
      </w:tr>
      <w:tr w14:paraId="675D56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95" w:type="dxa"/>
            <w:tcBorders>
              <w:top w:val="single" w:color="auto" w:sz="4" w:space="0"/>
            </w:tcBorders>
            <w:noWrap/>
            <w:vAlign w:val="center"/>
          </w:tcPr>
          <w:p w14:paraId="6FF6F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CT(HU)</w:t>
            </w:r>
          </w:p>
        </w:tc>
        <w:tc>
          <w:tcPr>
            <w:tcW w:w="1195" w:type="dxa"/>
            <w:tcBorders>
              <w:top w:val="single" w:color="auto" w:sz="4" w:space="0"/>
            </w:tcBorders>
            <w:noWrap w:val="0"/>
            <w:vAlign w:val="center"/>
          </w:tcPr>
          <w:p w14:paraId="55EFE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195" w:type="dxa"/>
            <w:tcBorders>
              <w:top w:val="single" w:color="auto" w:sz="4" w:space="0"/>
            </w:tcBorders>
            <w:noWrap w:val="0"/>
            <w:vAlign w:val="center"/>
          </w:tcPr>
          <w:p w14:paraId="762F5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195" w:type="dxa"/>
            <w:tcBorders>
              <w:top w:val="single" w:color="auto" w:sz="4" w:space="0"/>
            </w:tcBorders>
            <w:noWrap w:val="0"/>
            <w:vAlign w:val="center"/>
          </w:tcPr>
          <w:p w14:paraId="4570C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195" w:type="dxa"/>
            <w:tcBorders>
              <w:top w:val="single" w:color="auto" w:sz="4" w:space="0"/>
            </w:tcBorders>
            <w:noWrap w:val="0"/>
            <w:vAlign w:val="center"/>
          </w:tcPr>
          <w:p w14:paraId="1AD65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201" w:type="dxa"/>
            <w:tcBorders>
              <w:top w:val="single" w:color="auto" w:sz="4" w:space="0"/>
            </w:tcBorders>
            <w:noWrap w:val="0"/>
            <w:vAlign w:val="center"/>
          </w:tcPr>
          <w:p w14:paraId="4929E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</w:p>
        </w:tc>
        <w:tc>
          <w:tcPr>
            <w:tcW w:w="1201" w:type="dxa"/>
            <w:tcBorders>
              <w:top w:val="single" w:color="auto" w:sz="4" w:space="0"/>
            </w:tcBorders>
            <w:noWrap w:val="0"/>
            <w:vAlign w:val="center"/>
          </w:tcPr>
          <w:p w14:paraId="59459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</w:p>
        </w:tc>
      </w:tr>
      <w:tr w14:paraId="69DAFB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195" w:type="dxa"/>
            <w:noWrap/>
            <w:vAlign w:val="center"/>
          </w:tcPr>
          <w:p w14:paraId="54D2F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pRCA</w:t>
            </w:r>
          </w:p>
        </w:tc>
        <w:tc>
          <w:tcPr>
            <w:tcW w:w="1195" w:type="dxa"/>
            <w:noWrap w:val="0"/>
            <w:vAlign w:val="center"/>
          </w:tcPr>
          <w:p w14:paraId="3C132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-1.87%</w:t>
            </w:r>
          </w:p>
        </w:tc>
        <w:tc>
          <w:tcPr>
            <w:tcW w:w="1195" w:type="dxa"/>
            <w:noWrap w:val="0"/>
            <w:vAlign w:val="center"/>
          </w:tcPr>
          <w:p w14:paraId="3A61EE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-1.76%</w:t>
            </w:r>
          </w:p>
        </w:tc>
        <w:tc>
          <w:tcPr>
            <w:tcW w:w="1195" w:type="dxa"/>
            <w:noWrap w:val="0"/>
            <w:vAlign w:val="center"/>
          </w:tcPr>
          <w:p w14:paraId="04FE5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-0.11%</w:t>
            </w:r>
          </w:p>
        </w:tc>
        <w:tc>
          <w:tcPr>
            <w:tcW w:w="1195" w:type="dxa"/>
            <w:noWrap w:val="0"/>
            <w:vAlign w:val="center"/>
          </w:tcPr>
          <w:p w14:paraId="3BB20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-0.20%</w:t>
            </w:r>
          </w:p>
        </w:tc>
        <w:tc>
          <w:tcPr>
            <w:tcW w:w="1201" w:type="dxa"/>
            <w:noWrap w:val="0"/>
            <w:vAlign w:val="center"/>
          </w:tcPr>
          <w:p w14:paraId="139B2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0.42%</w:t>
            </w:r>
          </w:p>
        </w:tc>
        <w:tc>
          <w:tcPr>
            <w:tcW w:w="1201" w:type="dxa"/>
            <w:noWrap w:val="0"/>
            <w:vAlign w:val="center"/>
          </w:tcPr>
          <w:p w14:paraId="3161D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-0.63%</w:t>
            </w:r>
          </w:p>
        </w:tc>
      </w:tr>
      <w:tr w14:paraId="4502D7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195" w:type="dxa"/>
            <w:noWrap/>
            <w:vAlign w:val="center"/>
          </w:tcPr>
          <w:p w14:paraId="357E7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mRCA</w:t>
            </w:r>
          </w:p>
        </w:tc>
        <w:tc>
          <w:tcPr>
            <w:tcW w:w="1195" w:type="dxa"/>
            <w:noWrap w:val="0"/>
            <w:vAlign w:val="center"/>
          </w:tcPr>
          <w:p w14:paraId="31630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19.67%</w:t>
            </w:r>
          </w:p>
        </w:tc>
        <w:tc>
          <w:tcPr>
            <w:tcW w:w="1195" w:type="dxa"/>
            <w:noWrap w:val="0"/>
            <w:vAlign w:val="center"/>
          </w:tcPr>
          <w:p w14:paraId="241AA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14.48%</w:t>
            </w:r>
          </w:p>
        </w:tc>
        <w:tc>
          <w:tcPr>
            <w:tcW w:w="1195" w:type="dxa"/>
            <w:noWrap w:val="0"/>
            <w:vAlign w:val="center"/>
          </w:tcPr>
          <w:p w14:paraId="79E24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4.53%</w:t>
            </w:r>
          </w:p>
        </w:tc>
        <w:tc>
          <w:tcPr>
            <w:tcW w:w="1195" w:type="dxa"/>
            <w:noWrap w:val="0"/>
            <w:vAlign w:val="center"/>
          </w:tcPr>
          <w:p w14:paraId="6CFCB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4.32%</w:t>
            </w:r>
          </w:p>
        </w:tc>
        <w:tc>
          <w:tcPr>
            <w:tcW w:w="1201" w:type="dxa"/>
            <w:noWrap w:val="0"/>
            <w:vAlign w:val="center"/>
          </w:tcPr>
          <w:p w14:paraId="07D61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1.88%</w:t>
            </w:r>
          </w:p>
        </w:tc>
        <w:tc>
          <w:tcPr>
            <w:tcW w:w="1201" w:type="dxa"/>
            <w:noWrap w:val="0"/>
            <w:vAlign w:val="center"/>
          </w:tcPr>
          <w:p w14:paraId="35954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2.40%</w:t>
            </w:r>
          </w:p>
        </w:tc>
      </w:tr>
      <w:tr w14:paraId="36186C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195" w:type="dxa"/>
            <w:noWrap/>
            <w:vAlign w:val="center"/>
          </w:tcPr>
          <w:p w14:paraId="3CED1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dRCA</w:t>
            </w:r>
          </w:p>
        </w:tc>
        <w:tc>
          <w:tcPr>
            <w:tcW w:w="1195" w:type="dxa"/>
            <w:noWrap w:val="0"/>
            <w:vAlign w:val="center"/>
          </w:tcPr>
          <w:p w14:paraId="33887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2.67%</w:t>
            </w:r>
          </w:p>
        </w:tc>
        <w:tc>
          <w:tcPr>
            <w:tcW w:w="1195" w:type="dxa"/>
            <w:noWrap w:val="0"/>
            <w:vAlign w:val="center"/>
          </w:tcPr>
          <w:p w14:paraId="18D8C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2.14%</w:t>
            </w:r>
          </w:p>
        </w:tc>
        <w:tc>
          <w:tcPr>
            <w:tcW w:w="1195" w:type="dxa"/>
            <w:noWrap w:val="0"/>
            <w:vAlign w:val="center"/>
          </w:tcPr>
          <w:p w14:paraId="6AEE0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0.52%</w:t>
            </w:r>
          </w:p>
        </w:tc>
        <w:tc>
          <w:tcPr>
            <w:tcW w:w="1195" w:type="dxa"/>
            <w:noWrap w:val="0"/>
            <w:vAlign w:val="center"/>
          </w:tcPr>
          <w:p w14:paraId="11D03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4.03%</w:t>
            </w:r>
          </w:p>
        </w:tc>
        <w:tc>
          <w:tcPr>
            <w:tcW w:w="1201" w:type="dxa"/>
            <w:noWrap w:val="0"/>
            <w:vAlign w:val="center"/>
          </w:tcPr>
          <w:p w14:paraId="061A5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3.05%</w:t>
            </w:r>
          </w:p>
        </w:tc>
        <w:tc>
          <w:tcPr>
            <w:tcW w:w="1201" w:type="dxa"/>
            <w:noWrap w:val="0"/>
            <w:vAlign w:val="center"/>
          </w:tcPr>
          <w:p w14:paraId="2A06A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0.96%</w:t>
            </w:r>
          </w:p>
        </w:tc>
      </w:tr>
      <w:tr w14:paraId="7CEC4C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95" w:type="dxa"/>
            <w:noWrap/>
            <w:vAlign w:val="center"/>
          </w:tcPr>
          <w:p w14:paraId="6CA83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LM</w:t>
            </w:r>
          </w:p>
        </w:tc>
        <w:tc>
          <w:tcPr>
            <w:tcW w:w="1195" w:type="dxa"/>
            <w:noWrap w:val="0"/>
            <w:vAlign w:val="center"/>
          </w:tcPr>
          <w:p w14:paraId="422EB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3.89%</w:t>
            </w:r>
          </w:p>
        </w:tc>
        <w:tc>
          <w:tcPr>
            <w:tcW w:w="1195" w:type="dxa"/>
            <w:noWrap w:val="0"/>
            <w:vAlign w:val="center"/>
          </w:tcPr>
          <w:p w14:paraId="50728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2.78%</w:t>
            </w:r>
          </w:p>
        </w:tc>
        <w:tc>
          <w:tcPr>
            <w:tcW w:w="1195" w:type="dxa"/>
            <w:noWrap w:val="0"/>
            <w:vAlign w:val="center"/>
          </w:tcPr>
          <w:p w14:paraId="61435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1.08%</w:t>
            </w:r>
          </w:p>
        </w:tc>
        <w:tc>
          <w:tcPr>
            <w:tcW w:w="1195" w:type="dxa"/>
            <w:noWrap w:val="0"/>
            <w:vAlign w:val="center"/>
          </w:tcPr>
          <w:p w14:paraId="0AA5B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1.94%</w:t>
            </w:r>
          </w:p>
        </w:tc>
        <w:tc>
          <w:tcPr>
            <w:tcW w:w="1201" w:type="dxa"/>
            <w:noWrap w:val="0"/>
            <w:vAlign w:val="center"/>
          </w:tcPr>
          <w:p w14:paraId="1E76D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1.20%</w:t>
            </w:r>
          </w:p>
        </w:tc>
        <w:tc>
          <w:tcPr>
            <w:tcW w:w="1201" w:type="dxa"/>
            <w:noWrap w:val="0"/>
            <w:vAlign w:val="center"/>
          </w:tcPr>
          <w:p w14:paraId="07996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0.74%</w:t>
            </w:r>
          </w:p>
        </w:tc>
      </w:tr>
      <w:tr w14:paraId="0519A0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95" w:type="dxa"/>
            <w:noWrap/>
            <w:vAlign w:val="center"/>
          </w:tcPr>
          <w:p w14:paraId="5FC90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pLAD</w:t>
            </w:r>
          </w:p>
        </w:tc>
        <w:tc>
          <w:tcPr>
            <w:tcW w:w="1195" w:type="dxa"/>
            <w:noWrap w:val="0"/>
            <w:vAlign w:val="center"/>
          </w:tcPr>
          <w:p w14:paraId="05A5A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8.00%</w:t>
            </w:r>
          </w:p>
        </w:tc>
        <w:tc>
          <w:tcPr>
            <w:tcW w:w="1195" w:type="dxa"/>
            <w:noWrap w:val="0"/>
            <w:vAlign w:val="center"/>
          </w:tcPr>
          <w:p w14:paraId="626FA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-3.42%</w:t>
            </w:r>
          </w:p>
        </w:tc>
        <w:tc>
          <w:tcPr>
            <w:tcW w:w="1195" w:type="dxa"/>
            <w:noWrap w:val="0"/>
            <w:vAlign w:val="center"/>
          </w:tcPr>
          <w:p w14:paraId="214F4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11.82%</w:t>
            </w:r>
          </w:p>
        </w:tc>
        <w:tc>
          <w:tcPr>
            <w:tcW w:w="1195" w:type="dxa"/>
            <w:noWrap w:val="0"/>
            <w:vAlign w:val="center"/>
          </w:tcPr>
          <w:p w14:paraId="78B16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2.89%</w:t>
            </w:r>
          </w:p>
        </w:tc>
        <w:tc>
          <w:tcPr>
            <w:tcW w:w="1201" w:type="dxa"/>
            <w:noWrap w:val="0"/>
            <w:vAlign w:val="center"/>
          </w:tcPr>
          <w:p w14:paraId="39E1D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2.05%</w:t>
            </w:r>
          </w:p>
        </w:tc>
        <w:tc>
          <w:tcPr>
            <w:tcW w:w="1201" w:type="dxa"/>
            <w:noWrap w:val="0"/>
            <w:vAlign w:val="center"/>
          </w:tcPr>
          <w:p w14:paraId="33D4E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0.82%</w:t>
            </w:r>
          </w:p>
        </w:tc>
      </w:tr>
      <w:tr w14:paraId="455044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195" w:type="dxa"/>
            <w:noWrap/>
            <w:vAlign w:val="center"/>
          </w:tcPr>
          <w:p w14:paraId="71D4A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pLCX</w:t>
            </w:r>
          </w:p>
        </w:tc>
        <w:tc>
          <w:tcPr>
            <w:tcW w:w="1195" w:type="dxa"/>
            <w:noWrap w:val="0"/>
            <w:vAlign w:val="center"/>
          </w:tcPr>
          <w:p w14:paraId="35B35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9.68%</w:t>
            </w:r>
          </w:p>
        </w:tc>
        <w:tc>
          <w:tcPr>
            <w:tcW w:w="1195" w:type="dxa"/>
            <w:noWrap w:val="0"/>
            <w:vAlign w:val="center"/>
          </w:tcPr>
          <w:p w14:paraId="41DF1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9.00%</w:t>
            </w:r>
          </w:p>
        </w:tc>
        <w:tc>
          <w:tcPr>
            <w:tcW w:w="1195" w:type="dxa"/>
            <w:noWrap w:val="0"/>
            <w:vAlign w:val="center"/>
          </w:tcPr>
          <w:p w14:paraId="18DA9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0.63%</w:t>
            </w:r>
          </w:p>
        </w:tc>
        <w:tc>
          <w:tcPr>
            <w:tcW w:w="1195" w:type="dxa"/>
            <w:noWrap w:val="0"/>
            <w:vAlign w:val="center"/>
          </w:tcPr>
          <w:p w14:paraId="407E2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6.25%</w:t>
            </w:r>
          </w:p>
        </w:tc>
        <w:tc>
          <w:tcPr>
            <w:tcW w:w="1201" w:type="dxa"/>
            <w:noWrap w:val="0"/>
            <w:vAlign w:val="center"/>
          </w:tcPr>
          <w:p w14:paraId="73B2A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5.10%</w:t>
            </w:r>
          </w:p>
        </w:tc>
        <w:tc>
          <w:tcPr>
            <w:tcW w:w="1201" w:type="dxa"/>
            <w:noWrap w:val="0"/>
            <w:vAlign w:val="center"/>
          </w:tcPr>
          <w:p w14:paraId="158C9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1.10%</w:t>
            </w:r>
          </w:p>
        </w:tc>
      </w:tr>
      <w:tr w14:paraId="573CF0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195" w:type="dxa"/>
            <w:noWrap/>
            <w:vAlign w:val="center"/>
          </w:tcPr>
          <w:p w14:paraId="5B505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AO</w:t>
            </w:r>
          </w:p>
        </w:tc>
        <w:tc>
          <w:tcPr>
            <w:tcW w:w="1195" w:type="dxa"/>
            <w:noWrap w:val="0"/>
            <w:vAlign w:val="center"/>
          </w:tcPr>
          <w:p w14:paraId="73119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1.38%</w:t>
            </w:r>
          </w:p>
        </w:tc>
        <w:tc>
          <w:tcPr>
            <w:tcW w:w="1195" w:type="dxa"/>
            <w:noWrap w:val="0"/>
            <w:vAlign w:val="center"/>
          </w:tcPr>
          <w:p w14:paraId="56420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0.84%</w:t>
            </w:r>
          </w:p>
        </w:tc>
        <w:tc>
          <w:tcPr>
            <w:tcW w:w="1195" w:type="dxa"/>
            <w:noWrap w:val="0"/>
            <w:vAlign w:val="center"/>
          </w:tcPr>
          <w:p w14:paraId="5C454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0.53%</w:t>
            </w:r>
          </w:p>
        </w:tc>
        <w:tc>
          <w:tcPr>
            <w:tcW w:w="1195" w:type="dxa"/>
            <w:noWrap w:val="0"/>
            <w:vAlign w:val="center"/>
          </w:tcPr>
          <w:p w14:paraId="3571C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0.54%</w:t>
            </w:r>
          </w:p>
        </w:tc>
        <w:tc>
          <w:tcPr>
            <w:tcW w:w="1201" w:type="dxa"/>
            <w:noWrap w:val="0"/>
            <w:vAlign w:val="center"/>
          </w:tcPr>
          <w:p w14:paraId="3010C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1.24%</w:t>
            </w:r>
          </w:p>
        </w:tc>
        <w:tc>
          <w:tcPr>
            <w:tcW w:w="1201" w:type="dxa"/>
            <w:noWrap w:val="0"/>
            <w:vAlign w:val="center"/>
          </w:tcPr>
          <w:p w14:paraId="7E4B8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-0.69%</w:t>
            </w:r>
          </w:p>
        </w:tc>
      </w:tr>
      <w:tr w14:paraId="4CEA9C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95" w:type="dxa"/>
            <w:noWrap/>
            <w:vAlign w:val="center"/>
          </w:tcPr>
          <w:p w14:paraId="2C55C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SD</w:t>
            </w:r>
          </w:p>
        </w:tc>
        <w:tc>
          <w:tcPr>
            <w:tcW w:w="1195" w:type="dxa"/>
            <w:noWrap w:val="0"/>
            <w:vAlign w:val="center"/>
          </w:tcPr>
          <w:p w14:paraId="2F6CB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72E0F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3D08A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2AA3E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6050B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0EEF0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29437F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28003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CE74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-55.84%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51C6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-31.38%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E121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-35.64%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53F8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-46.73%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64F0C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-18.40%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21270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-34.71%</w:t>
            </w:r>
          </w:p>
        </w:tc>
      </w:tr>
      <w:tr w14:paraId="368FD9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46DB4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mRCA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6859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-39.68%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4C03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-22.53%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198F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-22.14%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D1AD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-34.53%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41C4E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-20.69%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4B1F1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-17.44%</w:t>
            </w:r>
          </w:p>
        </w:tc>
      </w:tr>
      <w:tr w14:paraId="136149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689F8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dRCA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C6FC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-50.51%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23B9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-34.76%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C236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-24.15%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FD76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-46.56%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6139A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-33.92%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5F73F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-19.13%</w:t>
            </w:r>
          </w:p>
        </w:tc>
      </w:tr>
      <w:tr w14:paraId="228E6C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35955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LM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9E9C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-51.22%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0D383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-24.27%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0D9B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-35.58%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3025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-57.77%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5C50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-36.28%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283CE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-33.73%</w:t>
            </w:r>
          </w:p>
        </w:tc>
      </w:tr>
      <w:tr w14:paraId="5B16CB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7609B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pLAD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627D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-51.07%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451A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-40.05%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CEE9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-18.38%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CB2E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-43.84%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5AEC8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-32.71%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444F3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-16.54%</w:t>
            </w:r>
          </w:p>
        </w:tc>
      </w:tr>
      <w:tr w14:paraId="220C32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79339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pLCX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38E9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-41.57%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C8C4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-31.03%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C133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-15.29%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183D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-40.33%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63443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-27.56%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6E80B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-17.63%</w:t>
            </w:r>
          </w:p>
        </w:tc>
      </w:tr>
      <w:tr w14:paraId="152C63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07F0A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AO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CB07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-54.37%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018B5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-29.40%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43E4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-35.38%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26B2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-54.30%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48EBE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-27.43%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66217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-37.02%</w:t>
            </w:r>
          </w:p>
        </w:tc>
      </w:tr>
      <w:tr w14:paraId="62B20F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0C874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SNR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F24E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A017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0640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B938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509F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6A9E0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BF079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3DCAC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8F0A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125.26%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003B1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52.07%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8BFA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48.13%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77B1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85.49%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4EBEB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36.13%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7E33E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36.26%</w:t>
            </w:r>
          </w:p>
        </w:tc>
      </w:tr>
      <w:tr w14:paraId="157076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59878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mRCA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281A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99.23%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00E2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45.02%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5A9B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37.38%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F069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62.06%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4ADC6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27.62%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5FFE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26.99%</w:t>
            </w:r>
          </w:p>
        </w:tc>
      </w:tr>
      <w:tr w14:paraId="03679E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4B13E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dRCA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D253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116.03%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00DC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54.76%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DC4A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39.58%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1BD7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132.69%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733A8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58.84%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76E95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46.49%</w:t>
            </w:r>
          </w:p>
        </w:tc>
      </w:tr>
      <w:tr w14:paraId="7E4A06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53502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LM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033A0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138.36%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9A52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38.97%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8A65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71.52%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F084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124.55%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7A2D9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48.51%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5372B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51.20%</w:t>
            </w:r>
          </w:p>
        </w:tc>
      </w:tr>
      <w:tr w14:paraId="2FDEC4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3B849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pLAD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09DC9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186.87%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97CD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98.35%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1C65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44.63%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B9C6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77.85%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54C63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38.54%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5103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28.38%</w:t>
            </w:r>
          </w:p>
        </w:tc>
      </w:tr>
      <w:tr w14:paraId="721666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0CF5F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pLCX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39EF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134.88%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E75D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82.74%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791D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28.53%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BB0C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95.10%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7FC9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44.62%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28387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34.90%</w:t>
            </w:r>
          </w:p>
        </w:tc>
      </w:tr>
      <w:tr w14:paraId="62A522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30894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AO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8B48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123.19%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CC46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49.21%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B06C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49.58%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12EC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134.42%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04ADE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45.84%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5C78F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60.74%</w:t>
            </w:r>
          </w:p>
        </w:tc>
      </w:tr>
      <w:tr w14:paraId="6D01DA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425C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CNR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0A71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5F62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6141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E1B0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5438E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6625F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F7D31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64B7F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F224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51.58%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B2EE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-0.46%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9227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52.28%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C33F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46.55%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9128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-0.96%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365E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47.97%</w:t>
            </w:r>
          </w:p>
        </w:tc>
      </w:tr>
      <w:tr w14:paraId="121577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43F84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mRCA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BB79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78.55%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F48D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10.60%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0395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61.43%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09D9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50.95%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25791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-1.55%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0DA4C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53.33%</w:t>
            </w:r>
          </w:p>
        </w:tc>
      </w:tr>
      <w:tr w14:paraId="4A98C7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3AA8E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dRCA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D915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57.06%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7249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3.19%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41B1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52.20%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B8DE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49.84%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647E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1.26%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05FD4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47.98%</w:t>
            </w:r>
          </w:p>
        </w:tc>
      </w:tr>
      <w:tr w14:paraId="7C96B1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0E901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LM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3063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58.50%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00F9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3.31%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B2CE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53.42%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142C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49.83%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13448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0.10%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2F13D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49.68%</w:t>
            </w:r>
          </w:p>
        </w:tc>
      </w:tr>
      <w:tr w14:paraId="26815C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06CB2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pLAD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B0B7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62.76%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3C8F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6.00%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32BE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53.55%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A43E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49.52%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6D709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-0.24%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165B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49.88%</w:t>
            </w:r>
          </w:p>
        </w:tc>
      </w:tr>
      <w:tr w14:paraId="1DB95B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04D2C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pLCX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02A51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68.63%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D63F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10.35%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C6F6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52.81%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F5DC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54.05%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0C660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2.82%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466A6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49.82%</w:t>
            </w:r>
          </w:p>
        </w:tc>
      </w:tr>
      <w:tr w14:paraId="69B14E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4CB08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AO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5FF20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56.55%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4D627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2.05%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60B19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53.42%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2FEC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47.44%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7D3AB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-0.25%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4706C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47.81%</w:t>
            </w:r>
          </w:p>
        </w:tc>
      </w:tr>
      <w:tr w14:paraId="33A542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4F877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AI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040D7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1E691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3C05A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520C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189F8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6F027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2057C7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noWrap/>
            <w:vAlign w:val="center"/>
          </w:tcPr>
          <w:p w14:paraId="4500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pRCA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784D8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-64.64%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01DD1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-44.17%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7FC4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-36.66%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noWrap w:val="0"/>
            <w:vAlign w:val="center"/>
          </w:tcPr>
          <w:p w14:paraId="23132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-47.04%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3F90C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-17.59%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noWrap w:val="0"/>
            <w:vAlign w:val="center"/>
          </w:tcPr>
          <w:p w14:paraId="56B49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-35.74%</w:t>
            </w:r>
          </w:p>
        </w:tc>
      </w:tr>
      <w:tr w14:paraId="6FA1AE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noWrap w:val="0"/>
            <w:vAlign w:val="center"/>
          </w:tcPr>
          <w:p w14:paraId="4E7DE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mRCA</w:t>
            </w:r>
          </w:p>
        </w:tc>
        <w:tc>
          <w:tcPr>
            <w:tcW w:w="1195" w:type="dxa"/>
            <w:noWrap w:val="0"/>
            <w:vAlign w:val="center"/>
          </w:tcPr>
          <w:p w14:paraId="4BBCB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-40.39%</w:t>
            </w:r>
          </w:p>
        </w:tc>
        <w:tc>
          <w:tcPr>
            <w:tcW w:w="1195" w:type="dxa"/>
            <w:noWrap w:val="0"/>
            <w:vAlign w:val="center"/>
          </w:tcPr>
          <w:p w14:paraId="4CD7A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-27.72%</w:t>
            </w:r>
          </w:p>
        </w:tc>
        <w:tc>
          <w:tcPr>
            <w:tcW w:w="1195" w:type="dxa"/>
            <w:noWrap w:val="0"/>
            <w:vAlign w:val="center"/>
          </w:tcPr>
          <w:p w14:paraId="55856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-17.53%</w:t>
            </w:r>
          </w:p>
        </w:tc>
        <w:tc>
          <w:tcPr>
            <w:tcW w:w="1195" w:type="dxa"/>
            <w:noWrap w:val="0"/>
            <w:vAlign w:val="center"/>
          </w:tcPr>
          <w:p w14:paraId="4C48C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-29.59%</w:t>
            </w:r>
          </w:p>
        </w:tc>
        <w:tc>
          <w:tcPr>
            <w:tcW w:w="1201" w:type="dxa"/>
            <w:noWrap w:val="0"/>
            <w:vAlign w:val="center"/>
          </w:tcPr>
          <w:p w14:paraId="5036C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-21.08%</w:t>
            </w:r>
          </w:p>
        </w:tc>
        <w:tc>
          <w:tcPr>
            <w:tcW w:w="1201" w:type="dxa"/>
            <w:noWrap w:val="0"/>
            <w:vAlign w:val="center"/>
          </w:tcPr>
          <w:p w14:paraId="020DD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-10.78%</w:t>
            </w:r>
          </w:p>
        </w:tc>
      </w:tr>
      <w:tr w14:paraId="3DF105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noWrap w:val="0"/>
            <w:vAlign w:val="center"/>
          </w:tcPr>
          <w:p w14:paraId="65611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dRCA</w:t>
            </w:r>
          </w:p>
        </w:tc>
        <w:tc>
          <w:tcPr>
            <w:tcW w:w="1195" w:type="dxa"/>
            <w:noWrap w:val="0"/>
            <w:vAlign w:val="center"/>
          </w:tcPr>
          <w:p w14:paraId="3833C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-51.15%</w:t>
            </w:r>
          </w:p>
        </w:tc>
        <w:tc>
          <w:tcPr>
            <w:tcW w:w="1195" w:type="dxa"/>
            <w:noWrap w:val="0"/>
            <w:vAlign w:val="center"/>
          </w:tcPr>
          <w:p w14:paraId="62A12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-41.60%</w:t>
            </w:r>
          </w:p>
        </w:tc>
        <w:tc>
          <w:tcPr>
            <w:tcW w:w="1195" w:type="dxa"/>
            <w:noWrap w:val="0"/>
            <w:vAlign w:val="center"/>
          </w:tcPr>
          <w:p w14:paraId="37E2E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-16.36%</w:t>
            </w:r>
          </w:p>
        </w:tc>
        <w:tc>
          <w:tcPr>
            <w:tcW w:w="1195" w:type="dxa"/>
            <w:noWrap w:val="0"/>
            <w:vAlign w:val="center"/>
          </w:tcPr>
          <w:p w14:paraId="58C01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-50.03%</w:t>
            </w:r>
          </w:p>
        </w:tc>
        <w:tc>
          <w:tcPr>
            <w:tcW w:w="1201" w:type="dxa"/>
            <w:noWrap w:val="0"/>
            <w:vAlign w:val="center"/>
          </w:tcPr>
          <w:p w14:paraId="20CBF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-39.89%</w:t>
            </w:r>
          </w:p>
        </w:tc>
        <w:tc>
          <w:tcPr>
            <w:tcW w:w="1201" w:type="dxa"/>
            <w:noWrap w:val="0"/>
            <w:vAlign w:val="center"/>
          </w:tcPr>
          <w:p w14:paraId="532D9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-16.87%</w:t>
            </w:r>
          </w:p>
        </w:tc>
      </w:tr>
      <w:tr w14:paraId="41BFC3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noWrap w:val="0"/>
            <w:vAlign w:val="center"/>
          </w:tcPr>
          <w:p w14:paraId="09313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LM</w:t>
            </w:r>
          </w:p>
        </w:tc>
        <w:tc>
          <w:tcPr>
            <w:tcW w:w="1195" w:type="dxa"/>
            <w:noWrap w:val="0"/>
            <w:vAlign w:val="center"/>
          </w:tcPr>
          <w:p w14:paraId="4151F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-57.11%</w:t>
            </w:r>
          </w:p>
        </w:tc>
        <w:tc>
          <w:tcPr>
            <w:tcW w:w="1195" w:type="dxa"/>
            <w:noWrap w:val="0"/>
            <w:vAlign w:val="center"/>
          </w:tcPr>
          <w:p w14:paraId="7E257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-29.85%</w:t>
            </w:r>
          </w:p>
        </w:tc>
        <w:tc>
          <w:tcPr>
            <w:tcW w:w="1195" w:type="dxa"/>
            <w:noWrap w:val="0"/>
            <w:vAlign w:val="center"/>
          </w:tcPr>
          <w:p w14:paraId="6D49B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-38.86%</w:t>
            </w:r>
          </w:p>
        </w:tc>
        <w:tc>
          <w:tcPr>
            <w:tcW w:w="1195" w:type="dxa"/>
            <w:noWrap w:val="0"/>
            <w:vAlign w:val="center"/>
          </w:tcPr>
          <w:p w14:paraId="6A14D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-61.08%</w:t>
            </w:r>
          </w:p>
        </w:tc>
        <w:tc>
          <w:tcPr>
            <w:tcW w:w="1201" w:type="dxa"/>
            <w:noWrap w:val="0"/>
            <w:vAlign w:val="center"/>
          </w:tcPr>
          <w:p w14:paraId="06D4B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-39.79%</w:t>
            </w:r>
          </w:p>
        </w:tc>
        <w:tc>
          <w:tcPr>
            <w:tcW w:w="1201" w:type="dxa"/>
            <w:noWrap w:val="0"/>
            <w:vAlign w:val="center"/>
          </w:tcPr>
          <w:p w14:paraId="5437C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-35.36%</w:t>
            </w:r>
          </w:p>
        </w:tc>
      </w:tr>
      <w:tr w14:paraId="2F1C30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95" w:type="dxa"/>
            <w:noWrap w:val="0"/>
            <w:vAlign w:val="center"/>
          </w:tcPr>
          <w:p w14:paraId="5890B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pLAD</w:t>
            </w:r>
          </w:p>
        </w:tc>
        <w:tc>
          <w:tcPr>
            <w:tcW w:w="1195" w:type="dxa"/>
            <w:noWrap w:val="0"/>
            <w:vAlign w:val="center"/>
          </w:tcPr>
          <w:p w14:paraId="28D31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-55.78%</w:t>
            </w:r>
          </w:p>
        </w:tc>
        <w:tc>
          <w:tcPr>
            <w:tcW w:w="1195" w:type="dxa"/>
            <w:noWrap w:val="0"/>
            <w:vAlign w:val="center"/>
          </w:tcPr>
          <w:p w14:paraId="799B9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-49.21%</w:t>
            </w:r>
          </w:p>
        </w:tc>
        <w:tc>
          <w:tcPr>
            <w:tcW w:w="1195" w:type="dxa"/>
            <w:noWrap w:val="0"/>
            <w:vAlign w:val="center"/>
          </w:tcPr>
          <w:p w14:paraId="1428E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-12.93%</w:t>
            </w:r>
          </w:p>
        </w:tc>
        <w:tc>
          <w:tcPr>
            <w:tcW w:w="1195" w:type="dxa"/>
            <w:noWrap w:val="0"/>
            <w:vAlign w:val="center"/>
          </w:tcPr>
          <w:p w14:paraId="769B4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-41.32%</w:t>
            </w:r>
          </w:p>
        </w:tc>
        <w:tc>
          <w:tcPr>
            <w:tcW w:w="1201" w:type="dxa"/>
            <w:noWrap w:val="0"/>
            <w:vAlign w:val="center"/>
          </w:tcPr>
          <w:p w14:paraId="0FC10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-35.09%</w:t>
            </w:r>
          </w:p>
        </w:tc>
        <w:tc>
          <w:tcPr>
            <w:tcW w:w="1201" w:type="dxa"/>
            <w:noWrap w:val="0"/>
            <w:vAlign w:val="center"/>
          </w:tcPr>
          <w:p w14:paraId="504A4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-9.60%</w:t>
            </w:r>
          </w:p>
        </w:tc>
      </w:tr>
      <w:tr w14:paraId="5025C2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95" w:type="dxa"/>
            <w:noWrap w:val="0"/>
            <w:vAlign w:val="center"/>
          </w:tcPr>
          <w:p w14:paraId="7A51A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pLCX</w:t>
            </w:r>
          </w:p>
        </w:tc>
        <w:tc>
          <w:tcPr>
            <w:tcW w:w="1195" w:type="dxa"/>
            <w:noWrap w:val="0"/>
            <w:vAlign w:val="center"/>
          </w:tcPr>
          <w:p w14:paraId="1B155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-44.20%</w:t>
            </w:r>
          </w:p>
        </w:tc>
        <w:tc>
          <w:tcPr>
            <w:tcW w:w="1195" w:type="dxa"/>
            <w:noWrap w:val="0"/>
            <w:vAlign w:val="center"/>
          </w:tcPr>
          <w:p w14:paraId="29615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-39.24%</w:t>
            </w:r>
          </w:p>
        </w:tc>
        <w:tc>
          <w:tcPr>
            <w:tcW w:w="1195" w:type="dxa"/>
            <w:noWrap w:val="0"/>
            <w:vAlign w:val="center"/>
          </w:tcPr>
          <w:p w14:paraId="5DD7B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-8.16%</w:t>
            </w:r>
          </w:p>
        </w:tc>
        <w:tc>
          <w:tcPr>
            <w:tcW w:w="1195" w:type="dxa"/>
            <w:noWrap w:val="0"/>
            <w:vAlign w:val="center"/>
          </w:tcPr>
          <w:p w14:paraId="0EF1F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-41.51%</w:t>
            </w:r>
          </w:p>
        </w:tc>
        <w:tc>
          <w:tcPr>
            <w:tcW w:w="1201" w:type="dxa"/>
            <w:noWrap w:val="0"/>
            <w:vAlign w:val="center"/>
          </w:tcPr>
          <w:p w14:paraId="0D5F6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-32.44%</w:t>
            </w:r>
          </w:p>
        </w:tc>
        <w:tc>
          <w:tcPr>
            <w:tcW w:w="1201" w:type="dxa"/>
            <w:noWrap w:val="0"/>
            <w:vAlign w:val="center"/>
          </w:tcPr>
          <w:p w14:paraId="553FC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-13.43%</w:t>
            </w:r>
          </w:p>
        </w:tc>
      </w:tr>
      <w:tr w14:paraId="1A469B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195" w:type="dxa"/>
            <w:noWrap w:val="0"/>
            <w:vAlign w:val="center"/>
          </w:tcPr>
          <w:p w14:paraId="53D3E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AO</w:t>
            </w:r>
          </w:p>
        </w:tc>
        <w:tc>
          <w:tcPr>
            <w:tcW w:w="1195" w:type="dxa"/>
            <w:noWrap w:val="0"/>
            <w:vAlign w:val="center"/>
          </w:tcPr>
          <w:p w14:paraId="7578C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-65.34%</w:t>
            </w:r>
          </w:p>
        </w:tc>
        <w:tc>
          <w:tcPr>
            <w:tcW w:w="1195" w:type="dxa"/>
            <w:noWrap w:val="0"/>
            <w:vAlign w:val="center"/>
          </w:tcPr>
          <w:p w14:paraId="306E8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-43.88%</w:t>
            </w:r>
          </w:p>
        </w:tc>
        <w:tc>
          <w:tcPr>
            <w:tcW w:w="1195" w:type="dxa"/>
            <w:noWrap w:val="0"/>
            <w:vAlign w:val="center"/>
          </w:tcPr>
          <w:p w14:paraId="77FCB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-38.23%</w:t>
            </w:r>
          </w:p>
        </w:tc>
        <w:tc>
          <w:tcPr>
            <w:tcW w:w="1195" w:type="dxa"/>
            <w:noWrap w:val="0"/>
            <w:vAlign w:val="center"/>
          </w:tcPr>
          <w:p w14:paraId="29283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-61.72%</w:t>
            </w:r>
          </w:p>
        </w:tc>
        <w:tc>
          <w:tcPr>
            <w:tcW w:w="1201" w:type="dxa"/>
            <w:noWrap w:val="0"/>
            <w:vAlign w:val="center"/>
          </w:tcPr>
          <w:p w14:paraId="626F3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-40.43%</w:t>
            </w:r>
          </w:p>
        </w:tc>
        <w:tc>
          <w:tcPr>
            <w:tcW w:w="1201" w:type="dxa"/>
            <w:noWrap w:val="0"/>
            <w:vAlign w:val="center"/>
          </w:tcPr>
          <w:p w14:paraId="4FD30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kern w:val="2"/>
                <w:sz w:val="22"/>
                <w:szCs w:val="24"/>
                <w:highlight w:val="none"/>
                <w:u w:val="none"/>
                <w:lang w:val="en-US" w:eastAsia="zh-CN" w:bidi="ar-SA"/>
              </w:rPr>
              <w:t>-35.74%</w:t>
            </w:r>
          </w:p>
        </w:tc>
      </w:tr>
    </w:tbl>
    <w:p w14:paraId="0511FC7F">
      <w:pPr>
        <w:pStyle w:val="7"/>
        <w:spacing w:beforeLines="0" w:afterLines="0"/>
        <w:rPr>
          <w:rFonts w:hint="eastAsia" w:ascii="Times New Roman Regular" w:hAnsi="Times New Roman Regular" w:eastAsia="宋体" w:cs="Times New Roman Regular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eastAsia" w:ascii="Times New Roman Regular" w:hAnsi="Times New Roman Regular" w:eastAsia="宋体" w:cs="Times New Roman Regular"/>
          <w:kern w:val="2"/>
          <w:sz w:val="18"/>
          <w:szCs w:val="18"/>
          <w:highlight w:val="none"/>
          <w:lang w:val="en-US" w:eastAsia="zh-CN" w:bidi="ar-SA"/>
        </w:rPr>
        <w:t>Abbreviations: AO, aortic root; LM, left main coronary artery; pLAD, proximal left anterior descending artery; pLCX, proximal left circumflex artery; pRCA, proximal right coronary artery; mRCA, mid right coronary artery; dRCA, distal right coronary artery; SNR, signal-to-noise ratio; CNR, contrast-to-noise ratio; HU, Hounsfield units; AI, artifact index. Reconstruction datasets: A1, diastole (DLIR-H combined with SSF2); B1, diastole (ASiR-V 50% combined with SSF2); C1, diastole (ASiR-V 50% combined with SSF1); A2, systole (DLIR-H combined with SSF2); B2, systole (ASiR-V 50% combined with SSF2); C2, systole (ASiR-V 50% combined with SSF1).</w:t>
      </w:r>
    </w:p>
    <w:p w14:paraId="03ADFDA1">
      <w:pPr>
        <w:rPr>
          <w:rFonts w:hint="default" w:ascii="Times New Roman Regular" w:hAnsi="Times New Roman Regular" w:eastAsia="宋体" w:cs="Times New Roman Regular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eastAsia" w:ascii="Times New Roman Regular" w:hAnsi="Times New Roman Regular" w:eastAsia="宋体" w:cs="Times New Roman Regular"/>
          <w:kern w:val="2"/>
          <w:sz w:val="18"/>
          <w:szCs w:val="18"/>
          <w:highlight w:val="none"/>
          <w:lang w:val="en-US" w:eastAsia="zh-CN" w:bidi="ar-SA"/>
        </w:rPr>
        <w:br w:type="page"/>
      </w:r>
    </w:p>
    <w:p w14:paraId="2C6F4C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 w:ascii="Times New Roman Regular" w:hAnsi="Times New Roman Regular" w:eastAsia="宋体" w:cs="Times New Roman Regular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Times New Roman Regular" w:hAnsi="Times New Roman Regular" w:eastAsia="微软雅黑" w:cs="Times New Roman Regular"/>
          <w:b/>
          <w:bCs/>
          <w:sz w:val="21"/>
          <w:szCs w:val="21"/>
          <w:highlight w:val="none"/>
          <w:lang w:val="en-US" w:eastAsia="zh-CN"/>
        </w:rPr>
        <w:t>Table S2 Objective image quality assessment of CCTA with different reconstruction algorithms (pairwise comparison)</w:t>
      </w:r>
      <w:r>
        <w:rPr>
          <w:rFonts w:hint="default" w:ascii="Times New Roman Regular" w:hAnsi="Times New Roman Regular" w:eastAsia="微软雅黑" w:cs="Times New Roman Regular"/>
          <w:b/>
          <w:bCs/>
          <w:sz w:val="21"/>
          <w:szCs w:val="21"/>
          <w:highlight w:val="none"/>
          <w:lang w:val="en-US" w:eastAsia="zh-CN"/>
        </w:rPr>
        <w:t>​</w:t>
      </w:r>
    </w:p>
    <w:tbl>
      <w:tblPr>
        <w:tblStyle w:val="3"/>
        <w:tblW w:w="934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335"/>
        <w:gridCol w:w="1335"/>
        <w:gridCol w:w="1335"/>
        <w:gridCol w:w="1335"/>
        <w:gridCol w:w="1335"/>
        <w:gridCol w:w="1339"/>
      </w:tblGrid>
      <w:tr w14:paraId="52B97A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F7C8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Locations</w:t>
            </w:r>
          </w:p>
        </w:tc>
        <w:tc>
          <w:tcPr>
            <w:tcW w:w="133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FF75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A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 xml:space="preserve"> VS. B1</w:t>
            </w:r>
          </w:p>
        </w:tc>
        <w:tc>
          <w:tcPr>
            <w:tcW w:w="133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05C26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B1 VS. C1</w:t>
            </w:r>
          </w:p>
        </w:tc>
        <w:tc>
          <w:tcPr>
            <w:tcW w:w="133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8B51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A1 VS. C1</w:t>
            </w:r>
          </w:p>
        </w:tc>
        <w:tc>
          <w:tcPr>
            <w:tcW w:w="133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8490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A2 VS. B2</w:t>
            </w:r>
          </w:p>
        </w:tc>
        <w:tc>
          <w:tcPr>
            <w:tcW w:w="1335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24D44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B2 VS. C2</w:t>
            </w:r>
          </w:p>
        </w:tc>
        <w:tc>
          <w:tcPr>
            <w:tcW w:w="1339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66BB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A2 VS. C2</w:t>
            </w:r>
          </w:p>
        </w:tc>
      </w:tr>
      <w:tr w14:paraId="2F20E0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op w:val="single" w:color="auto" w:sz="4" w:space="0"/>
            </w:tcBorders>
            <w:noWrap/>
            <w:vAlign w:val="center"/>
          </w:tcPr>
          <w:p w14:paraId="6E9F2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SD（P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-value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）</w:t>
            </w:r>
          </w:p>
        </w:tc>
        <w:tc>
          <w:tcPr>
            <w:tcW w:w="1335" w:type="dxa"/>
            <w:tcBorders>
              <w:top w:val="single" w:color="auto" w:sz="4" w:space="0"/>
            </w:tcBorders>
            <w:noWrap w:val="0"/>
            <w:vAlign w:val="center"/>
          </w:tcPr>
          <w:p w14:paraId="3B48C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op w:val="single" w:color="auto" w:sz="4" w:space="0"/>
            </w:tcBorders>
            <w:noWrap w:val="0"/>
            <w:vAlign w:val="center"/>
          </w:tcPr>
          <w:p w14:paraId="22091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op w:val="single" w:color="auto" w:sz="4" w:space="0"/>
            </w:tcBorders>
            <w:noWrap w:val="0"/>
            <w:vAlign w:val="center"/>
          </w:tcPr>
          <w:p w14:paraId="6EBF3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op w:val="single" w:color="auto" w:sz="4" w:space="0"/>
            </w:tcBorders>
            <w:noWrap w:val="0"/>
            <w:vAlign w:val="center"/>
          </w:tcPr>
          <w:p w14:paraId="214C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op w:val="single" w:color="auto" w:sz="4" w:space="0"/>
            </w:tcBorders>
            <w:noWrap w:val="0"/>
            <w:vAlign w:val="center"/>
          </w:tcPr>
          <w:p w14:paraId="0BF32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9" w:type="dxa"/>
            <w:tcBorders>
              <w:top w:val="single" w:color="auto" w:sz="4" w:space="0"/>
            </w:tcBorders>
            <w:noWrap w:val="0"/>
            <w:vAlign w:val="center"/>
          </w:tcPr>
          <w:p w14:paraId="48D4F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30FEF9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noWrap/>
            <w:vAlign w:val="center"/>
          </w:tcPr>
          <w:p w14:paraId="5CFD5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pRCA</w:t>
            </w:r>
          </w:p>
        </w:tc>
        <w:tc>
          <w:tcPr>
            <w:tcW w:w="1335" w:type="dxa"/>
            <w:noWrap w:val="0"/>
            <w:vAlign w:val="center"/>
          </w:tcPr>
          <w:p w14:paraId="08E5E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6BD00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668A8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78872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2E097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0.010</w:t>
            </w:r>
          </w:p>
        </w:tc>
        <w:tc>
          <w:tcPr>
            <w:tcW w:w="1339" w:type="dxa"/>
            <w:noWrap w:val="0"/>
            <w:vAlign w:val="center"/>
          </w:tcPr>
          <w:p w14:paraId="2CC1D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3A06BA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noWrap/>
            <w:vAlign w:val="center"/>
          </w:tcPr>
          <w:p w14:paraId="17533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mRCA</w:t>
            </w:r>
          </w:p>
        </w:tc>
        <w:tc>
          <w:tcPr>
            <w:tcW w:w="1335" w:type="dxa"/>
            <w:noWrap w:val="0"/>
            <w:vAlign w:val="center"/>
          </w:tcPr>
          <w:p w14:paraId="402D1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1D9EE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0.010</w:t>
            </w:r>
          </w:p>
        </w:tc>
        <w:tc>
          <w:tcPr>
            <w:tcW w:w="1335" w:type="dxa"/>
            <w:noWrap w:val="0"/>
            <w:vAlign w:val="center"/>
          </w:tcPr>
          <w:p w14:paraId="7760B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43588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4A112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0.028</w:t>
            </w:r>
          </w:p>
        </w:tc>
        <w:tc>
          <w:tcPr>
            <w:tcW w:w="1339" w:type="dxa"/>
            <w:noWrap w:val="0"/>
            <w:vAlign w:val="center"/>
          </w:tcPr>
          <w:p w14:paraId="67A96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4EBBCF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noWrap/>
            <w:vAlign w:val="center"/>
          </w:tcPr>
          <w:p w14:paraId="66E86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dRCA</w:t>
            </w:r>
          </w:p>
        </w:tc>
        <w:tc>
          <w:tcPr>
            <w:tcW w:w="1335" w:type="dxa"/>
            <w:noWrap w:val="0"/>
            <w:vAlign w:val="center"/>
          </w:tcPr>
          <w:p w14:paraId="01D82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29699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0.002</w:t>
            </w:r>
          </w:p>
        </w:tc>
        <w:tc>
          <w:tcPr>
            <w:tcW w:w="1335" w:type="dxa"/>
            <w:noWrap w:val="0"/>
            <w:vAlign w:val="center"/>
          </w:tcPr>
          <w:p w14:paraId="32869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2B149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0406D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0.002</w:t>
            </w:r>
          </w:p>
        </w:tc>
        <w:tc>
          <w:tcPr>
            <w:tcW w:w="1339" w:type="dxa"/>
            <w:noWrap w:val="0"/>
            <w:vAlign w:val="center"/>
          </w:tcPr>
          <w:p w14:paraId="40145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263671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noWrap/>
            <w:vAlign w:val="center"/>
          </w:tcPr>
          <w:p w14:paraId="3BB54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LM</w:t>
            </w:r>
          </w:p>
        </w:tc>
        <w:tc>
          <w:tcPr>
            <w:tcW w:w="1335" w:type="dxa"/>
            <w:noWrap w:val="0"/>
            <w:vAlign w:val="center"/>
          </w:tcPr>
          <w:p w14:paraId="29049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74FF4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2707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30900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6C96B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9" w:type="dxa"/>
            <w:noWrap w:val="0"/>
            <w:vAlign w:val="center"/>
          </w:tcPr>
          <w:p w14:paraId="572AD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24275E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noWrap/>
            <w:vAlign w:val="center"/>
          </w:tcPr>
          <w:p w14:paraId="61AD1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pLAD</w:t>
            </w:r>
          </w:p>
        </w:tc>
        <w:tc>
          <w:tcPr>
            <w:tcW w:w="1335" w:type="dxa"/>
            <w:noWrap w:val="0"/>
            <w:vAlign w:val="center"/>
          </w:tcPr>
          <w:p w14:paraId="63ECE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3C0A6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4710B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08717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48B8A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0.017</w:t>
            </w:r>
          </w:p>
        </w:tc>
        <w:tc>
          <w:tcPr>
            <w:tcW w:w="1339" w:type="dxa"/>
            <w:noWrap w:val="0"/>
            <w:vAlign w:val="center"/>
          </w:tcPr>
          <w:p w14:paraId="579B9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1BEDE0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noWrap/>
            <w:vAlign w:val="center"/>
          </w:tcPr>
          <w:p w14:paraId="53EED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LCX</w:t>
            </w:r>
          </w:p>
        </w:tc>
        <w:tc>
          <w:tcPr>
            <w:tcW w:w="1335" w:type="dxa"/>
            <w:noWrap w:val="0"/>
            <w:vAlign w:val="center"/>
          </w:tcPr>
          <w:p w14:paraId="16FB5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4C53D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07C9D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613C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4432B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9" w:type="dxa"/>
            <w:noWrap w:val="0"/>
            <w:vAlign w:val="center"/>
          </w:tcPr>
          <w:p w14:paraId="12BA6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6A3E4D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noWrap/>
            <w:vAlign w:val="center"/>
          </w:tcPr>
          <w:p w14:paraId="23B17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AO</w:t>
            </w:r>
          </w:p>
        </w:tc>
        <w:tc>
          <w:tcPr>
            <w:tcW w:w="1335" w:type="dxa"/>
            <w:noWrap w:val="0"/>
            <w:vAlign w:val="center"/>
          </w:tcPr>
          <w:p w14:paraId="14840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5F3AA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0.001</w:t>
            </w:r>
          </w:p>
        </w:tc>
        <w:tc>
          <w:tcPr>
            <w:tcW w:w="1335" w:type="dxa"/>
            <w:noWrap w:val="0"/>
            <w:vAlign w:val="center"/>
          </w:tcPr>
          <w:p w14:paraId="03937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07FD6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noWrap w:val="0"/>
            <w:vAlign w:val="center"/>
          </w:tcPr>
          <w:p w14:paraId="4E855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0.007</w:t>
            </w:r>
          </w:p>
        </w:tc>
        <w:tc>
          <w:tcPr>
            <w:tcW w:w="1339" w:type="dxa"/>
            <w:noWrap w:val="0"/>
            <w:vAlign w:val="center"/>
          </w:tcPr>
          <w:p w14:paraId="12644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21AE07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noWrap/>
            <w:vAlign w:val="center"/>
          </w:tcPr>
          <w:p w14:paraId="4C6D2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SNR（P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-value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）</w:t>
            </w:r>
          </w:p>
        </w:tc>
        <w:tc>
          <w:tcPr>
            <w:tcW w:w="1335" w:type="dxa"/>
            <w:noWrap w:val="0"/>
            <w:vAlign w:val="center"/>
          </w:tcPr>
          <w:p w14:paraId="3C3BF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2677C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0C48A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5FE4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506D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18B12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58264F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7CFE2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pRCA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23F6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599F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0.010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7BEA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D678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6A3B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0.020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558C2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5B57CD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5454D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mRCA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B960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0.003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513D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62EE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8D06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2063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0.053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6B7E5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13A68A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5C511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dRCA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2D54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07E0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0.002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068F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CCB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C253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43441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43FAC2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11478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LM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3AA7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745E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F853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9D08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90AA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392DB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08E6FC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74300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pLAD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D828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7C77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C768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DA58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0.008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E7FB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3F4E8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2D0668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794F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LCX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68DB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37F0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0.020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755C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F0F9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4E8E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4988C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3AC3C1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36009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AO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4AD0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5538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19E6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0007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766E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0.010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205A1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37A5A4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1433D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CNR（P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-value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）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C46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8BD6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7ED5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EE85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DC35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42141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5BD5EF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6C5B4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pRCA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99CE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8ABB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0.796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80B6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20F1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D3C7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1.0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0916D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034F3E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252BC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mRCA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01B6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3D6A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0.053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11E2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E0C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55DA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0.302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77FF0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18EFED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2B54D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dRCA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057F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F3A8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0.519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991D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341D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6FD7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0.366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02F34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3608A6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6B11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LM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B5AF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2848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0.121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AE75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6C23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FFF7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0.699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2B592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5E7EA0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2096D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pLAD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C853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06B4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0.606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FCD3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293E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3A32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0.366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69A3B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155880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1DE06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LCX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AC7A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C5D3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0.245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E58E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970A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E7B1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0.606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50822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32B122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20354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AO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B3B7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FC85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0.439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A6D4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BB64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12EA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0.699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54A27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0329BF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2C23B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AI（P</w:t>
            </w: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-value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）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3BB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66A7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3413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531A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5EFD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542E7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67DA79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3022A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pRCA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1B0C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29A6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88BC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C996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EEAE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0.156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71D0D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2DB4E2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7EFD9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mRCA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2B82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0.093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7905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C01A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1924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0.272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0AA2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0.005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3D20D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2043A6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404A3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dRCA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F587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0.117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3CB1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35C4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BF70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0.007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4DD3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0412D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4BBD82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45E5C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LM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F191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2DE1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0.10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7ADF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2BED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41A2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0.002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55CEC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6BE0F7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58276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pLAD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4B5D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0.71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D6AF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B0A7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B17C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0.796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CC77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695AB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5D37D2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5ED26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LCX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E50E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0.197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74906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F291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B24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0.014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2C49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27F2A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  <w:tr w14:paraId="495944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335" w:type="dxa"/>
            <w:tcBorders>
              <w:tl2br w:val="nil"/>
              <w:tr2bl w:val="nil"/>
            </w:tcBorders>
            <w:noWrap/>
            <w:vAlign w:val="center"/>
          </w:tcPr>
          <w:p w14:paraId="39682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AO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9BC2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0.020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5B8A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5821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5E55B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0.010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4308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0.010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noWrap w:val="0"/>
            <w:vAlign w:val="center"/>
          </w:tcPr>
          <w:p w14:paraId="17879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15" w:lineRule="auto"/>
              <w:ind w:left="0" w:leftChars="0" w:right="0" w:rightChars="0"/>
              <w:jc w:val="center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&lt;0.001</w:t>
            </w:r>
          </w:p>
        </w:tc>
      </w:tr>
    </w:tbl>
    <w:p w14:paraId="00F77F07">
      <w:pPr>
        <w:pStyle w:val="7"/>
        <w:spacing w:beforeLines="0" w:afterLines="0"/>
        <w:jc w:val="both"/>
        <w:rPr>
          <w:rFonts w:hint="default" w:ascii="Times New Roman Regular" w:hAnsi="Times New Roman Regular" w:eastAsia="宋体" w:cs="Times New Roman Regular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eastAsia" w:ascii="Times New Roman Regular" w:hAnsi="Times New Roman Regular" w:eastAsia="宋体" w:cs="Times New Roman Regular"/>
          <w:kern w:val="2"/>
          <w:sz w:val="18"/>
          <w:szCs w:val="18"/>
          <w:highlight w:val="none"/>
          <w:lang w:val="en-US" w:eastAsia="zh-CN" w:bidi="ar-SA"/>
        </w:rPr>
        <w:t>Abbreviations: AO, aortic root; LM, left main coronary artery; pLAD, proximal left anterior descending artery; pLCX, proximal left circumflex artery; pRCA, proximal right coronary artery; mRCA, mid right coronary artery; dRCA, distal right coronary artery; SNR, signal-to-noise ratio; CNR, contrast-to-noise ratio; HU, Hounsfield units; AI, artifact index. Reconstruction datasets: A1, diastole (DLIR-H combined with SSF2); B1, diastole (ASiR-V 50% combined with SSF2); C1, diastole (ASiR-V 50% combined with SSF1); A2, systole (DLIR-H combined with SSF2); B2, systole (ASiR-V 50% combined with SSF2); C2, systole (ASiR-V 50% combined with SSF1).</w:t>
      </w:r>
      <w:bookmarkStart w:id="0" w:name="_GoBack"/>
      <w:bookmarkEnd w:id="0"/>
    </w:p>
    <w:p w14:paraId="1F22DA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10F6A"/>
    <w:rsid w:val="2840342E"/>
    <w:rsid w:val="2F520143"/>
    <w:rsid w:val="539A63B1"/>
    <w:rsid w:val="6593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p1"/>
    <w:unhideWhenUsed/>
    <w:qFormat/>
    <w:uiPriority w:val="0"/>
    <w:pPr>
      <w:spacing w:beforeLines="0" w:afterLines="0"/>
      <w:jc w:val="both"/>
    </w:pPr>
    <w:rPr>
      <w:rFonts w:hint="eastAsia" w:ascii="pingfang sc" w:hAnsi="pingfang sc" w:eastAsia="pingfang sc" w:cs="pingfang sc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1193</Words>
  <Characters>7761</Characters>
  <Lines>0</Lines>
  <Paragraphs>0</Paragraphs>
  <TotalTime>3</TotalTime>
  <ScaleCrop>false</ScaleCrop>
  <LinksUpToDate>false</LinksUpToDate>
  <CharactersWithSpaces>8260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2026-07-03T14:49:00Z</dcterms:created>
  <dc:creator>Administrator</dc:creator>
  <cp:lastModifiedBy>懒</cp:lastModifiedBy>
  <dcterms:modified xsi:type="dcterms:W3CDTF">2026-07-07T15:49:37Z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eyJoZGlkIjoiMTFkYjZjNmE0OTY5YTdhMTA0MjI0ZDE5NjcwYTZjMjAiLCJ1c2VySWQiOiI0NDc3NjY2MTkifQ==</vt:lpwstr>
  </property>
  <property fmtid="{D5CDD505-2E9C-101B-9397-08002B2CF9AE}" pid="4" name="ICV">
    <vt:lpwstr>220FC3D6AF1A4EA9921AB7EACA24E183_12</vt:lpwstr>
  </property>
</Properties>
</file>