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i w:val="0"/>
          <w:sz w:val="20"/>
        </w:rPr>
        <w:t>Supplementary Table S2. Incremental value of NLR, other inflammatory ratios and serum CA-125, alone and in combination, for discriminating advanced-stage disease (FIGO 2009 stage ≥ III).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  <w:shd w:fill="D9E2F3"/>
          </w:tcPr>
          <w:p>
            <w:pPr>
              <w:jc w:val="left"/>
            </w:pPr>
            <w:r/>
            <w:r>
              <w:rPr>
                <w:rFonts w:ascii="Times New Roman" w:hAnsi="Times New Roman"/>
                <w:b/>
                <w:i w:val="0"/>
                <w:sz w:val="18"/>
              </w:rPr>
              <w:t>Model (added to base)</w:t>
            </w:r>
          </w:p>
        </w:tc>
        <w:tc>
          <w:tcPr>
            <w:tcW w:type="dxa" w:w="1440"/>
            <w:shd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i w:val="0"/>
                <w:sz w:val="18"/>
              </w:rPr>
              <w:t>Predictors (n)</w:t>
            </w:r>
          </w:p>
        </w:tc>
        <w:tc>
          <w:tcPr>
            <w:tcW w:type="dxa" w:w="1440"/>
            <w:shd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i w:val="0"/>
                <w:sz w:val="18"/>
              </w:rPr>
              <w:t>AUC (95% CI)</w:t>
            </w:r>
          </w:p>
        </w:tc>
        <w:tc>
          <w:tcPr>
            <w:tcW w:type="dxa" w:w="1440"/>
            <w:shd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i w:val="0"/>
                <w:sz w:val="18"/>
              </w:rPr>
              <w:t>ΔAUC vs base (95% CI)</w:t>
            </w:r>
          </w:p>
        </w:tc>
        <w:tc>
          <w:tcPr>
            <w:tcW w:type="dxa" w:w="1440"/>
            <w:shd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i w:val="0"/>
                <w:sz w:val="18"/>
              </w:rPr>
              <w:t>IDI (95% CI)</w:t>
            </w:r>
          </w:p>
        </w:tc>
        <w:tc>
          <w:tcPr>
            <w:tcW w:type="dxa" w:w="1440"/>
            <w:shd w:fill="D9E2F3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i w:val="0"/>
                <w:sz w:val="18"/>
              </w:rPr>
              <w:t>LR p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Base (grade + MI + age + BMI)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4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0.721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—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NLR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0.774 (0.718–0.846)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+0.053 (0.007–0.104)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0.062 (0.012–0.141)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&lt;0.001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PLR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0.727 (0.672–0.817)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+0.006 (−0.006–0.043)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0.016 (0.000–0.064)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0.101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MLR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0.729 (0.667–0.815)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+0.007 (−0.008–0.038)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0.021 (0.000–0.078)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0.059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SII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0.778 (0.718–0.850)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+0.056 (0.009–0.113)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0.058 (0.014–0.134)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&lt;0.001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CA-125 (log)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0.806 (0.751–0.888)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+0.085 (0.033–0.151)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0.149 (0.060–0.277)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&lt;0.001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NLR + PLR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6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0.774 (0.722–0.849)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+0.053 (0.010–0.109)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0.062 (0.015–0.147)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NLR + PLR + MLR + SII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8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0.796 (0.748–0.874)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+0.074 (0.024–0.145)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0.084 (0.035–0.198)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0.001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NLR + CA-125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6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0.833 (0.783–0.907)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+0.112 (0.049–0.182)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0.216 (0.104–0.356)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&lt;0.001</w:t>
            </w:r>
          </w:p>
        </w:tc>
      </w:tr>
      <w:tr>
        <w:tc>
          <w:tcPr>
            <w:tcW w:type="dxa" w:w="1440"/>
          </w:tcPr>
          <w:p>
            <w:pPr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 all ratios + CA-125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9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0.849 (0.805–0.925)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+0.128 (0.065–0.209)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0.236 (0.133–0.400)</w:t>
            </w:r>
          </w:p>
        </w:tc>
        <w:tc>
          <w:tcPr>
            <w:tcW w:type="dxa" w:w="1440"/>
          </w:tcPr>
          <w:p>
            <w:pPr>
              <w:jc w:val="center"/>
            </w:pPr>
            <w:r/>
            <w:r>
              <w:rPr>
                <w:rFonts w:ascii="Times New Roman" w:hAnsi="Times New Roman"/>
                <w:b w:val="0"/>
                <w:i w:val="0"/>
                <w:sz w:val="18"/>
              </w:rPr>
              <w:t>&lt;0.001</w:t>
            </w:r>
          </w:p>
        </w:tc>
      </w:tr>
    </w:tbl>
    <w:p>
      <w:r>
        <w:rPr>
          <w:rFonts w:ascii="Times New Roman" w:hAnsi="Times New Roman"/>
          <w:b w:val="0"/>
          <w:i/>
          <w:sz w:val="16"/>
        </w:rPr>
        <w:t>Outcome: advanced-stage disease (FIGO 2009 stage ≥ III; 43 of 254 events). Base model: tumour grade, depth of myometrial invasion, age and body mass index. AUC, area under the ROC curve; ΔAUC, change in AUC relative to the base model (DeLong method); IDI, integrated discrimination improvement; LR, nested likelihood-ratio test; NLR, neutrophil-to-lymphocyte ratio; PLR, platelet-to-lymphocyte ratio; MLR, monocyte-to-lymphocyte ratio; SII, systemic immune-inflammation index. Ninety-five per cent confidence intervals for AUC, ΔAUC and IDI were obtained by the percentile bootstrap (1,000 resamples); CA-125 was log-transformed. These analyses are exploratory: with 43 events, models adding more than one or two markers fall below 5–10 events per variable, so their apparent performance is optimistically biased and requires external validation.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