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 xml:space="preserve">Supplementary Table S1. </w:t>
      </w:r>
      <w:r>
        <w:rPr>
          <w:i/>
        </w:rPr>
        <w:t>Exploratory comparison of pretreatment inflammatory ratios across surgical–pathological subgroups.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Outcome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Ratio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Absent, median (IQR)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Present, median (IQR)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p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LVSI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NLR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2.42 (1.73–3.19)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3.10 (2.27–4.26)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&lt;0.001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PLR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127 (101–156)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147 (119–183)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0.004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MLR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0.24 (0.19–0.30)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0.32 (0.22–0.39)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&lt;0.001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SII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626 (446–915)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863 (610–1237)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&lt;0.001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Cervical stromal involvement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NLR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2.47 (1.76–3.29)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2.98 (2.58–4.03)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0.002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PLR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128 (102–159)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149 (123–182)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0.024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MLR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0.25 (0.19–0.32)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0.31 (0.21–0.38)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0.101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SII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644 (475–957)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885 (791–1314)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&lt;0.001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Serosal/adnexal involvement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NLR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2.50 (1.79–3.28)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3.70 (3.01–5.14)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&lt;0.001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PLR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129 (104–162)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159 (132–184)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0.044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MLR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0.25 (0.19–0.32)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0.35 (0.28–0.38)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0.002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SII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673 (484–952)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1122 (907–1393)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&lt;0.001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Deep myometrial invasion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NLR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2.42 (1.75–3.20)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2.84 (2.06–3.70)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0.003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PLR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125 (102–156)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146 (115–190)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0.002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MLR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0.25 (0.19–0.31)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0.27 (0.21–0.36)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0.024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SII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633 (474–885)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797 (567–1251)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&lt;0.001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Advanced stage (FIGO ≥ III)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NLR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2.43 (1.69–3.22)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3.22 (2.61–4.30)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&lt;0.001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PLR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127 (102–158)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149 (120–185)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0.007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MLR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0.24 (0.19–0.32)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0.29 (0.23–0.37)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0.020</w:t>
            </w:r>
          </w:p>
        </w:tc>
      </w:tr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SII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631 (462–902)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1082 (747–1345)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&lt;0.001</w:t>
            </w:r>
          </w:p>
        </w:tc>
      </w:tr>
    </w:tbl>
    <w:p>
      <w:r>
        <w:rPr>
          <w:i/>
          <w:sz w:val="18"/>
        </w:rPr>
        <w:t>NLR, neutrophil-to-lymphocyte ratio; PLR, platelet-to-lymphocyte ratio; MLR, monocyte-to-lymphocyte ratio; SII, systemic immune-inflammation index; IQR, interquartile range. Group comparisons by Mann–Whitney U test. These analyses are exploratory and hypothesis-generating; p values are unadjusted for multiple comparisons. Advanced stage denotes FIGO 2009 stage ≥ III.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