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47AB" w14:textId="77777777" w:rsidR="00D44245" w:rsidRPr="00D029F9" w:rsidRDefault="00D44245" w:rsidP="00D44245">
      <w:pPr>
        <w:pBdr>
          <w:top w:val="nil"/>
          <w:left w:val="nil"/>
          <w:bottom w:val="nil"/>
          <w:right w:val="nil"/>
          <w:between w:val="nil"/>
        </w:pBdr>
        <w:spacing w:line="240" w:lineRule="auto"/>
        <w:ind w:left="480" w:hanging="480"/>
        <w:jc w:val="both"/>
        <w:rPr>
          <w:rFonts w:asciiTheme="majorBidi" w:eastAsia="12" w:hAnsiTheme="majorBidi" w:cstheme="majorBidi"/>
          <w:b/>
          <w:iCs/>
          <w:sz w:val="24"/>
          <w:szCs w:val="24"/>
        </w:rPr>
      </w:pPr>
      <w:r w:rsidRPr="00D029F9">
        <w:rPr>
          <w:rFonts w:asciiTheme="majorBidi" w:eastAsia="12" w:hAnsiTheme="majorBidi" w:cstheme="majorBidi"/>
          <w:b/>
          <w:iCs/>
          <w:sz w:val="24"/>
          <w:szCs w:val="24"/>
        </w:rPr>
        <w:t>Appendix A: Measurement Items</w:t>
      </w:r>
    </w:p>
    <w:p w14:paraId="72FD53A5" w14:textId="77777777" w:rsidR="00D44245" w:rsidRPr="00D029F9" w:rsidRDefault="00D44245" w:rsidP="00D44245">
      <w:pPr>
        <w:jc w:val="both"/>
        <w:rPr>
          <w:rFonts w:asciiTheme="majorBidi" w:hAnsiTheme="majorBidi" w:cstheme="majorBidi"/>
          <w:sz w:val="24"/>
          <w:szCs w:val="24"/>
        </w:rPr>
      </w:pPr>
      <w:r w:rsidRPr="00D029F9">
        <w:rPr>
          <w:rFonts w:asciiTheme="majorBidi" w:hAnsiTheme="majorBidi" w:cstheme="majorBidi"/>
          <w:sz w:val="24"/>
          <w:szCs w:val="24"/>
        </w:rPr>
        <w:t>All items were measured using a five-point Likert scale ranging from 1 = Strongly Disagree to Strongly Agree. The questionnaire items were developed by the authors based on the study objectives and relevant literature on internal auditing, governance, financial reporting quality, and organizational decision-making. The instrument was further refined through expert validation involving academics, business professionals, and economists to ensure clarity, content validity, and contextual suitability for Somali private banks</w:t>
      </w:r>
    </w:p>
    <w:p w14:paraId="7B7EC9B0" w14:textId="77777777" w:rsidR="00D44245" w:rsidRPr="00D029F9" w:rsidRDefault="00D44245" w:rsidP="00D44245">
      <w:pPr>
        <w:pBdr>
          <w:top w:val="nil"/>
          <w:left w:val="nil"/>
          <w:bottom w:val="nil"/>
          <w:right w:val="nil"/>
          <w:between w:val="nil"/>
        </w:pBdr>
        <w:spacing w:line="240" w:lineRule="auto"/>
        <w:ind w:left="480" w:hanging="480"/>
        <w:rPr>
          <w:rFonts w:asciiTheme="majorBidi" w:eastAsia="12" w:hAnsiTheme="majorBidi" w:cstheme="majorBidi"/>
          <w:bCs/>
          <w:iCs/>
          <w:sz w:val="24"/>
          <w:szCs w:val="24"/>
        </w:rPr>
      </w:pPr>
    </w:p>
    <w:tbl>
      <w:tblPr>
        <w:tblStyle w:val="PlainTable2"/>
        <w:tblW w:w="9630" w:type="dxa"/>
        <w:tblLook w:val="04A0" w:firstRow="1" w:lastRow="0" w:firstColumn="1" w:lastColumn="0" w:noHBand="0" w:noVBand="1"/>
      </w:tblPr>
      <w:tblGrid>
        <w:gridCol w:w="2927"/>
        <w:gridCol w:w="870"/>
        <w:gridCol w:w="5833"/>
      </w:tblGrid>
      <w:tr w:rsidR="00D44245" w:rsidRPr="00D029F9" w14:paraId="08D7B8B6" w14:textId="77777777" w:rsidTr="004117DC">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4A0C62BE"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r w:rsidRPr="00D029F9">
              <w:rPr>
                <w:rFonts w:asciiTheme="majorBidi" w:eastAsia="12" w:hAnsiTheme="majorBidi" w:cstheme="majorBidi"/>
                <w:iCs/>
                <w:sz w:val="24"/>
                <w:szCs w:val="24"/>
              </w:rPr>
              <w:t>Construct</w:t>
            </w:r>
          </w:p>
        </w:tc>
        <w:tc>
          <w:tcPr>
            <w:tcW w:w="0" w:type="auto"/>
            <w:hideMark/>
          </w:tcPr>
          <w:p w14:paraId="5834EBF6" w14:textId="77777777" w:rsidR="00D44245" w:rsidRPr="00D029F9" w:rsidRDefault="00D44245" w:rsidP="004117DC">
            <w:pPr>
              <w:pBdr>
                <w:top w:val="nil"/>
                <w:left w:val="nil"/>
                <w:bottom w:val="nil"/>
                <w:right w:val="nil"/>
                <w:between w:val="nil"/>
              </w:pBdr>
              <w:spacing w:after="160"/>
              <w:ind w:left="480" w:hanging="480"/>
              <w:cnfStyle w:val="100000000000" w:firstRow="1" w:lastRow="0" w:firstColumn="0" w:lastColumn="0" w:oddVBand="0" w:evenVBand="0" w:oddHBand="0" w:evenHBand="0" w:firstRowFirstColumn="0" w:firstRowLastColumn="0" w:lastRowFirstColumn="0" w:lastRowLastColumn="0"/>
              <w:rPr>
                <w:rFonts w:asciiTheme="majorBidi" w:eastAsia="12" w:hAnsiTheme="majorBidi" w:cstheme="majorBidi"/>
                <w:iCs/>
                <w:sz w:val="24"/>
                <w:szCs w:val="24"/>
              </w:rPr>
            </w:pPr>
            <w:r w:rsidRPr="00D029F9">
              <w:rPr>
                <w:rFonts w:asciiTheme="majorBidi" w:eastAsia="12" w:hAnsiTheme="majorBidi" w:cstheme="majorBidi"/>
                <w:iCs/>
                <w:sz w:val="24"/>
                <w:szCs w:val="24"/>
              </w:rPr>
              <w:t>Code</w:t>
            </w:r>
          </w:p>
        </w:tc>
        <w:tc>
          <w:tcPr>
            <w:tcW w:w="0" w:type="auto"/>
            <w:hideMark/>
          </w:tcPr>
          <w:p w14:paraId="014D2D83" w14:textId="77777777" w:rsidR="00D44245" w:rsidRPr="00D029F9" w:rsidRDefault="00D44245" w:rsidP="004117DC">
            <w:pPr>
              <w:pBdr>
                <w:top w:val="nil"/>
                <w:left w:val="nil"/>
                <w:bottom w:val="nil"/>
                <w:right w:val="nil"/>
                <w:between w:val="nil"/>
              </w:pBdr>
              <w:spacing w:after="160"/>
              <w:ind w:left="480" w:hanging="480"/>
              <w:cnfStyle w:val="100000000000" w:firstRow="1" w:lastRow="0" w:firstColumn="0" w:lastColumn="0" w:oddVBand="0" w:evenVBand="0" w:oddHBand="0" w:evenHBand="0" w:firstRowFirstColumn="0" w:firstRowLastColumn="0" w:lastRowFirstColumn="0" w:lastRowLastColumn="0"/>
              <w:rPr>
                <w:rFonts w:asciiTheme="majorBidi" w:eastAsia="12" w:hAnsiTheme="majorBidi" w:cstheme="majorBidi"/>
                <w:iCs/>
                <w:sz w:val="24"/>
                <w:szCs w:val="24"/>
              </w:rPr>
            </w:pPr>
            <w:r w:rsidRPr="00D029F9">
              <w:rPr>
                <w:rFonts w:asciiTheme="majorBidi" w:eastAsia="12" w:hAnsiTheme="majorBidi" w:cstheme="majorBidi"/>
                <w:iCs/>
                <w:sz w:val="24"/>
                <w:szCs w:val="24"/>
              </w:rPr>
              <w:t>Measurement Item</w:t>
            </w:r>
          </w:p>
        </w:tc>
      </w:tr>
      <w:tr w:rsidR="00D44245" w:rsidRPr="00D029F9" w14:paraId="4E83A620" w14:textId="77777777" w:rsidTr="004117D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56D5C17C" w14:textId="77777777" w:rsidR="00D44245" w:rsidRPr="00D029F9" w:rsidRDefault="00D44245" w:rsidP="004117DC">
            <w:pPr>
              <w:pBdr>
                <w:top w:val="nil"/>
                <w:left w:val="nil"/>
                <w:bottom w:val="nil"/>
                <w:right w:val="nil"/>
                <w:between w:val="nil"/>
              </w:pBdr>
              <w:spacing w:after="160"/>
              <w:ind w:left="480" w:hanging="480"/>
              <w:jc w:val="center"/>
              <w:rPr>
                <w:rFonts w:asciiTheme="majorBidi" w:eastAsia="12" w:hAnsiTheme="majorBidi" w:cstheme="majorBidi"/>
                <w:iCs/>
                <w:sz w:val="24"/>
                <w:szCs w:val="24"/>
              </w:rPr>
            </w:pPr>
            <w:r w:rsidRPr="00D029F9">
              <w:rPr>
                <w:rFonts w:asciiTheme="majorBidi" w:eastAsia="12" w:hAnsiTheme="majorBidi" w:cstheme="majorBidi"/>
                <w:iCs/>
                <w:sz w:val="24"/>
                <w:szCs w:val="24"/>
              </w:rPr>
              <w:t>Internal Audit Competency (IAC)</w:t>
            </w:r>
          </w:p>
        </w:tc>
        <w:tc>
          <w:tcPr>
            <w:tcW w:w="0" w:type="auto"/>
            <w:hideMark/>
          </w:tcPr>
          <w:p w14:paraId="616C8D32"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IAC1</w:t>
            </w:r>
          </w:p>
        </w:tc>
        <w:tc>
          <w:tcPr>
            <w:tcW w:w="0" w:type="auto"/>
            <w:hideMark/>
          </w:tcPr>
          <w:p w14:paraId="1C71A2EA"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auditors in this bank possess adequate professional knowledge and technical expertise.</w:t>
            </w:r>
          </w:p>
        </w:tc>
      </w:tr>
      <w:tr w:rsidR="00D44245" w:rsidRPr="00D029F9" w14:paraId="00226593" w14:textId="77777777" w:rsidTr="004117DC">
        <w:trPr>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2B88FF87"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41BFB915"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IAC2</w:t>
            </w:r>
          </w:p>
        </w:tc>
        <w:tc>
          <w:tcPr>
            <w:tcW w:w="0" w:type="auto"/>
            <w:hideMark/>
          </w:tcPr>
          <w:p w14:paraId="732C28B4"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auditors receive sufficient professional training to perform their duties effectively.</w:t>
            </w:r>
          </w:p>
        </w:tc>
      </w:tr>
      <w:tr w:rsidR="00D44245" w:rsidRPr="00D029F9" w14:paraId="341DD73C" w14:textId="77777777" w:rsidTr="004117D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429F6655"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7825B1FB"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IAC3</w:t>
            </w:r>
          </w:p>
        </w:tc>
        <w:tc>
          <w:tcPr>
            <w:tcW w:w="0" w:type="auto"/>
            <w:hideMark/>
          </w:tcPr>
          <w:p w14:paraId="5929D003"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auditors demonstrate strong analytical and problem-solving skills.</w:t>
            </w:r>
          </w:p>
        </w:tc>
      </w:tr>
      <w:tr w:rsidR="00D44245" w:rsidRPr="00D029F9" w14:paraId="1D9C5ED5" w14:textId="77777777" w:rsidTr="004117DC">
        <w:trPr>
          <w:trHeight w:val="990"/>
        </w:trPr>
        <w:tc>
          <w:tcPr>
            <w:cnfStyle w:val="001000000000" w:firstRow="0" w:lastRow="0" w:firstColumn="1" w:lastColumn="0" w:oddVBand="0" w:evenVBand="0" w:oddHBand="0" w:evenHBand="0" w:firstRowFirstColumn="0" w:firstRowLastColumn="0" w:lastRowFirstColumn="0" w:lastRowLastColumn="0"/>
            <w:tcW w:w="0" w:type="auto"/>
            <w:hideMark/>
          </w:tcPr>
          <w:p w14:paraId="77D6F1F5"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0C0D4A0E"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IAC4</w:t>
            </w:r>
          </w:p>
        </w:tc>
        <w:tc>
          <w:tcPr>
            <w:tcW w:w="0" w:type="auto"/>
            <w:hideMark/>
          </w:tcPr>
          <w:p w14:paraId="74DEACE9"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auditors are capable of identifying weaknesses in financial reporting and internal control systems.</w:t>
            </w:r>
          </w:p>
        </w:tc>
      </w:tr>
      <w:tr w:rsidR="00D44245" w:rsidRPr="00D029F9" w14:paraId="14CB9074" w14:textId="77777777" w:rsidTr="004117D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12EED258" w14:textId="77777777" w:rsidR="00D44245" w:rsidRPr="00D029F9" w:rsidRDefault="00D44245" w:rsidP="004117DC">
            <w:pPr>
              <w:pBdr>
                <w:top w:val="nil"/>
                <w:left w:val="nil"/>
                <w:bottom w:val="nil"/>
                <w:right w:val="nil"/>
                <w:between w:val="nil"/>
              </w:pBdr>
              <w:spacing w:after="160"/>
              <w:ind w:left="480" w:hanging="480"/>
              <w:jc w:val="center"/>
              <w:rPr>
                <w:rFonts w:asciiTheme="majorBidi" w:eastAsia="12" w:hAnsiTheme="majorBidi" w:cstheme="majorBidi"/>
                <w:iCs/>
                <w:sz w:val="24"/>
                <w:szCs w:val="24"/>
              </w:rPr>
            </w:pPr>
            <w:r w:rsidRPr="00D029F9">
              <w:rPr>
                <w:rFonts w:asciiTheme="majorBidi" w:eastAsia="12" w:hAnsiTheme="majorBidi" w:cstheme="majorBidi"/>
                <w:iCs/>
                <w:sz w:val="24"/>
                <w:szCs w:val="24"/>
              </w:rPr>
              <w:t>Internal Audit Independence (IAI)</w:t>
            </w:r>
          </w:p>
        </w:tc>
        <w:tc>
          <w:tcPr>
            <w:tcW w:w="0" w:type="auto"/>
            <w:hideMark/>
          </w:tcPr>
          <w:p w14:paraId="6F083FF3"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IAI1</w:t>
            </w:r>
          </w:p>
        </w:tc>
        <w:tc>
          <w:tcPr>
            <w:tcW w:w="0" w:type="auto"/>
            <w:hideMark/>
          </w:tcPr>
          <w:p w14:paraId="2A8A4025"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auditors perform their duties independently without management interference.</w:t>
            </w:r>
          </w:p>
        </w:tc>
      </w:tr>
      <w:tr w:rsidR="00D44245" w:rsidRPr="00D029F9" w14:paraId="646C560C" w14:textId="77777777" w:rsidTr="004117DC">
        <w:trPr>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607170C7"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7B007CCC"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IAI2</w:t>
            </w:r>
          </w:p>
        </w:tc>
        <w:tc>
          <w:tcPr>
            <w:tcW w:w="0" w:type="auto"/>
            <w:hideMark/>
          </w:tcPr>
          <w:p w14:paraId="5CC09DA3"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 findings and reports are communicated objectively and fairly.</w:t>
            </w:r>
          </w:p>
        </w:tc>
      </w:tr>
      <w:tr w:rsidR="00D44245" w:rsidRPr="00D029F9" w14:paraId="1BFA99A6" w14:textId="77777777" w:rsidTr="004117DC">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0" w:type="auto"/>
            <w:hideMark/>
          </w:tcPr>
          <w:p w14:paraId="2B2DF06A"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1C6CD51F"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IAI3</w:t>
            </w:r>
          </w:p>
        </w:tc>
        <w:tc>
          <w:tcPr>
            <w:tcW w:w="0" w:type="auto"/>
            <w:hideMark/>
          </w:tcPr>
          <w:p w14:paraId="1638CC19"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Internal auditors have sufficient authority and organizational support to perform their responsibilities independently.</w:t>
            </w:r>
          </w:p>
        </w:tc>
      </w:tr>
      <w:tr w:rsidR="00D44245" w:rsidRPr="00D029F9" w14:paraId="1D9D9CEE" w14:textId="77777777" w:rsidTr="004117DC">
        <w:trPr>
          <w:trHeight w:val="720"/>
        </w:trPr>
        <w:tc>
          <w:tcPr>
            <w:cnfStyle w:val="001000000000" w:firstRow="0" w:lastRow="0" w:firstColumn="1" w:lastColumn="0" w:oddVBand="0" w:evenVBand="0" w:oddHBand="0" w:evenHBand="0" w:firstRowFirstColumn="0" w:firstRowLastColumn="0" w:lastRowFirstColumn="0" w:lastRowLastColumn="0"/>
            <w:tcW w:w="0" w:type="auto"/>
            <w:hideMark/>
          </w:tcPr>
          <w:p w14:paraId="77E5427A"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r w:rsidRPr="00D029F9">
              <w:rPr>
                <w:rFonts w:asciiTheme="majorBidi" w:eastAsia="12" w:hAnsiTheme="majorBidi" w:cstheme="majorBidi"/>
                <w:iCs/>
                <w:sz w:val="24"/>
                <w:szCs w:val="24"/>
              </w:rPr>
              <w:t>Financial Reporting Quality (QFR)</w:t>
            </w:r>
          </w:p>
        </w:tc>
        <w:tc>
          <w:tcPr>
            <w:tcW w:w="0" w:type="auto"/>
            <w:hideMark/>
          </w:tcPr>
          <w:p w14:paraId="313445F8"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QFR1</w:t>
            </w:r>
          </w:p>
        </w:tc>
        <w:tc>
          <w:tcPr>
            <w:tcW w:w="0" w:type="auto"/>
            <w:hideMark/>
          </w:tcPr>
          <w:p w14:paraId="3D6D1A7A"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Financial reports prepared by the bank are accurate and reliable.</w:t>
            </w:r>
          </w:p>
        </w:tc>
      </w:tr>
      <w:tr w:rsidR="00D44245" w:rsidRPr="00D029F9" w14:paraId="2DB93158" w14:textId="77777777" w:rsidTr="004117D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429A0B6F"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2AB58B46"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QFR2</w:t>
            </w:r>
          </w:p>
        </w:tc>
        <w:tc>
          <w:tcPr>
            <w:tcW w:w="0" w:type="auto"/>
            <w:hideMark/>
          </w:tcPr>
          <w:p w14:paraId="11ACD021"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Financial reports are prepared and presented in a timely manner.</w:t>
            </w:r>
          </w:p>
        </w:tc>
      </w:tr>
      <w:tr w:rsidR="00D44245" w:rsidRPr="00D029F9" w14:paraId="1EDD90A2" w14:textId="77777777" w:rsidTr="004117DC">
        <w:trPr>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34A6CF04"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7E60A251"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QFR3</w:t>
            </w:r>
          </w:p>
        </w:tc>
        <w:tc>
          <w:tcPr>
            <w:tcW w:w="0" w:type="auto"/>
            <w:hideMark/>
          </w:tcPr>
          <w:p w14:paraId="5C4003C5"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Financial reports provide relevant information for managerial decision-making.</w:t>
            </w:r>
          </w:p>
        </w:tc>
      </w:tr>
      <w:tr w:rsidR="00D44245" w:rsidRPr="00D029F9" w14:paraId="3EAC44C1" w14:textId="77777777" w:rsidTr="004117D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35025831" w14:textId="77777777" w:rsidR="00D44245" w:rsidRPr="00D029F9" w:rsidRDefault="00D44245" w:rsidP="004117DC">
            <w:pPr>
              <w:pBdr>
                <w:top w:val="nil"/>
                <w:left w:val="nil"/>
                <w:bottom w:val="nil"/>
                <w:right w:val="nil"/>
                <w:between w:val="nil"/>
              </w:pBdr>
              <w:spacing w:after="160"/>
              <w:ind w:left="480" w:hanging="480"/>
              <w:jc w:val="center"/>
              <w:rPr>
                <w:rFonts w:asciiTheme="majorBidi" w:eastAsia="12" w:hAnsiTheme="majorBidi" w:cstheme="majorBidi"/>
                <w:iCs/>
                <w:sz w:val="24"/>
                <w:szCs w:val="24"/>
              </w:rPr>
            </w:pPr>
            <w:r w:rsidRPr="00D029F9">
              <w:rPr>
                <w:rFonts w:asciiTheme="majorBidi" w:eastAsia="12" w:hAnsiTheme="majorBidi" w:cstheme="majorBidi"/>
                <w:iCs/>
                <w:sz w:val="24"/>
                <w:szCs w:val="24"/>
              </w:rPr>
              <w:t>Decision-Making Effectiveness (DME)</w:t>
            </w:r>
          </w:p>
        </w:tc>
        <w:tc>
          <w:tcPr>
            <w:tcW w:w="0" w:type="auto"/>
            <w:hideMark/>
          </w:tcPr>
          <w:p w14:paraId="35FE1243"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DME1</w:t>
            </w:r>
          </w:p>
        </w:tc>
        <w:tc>
          <w:tcPr>
            <w:tcW w:w="0" w:type="auto"/>
            <w:hideMark/>
          </w:tcPr>
          <w:p w14:paraId="6F0F7299"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Management decisions in the bank are supported by reliable financial information.</w:t>
            </w:r>
          </w:p>
        </w:tc>
      </w:tr>
      <w:tr w:rsidR="00D44245" w:rsidRPr="00D029F9" w14:paraId="47B07946" w14:textId="77777777" w:rsidTr="004117DC">
        <w:trPr>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71D66C9D"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4A11AE55"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DME2</w:t>
            </w:r>
          </w:p>
        </w:tc>
        <w:tc>
          <w:tcPr>
            <w:tcW w:w="0" w:type="auto"/>
            <w:hideMark/>
          </w:tcPr>
          <w:p w14:paraId="2359D0EA"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Financial information improves the quality of operational and strategic decisions.</w:t>
            </w:r>
          </w:p>
        </w:tc>
      </w:tr>
      <w:tr w:rsidR="00D44245" w:rsidRPr="00D029F9" w14:paraId="3D443E1C" w14:textId="77777777" w:rsidTr="004117D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58294B38"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4337868D"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DME3</w:t>
            </w:r>
          </w:p>
        </w:tc>
        <w:tc>
          <w:tcPr>
            <w:tcW w:w="0" w:type="auto"/>
            <w:hideMark/>
          </w:tcPr>
          <w:p w14:paraId="44319595" w14:textId="77777777" w:rsidR="00D44245" w:rsidRPr="00D029F9" w:rsidRDefault="00D44245" w:rsidP="004117DC">
            <w:pPr>
              <w:pBdr>
                <w:top w:val="nil"/>
                <w:left w:val="nil"/>
                <w:bottom w:val="nil"/>
                <w:right w:val="nil"/>
                <w:between w:val="nil"/>
              </w:pBdr>
              <w:spacing w:after="160"/>
              <w:ind w:left="480" w:hanging="480"/>
              <w:cnfStyle w:val="000000100000" w:firstRow="0" w:lastRow="0" w:firstColumn="0" w:lastColumn="0" w:oddVBand="0" w:evenVBand="0" w:oddHBand="1"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Decision-making processes in the bank are efficient and well-informed.</w:t>
            </w:r>
          </w:p>
        </w:tc>
      </w:tr>
      <w:tr w:rsidR="00D44245" w:rsidRPr="00D029F9" w14:paraId="68814524" w14:textId="77777777" w:rsidTr="004117DC">
        <w:trPr>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7E0F8EDC" w14:textId="77777777" w:rsidR="00D44245" w:rsidRPr="00D029F9" w:rsidRDefault="00D44245" w:rsidP="004117DC">
            <w:pPr>
              <w:pBdr>
                <w:top w:val="nil"/>
                <w:left w:val="nil"/>
                <w:bottom w:val="nil"/>
                <w:right w:val="nil"/>
                <w:between w:val="nil"/>
              </w:pBdr>
              <w:spacing w:after="160"/>
              <w:ind w:left="480" w:hanging="480"/>
              <w:rPr>
                <w:rFonts w:asciiTheme="majorBidi" w:eastAsia="12" w:hAnsiTheme="majorBidi" w:cstheme="majorBidi"/>
                <w:iCs/>
                <w:sz w:val="24"/>
                <w:szCs w:val="24"/>
              </w:rPr>
            </w:pPr>
          </w:p>
        </w:tc>
        <w:tc>
          <w:tcPr>
            <w:tcW w:w="0" w:type="auto"/>
            <w:hideMark/>
          </w:tcPr>
          <w:p w14:paraId="35E89432"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DME4</w:t>
            </w:r>
          </w:p>
        </w:tc>
        <w:tc>
          <w:tcPr>
            <w:tcW w:w="0" w:type="auto"/>
            <w:hideMark/>
          </w:tcPr>
          <w:p w14:paraId="368A08D3" w14:textId="77777777" w:rsidR="00D44245" w:rsidRPr="00D029F9" w:rsidRDefault="00D44245" w:rsidP="004117DC">
            <w:pPr>
              <w:pBdr>
                <w:top w:val="nil"/>
                <w:left w:val="nil"/>
                <w:bottom w:val="nil"/>
                <w:right w:val="nil"/>
                <w:between w:val="nil"/>
              </w:pBdr>
              <w:spacing w:after="160"/>
              <w:ind w:left="480" w:hanging="480"/>
              <w:cnfStyle w:val="000000000000" w:firstRow="0" w:lastRow="0" w:firstColumn="0" w:lastColumn="0" w:oddVBand="0" w:evenVBand="0" w:oddHBand="0" w:evenHBand="0" w:firstRowFirstColumn="0" w:firstRowLastColumn="0" w:lastRowFirstColumn="0" w:lastRowLastColumn="0"/>
              <w:rPr>
                <w:rFonts w:asciiTheme="majorBidi" w:eastAsia="12" w:hAnsiTheme="majorBidi" w:cstheme="majorBidi"/>
                <w:bCs/>
                <w:iCs/>
                <w:sz w:val="24"/>
                <w:szCs w:val="24"/>
              </w:rPr>
            </w:pPr>
            <w:r w:rsidRPr="00D029F9">
              <w:rPr>
                <w:rFonts w:asciiTheme="majorBidi" w:eastAsia="12" w:hAnsiTheme="majorBidi" w:cstheme="majorBidi"/>
                <w:bCs/>
                <w:iCs/>
                <w:sz w:val="24"/>
                <w:szCs w:val="24"/>
              </w:rPr>
              <w:t>Accurate financial reporting contributes to effective organizational planning and control.</w:t>
            </w:r>
          </w:p>
        </w:tc>
      </w:tr>
    </w:tbl>
    <w:p w14:paraId="424662A6" w14:textId="77777777" w:rsidR="00D44245" w:rsidRPr="00D029F9" w:rsidRDefault="00D44245" w:rsidP="00D44245">
      <w:pPr>
        <w:pBdr>
          <w:top w:val="nil"/>
          <w:left w:val="nil"/>
          <w:bottom w:val="nil"/>
          <w:right w:val="nil"/>
          <w:between w:val="nil"/>
        </w:pBdr>
        <w:spacing w:line="240" w:lineRule="auto"/>
        <w:ind w:left="480" w:hanging="480"/>
        <w:rPr>
          <w:rFonts w:asciiTheme="majorBidi" w:eastAsia="12" w:hAnsiTheme="majorBidi" w:cstheme="majorBidi"/>
          <w:bCs/>
          <w:iCs/>
          <w:sz w:val="24"/>
          <w:szCs w:val="24"/>
        </w:rPr>
      </w:pPr>
    </w:p>
    <w:p w14:paraId="21435BB7" w14:textId="77777777" w:rsidR="00D44245" w:rsidRPr="00D029F9" w:rsidRDefault="00D44245" w:rsidP="00D44245">
      <w:pPr>
        <w:pBdr>
          <w:top w:val="nil"/>
          <w:left w:val="nil"/>
          <w:bottom w:val="nil"/>
          <w:right w:val="nil"/>
          <w:between w:val="nil"/>
        </w:pBdr>
        <w:spacing w:line="240" w:lineRule="auto"/>
        <w:ind w:left="480" w:hanging="480"/>
        <w:jc w:val="both"/>
        <w:rPr>
          <w:rFonts w:asciiTheme="majorBidi" w:hAnsiTheme="majorBidi" w:cstheme="majorBidi"/>
        </w:rPr>
      </w:pPr>
    </w:p>
    <w:p w14:paraId="3022340D" w14:textId="77777777" w:rsidR="00D44245" w:rsidRPr="00D029F9" w:rsidRDefault="00D44245" w:rsidP="00D44245">
      <w:pPr>
        <w:pBdr>
          <w:top w:val="nil"/>
          <w:left w:val="nil"/>
          <w:bottom w:val="nil"/>
          <w:right w:val="nil"/>
          <w:between w:val="nil"/>
        </w:pBdr>
        <w:spacing w:line="240" w:lineRule="auto"/>
        <w:ind w:left="480" w:hanging="480"/>
        <w:jc w:val="both"/>
        <w:rPr>
          <w:rFonts w:asciiTheme="majorBidi" w:hAnsiTheme="majorBidi" w:cstheme="majorBidi"/>
        </w:rPr>
      </w:pPr>
    </w:p>
    <w:p w14:paraId="1475EB1F"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12">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45"/>
    <w:rsid w:val="001D3053"/>
    <w:rsid w:val="001E3A92"/>
    <w:rsid w:val="00217E67"/>
    <w:rsid w:val="002C7D54"/>
    <w:rsid w:val="0033371E"/>
    <w:rsid w:val="0056198C"/>
    <w:rsid w:val="005C0D39"/>
    <w:rsid w:val="0070406C"/>
    <w:rsid w:val="00724754"/>
    <w:rsid w:val="007B36B1"/>
    <w:rsid w:val="00C321FA"/>
    <w:rsid w:val="00C97210"/>
    <w:rsid w:val="00D44245"/>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92BD"/>
  <w15:chartTrackingRefBased/>
  <w15:docId w15:val="{409BD20C-BBF8-4548-8B14-493B9612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45"/>
    <w:pPr>
      <w:spacing w:line="259" w:lineRule="auto"/>
    </w:pPr>
    <w:rPr>
      <w:sz w:val="22"/>
      <w:szCs w:val="22"/>
      <w:lang w:val="en-US"/>
    </w:rPr>
  </w:style>
  <w:style w:type="paragraph" w:styleId="Heading1">
    <w:name w:val="heading 1"/>
    <w:basedOn w:val="Normal"/>
    <w:next w:val="Normal"/>
    <w:link w:val="Heading1Char"/>
    <w:uiPriority w:val="9"/>
    <w:qFormat/>
    <w:rsid w:val="00D4424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D4424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D44245"/>
    <w:pPr>
      <w:keepNext/>
      <w:keepLines/>
      <w:spacing w:before="160" w:after="80" w:line="278" w:lineRule="auto"/>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D44245"/>
    <w:pPr>
      <w:keepNext/>
      <w:keepLines/>
      <w:spacing w:before="80" w:after="40" w:line="278" w:lineRule="auto"/>
      <w:outlineLvl w:val="3"/>
    </w:pPr>
    <w:rPr>
      <w:rFonts w:eastAsiaTheme="majorEastAsia" w:cstheme="majorBidi"/>
      <w:i/>
      <w:iCs/>
      <w:color w:val="0F4761" w:themeColor="accent1" w:themeShade="BF"/>
      <w:sz w:val="24"/>
      <w:szCs w:val="24"/>
      <w:lang w:val="en-IN"/>
    </w:rPr>
  </w:style>
  <w:style w:type="paragraph" w:styleId="Heading5">
    <w:name w:val="heading 5"/>
    <w:basedOn w:val="Normal"/>
    <w:next w:val="Normal"/>
    <w:link w:val="Heading5Char"/>
    <w:uiPriority w:val="9"/>
    <w:semiHidden/>
    <w:unhideWhenUsed/>
    <w:qFormat/>
    <w:rsid w:val="00D44245"/>
    <w:pPr>
      <w:keepNext/>
      <w:keepLines/>
      <w:spacing w:before="80" w:after="40" w:line="278" w:lineRule="auto"/>
      <w:outlineLvl w:val="4"/>
    </w:pPr>
    <w:rPr>
      <w:rFonts w:eastAsiaTheme="majorEastAsia" w:cstheme="majorBidi"/>
      <w:color w:val="0F4761" w:themeColor="accent1" w:themeShade="BF"/>
      <w:sz w:val="24"/>
      <w:szCs w:val="24"/>
      <w:lang w:val="en-IN"/>
    </w:rPr>
  </w:style>
  <w:style w:type="paragraph" w:styleId="Heading6">
    <w:name w:val="heading 6"/>
    <w:basedOn w:val="Normal"/>
    <w:next w:val="Normal"/>
    <w:link w:val="Heading6Char"/>
    <w:uiPriority w:val="9"/>
    <w:semiHidden/>
    <w:unhideWhenUsed/>
    <w:qFormat/>
    <w:rsid w:val="00D44245"/>
    <w:pPr>
      <w:keepNext/>
      <w:keepLines/>
      <w:spacing w:before="40" w:after="0" w:line="278" w:lineRule="auto"/>
      <w:outlineLvl w:val="5"/>
    </w:pPr>
    <w:rPr>
      <w:rFonts w:eastAsiaTheme="majorEastAsia" w:cstheme="majorBidi"/>
      <w:i/>
      <w:iCs/>
      <w:color w:val="595959" w:themeColor="text1" w:themeTint="A6"/>
      <w:sz w:val="24"/>
      <w:szCs w:val="24"/>
      <w:lang w:val="en-IN"/>
    </w:rPr>
  </w:style>
  <w:style w:type="paragraph" w:styleId="Heading7">
    <w:name w:val="heading 7"/>
    <w:basedOn w:val="Normal"/>
    <w:next w:val="Normal"/>
    <w:link w:val="Heading7Char"/>
    <w:uiPriority w:val="9"/>
    <w:semiHidden/>
    <w:unhideWhenUsed/>
    <w:qFormat/>
    <w:rsid w:val="00D44245"/>
    <w:pPr>
      <w:keepNext/>
      <w:keepLines/>
      <w:spacing w:before="40" w:after="0" w:line="278" w:lineRule="auto"/>
      <w:outlineLvl w:val="6"/>
    </w:pPr>
    <w:rPr>
      <w:rFonts w:eastAsiaTheme="majorEastAsia" w:cstheme="majorBidi"/>
      <w:color w:val="595959" w:themeColor="text1" w:themeTint="A6"/>
      <w:sz w:val="24"/>
      <w:szCs w:val="24"/>
      <w:lang w:val="en-IN"/>
    </w:rPr>
  </w:style>
  <w:style w:type="paragraph" w:styleId="Heading8">
    <w:name w:val="heading 8"/>
    <w:basedOn w:val="Normal"/>
    <w:next w:val="Normal"/>
    <w:link w:val="Heading8Char"/>
    <w:uiPriority w:val="9"/>
    <w:semiHidden/>
    <w:unhideWhenUsed/>
    <w:qFormat/>
    <w:rsid w:val="00D44245"/>
    <w:pPr>
      <w:keepNext/>
      <w:keepLines/>
      <w:spacing w:after="0" w:line="278" w:lineRule="auto"/>
      <w:outlineLvl w:val="7"/>
    </w:pPr>
    <w:rPr>
      <w:rFonts w:eastAsiaTheme="majorEastAsia" w:cstheme="majorBidi"/>
      <w:i/>
      <w:iCs/>
      <w:color w:val="272727" w:themeColor="text1" w:themeTint="D8"/>
      <w:sz w:val="24"/>
      <w:szCs w:val="24"/>
      <w:lang w:val="en-IN"/>
    </w:rPr>
  </w:style>
  <w:style w:type="paragraph" w:styleId="Heading9">
    <w:name w:val="heading 9"/>
    <w:basedOn w:val="Normal"/>
    <w:next w:val="Normal"/>
    <w:link w:val="Heading9Char"/>
    <w:uiPriority w:val="9"/>
    <w:semiHidden/>
    <w:unhideWhenUsed/>
    <w:qFormat/>
    <w:rsid w:val="00D44245"/>
    <w:pPr>
      <w:keepNext/>
      <w:keepLines/>
      <w:spacing w:after="0" w:line="278" w:lineRule="auto"/>
      <w:outlineLvl w:val="8"/>
    </w:pPr>
    <w:rPr>
      <w:rFonts w:eastAsiaTheme="majorEastAsia" w:cstheme="majorBidi"/>
      <w:color w:val="272727" w:themeColor="text1" w:themeTint="D8"/>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245"/>
    <w:rPr>
      <w:rFonts w:eastAsiaTheme="majorEastAsia" w:cstheme="majorBidi"/>
      <w:color w:val="272727" w:themeColor="text1" w:themeTint="D8"/>
    </w:rPr>
  </w:style>
  <w:style w:type="paragraph" w:styleId="Title">
    <w:name w:val="Title"/>
    <w:basedOn w:val="Normal"/>
    <w:next w:val="Normal"/>
    <w:link w:val="TitleChar"/>
    <w:uiPriority w:val="10"/>
    <w:qFormat/>
    <w:rsid w:val="00D44245"/>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D44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245"/>
    <w:pPr>
      <w:numPr>
        <w:ilvl w:val="1"/>
      </w:numPr>
      <w:spacing w:line="278"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D44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245"/>
    <w:pPr>
      <w:spacing w:before="160" w:line="278" w:lineRule="auto"/>
      <w:jc w:val="center"/>
    </w:pPr>
    <w:rPr>
      <w:i/>
      <w:iCs/>
      <w:color w:val="404040" w:themeColor="text1" w:themeTint="BF"/>
      <w:sz w:val="24"/>
      <w:szCs w:val="24"/>
      <w:lang w:val="en-IN"/>
    </w:rPr>
  </w:style>
  <w:style w:type="character" w:customStyle="1" w:styleId="QuoteChar">
    <w:name w:val="Quote Char"/>
    <w:basedOn w:val="DefaultParagraphFont"/>
    <w:link w:val="Quote"/>
    <w:uiPriority w:val="29"/>
    <w:rsid w:val="00D44245"/>
    <w:rPr>
      <w:i/>
      <w:iCs/>
      <w:color w:val="404040" w:themeColor="text1" w:themeTint="BF"/>
    </w:rPr>
  </w:style>
  <w:style w:type="paragraph" w:styleId="ListParagraph">
    <w:name w:val="List Paragraph"/>
    <w:basedOn w:val="Normal"/>
    <w:uiPriority w:val="34"/>
    <w:qFormat/>
    <w:rsid w:val="00D44245"/>
    <w:pPr>
      <w:spacing w:line="278" w:lineRule="auto"/>
      <w:ind w:left="720"/>
      <w:contextualSpacing/>
    </w:pPr>
    <w:rPr>
      <w:sz w:val="24"/>
      <w:szCs w:val="24"/>
      <w:lang w:val="en-IN"/>
    </w:rPr>
  </w:style>
  <w:style w:type="character" w:styleId="IntenseEmphasis">
    <w:name w:val="Intense Emphasis"/>
    <w:basedOn w:val="DefaultParagraphFont"/>
    <w:uiPriority w:val="21"/>
    <w:qFormat/>
    <w:rsid w:val="00D44245"/>
    <w:rPr>
      <w:i/>
      <w:iCs/>
      <w:color w:val="0F4761" w:themeColor="accent1" w:themeShade="BF"/>
    </w:rPr>
  </w:style>
  <w:style w:type="paragraph" w:styleId="IntenseQuote">
    <w:name w:val="Intense Quote"/>
    <w:basedOn w:val="Normal"/>
    <w:next w:val="Normal"/>
    <w:link w:val="IntenseQuoteChar"/>
    <w:uiPriority w:val="30"/>
    <w:qFormat/>
    <w:rsid w:val="00D442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IN"/>
    </w:rPr>
  </w:style>
  <w:style w:type="character" w:customStyle="1" w:styleId="IntenseQuoteChar">
    <w:name w:val="Intense Quote Char"/>
    <w:basedOn w:val="DefaultParagraphFont"/>
    <w:link w:val="IntenseQuote"/>
    <w:uiPriority w:val="30"/>
    <w:rsid w:val="00D44245"/>
    <w:rPr>
      <w:i/>
      <w:iCs/>
      <w:color w:val="0F4761" w:themeColor="accent1" w:themeShade="BF"/>
    </w:rPr>
  </w:style>
  <w:style w:type="character" w:styleId="IntenseReference">
    <w:name w:val="Intense Reference"/>
    <w:basedOn w:val="DefaultParagraphFont"/>
    <w:uiPriority w:val="32"/>
    <w:qFormat/>
    <w:rsid w:val="00D44245"/>
    <w:rPr>
      <w:b/>
      <w:bCs/>
      <w:smallCaps/>
      <w:color w:val="0F4761" w:themeColor="accent1" w:themeShade="BF"/>
      <w:spacing w:val="5"/>
    </w:rPr>
  </w:style>
  <w:style w:type="table" w:styleId="PlainTable2">
    <w:name w:val="Plain Table 2"/>
    <w:basedOn w:val="TableNormal"/>
    <w:uiPriority w:val="42"/>
    <w:rsid w:val="00D44245"/>
    <w:pPr>
      <w:spacing w:after="0" w:line="240" w:lineRule="auto"/>
    </w:pPr>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2026-07-10T07:38:00Z</dcterms:created>
  <dcterms:modified xsi:type="dcterms:W3CDTF">2026-07-10T07:38:00Z</dcterms:modified>
</cp:coreProperties>
</file>