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F5C4" w14:textId="77777777" w:rsidR="003246A9" w:rsidRPr="00E12BAA" w:rsidRDefault="003246A9" w:rsidP="003246A9">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Pr>
          <w:rFonts w:ascii="Times New Roman" w:eastAsia="Times New Roman" w:hAnsi="Times New Roman" w:cs="Times New Roman"/>
          <w:b/>
          <w:bCs/>
          <w:kern w:val="36"/>
          <w:sz w:val="24"/>
          <w:szCs w:val="24"/>
          <w:lang w:val="en-US"/>
        </w:rPr>
        <w:t>Supplementary material</w:t>
      </w:r>
    </w:p>
    <w:p w14:paraId="499C41C2" w14:textId="77777777" w:rsidR="003246A9" w:rsidRPr="00E12BAA" w:rsidRDefault="003246A9" w:rsidP="003246A9">
      <w:pPr>
        <w:spacing w:after="0" w:line="276" w:lineRule="auto"/>
        <w:ind w:firstLine="567"/>
        <w:jc w:val="both"/>
        <w:rPr>
          <w:rFonts w:ascii="Times New Roman" w:eastAsia="Times New Roman" w:hAnsi="Times New Roman" w:cs="Times New Roman"/>
          <w:b/>
          <w:bCs/>
          <w:sz w:val="24"/>
          <w:szCs w:val="24"/>
          <w:lang w:val="en-US"/>
        </w:rPr>
      </w:pPr>
      <w:r>
        <w:rPr>
          <w:rFonts w:ascii="Times New Roman" w:eastAsia="Times New Roman" w:hAnsi="Times New Roman" w:cs="Times New Roman"/>
          <w:i/>
          <w:iCs/>
          <w:sz w:val="24"/>
          <w:szCs w:val="24"/>
          <w:lang w:val="en-US"/>
        </w:rPr>
        <w:t>Interactive Figures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 xml:space="preserve">Figure 1S. </w:t>
      </w:r>
      <w:r>
        <w:rPr>
          <w:rFonts w:ascii="Times New Roman" w:eastAsia="Times New Roman" w:hAnsi="Times New Roman" w:cs="Times New Roman"/>
          <w:sz w:val="24"/>
          <w:szCs w:val="24"/>
          <w:lang w:val="en-US"/>
        </w:rPr>
        <w:t xml:space="preserve">Computational workflow for HDAC8 inhibitor discovery. Schematic representation of the computational approach used in this study. </w:t>
      </w:r>
    </w:p>
    <w:p w14:paraId="0A939C5A" w14:textId="77777777" w:rsidR="003246A9" w:rsidRPr="00E12BAA" w:rsidRDefault="003246A9" w:rsidP="003246A9">
      <w:pPr>
        <w:spacing w:after="0" w:line="276" w:lineRule="auto"/>
        <w:ind w:firstLine="567"/>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Figure 2S. </w:t>
      </w:r>
      <w:r>
        <w:rPr>
          <w:rFonts w:ascii="Times New Roman" w:eastAsia="Times New Roman" w:hAnsi="Times New Roman" w:cs="Times New Roman"/>
          <w:sz w:val="24"/>
          <w:szCs w:val="24"/>
          <w:lang w:val="en-US"/>
        </w:rPr>
        <w:t xml:space="preserve">Structure-activity relationship analysis of spiro compounds. (A) Binding scores of all spiro compounds to HDAC8 Pocket 1. (B) Correlation between binding affinity and physicochemical properties. (C) Core scaffold with highlighted modification regions. </w:t>
      </w:r>
    </w:p>
    <w:p w14:paraId="5BE1D93F" w14:textId="77777777" w:rsidR="003246A9" w:rsidRPr="00E12BAA" w:rsidRDefault="003246A9" w:rsidP="003246A9">
      <w:pPr>
        <w:spacing w:after="0" w:line="276" w:lineRule="auto"/>
        <w:ind w:firstLine="567"/>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Figure 3S. </w:t>
      </w:r>
      <w:r>
        <w:rPr>
          <w:rFonts w:ascii="Times New Roman" w:eastAsia="Times New Roman" w:hAnsi="Times New Roman" w:cs="Times New Roman"/>
          <w:sz w:val="24"/>
          <w:szCs w:val="24"/>
          <w:lang w:val="en-US"/>
        </w:rPr>
        <w:t xml:space="preserve">Amino acid composition analysis of the HDAC8 binding pocket. (A) Top 5 most frequent residues by compound. (B) ASP residue frequency analysis across binding affinities. (C) Aromatic vs non-aromatic residue distribution. </w:t>
      </w:r>
    </w:p>
    <w:p w14:paraId="02583AB4" w14:textId="77777777" w:rsidR="003246A9" w:rsidRPr="00E12BAA" w:rsidRDefault="003246A9" w:rsidP="003246A9">
      <w:pPr>
        <w:spacing w:after="0" w:line="276" w:lineRule="auto"/>
        <w:ind w:firstLine="567"/>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Figure 4S. </w:t>
      </w:r>
      <w:r>
        <w:rPr>
          <w:rFonts w:ascii="Times New Roman" w:eastAsia="Times New Roman" w:hAnsi="Times New Roman" w:cs="Times New Roman"/>
          <w:sz w:val="24"/>
          <w:szCs w:val="24"/>
          <w:lang w:val="en-US"/>
        </w:rPr>
        <w:t xml:space="preserve">ADMET profile comparison of lead compounds. (A) Radar chart comparing key ADMET parameters of KB-282, KB-281, and reference HDAC8 inhibitors. (B) Absorption and distribution parameters visualization highlighting stronger oral bioavailability of spiro compounds compared to hydroxamate inhibitors. (C) Comparative toxicity profiles showing reduced potential for hERG inhibition and hepatotoxicity with KB-282. </w:t>
      </w:r>
    </w:p>
    <w:p w14:paraId="0DD0C5B0"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S1</w:t>
      </w:r>
      <w:r>
        <w:rPr>
          <w:rFonts w:ascii="Times New Roman" w:eastAsia="Times New Roman" w:hAnsi="Times New Roman" w:cs="Times New Roman"/>
          <w:sz w:val="24"/>
          <w:szCs w:val="24"/>
          <w:lang w:val="en-US"/>
        </w:rPr>
        <w:t>: CB-Dock2 docking results across five binding pockets for all 15 compounds; docking score matrix across all 15 compounds and five pockets.</w:t>
      </w:r>
    </w:p>
    <w:p w14:paraId="1D3CB08E"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S2</w:t>
      </w:r>
      <w:r>
        <w:rPr>
          <w:rFonts w:ascii="Times New Roman" w:eastAsia="Times New Roman" w:hAnsi="Times New Roman" w:cs="Times New Roman"/>
          <w:sz w:val="24"/>
          <w:szCs w:val="24"/>
          <w:lang w:val="en-US"/>
        </w:rPr>
        <w:t>: Compact binding score matrix summarizing Pocket 1–5 affinities for all 15 compounds.</w:t>
      </w:r>
    </w:p>
    <w:p w14:paraId="3C4E0A3B"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S3</w:t>
      </w:r>
      <w:r>
        <w:rPr>
          <w:rFonts w:ascii="Times New Roman" w:eastAsia="Times New Roman" w:hAnsi="Times New Roman" w:cs="Times New Roman"/>
          <w:sz w:val="24"/>
          <w:szCs w:val="24"/>
          <w:lang w:val="en-US"/>
        </w:rPr>
        <w:t>: Amino acid composition analysis of the HDAC8 catalytic pocket (Pocket 1) across all compounds.</w:t>
      </w:r>
    </w:p>
    <w:p w14:paraId="18EB60B0"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S4</w:t>
      </w:r>
      <w:r>
        <w:rPr>
          <w:rFonts w:ascii="Times New Roman" w:eastAsia="Times New Roman" w:hAnsi="Times New Roman" w:cs="Times New Roman"/>
          <w:sz w:val="24"/>
          <w:szCs w:val="24"/>
          <w:lang w:val="en-US"/>
        </w:rPr>
        <w:t>: Detailed molecular interactions of KB-282 vs octanediamide in the HDAC8 catalytic site (template and blind docking modes).</w:t>
      </w:r>
    </w:p>
    <w:p w14:paraId="18E8FEF4"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S5</w:t>
      </w:r>
      <w:r>
        <w:rPr>
          <w:rFonts w:ascii="Times New Roman" w:eastAsia="Times New Roman" w:hAnsi="Times New Roman" w:cs="Times New Roman"/>
          <w:sz w:val="24"/>
          <w:szCs w:val="24"/>
          <w:lang w:val="en-US"/>
        </w:rPr>
        <w:t>: Complete amino acid residue listings (Chain A and Chain B) for all five binding pockets across all 15 compounds.</w:t>
      </w:r>
    </w:p>
    <w:p w14:paraId="3D89A744"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S6</w:t>
      </w:r>
      <w:r>
        <w:rPr>
          <w:rFonts w:ascii="Times New Roman" w:eastAsia="Times New Roman" w:hAnsi="Times New Roman" w:cs="Times New Roman"/>
          <w:sz w:val="24"/>
          <w:szCs w:val="24"/>
          <w:lang w:val="en-US"/>
        </w:rPr>
        <w:t>: Summary of top-5 most frequent residue types per pocket per compound.</w:t>
      </w:r>
    </w:p>
    <w:p w14:paraId="64E2A043"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S7</w:t>
      </w:r>
      <w:r>
        <w:rPr>
          <w:rFonts w:ascii="Times New Roman" w:eastAsia="Times New Roman" w:hAnsi="Times New Roman" w:cs="Times New Roman"/>
          <w:sz w:val="24"/>
          <w:szCs w:val="24"/>
          <w:lang w:val="en-US"/>
        </w:rPr>
        <w:t>: Predicted absorption and distribution parameters (Caco-2 permeability, HIA, MDCK permeability, oral bioavailability at F20%/F30%/F50%, BBB permeability, PPB, VDss).</w:t>
      </w:r>
    </w:p>
    <w:p w14:paraId="652B0BE5"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S8</w:t>
      </w:r>
      <w:r>
        <w:rPr>
          <w:rFonts w:ascii="Times New Roman" w:eastAsia="Times New Roman" w:hAnsi="Times New Roman" w:cs="Times New Roman"/>
          <w:sz w:val="24"/>
          <w:szCs w:val="24"/>
          <w:lang w:val="en-US"/>
        </w:rPr>
        <w:t>: Transporter interaction probabilities (OATP1B1, OATP1B3, OATP2B1, OCT1, OCT2, BCRP, BSEP, MATE1, P-glycoprotein — inhibition and substrate classification).</w:t>
      </w:r>
    </w:p>
    <w:p w14:paraId="3F743D10"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S9</w:t>
      </w:r>
      <w:r>
        <w:rPr>
          <w:rFonts w:ascii="Times New Roman" w:eastAsia="Times New Roman" w:hAnsi="Times New Roman" w:cs="Times New Roman"/>
          <w:sz w:val="24"/>
          <w:szCs w:val="24"/>
          <w:lang w:val="en-US"/>
        </w:rPr>
        <w:t>: Predicted metabolism and excretion parameters (CYP1A2, CYP2B6, CYP2C9, CYP2C19, CYP2D6, CYP3A4 inhibition and substrate probabilities, HLM and RLM stability, UGT substrate probability, CLp, CLr, T½, MRT).</w:t>
      </w:r>
    </w:p>
    <w:p w14:paraId="695765BA"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S10</w:t>
      </w:r>
      <w:r>
        <w:rPr>
          <w:rFonts w:ascii="Times New Roman" w:eastAsia="Times New Roman" w:hAnsi="Times New Roman" w:cs="Times New Roman"/>
          <w:sz w:val="24"/>
          <w:szCs w:val="24"/>
          <w:lang w:val="en-US"/>
        </w:rPr>
        <w:t>: Predicted toxicity parameters (hERG inhibition at 1, 10, and 30 μM; DILI; respiratory, nephro-, eye, and skin toxicity; Ames mutagenicity; rodent carcinogenicity; micronucleus genotoxicity; reproductive, mitochondrial, hemolytic, and repeated-dose toxicity; acute oral toxicity).</w:t>
      </w:r>
    </w:p>
    <w:p w14:paraId="58E68562"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S11</w:t>
      </w:r>
      <w:r>
        <w:rPr>
          <w:rFonts w:ascii="Times New Roman" w:eastAsia="Times New Roman" w:hAnsi="Times New Roman" w:cs="Times New Roman"/>
          <w:sz w:val="24"/>
          <w:szCs w:val="24"/>
          <w:lang w:val="en-US"/>
        </w:rPr>
        <w:t>: Endocrine disruption potential across the Tox21 nuclear receptor and stress-response panel (AR, ER, AR-LBD, ER-LBD, aromatase, AhR, ARE, ATAD5, HSE, p53, PPARγ, MMP, TR, GR).</w:t>
      </w:r>
    </w:p>
    <w:p w14:paraId="1E97E143"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S12</w:t>
      </w:r>
      <w:r>
        <w:rPr>
          <w:rFonts w:ascii="Times New Roman" w:eastAsia="Times New Roman" w:hAnsi="Times New Roman" w:cs="Times New Roman"/>
          <w:sz w:val="24"/>
          <w:szCs w:val="24"/>
          <w:lang w:val="en-US"/>
        </w:rPr>
        <w:t xml:space="preserve">: Ecotoxicity endpoints (aquatic toxicity to algae, crustaceans, </w:t>
      </w:r>
      <w:r>
        <w:rPr>
          <w:rFonts w:ascii="Times New Roman" w:eastAsia="Times New Roman" w:hAnsi="Times New Roman" w:cs="Times New Roman"/>
          <w:i/>
          <w:iCs/>
          <w:sz w:val="24"/>
          <w:szCs w:val="24"/>
          <w:lang w:val="en-US"/>
        </w:rPr>
        <w:t>D. magna</w:t>
      </w:r>
      <w:r>
        <w:rPr>
          <w:rFonts w:ascii="Times New Roman" w:eastAsia="Times New Roman" w:hAnsi="Times New Roman" w:cs="Times New Roman"/>
          <w:sz w:val="24"/>
          <w:szCs w:val="24"/>
          <w:lang w:val="en-US"/>
        </w:rPr>
        <w:t xml:space="preserve">, fish species, and </w:t>
      </w:r>
      <w:r>
        <w:rPr>
          <w:rFonts w:ascii="Times New Roman" w:eastAsia="Times New Roman" w:hAnsi="Times New Roman" w:cs="Times New Roman"/>
          <w:i/>
          <w:iCs/>
          <w:sz w:val="24"/>
          <w:szCs w:val="24"/>
          <w:lang w:val="en-US"/>
        </w:rPr>
        <w:t>T. pyriformis</w:t>
      </w:r>
      <w:r>
        <w:rPr>
          <w:rFonts w:ascii="Times New Roman" w:eastAsia="Times New Roman" w:hAnsi="Times New Roman" w:cs="Times New Roman"/>
          <w:sz w:val="24"/>
          <w:szCs w:val="24"/>
          <w:lang w:val="en-US"/>
        </w:rPr>
        <w:t>; avian toxicity; bee toxicity; BCF; biodegradability; photoinduced toxicity).</w:t>
      </w:r>
    </w:p>
    <w:p w14:paraId="43A986F4"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S13</w:t>
      </w:r>
      <w:r>
        <w:rPr>
          <w:rFonts w:ascii="Times New Roman" w:eastAsia="Times New Roman" w:hAnsi="Times New Roman" w:cs="Times New Roman"/>
          <w:sz w:val="24"/>
          <w:szCs w:val="24"/>
          <w:lang w:val="en-US"/>
        </w:rPr>
        <w:t>: Full physicochemical descriptors (MW, atom count, heteroatom count, ring count, rotatable bonds, HBA, HBD, TPSA, SlogP, logS, logP, pKa) for all compounds (admetSAR 3.0; SlogP from RDKit, logP from CLMGraph).</w:t>
      </w:r>
    </w:p>
    <w:p w14:paraId="59AB20A5"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Tables S14–S16</w:t>
      </w:r>
      <w:r>
        <w:rPr>
          <w:rFonts w:ascii="Times New Roman" w:eastAsia="Times New Roman" w:hAnsi="Times New Roman" w:cs="Times New Roman"/>
          <w:sz w:val="24"/>
          <w:szCs w:val="24"/>
          <w:lang w:val="en-US"/>
        </w:rPr>
        <w:t xml:space="preserve">: Correlation analysis between physicochemical properties and binding affinity (Pearson coefficients, </w:t>
      </w:r>
      <w:r>
        <w:rPr>
          <w:rFonts w:ascii="Times New Roman" w:eastAsia="Times New Roman" w:hAnsi="Times New Roman" w:cs="Times New Roman"/>
          <w:i/>
          <w:iCs/>
          <w:sz w:val="24"/>
          <w:szCs w:val="24"/>
          <w:lang w:val="en-US"/>
        </w:rPr>
        <w:t>t</w:t>
      </w:r>
      <w:r>
        <w:rPr>
          <w:rFonts w:ascii="Times New Roman" w:eastAsia="Times New Roman" w:hAnsi="Times New Roman" w:cs="Times New Roman"/>
          <w:sz w:val="24"/>
          <w:szCs w:val="24"/>
          <w:lang w:val="en-US"/>
        </w:rPr>
        <w:t>-distribution, df = 7); quantitative SAR analysis by substitution group (means, standard deviations, ranges, improvement relative to unsubstituted baseline); physicochemical property distributions (mean ± SD, median, quartiles, IQR) for the nine novel compounds.</w:t>
      </w:r>
    </w:p>
    <w:p w14:paraId="15104A43"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Tables S17, S18</w:t>
      </w:r>
      <w:r>
        <w:rPr>
          <w:rFonts w:ascii="Times New Roman" w:eastAsia="Times New Roman" w:hAnsi="Times New Roman" w:cs="Times New Roman"/>
          <w:sz w:val="24"/>
          <w:szCs w:val="24"/>
          <w:lang w:val="en-US"/>
        </w:rPr>
        <w:t>: Amino acid residue frequency of occurrence across all 15 compounds in Pocket 1; comparison of top- and bottom-performing compounds by residue contact counts.</w:t>
      </w:r>
    </w:p>
    <w:p w14:paraId="2CFDAA88"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Tables S19–S21</w:t>
      </w:r>
      <w:r>
        <w:rPr>
          <w:rFonts w:ascii="Times New Roman" w:eastAsia="Times New Roman" w:hAnsi="Times New Roman" w:cs="Times New Roman"/>
          <w:sz w:val="24"/>
          <w:szCs w:val="24"/>
          <w:lang w:val="en-US"/>
        </w:rPr>
        <w:t xml:space="preserve">: Drug-likeness assessment (Lipinski Rule of Five, Veber criteria, composite drug-like scores); statistical test outcomes (Kruskal–Wallis, Welch </w:t>
      </w:r>
      <w:r>
        <w:rPr>
          <w:rFonts w:ascii="Times New Roman" w:eastAsia="Times New Roman" w:hAnsi="Times New Roman" w:cs="Times New Roman"/>
          <w:i/>
          <w:iCs/>
          <w:sz w:val="24"/>
          <w:szCs w:val="24"/>
          <w:lang w:val="en-US"/>
        </w:rPr>
        <w:t>t</w:t>
      </w:r>
      <w:r>
        <w:rPr>
          <w:rFonts w:ascii="Times New Roman" w:eastAsia="Times New Roman" w:hAnsi="Times New Roman" w:cs="Times New Roman"/>
          <w:sz w:val="24"/>
          <w:szCs w:val="24"/>
          <w:lang w:val="en-US"/>
        </w:rPr>
        <w:t>-test, Pearson correlations, regression model summary); outlier identification using standardized residuals and Cook's distance.</w:t>
      </w:r>
    </w:p>
    <w:p w14:paraId="1A83F41B" w14:textId="77777777" w:rsidR="003246A9" w:rsidRPr="00E12BAA"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Tables S22–S24</w:t>
      </w:r>
      <w:r>
        <w:rPr>
          <w:rFonts w:ascii="Times New Roman" w:eastAsia="Times New Roman" w:hAnsi="Times New Roman" w:cs="Times New Roman"/>
          <w:sz w:val="24"/>
          <w:szCs w:val="24"/>
          <w:lang w:val="en-US"/>
        </w:rPr>
        <w:t>: Comparative ADMET profile of lead spiro compounds (KB-281, KB-282) vs reference HDAC8 inhibitors (absorption, distribution, hERG, DILI parameters); pairwise toxicity profile comparison; drug–drug interaction assessment based on cumulative CYP inhibition probability scores.</w:t>
      </w:r>
    </w:p>
    <w:p w14:paraId="53387B56" w14:textId="77777777" w:rsidR="003246A9" w:rsidRDefault="003246A9" w:rsidP="003246A9">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Tables S25–S27</w:t>
      </w:r>
      <w:r>
        <w:rPr>
          <w:rFonts w:ascii="Times New Roman" w:eastAsia="Times New Roman" w:hAnsi="Times New Roman" w:cs="Times New Roman"/>
          <w:sz w:val="24"/>
          <w:szCs w:val="24"/>
          <w:lang w:val="en-US"/>
        </w:rPr>
        <w:t>: IR, ¹H NMR, and LC-MS spectra of KB-268, KB-270, and KB-292.</w:t>
      </w:r>
    </w:p>
    <w:p w14:paraId="14F64AFF" w14:textId="77777777" w:rsidR="00DE6AE2" w:rsidRPr="003246A9" w:rsidRDefault="00DE6AE2">
      <w:pPr>
        <w:rPr>
          <w:lang w:val="en-US"/>
        </w:rPr>
      </w:pPr>
    </w:p>
    <w:sectPr w:rsidR="00DE6AE2" w:rsidRPr="00324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A9"/>
    <w:rsid w:val="00195413"/>
    <w:rsid w:val="003246A9"/>
    <w:rsid w:val="003A03A7"/>
    <w:rsid w:val="003D0186"/>
    <w:rsid w:val="005A0E9E"/>
    <w:rsid w:val="007278E4"/>
    <w:rsid w:val="00A3738C"/>
    <w:rsid w:val="00B91ABC"/>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5C34"/>
  <w15:chartTrackingRefBased/>
  <w15:docId w15:val="{B6F636EC-5854-4825-BA86-A0925F0E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6A9"/>
    <w:pPr>
      <w:spacing w:line="259" w:lineRule="auto"/>
    </w:pPr>
    <w:rPr>
      <w:kern w:val="0"/>
      <w:sz w:val="22"/>
      <w:szCs w:val="22"/>
      <w:lang w:val="ru-RU"/>
      <w14:ligatures w14:val="none"/>
    </w:rPr>
  </w:style>
  <w:style w:type="paragraph" w:styleId="Heading1">
    <w:name w:val="heading 1"/>
    <w:basedOn w:val="Normal"/>
    <w:next w:val="Normal"/>
    <w:link w:val="Heading1Char"/>
    <w:uiPriority w:val="9"/>
    <w:qFormat/>
    <w:rsid w:val="003246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246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246A9"/>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246A9"/>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246A9"/>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246A9"/>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246A9"/>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246A9"/>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246A9"/>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6A9"/>
    <w:rPr>
      <w:rFonts w:eastAsiaTheme="majorEastAsia" w:cstheme="majorBidi"/>
      <w:color w:val="272727" w:themeColor="text1" w:themeTint="D8"/>
    </w:rPr>
  </w:style>
  <w:style w:type="paragraph" w:styleId="Title">
    <w:name w:val="Title"/>
    <w:basedOn w:val="Normal"/>
    <w:next w:val="Normal"/>
    <w:link w:val="TitleChar"/>
    <w:uiPriority w:val="10"/>
    <w:qFormat/>
    <w:rsid w:val="003246A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24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6A9"/>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24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6A9"/>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246A9"/>
    <w:rPr>
      <w:i/>
      <w:iCs/>
      <w:color w:val="404040" w:themeColor="text1" w:themeTint="BF"/>
    </w:rPr>
  </w:style>
  <w:style w:type="paragraph" w:styleId="ListParagraph">
    <w:name w:val="List Paragraph"/>
    <w:basedOn w:val="Normal"/>
    <w:uiPriority w:val="34"/>
    <w:qFormat/>
    <w:rsid w:val="003246A9"/>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246A9"/>
    <w:rPr>
      <w:i/>
      <w:iCs/>
      <w:color w:val="0F4761" w:themeColor="accent1" w:themeShade="BF"/>
    </w:rPr>
  </w:style>
  <w:style w:type="paragraph" w:styleId="IntenseQuote">
    <w:name w:val="Intense Quote"/>
    <w:basedOn w:val="Normal"/>
    <w:next w:val="Normal"/>
    <w:link w:val="IntenseQuoteChar"/>
    <w:uiPriority w:val="30"/>
    <w:qFormat/>
    <w:rsid w:val="003246A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246A9"/>
    <w:rPr>
      <w:i/>
      <w:iCs/>
      <w:color w:val="0F4761" w:themeColor="accent1" w:themeShade="BF"/>
    </w:rPr>
  </w:style>
  <w:style w:type="character" w:styleId="IntenseReference">
    <w:name w:val="Intense Reference"/>
    <w:basedOn w:val="DefaultParagraphFont"/>
    <w:uiPriority w:val="32"/>
    <w:qFormat/>
    <w:rsid w:val="003246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3782</Characters>
  <Application>Microsoft Office Word</Application>
  <DocSecurity>0</DocSecurity>
  <Lines>31</Lines>
  <Paragraphs>8</Paragraphs>
  <ScaleCrop>false</ScaleCrop>
  <Company>Springer Nature</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2026-07-22T08:08:00Z</dcterms:created>
  <dcterms:modified xsi:type="dcterms:W3CDTF">2026-07-22T08:09:00Z</dcterms:modified>
</cp:coreProperties>
</file>